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A4F32" w14:textId="77777777" w:rsidR="00555224" w:rsidRPr="0019378A" w:rsidRDefault="002D571C" w:rsidP="00151819">
      <w:pPr>
        <w:pStyle w:val="Annexetitre"/>
        <w:rPr>
          <w:noProof/>
        </w:rPr>
      </w:pPr>
      <w:r w:rsidRPr="001A685B">
        <w:rPr>
          <w:noProof/>
        </w:rPr>
        <w:br/>
      </w:r>
      <w:r w:rsidR="00117E08" w:rsidRPr="0019378A">
        <w:rPr>
          <w:noProof/>
        </w:rPr>
        <w:t>L</w:t>
      </w:r>
      <w:r w:rsidRPr="0019378A">
        <w:rPr>
          <w:noProof/>
        </w:rPr>
        <w:t>etn</w:t>
      </w:r>
      <w:r w:rsidR="00117E08" w:rsidRPr="0019378A">
        <w:rPr>
          <w:noProof/>
        </w:rPr>
        <w:t>o</w:t>
      </w:r>
      <w:r w:rsidRPr="0019378A">
        <w:rPr>
          <w:noProof/>
        </w:rPr>
        <w:t xml:space="preserve"> poročil</w:t>
      </w:r>
      <w:r w:rsidR="00117E08" w:rsidRPr="0019378A">
        <w:rPr>
          <w:noProof/>
        </w:rPr>
        <w:t>o</w:t>
      </w:r>
      <w:r w:rsidRPr="0019378A">
        <w:rPr>
          <w:noProof/>
        </w:rPr>
        <w:t xml:space="preserve"> o smotrnosti Instrumenta za finančno podporo za upravljanje meja in vizumsko politiko iz člena 29 Uredbe (EU) 2021/1148</w:t>
      </w:r>
    </w:p>
    <w:p w14:paraId="0C8CF487" w14:textId="77777777" w:rsidR="00AD502C" w:rsidRPr="0019378A" w:rsidRDefault="00AD502C" w:rsidP="00AD502C">
      <w:pPr>
        <w:pStyle w:val="ManualHeading1"/>
        <w:rPr>
          <w:noProof/>
        </w:rPr>
      </w:pPr>
      <w:r w:rsidRPr="0019378A">
        <w:rPr>
          <w:noProof/>
        </w:rPr>
        <w:t>OPREDELITEV</w:t>
      </w:r>
    </w:p>
    <w:tbl>
      <w:tblPr>
        <w:tblStyle w:val="Tabelasvetlamrea"/>
        <w:tblW w:w="0" w:type="auto"/>
        <w:tblLook w:val="04A0" w:firstRow="1" w:lastRow="0" w:firstColumn="1" w:lastColumn="0" w:noHBand="0" w:noVBand="1"/>
      </w:tblPr>
      <w:tblGrid>
        <w:gridCol w:w="4518"/>
        <w:gridCol w:w="4545"/>
      </w:tblGrid>
      <w:tr w:rsidR="00AD502C" w:rsidRPr="0019378A" w14:paraId="05EC3DCB" w14:textId="77777777" w:rsidTr="00AD502C">
        <w:trPr>
          <w:trHeight w:val="285"/>
        </w:trPr>
        <w:tc>
          <w:tcPr>
            <w:tcW w:w="4637" w:type="dxa"/>
          </w:tcPr>
          <w:p w14:paraId="168D9DD6" w14:textId="77777777" w:rsidR="00AD502C" w:rsidRPr="0019378A" w:rsidRDefault="00AD502C" w:rsidP="00AD502C">
            <w:pPr>
              <w:pStyle w:val="Personnequisigne"/>
              <w:rPr>
                <w:noProof/>
              </w:rPr>
            </w:pPr>
            <w:r w:rsidRPr="0019378A">
              <w:rPr>
                <w:noProof/>
              </w:rPr>
              <w:t>CCI</w:t>
            </w:r>
          </w:p>
        </w:tc>
        <w:tc>
          <w:tcPr>
            <w:tcW w:w="4638" w:type="dxa"/>
          </w:tcPr>
          <w:p w14:paraId="51ECD676" w14:textId="77777777" w:rsidR="00AD502C" w:rsidRPr="0019378A" w:rsidRDefault="00342129" w:rsidP="00AD502C">
            <w:pPr>
              <w:pStyle w:val="Personnequisigne"/>
              <w:rPr>
                <w:noProof/>
              </w:rPr>
            </w:pPr>
            <w:r w:rsidRPr="0019378A">
              <w:rPr>
                <w:noProof/>
              </w:rPr>
              <w:t>2021SI65BVPR001</w:t>
            </w:r>
          </w:p>
        </w:tc>
      </w:tr>
      <w:tr w:rsidR="00AD502C" w:rsidRPr="0019378A" w14:paraId="45BDBD02" w14:textId="77777777" w:rsidTr="00AD502C">
        <w:trPr>
          <w:trHeight w:val="277"/>
        </w:trPr>
        <w:tc>
          <w:tcPr>
            <w:tcW w:w="4637" w:type="dxa"/>
          </w:tcPr>
          <w:p w14:paraId="530B4ED1" w14:textId="77777777" w:rsidR="00AD502C" w:rsidRPr="0019378A" w:rsidRDefault="00AD502C" w:rsidP="00AD502C">
            <w:pPr>
              <w:pStyle w:val="Personnequisigne"/>
              <w:rPr>
                <w:noProof/>
              </w:rPr>
            </w:pPr>
            <w:r w:rsidRPr="0019378A">
              <w:rPr>
                <w:noProof/>
              </w:rPr>
              <w:t>Naslov</w:t>
            </w:r>
          </w:p>
        </w:tc>
        <w:tc>
          <w:tcPr>
            <w:tcW w:w="4638" w:type="dxa"/>
          </w:tcPr>
          <w:p w14:paraId="73DB78FF" w14:textId="77777777" w:rsidR="00AD502C" w:rsidRPr="0019378A" w:rsidRDefault="00342129" w:rsidP="00AD502C">
            <w:pPr>
              <w:pStyle w:val="Personnequisigne"/>
              <w:rPr>
                <w:noProof/>
              </w:rPr>
            </w:pPr>
            <w:r w:rsidRPr="0019378A">
              <w:rPr>
                <w:noProof/>
              </w:rPr>
              <w:t>Programme Slovenia-BMVI</w:t>
            </w:r>
          </w:p>
        </w:tc>
      </w:tr>
      <w:tr w:rsidR="00AD502C" w:rsidRPr="0019378A" w14:paraId="6903176E" w14:textId="77777777" w:rsidTr="00AD502C">
        <w:trPr>
          <w:trHeight w:val="258"/>
        </w:trPr>
        <w:tc>
          <w:tcPr>
            <w:tcW w:w="4637" w:type="dxa"/>
          </w:tcPr>
          <w:p w14:paraId="1B08BEA2" w14:textId="77777777" w:rsidR="00AD502C" w:rsidRPr="0019378A" w:rsidRDefault="00AD502C" w:rsidP="00AD502C">
            <w:pPr>
              <w:pStyle w:val="Personnequisigne"/>
              <w:rPr>
                <w:noProof/>
              </w:rPr>
            </w:pPr>
            <w:r w:rsidRPr="0019378A">
              <w:rPr>
                <w:noProof/>
              </w:rPr>
              <w:t>Različica</w:t>
            </w:r>
          </w:p>
        </w:tc>
        <w:tc>
          <w:tcPr>
            <w:tcW w:w="4638" w:type="dxa"/>
          </w:tcPr>
          <w:p w14:paraId="39861C93" w14:textId="0DF29816" w:rsidR="00AD502C" w:rsidRPr="0019378A" w:rsidRDefault="00CD048E" w:rsidP="00AD502C">
            <w:pPr>
              <w:pStyle w:val="Personnequisigne"/>
              <w:rPr>
                <w:noProof/>
              </w:rPr>
            </w:pPr>
            <w:r>
              <w:rPr>
                <w:noProof/>
              </w:rPr>
              <w:t>1</w:t>
            </w:r>
            <w:r w:rsidR="00342129" w:rsidRPr="0019378A">
              <w:rPr>
                <w:noProof/>
              </w:rPr>
              <w:t>.0</w:t>
            </w:r>
          </w:p>
        </w:tc>
      </w:tr>
      <w:tr w:rsidR="00AD502C" w:rsidRPr="0019378A" w14:paraId="58398963" w14:textId="77777777" w:rsidTr="00AD502C">
        <w:trPr>
          <w:trHeight w:val="269"/>
        </w:trPr>
        <w:tc>
          <w:tcPr>
            <w:tcW w:w="4637" w:type="dxa"/>
          </w:tcPr>
          <w:p w14:paraId="36A6C39C" w14:textId="77777777" w:rsidR="00AD502C" w:rsidRPr="0019378A" w:rsidRDefault="00AD502C" w:rsidP="00AD502C">
            <w:pPr>
              <w:pStyle w:val="Personnequisigne"/>
              <w:rPr>
                <w:noProof/>
              </w:rPr>
            </w:pPr>
            <w:r w:rsidRPr="0019378A">
              <w:rPr>
                <w:noProof/>
              </w:rPr>
              <w:t>Obračunsko leto</w:t>
            </w:r>
          </w:p>
        </w:tc>
        <w:tc>
          <w:tcPr>
            <w:tcW w:w="4638" w:type="dxa"/>
          </w:tcPr>
          <w:p w14:paraId="36AAF9AF" w14:textId="5F96D95D" w:rsidR="00AD502C" w:rsidRPr="0019378A" w:rsidRDefault="00CD048E" w:rsidP="00AD502C">
            <w:pPr>
              <w:pStyle w:val="Personnequisigne"/>
              <w:rPr>
                <w:noProof/>
              </w:rPr>
            </w:pPr>
            <w:r>
              <w:rPr>
                <w:noProof/>
              </w:rPr>
              <w:t>1.7.2023-30.6.2024</w:t>
            </w:r>
          </w:p>
        </w:tc>
      </w:tr>
      <w:tr w:rsidR="00AD502C" w:rsidRPr="0019378A" w14:paraId="141DC84F" w14:textId="77777777" w:rsidTr="00AD502C">
        <w:trPr>
          <w:trHeight w:val="116"/>
        </w:trPr>
        <w:tc>
          <w:tcPr>
            <w:tcW w:w="4637" w:type="dxa"/>
          </w:tcPr>
          <w:p w14:paraId="32587A80" w14:textId="77777777" w:rsidR="00AD502C" w:rsidRPr="0019378A" w:rsidRDefault="00AD502C" w:rsidP="00AD502C">
            <w:pPr>
              <w:pStyle w:val="Personnequisigne"/>
              <w:rPr>
                <w:noProof/>
              </w:rPr>
            </w:pPr>
            <w:r w:rsidRPr="0019378A">
              <w:rPr>
                <w:noProof/>
              </w:rPr>
              <w:t>Datum potrditve poročila s strani odbora za spremljanje</w:t>
            </w:r>
          </w:p>
        </w:tc>
        <w:tc>
          <w:tcPr>
            <w:tcW w:w="4638" w:type="dxa"/>
          </w:tcPr>
          <w:p w14:paraId="07604AAF" w14:textId="1426D838" w:rsidR="00AD502C" w:rsidRPr="0019378A" w:rsidRDefault="00602316" w:rsidP="00AD502C">
            <w:pPr>
              <w:pStyle w:val="Personnequisigne"/>
              <w:rPr>
                <w:noProof/>
              </w:rPr>
            </w:pPr>
            <w:r>
              <w:rPr>
                <w:noProof/>
              </w:rPr>
              <w:t>23. 1. 2025</w:t>
            </w:r>
            <w:bookmarkStart w:id="0" w:name="_GoBack"/>
            <w:bookmarkEnd w:id="0"/>
          </w:p>
        </w:tc>
      </w:tr>
    </w:tbl>
    <w:p w14:paraId="559A4308" w14:textId="77777777" w:rsidR="00AD502C" w:rsidRPr="0019378A" w:rsidRDefault="001C1609" w:rsidP="001C1609">
      <w:pPr>
        <w:pStyle w:val="ManualHeading1"/>
        <w:rPr>
          <w:noProof/>
        </w:rPr>
      </w:pPr>
      <w:r w:rsidRPr="0019378A">
        <w:t>1.</w:t>
      </w:r>
      <w:r w:rsidRPr="0019378A">
        <w:tab/>
      </w:r>
      <w:r w:rsidR="00AD502C" w:rsidRPr="0019378A">
        <w:rPr>
          <w:noProof/>
        </w:rPr>
        <w:t>Smotrnost</w:t>
      </w:r>
    </w:p>
    <w:p w14:paraId="1A0A7CEC" w14:textId="77777777" w:rsidR="00AD502C" w:rsidRPr="0019378A" w:rsidRDefault="001C1609" w:rsidP="001C1609">
      <w:pPr>
        <w:pStyle w:val="ManualHeading2"/>
        <w:rPr>
          <w:noProof/>
        </w:rPr>
      </w:pPr>
      <w:r w:rsidRPr="0019378A">
        <w:t>1.1.</w:t>
      </w:r>
      <w:r w:rsidRPr="0019378A">
        <w:tab/>
      </w:r>
      <w:r w:rsidR="00AD502C" w:rsidRPr="0019378A">
        <w:rPr>
          <w:noProof/>
        </w:rPr>
        <w:t>Napredek pri izvajanju – člen 29(2), točka (a), Uredbe (EU) 2021/1148</w:t>
      </w:r>
    </w:p>
    <w:p w14:paraId="1F673C9B" w14:textId="77777777" w:rsidR="00AD502C" w:rsidRPr="0019378A" w:rsidRDefault="00AD502C" w:rsidP="00AD502C">
      <w:pPr>
        <w:rPr>
          <w:noProof/>
          <w:sz w:val="22"/>
        </w:rPr>
      </w:pPr>
      <w:r w:rsidRPr="0019378A">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14:paraId="568CDC1A" w14:textId="77777777" w:rsidR="00AD502C" w:rsidRPr="0019378A" w:rsidRDefault="00AD502C" w:rsidP="00AD502C">
      <w:pPr>
        <w:rPr>
          <w:noProof/>
          <w:sz w:val="22"/>
        </w:rPr>
      </w:pPr>
      <w:r w:rsidRPr="0019378A">
        <w:rPr>
          <w:noProof/>
          <w:sz w:val="22"/>
        </w:rPr>
        <w:t xml:space="preserve">V okviru vsakega specifičnega cilja bi morale biti informacije o napredku po možnosti strukturirane po izvedbenih ukrepih, okvirnih ukrepih in želenih rezultatih, opredeljenih v programu. </w:t>
      </w:r>
    </w:p>
    <w:p w14:paraId="74E4AA75" w14:textId="77777777" w:rsidR="00AD502C" w:rsidRPr="0019378A" w:rsidRDefault="005A3D19" w:rsidP="00AD502C">
      <w:pPr>
        <w:rPr>
          <w:noProof/>
          <w:sz w:val="22"/>
        </w:rPr>
      </w:pPr>
      <w:r w:rsidRPr="0019378A">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Pr>
      <w:tblGrid>
        <w:gridCol w:w="9063"/>
      </w:tblGrid>
      <w:tr w:rsidR="00AD502C" w:rsidRPr="0019378A" w14:paraId="00A1A4CC" w14:textId="77777777" w:rsidTr="00E45665">
        <w:tc>
          <w:tcPr>
            <w:tcW w:w="9289" w:type="dxa"/>
          </w:tcPr>
          <w:p w14:paraId="692BFEFF" w14:textId="77777777" w:rsidR="00662274" w:rsidRPr="00EA7099" w:rsidRDefault="00662274" w:rsidP="00662274">
            <w:pPr>
              <w:pStyle w:val="Personnequisigne"/>
              <w:jc w:val="both"/>
              <w:rPr>
                <w:i w:val="0"/>
                <w:sz w:val="22"/>
                <w:shd w:val="clear" w:color="auto" w:fill="FFFFFF"/>
              </w:rPr>
            </w:pPr>
            <w:r w:rsidRPr="00EA7099">
              <w:rPr>
                <w:i w:val="0"/>
                <w:sz w:val="22"/>
              </w:rPr>
              <w:t>Program Instrumenta za finančno podporo za upravljanje meja in vizumsko politiko (program IUMV) je bil potrjen 29. 11. 2022. Slovenija je v obračunskem obdobju poročanja, tj. od 1. 7. 2023 do 30. 6. 2024, sicer pričela z izvajanjem aktivnosti v zvezi s programom IUMV, a je imel vstop Republike Hrvaške v Schengensko območje (1. 1. 2023) velik vpliv na to, saj je bil o</w:t>
            </w:r>
            <w:r w:rsidRPr="00EA7099">
              <w:rPr>
                <w:i w:val="0"/>
                <w:sz w:val="22"/>
                <w:shd w:val="clear" w:color="auto" w:fill="FFFFFF"/>
              </w:rPr>
              <w:t xml:space="preserve">dpravljen nadzor na notranjih kopenskih, pomorskih in zračnih mejah. Posledično Slovenija nadaljuje z izvajanjem ukrepov na tistih mejnih prehodih, ki sodijo v zunanjo mejo, ukrepov za zagotavljanje </w:t>
            </w:r>
            <w:proofErr w:type="spellStart"/>
            <w:r w:rsidRPr="00EA7099">
              <w:rPr>
                <w:i w:val="0"/>
                <w:sz w:val="22"/>
                <w:shd w:val="clear" w:color="auto" w:fill="FFFFFF"/>
              </w:rPr>
              <w:t>interoperabilnosti</w:t>
            </w:r>
            <w:proofErr w:type="spellEnd"/>
            <w:r w:rsidRPr="00EA7099">
              <w:rPr>
                <w:i w:val="0"/>
                <w:sz w:val="22"/>
                <w:shd w:val="clear" w:color="auto" w:fill="FFFFFF"/>
              </w:rPr>
              <w:t xml:space="preserve"> in posodobitev IT sistemov</w:t>
            </w:r>
            <w:r>
              <w:rPr>
                <w:i w:val="0"/>
                <w:sz w:val="22"/>
                <w:shd w:val="clear" w:color="auto" w:fill="FFFFFF"/>
              </w:rPr>
              <w:t xml:space="preserve"> ter ukrepov na področju skupne vizumske politike</w:t>
            </w:r>
            <w:r w:rsidRPr="00EA7099">
              <w:rPr>
                <w:i w:val="0"/>
                <w:sz w:val="22"/>
                <w:shd w:val="clear" w:color="auto" w:fill="FFFFFF"/>
              </w:rPr>
              <w:t>.</w:t>
            </w:r>
            <w:r w:rsidRPr="00EA7099">
              <w:rPr>
                <w:i w:val="0"/>
                <w:sz w:val="22"/>
              </w:rPr>
              <w:t xml:space="preserve"> Mejni policisti delujejo tudi v mešanih slovensko-hrvaških patruljah. Poteka izmenjava informacij in sodelovanje pri operacijah odkrivanja in preprečevanja ilegalnih migracij in čezmejne kriminalitete.</w:t>
            </w:r>
          </w:p>
          <w:p w14:paraId="57E266E2" w14:textId="77777777" w:rsidR="00662274" w:rsidRPr="00EA7099" w:rsidRDefault="00662274" w:rsidP="00662274">
            <w:pPr>
              <w:pStyle w:val="Personnequisigne"/>
              <w:jc w:val="both"/>
              <w:rPr>
                <w:i w:val="0"/>
                <w:sz w:val="22"/>
                <w:shd w:val="clear" w:color="auto" w:fill="FFFFFF"/>
              </w:rPr>
            </w:pPr>
          </w:p>
          <w:p w14:paraId="2391DBAC" w14:textId="77777777" w:rsidR="00662274" w:rsidRPr="00EA7099" w:rsidRDefault="00662274" w:rsidP="00662274">
            <w:pPr>
              <w:pStyle w:val="Personnequisigne"/>
              <w:jc w:val="both"/>
              <w:rPr>
                <w:i w:val="0"/>
                <w:sz w:val="22"/>
              </w:rPr>
            </w:pPr>
            <w:r w:rsidRPr="00EA7099">
              <w:rPr>
                <w:i w:val="0"/>
                <w:sz w:val="22"/>
                <w:shd w:val="clear" w:color="auto" w:fill="FFFFFF"/>
              </w:rPr>
              <w:t xml:space="preserve">Z vstopom Republike Hrvaške </w:t>
            </w:r>
            <w:r w:rsidRPr="00EA7099">
              <w:rPr>
                <w:i w:val="0"/>
                <w:sz w:val="22"/>
              </w:rPr>
              <w:t xml:space="preserve">v Schengensko območje </w:t>
            </w:r>
            <w:r w:rsidRPr="00EA7099">
              <w:rPr>
                <w:i w:val="0"/>
                <w:sz w:val="22"/>
                <w:shd w:val="clear" w:color="auto" w:fill="FFFFFF"/>
              </w:rPr>
              <w:t>je postala skoraj polovica načrtovanih aktivnosti Programa IUMV, ki so bile vezane na nadzor na začasni zunanji meji, neupravičena. Slovenija ima sedaj na</w:t>
            </w:r>
            <w:r w:rsidRPr="00EA7099">
              <w:rPr>
                <w:i w:val="0"/>
                <w:sz w:val="22"/>
              </w:rPr>
              <w:t xml:space="preserve"> zunanji schengenski meji le 5 mejnih prehodov: 3 na zračni in 2 na morski meji. Novembra 2024 je bil potrjen program (prenos 5</w:t>
            </w:r>
            <w:r>
              <w:rPr>
                <w:i w:val="0"/>
                <w:sz w:val="22"/>
              </w:rPr>
              <w:t xml:space="preserve"> </w:t>
            </w:r>
            <w:r w:rsidRPr="00EA7099">
              <w:rPr>
                <w:i w:val="0"/>
                <w:sz w:val="22"/>
              </w:rPr>
              <w:t>% sredstev na program SNV). V neformalnem usklajevanju z EK je nova sprememba programa IUMV, ki bo odražala nove potrebe, prav tako pa bodo zajete vsebine</w:t>
            </w:r>
            <w:r>
              <w:rPr>
                <w:i w:val="0"/>
                <w:sz w:val="22"/>
              </w:rPr>
              <w:t>,</w:t>
            </w:r>
            <w:r w:rsidRPr="00EA7099">
              <w:rPr>
                <w:i w:val="0"/>
                <w:sz w:val="22"/>
              </w:rPr>
              <w:t xml:space="preserve"> vezane na Pakt o migracijah. Menimo, da bo po potrditvi te spremembe programa IUMV doseganje zastavljenih ciljev bolj realno. </w:t>
            </w:r>
          </w:p>
          <w:p w14:paraId="2DA51AB8" w14:textId="77777777" w:rsidR="00662274" w:rsidRPr="00EA7099" w:rsidRDefault="00662274" w:rsidP="00662274">
            <w:pPr>
              <w:pStyle w:val="Personnequisigne"/>
              <w:jc w:val="both"/>
              <w:rPr>
                <w:i w:val="0"/>
                <w:sz w:val="22"/>
              </w:rPr>
            </w:pPr>
          </w:p>
          <w:p w14:paraId="31FED864" w14:textId="77777777" w:rsidR="00662274" w:rsidRPr="00EA7099" w:rsidRDefault="00662274" w:rsidP="00662274">
            <w:pPr>
              <w:pStyle w:val="Personnequisigne"/>
              <w:jc w:val="both"/>
              <w:rPr>
                <w:i w:val="0"/>
                <w:sz w:val="22"/>
              </w:rPr>
            </w:pPr>
            <w:r w:rsidRPr="00EA7099">
              <w:rPr>
                <w:i w:val="0"/>
                <w:sz w:val="22"/>
              </w:rPr>
              <w:t xml:space="preserve">OU je vzpostavil informacijski sistem MIGRA III, preko katerega poteka izmenjava informacij med OU in upravičenci, </w:t>
            </w:r>
            <w:proofErr w:type="spellStart"/>
            <w:r w:rsidRPr="00EA7099">
              <w:rPr>
                <w:i w:val="0"/>
                <w:sz w:val="22"/>
              </w:rPr>
              <w:t>t.j</w:t>
            </w:r>
            <w:proofErr w:type="spellEnd"/>
            <w:r w:rsidRPr="00EA7099">
              <w:rPr>
                <w:i w:val="0"/>
                <w:sz w:val="22"/>
              </w:rPr>
              <w:t>. oddaja prijav operacij, poročanje o izvajanju operacij (zahtevki za povračilo). IT sistem se redno nadgrajuje, posodablja glede na potrebe uporabnikov ter se odpravlja morebitne napake.</w:t>
            </w:r>
          </w:p>
          <w:p w14:paraId="18C03C1D" w14:textId="77777777" w:rsidR="00662274" w:rsidRPr="00EA7099" w:rsidRDefault="00662274" w:rsidP="00662274">
            <w:pPr>
              <w:rPr>
                <w:sz w:val="22"/>
              </w:rPr>
            </w:pPr>
            <w:r w:rsidRPr="00EA7099">
              <w:rPr>
                <w:sz w:val="22"/>
              </w:rPr>
              <w:t>V obdobju je OU pripravil Akcijski načrt za program IUMV (Akcijski načrt IUMV), ki predstavlja razdelitev/dodelitev vseh finančnih sredstev upravičencem. Način dodelitve je v vseh primerih neposredna dodelitev.</w:t>
            </w:r>
            <w:r w:rsidRPr="00EA7099">
              <w:rPr>
                <w:noProof/>
                <w:sz w:val="22"/>
              </w:rPr>
              <w:t xml:space="preserve"> V trenutni akcijski načrt IUMV je vključenih le 46 operacij (v okvirnem znesku 50 MIO EUR) - gre le za operacije</w:t>
            </w:r>
            <w:r>
              <w:rPr>
                <w:noProof/>
                <w:sz w:val="22"/>
              </w:rPr>
              <w:t>,</w:t>
            </w:r>
            <w:r w:rsidRPr="00EA7099">
              <w:rPr>
                <w:noProof/>
                <w:sz w:val="22"/>
              </w:rPr>
              <w:t xml:space="preserve"> upravičene za izvajanje po vstopu Republike Hrvaške v Schengensko območje. V obdobju poročanja je bilo v izvajanju 30 operacij. </w:t>
            </w:r>
          </w:p>
          <w:p w14:paraId="21CED876" w14:textId="77777777" w:rsidR="00662274" w:rsidRPr="00EA7099" w:rsidRDefault="00662274" w:rsidP="00662274">
            <w:pPr>
              <w:rPr>
                <w:sz w:val="22"/>
              </w:rPr>
            </w:pPr>
            <w:r w:rsidRPr="00EA7099">
              <w:rPr>
                <w:sz w:val="22"/>
              </w:rPr>
              <w:lastRenderedPageBreak/>
              <w:t xml:space="preserve">V okviru </w:t>
            </w:r>
            <w:r w:rsidRPr="00EA7099">
              <w:rPr>
                <w:sz w:val="22"/>
                <w:u w:val="single"/>
              </w:rPr>
              <w:t>Specifičnega cilja 1</w:t>
            </w:r>
            <w:r w:rsidRPr="00EA7099">
              <w:rPr>
                <w:sz w:val="22"/>
              </w:rPr>
              <w:t xml:space="preserve"> so ukrepi Slovenije osredotočeni na preprečevanje nedovoljenih prehodov meja, nezakonitega priseljevanja in čezmejnih kaznivih dejanj ter krepitev migracijskih tokov na način, da se olajša pretok potnikov prek MP in varuje prosto gibanje v schengenskem območju. </w:t>
            </w:r>
          </w:p>
          <w:p w14:paraId="1752FBFD" w14:textId="77777777" w:rsidR="00662274" w:rsidRPr="00EA7099" w:rsidRDefault="00662274" w:rsidP="00662274">
            <w:pPr>
              <w:rPr>
                <w:sz w:val="22"/>
              </w:rPr>
            </w:pPr>
            <w:r w:rsidRPr="00EA7099">
              <w:rPr>
                <w:sz w:val="22"/>
              </w:rPr>
              <w:t xml:space="preserve">Ključni resor na tem področju je Ministrstvo za notranje zadeve, Policija. </w:t>
            </w:r>
          </w:p>
          <w:p w14:paraId="6599D992" w14:textId="77777777" w:rsidR="00662274" w:rsidRPr="00EA7099" w:rsidRDefault="00662274" w:rsidP="00662274">
            <w:pPr>
              <w:rPr>
                <w:sz w:val="22"/>
              </w:rPr>
            </w:pPr>
            <w:r w:rsidRPr="00EA7099">
              <w:rPr>
                <w:sz w:val="22"/>
              </w:rPr>
              <w:t>Za dosego zastavljenih rezultatov so se izvajale naslednje aktivnosti (po izvedbenih ukrepih).</w:t>
            </w:r>
          </w:p>
          <w:p w14:paraId="5A3CACE0" w14:textId="77777777" w:rsidR="00662274" w:rsidRPr="00EA7099" w:rsidRDefault="00662274" w:rsidP="00662274">
            <w:pPr>
              <w:rPr>
                <w:sz w:val="22"/>
              </w:rPr>
            </w:pPr>
            <w:r w:rsidRPr="00EA7099">
              <w:rPr>
                <w:sz w:val="22"/>
                <w:u w:val="single"/>
              </w:rPr>
              <w:t>Izvedbeni ukrep 1a(i):</w:t>
            </w:r>
          </w:p>
          <w:p w14:paraId="64C0EA5C" w14:textId="77777777" w:rsidR="00662274" w:rsidRPr="00EA7099" w:rsidRDefault="00662274" w:rsidP="00662274">
            <w:pPr>
              <w:rPr>
                <w:sz w:val="22"/>
              </w:rPr>
            </w:pPr>
            <w:r w:rsidRPr="00EA7099">
              <w:rPr>
                <w:b/>
                <w:sz w:val="22"/>
              </w:rPr>
              <w:t>Mednarodni prostor za zavrnjene državljane tretjih držav (DTD)</w:t>
            </w:r>
            <w:r w:rsidRPr="00EA7099">
              <w:rPr>
                <w:sz w:val="22"/>
              </w:rPr>
              <w:t xml:space="preserve"> je pod okriljem Postaje letališke policije Brnik, ki je zadolžena za izvajanje mejne kontrole na zunanjih schengenskih mejah, kamor spada letališče Jožeta Pučnika, Ljubljana. Zavrnjene potnike - DTD, ki ne izpolnjujejo pogojev za vstop, se namesti v posebni prostor, kjer se jim nudi nadzor, prenočišče in prehrano. </w:t>
            </w:r>
          </w:p>
          <w:p w14:paraId="57EBB538" w14:textId="77777777" w:rsidR="00662274" w:rsidRPr="00EA7099" w:rsidRDefault="00662274" w:rsidP="00662274">
            <w:pPr>
              <w:rPr>
                <w:sz w:val="22"/>
              </w:rPr>
            </w:pPr>
            <w:r w:rsidRPr="00EA7099">
              <w:rPr>
                <w:b/>
                <w:sz w:val="22"/>
              </w:rPr>
              <w:t xml:space="preserve">Uradniki za zvezo za priseljevanje </w:t>
            </w:r>
            <w:r w:rsidRPr="00EA7099">
              <w:rPr>
                <w:sz w:val="22"/>
              </w:rPr>
              <w:t>opravljajo naloge s področja dela policije: področje migracij, boj proti ilegalnim migracijam in boj proti čezmejni kriminaliteti. V obdobju poročanja je bil napoten en uradnik za zvezo.</w:t>
            </w:r>
          </w:p>
          <w:p w14:paraId="08941178" w14:textId="77777777" w:rsidR="00662274" w:rsidRPr="00EA7099" w:rsidRDefault="00662274" w:rsidP="00662274">
            <w:pPr>
              <w:rPr>
                <w:sz w:val="22"/>
                <w:u w:val="single"/>
              </w:rPr>
            </w:pPr>
            <w:r w:rsidRPr="00EA7099">
              <w:rPr>
                <w:sz w:val="22"/>
                <w:u w:val="single"/>
              </w:rPr>
              <w:t>Izvedbeni ukrep 1a(iii):</w:t>
            </w:r>
          </w:p>
          <w:p w14:paraId="336EE031" w14:textId="77777777" w:rsidR="00662274" w:rsidRPr="00EA7099" w:rsidRDefault="00662274" w:rsidP="00662274">
            <w:pPr>
              <w:rPr>
                <w:sz w:val="22"/>
              </w:rPr>
            </w:pPr>
            <w:r w:rsidRPr="00EA7099">
              <w:rPr>
                <w:b/>
                <w:sz w:val="22"/>
              </w:rPr>
              <w:t>Strateška podpora analizam tveganja</w:t>
            </w:r>
            <w:r w:rsidRPr="00EA7099">
              <w:rPr>
                <w:sz w:val="22"/>
              </w:rPr>
              <w:t xml:space="preserve">; Schengenska evalvacija in </w:t>
            </w:r>
            <w:proofErr w:type="spellStart"/>
            <w:r w:rsidRPr="00EA7099">
              <w:rPr>
                <w:sz w:val="22"/>
              </w:rPr>
              <w:t>Frontexova</w:t>
            </w:r>
            <w:proofErr w:type="spellEnd"/>
            <w:r w:rsidRPr="00EA7099">
              <w:rPr>
                <w:sz w:val="22"/>
              </w:rPr>
              <w:t xml:space="preserve"> ocena »</w:t>
            </w:r>
            <w:proofErr w:type="spellStart"/>
            <w:r w:rsidRPr="00EA7099">
              <w:rPr>
                <w:sz w:val="22"/>
              </w:rPr>
              <w:t>Vulnerability</w:t>
            </w:r>
            <w:proofErr w:type="spellEnd"/>
            <w:r w:rsidRPr="00EA7099">
              <w:rPr>
                <w:sz w:val="22"/>
              </w:rPr>
              <w:t xml:space="preserve"> </w:t>
            </w:r>
            <w:proofErr w:type="spellStart"/>
            <w:r w:rsidRPr="00EA7099">
              <w:rPr>
                <w:sz w:val="22"/>
              </w:rPr>
              <w:t>Assessment</w:t>
            </w:r>
            <w:proofErr w:type="spellEnd"/>
            <w:r w:rsidRPr="00EA7099">
              <w:rPr>
                <w:sz w:val="22"/>
              </w:rPr>
              <w:t>« kažeta potrebo po izboljšanju sistema dela in usposobljenosti na področju priprav analiz tveganja. Z nakupom posebnih specialnih programskih orodij je olajšano delo in izboljšana kakovost analiz tveganj. V tem obdobju je omogočen dostop do komercialnih baz pod</w:t>
            </w:r>
            <w:r>
              <w:rPr>
                <w:sz w:val="22"/>
              </w:rPr>
              <w:t>atkov za potrebe mejne kontrole. Pričel se je postopek za nabavo strojne opreme.</w:t>
            </w:r>
          </w:p>
          <w:p w14:paraId="3F9B8919" w14:textId="77777777" w:rsidR="00662274" w:rsidRPr="00EA7099" w:rsidRDefault="00662274" w:rsidP="00662274">
            <w:pPr>
              <w:rPr>
                <w:sz w:val="22"/>
                <w:u w:val="single"/>
              </w:rPr>
            </w:pPr>
            <w:r w:rsidRPr="00EA7099">
              <w:rPr>
                <w:sz w:val="22"/>
                <w:u w:val="single"/>
              </w:rPr>
              <w:t>Izvedbeni ukrep 1d:</w:t>
            </w:r>
          </w:p>
          <w:p w14:paraId="4CE760FE" w14:textId="77777777" w:rsidR="00662274" w:rsidRPr="00EA7099" w:rsidRDefault="00662274" w:rsidP="00662274">
            <w:pPr>
              <w:rPr>
                <w:sz w:val="22"/>
              </w:rPr>
            </w:pPr>
            <w:r w:rsidRPr="00EA7099">
              <w:rPr>
                <w:b/>
                <w:sz w:val="22"/>
              </w:rPr>
              <w:t>Sodelovanje ekspertov na schengenskih evalvacijah</w:t>
            </w:r>
            <w:r w:rsidRPr="00EA7099">
              <w:rPr>
                <w:sz w:val="22"/>
              </w:rPr>
              <w:t xml:space="preserve">; Z operacijo se </w:t>
            </w:r>
            <w:r w:rsidRPr="00F37DD7">
              <w:rPr>
                <w:sz w:val="22"/>
              </w:rPr>
              <w:t>pokrijejo preostali stroški</w:t>
            </w:r>
            <w:r w:rsidRPr="00EA7099">
              <w:rPr>
                <w:sz w:val="22"/>
              </w:rPr>
              <w:t xml:space="preserve"> sodelovanja na schengenskih evalvacijah. Letno je pričakovati sodelovanje desetih oseb iz Slovenije na različnih področjih, ki so predmet schengenske evalvacije. V obdobju poročanja je na evalvacijah sodelovalo 6 oseb.</w:t>
            </w:r>
          </w:p>
          <w:p w14:paraId="6380D31A" w14:textId="77777777" w:rsidR="00662274" w:rsidRPr="00EA7099" w:rsidRDefault="00662274" w:rsidP="00662274">
            <w:pPr>
              <w:rPr>
                <w:sz w:val="22"/>
              </w:rPr>
            </w:pPr>
            <w:r w:rsidRPr="00EA7099">
              <w:rPr>
                <w:b/>
                <w:sz w:val="22"/>
              </w:rPr>
              <w:t>Vzpostavitev NCC</w:t>
            </w:r>
            <w:r w:rsidRPr="00EA7099">
              <w:rPr>
                <w:sz w:val="22"/>
              </w:rPr>
              <w:t xml:space="preserve">; Načrtovane so investicije v pomorsko opremo in celovit sistem EUROSUR ter vzpostavitev nacionalnega koordinacijskega centra bodo pripomogle k izboljšanju delovnih pogojev za policiste, ki bodo opravljali naloge v centru, kakor tudi v skrajševanju delovnih procesov policistov pri posredovanju podatkov nadaljnjim pristojnim službam.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Se pa je v letu 2024 pričelo tudi s postopki za zagotovitev ustreznih prostorov, in sicer postopek javnega naročila za izbiro projektanta, ki bo pripravil načrt za prenovo prostorov. </w:t>
            </w:r>
          </w:p>
          <w:p w14:paraId="602F7CB0" w14:textId="77777777" w:rsidR="00662274" w:rsidRPr="00EA7099" w:rsidRDefault="00662274" w:rsidP="00662274">
            <w:pPr>
              <w:rPr>
                <w:sz w:val="22"/>
              </w:rPr>
            </w:pPr>
            <w:r w:rsidRPr="00EA7099">
              <w:rPr>
                <w:b/>
                <w:sz w:val="22"/>
              </w:rPr>
              <w:t xml:space="preserve">Prenova sistema EUROSUR </w:t>
            </w:r>
            <w:r w:rsidRPr="00EA7099">
              <w:rPr>
                <w:sz w:val="22"/>
              </w:rPr>
              <w:t xml:space="preserve">bo zahtevala zamenjavo praktično vse opreme, ker bo sistem namenjen podatkom višje stopnje tajnosti. Projekt obsega vzpostavitev sistema v slovenski policiji, ki bo povezan s centralnim delom, ki pa je še v fazi načrtovanja. Operacija je potrjena, aktivnosti se, skladno s </w:t>
            </w:r>
            <w:proofErr w:type="spellStart"/>
            <w:r w:rsidRPr="00EA7099">
              <w:rPr>
                <w:sz w:val="22"/>
              </w:rPr>
              <w:t>časovnico</w:t>
            </w:r>
            <w:proofErr w:type="spellEnd"/>
            <w:r w:rsidRPr="00EA7099">
              <w:rPr>
                <w:sz w:val="22"/>
              </w:rPr>
              <w:t>, v tem obdobju še niso izvajale.</w:t>
            </w:r>
          </w:p>
          <w:p w14:paraId="18CF4987" w14:textId="77777777" w:rsidR="00662274" w:rsidRPr="00EA7099" w:rsidRDefault="00662274" w:rsidP="00662274">
            <w:pPr>
              <w:rPr>
                <w:sz w:val="22"/>
              </w:rPr>
            </w:pPr>
            <w:r w:rsidRPr="00EA7099">
              <w:rPr>
                <w:b/>
                <w:sz w:val="22"/>
              </w:rPr>
              <w:t xml:space="preserve">Ročne in mobilne </w:t>
            </w:r>
            <w:proofErr w:type="spellStart"/>
            <w:r w:rsidRPr="00EA7099">
              <w:rPr>
                <w:b/>
                <w:sz w:val="22"/>
              </w:rPr>
              <w:t>termovizije</w:t>
            </w:r>
            <w:proofErr w:type="spellEnd"/>
            <w:r w:rsidRPr="00EA7099">
              <w:rPr>
                <w:sz w:val="22"/>
              </w:rPr>
              <w:t>; Gre za opremo za skupne operacije, skladno</w:t>
            </w:r>
            <w:r>
              <w:rPr>
                <w:sz w:val="22"/>
              </w:rPr>
              <w:t xml:space="preserve"> s </w:t>
            </w:r>
            <w:proofErr w:type="spellStart"/>
            <w:r>
              <w:rPr>
                <w:sz w:val="22"/>
              </w:rPr>
              <w:t>Frontex</w:t>
            </w:r>
            <w:proofErr w:type="spellEnd"/>
            <w:r w:rsidRPr="00EA7099">
              <w:rPr>
                <w:sz w:val="22"/>
              </w:rPr>
              <w:t xml:space="preserve"> standardi </w:t>
            </w:r>
            <w:r>
              <w:rPr>
                <w:sz w:val="22"/>
              </w:rPr>
              <w:t xml:space="preserve">in </w:t>
            </w:r>
            <w:r w:rsidRPr="00EA7099">
              <w:rPr>
                <w:sz w:val="22"/>
              </w:rPr>
              <w:t>nominirano</w:t>
            </w:r>
            <w:r>
              <w:rPr>
                <w:sz w:val="22"/>
              </w:rPr>
              <w:t xml:space="preserve"> v </w:t>
            </w:r>
            <w:proofErr w:type="spellStart"/>
            <w:r>
              <w:rPr>
                <w:sz w:val="22"/>
              </w:rPr>
              <w:t>Frontex</w:t>
            </w:r>
            <w:proofErr w:type="spellEnd"/>
            <w:r w:rsidRPr="00EA7099">
              <w:rPr>
                <w:sz w:val="22"/>
              </w:rPr>
              <w:t xml:space="preserve"> nabor tehnične opreme. Operacija je potrjena, aktivnosti se, skladno s </w:t>
            </w:r>
            <w:proofErr w:type="spellStart"/>
            <w:r w:rsidRPr="00EA7099">
              <w:rPr>
                <w:sz w:val="22"/>
              </w:rPr>
              <w:t>časovnico</w:t>
            </w:r>
            <w:proofErr w:type="spellEnd"/>
            <w:r w:rsidRPr="00EA7099">
              <w:rPr>
                <w:sz w:val="22"/>
              </w:rPr>
              <w:t>, v tem obdobju še niso izvajale.</w:t>
            </w:r>
          </w:p>
          <w:p w14:paraId="63446E7F" w14:textId="77777777" w:rsidR="00662274" w:rsidRDefault="00662274" w:rsidP="00662274">
            <w:pPr>
              <w:rPr>
                <w:sz w:val="22"/>
              </w:rPr>
            </w:pPr>
            <w:r w:rsidRPr="00EA7099">
              <w:rPr>
                <w:b/>
                <w:sz w:val="22"/>
              </w:rPr>
              <w:t>Zamenjava iztrošenih prevoznih sredstev za nadzor kopenske meje in mejno kontrolo</w:t>
            </w:r>
            <w:r>
              <w:rPr>
                <w:b/>
                <w:sz w:val="22"/>
              </w:rPr>
              <w:t xml:space="preserve"> ter</w:t>
            </w:r>
            <w:r w:rsidRPr="00EA7099">
              <w:rPr>
                <w:sz w:val="22"/>
              </w:rPr>
              <w:t xml:space="preserve"> nominacija v </w:t>
            </w:r>
            <w:proofErr w:type="spellStart"/>
            <w:r w:rsidRPr="00EA7099">
              <w:rPr>
                <w:sz w:val="22"/>
              </w:rPr>
              <w:t>Frontex</w:t>
            </w:r>
            <w:proofErr w:type="spellEnd"/>
            <w:r w:rsidRPr="00EA7099">
              <w:rPr>
                <w:sz w:val="22"/>
              </w:rPr>
              <w:t xml:space="preserve"> nabor tehnične opreme ter nakup patruljnih vozil za napotene mejne policiste v tretje države</w:t>
            </w:r>
            <w:r>
              <w:rPr>
                <w:sz w:val="22"/>
              </w:rPr>
              <w:t>.</w:t>
            </w:r>
            <w:r w:rsidRPr="00EA7099">
              <w:rPr>
                <w:sz w:val="22"/>
              </w:rPr>
              <w:t xml:space="preserve"> Operacija je potrjena, aktivnosti se</w:t>
            </w:r>
            <w:r>
              <w:rPr>
                <w:sz w:val="22"/>
              </w:rPr>
              <w:t xml:space="preserve"> je</w:t>
            </w:r>
            <w:r w:rsidRPr="00EA7099">
              <w:rPr>
                <w:sz w:val="22"/>
              </w:rPr>
              <w:t xml:space="preserve">, skladno s </w:t>
            </w:r>
            <w:proofErr w:type="spellStart"/>
            <w:r w:rsidRPr="00EA7099">
              <w:rPr>
                <w:sz w:val="22"/>
              </w:rPr>
              <w:t>časovnico</w:t>
            </w:r>
            <w:proofErr w:type="spellEnd"/>
            <w:r w:rsidRPr="00EA7099">
              <w:rPr>
                <w:sz w:val="22"/>
              </w:rPr>
              <w:t xml:space="preserve">, </w:t>
            </w:r>
            <w:r>
              <w:rPr>
                <w:sz w:val="22"/>
              </w:rPr>
              <w:t xml:space="preserve">pričelo izvajati. Izvedeno javno naročilo za nakup vozil je bilo neuspešno, zato se je pristopilo k ponovitvi, kjer pa je bil izbran izvajalec. </w:t>
            </w:r>
          </w:p>
          <w:p w14:paraId="534FEFA7" w14:textId="77777777" w:rsidR="00662274" w:rsidRPr="00EA7099" w:rsidRDefault="00662274" w:rsidP="00662274">
            <w:pPr>
              <w:rPr>
                <w:sz w:val="22"/>
              </w:rPr>
            </w:pPr>
            <w:r w:rsidRPr="00EA7099">
              <w:rPr>
                <w:b/>
                <w:sz w:val="22"/>
              </w:rPr>
              <w:t>Vzdrževanje pomorskega radarskega sistema</w:t>
            </w:r>
            <w:r w:rsidRPr="00EA7099">
              <w:rPr>
                <w:sz w:val="22"/>
              </w:rPr>
              <w:t xml:space="preserve">; Zagotavljanje operativne razpoložljivosti tehničnih sredstev policije za čimbolj nemoteno izvajanje nalog policije. Operacija je potrjena, aktivnosti se, skladno s </w:t>
            </w:r>
            <w:proofErr w:type="spellStart"/>
            <w:r w:rsidRPr="00EA7099">
              <w:rPr>
                <w:sz w:val="22"/>
              </w:rPr>
              <w:t>časovnico</w:t>
            </w:r>
            <w:proofErr w:type="spellEnd"/>
            <w:r w:rsidRPr="00EA7099">
              <w:rPr>
                <w:sz w:val="22"/>
              </w:rPr>
              <w:t>, v tem obdobju še niso izvajale.</w:t>
            </w:r>
          </w:p>
          <w:p w14:paraId="3CA9BAA0" w14:textId="77777777" w:rsidR="00662274" w:rsidRPr="00EA7099" w:rsidRDefault="00662274" w:rsidP="00662274">
            <w:pPr>
              <w:rPr>
                <w:sz w:val="22"/>
                <w:u w:val="single"/>
              </w:rPr>
            </w:pPr>
            <w:r w:rsidRPr="00EA7099">
              <w:rPr>
                <w:sz w:val="22"/>
                <w:u w:val="single"/>
              </w:rPr>
              <w:t>Izvedbeni ukrep 1e:</w:t>
            </w:r>
          </w:p>
          <w:p w14:paraId="5669679D" w14:textId="77777777" w:rsidR="00662274" w:rsidRPr="00EA7099" w:rsidRDefault="00662274" w:rsidP="00662274">
            <w:pPr>
              <w:rPr>
                <w:sz w:val="22"/>
              </w:rPr>
            </w:pPr>
            <w:proofErr w:type="spellStart"/>
            <w:r w:rsidRPr="00EA7099">
              <w:rPr>
                <w:b/>
                <w:sz w:val="22"/>
              </w:rPr>
              <w:lastRenderedPageBreak/>
              <w:t>Insourceing</w:t>
            </w:r>
            <w:proofErr w:type="spellEnd"/>
            <w:r w:rsidRPr="00EA7099">
              <w:rPr>
                <w:b/>
                <w:sz w:val="22"/>
              </w:rPr>
              <w:t xml:space="preserve"> EES</w:t>
            </w:r>
            <w:r w:rsidRPr="00EA7099">
              <w:rPr>
                <w:sz w:val="22"/>
              </w:rPr>
              <w:t xml:space="preserve">; V tem obdobju so se razvijale rešitve in prilagoditve za EES, zunanji izvajalec pa je pripravil aplikativno rešitev MEKO-SVI. Aplikativna rešitev je bila podvržena </w:t>
            </w:r>
            <w:proofErr w:type="spellStart"/>
            <w:r w:rsidRPr="00EA7099">
              <w:rPr>
                <w:sz w:val="22"/>
              </w:rPr>
              <w:t>skladnostnim</w:t>
            </w:r>
            <w:proofErr w:type="spellEnd"/>
            <w:r w:rsidRPr="00EA7099">
              <w:rPr>
                <w:sz w:val="22"/>
              </w:rPr>
              <w:t xml:space="preserve"> testom, ki so bili v celoti opravljeni in izvedeni. Nadaljevala so se tudi se prilagajanja potrebam uporabnikom in dodatnim ali spremenjenim zahtevam centralnega sistema.</w:t>
            </w:r>
          </w:p>
          <w:p w14:paraId="24B8C38F" w14:textId="77777777" w:rsidR="00662274" w:rsidRPr="00EA7099" w:rsidRDefault="00662274" w:rsidP="00662274">
            <w:pPr>
              <w:rPr>
                <w:sz w:val="22"/>
              </w:rPr>
            </w:pPr>
            <w:r w:rsidRPr="00EA7099">
              <w:rPr>
                <w:b/>
                <w:sz w:val="22"/>
              </w:rPr>
              <w:t>PKI infrastruktura</w:t>
            </w:r>
            <w:r w:rsidRPr="00EA7099">
              <w:rPr>
                <w:sz w:val="22"/>
              </w:rPr>
              <w:t xml:space="preserve"> je potrebna za izvajanje popolne mejne kontrole vključno s pasivno in terminalsko avtentikacijo ter možnostjo dostopov do prstnih odtisov na e-potovalnih listinah.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Aktivnosti bodo </w:t>
            </w:r>
            <w:r w:rsidRPr="00701C55">
              <w:rPr>
                <w:sz w:val="22"/>
              </w:rPr>
              <w:t>realiziran</w:t>
            </w:r>
            <w:r>
              <w:rPr>
                <w:sz w:val="22"/>
              </w:rPr>
              <w:t>e</w:t>
            </w:r>
            <w:r w:rsidRPr="00701C55">
              <w:rPr>
                <w:sz w:val="22"/>
              </w:rPr>
              <w:t xml:space="preserve"> v letu 2025</w:t>
            </w:r>
            <w:r>
              <w:rPr>
                <w:sz w:val="22"/>
              </w:rPr>
              <w:t>,</w:t>
            </w:r>
            <w:r w:rsidRPr="00701C55">
              <w:rPr>
                <w:sz w:val="22"/>
              </w:rPr>
              <w:t xml:space="preserve"> zaradi priprave zahtevnejše razpisne dokumentacije, ki vključuje pripravo tehnične dokumentacije, ki izpolnjuje zahteve PKI infrastrukture za potrebe Policije in Ministrstva za digitalno preobrazbo.</w:t>
            </w:r>
          </w:p>
          <w:p w14:paraId="5F331067" w14:textId="77777777" w:rsidR="00662274" w:rsidRPr="00EA7099" w:rsidRDefault="00662274" w:rsidP="00662274">
            <w:pPr>
              <w:rPr>
                <w:sz w:val="22"/>
              </w:rPr>
            </w:pPr>
            <w:r w:rsidRPr="00EA7099">
              <w:rPr>
                <w:sz w:val="22"/>
              </w:rPr>
              <w:t xml:space="preserve">Skladno z Zakonikom o Schengenskih mejah in Uredbo EES za </w:t>
            </w:r>
            <w:r w:rsidRPr="00EA7099">
              <w:rPr>
                <w:b/>
                <w:sz w:val="22"/>
              </w:rPr>
              <w:t>združljivost obstoječih in novih velikih informacijskih sistemov EU</w:t>
            </w:r>
            <w:r w:rsidRPr="00EA7099">
              <w:rPr>
                <w:sz w:val="22"/>
              </w:rPr>
              <w:t xml:space="preserve">, mora Policija posodobiti, nadgraditi in zamenjati opremo in programsko opremo za izvajanje ukrepov na meji.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Je pa bil </w:t>
            </w:r>
            <w:r w:rsidRPr="00AE6411">
              <w:rPr>
                <w:sz w:val="22"/>
              </w:rPr>
              <w:t xml:space="preserve">decembra 2024 izbran zunanji izvajalec, ki bo izvajal razvoj </w:t>
            </w:r>
            <w:proofErr w:type="spellStart"/>
            <w:r w:rsidRPr="00AE6411">
              <w:rPr>
                <w:sz w:val="22"/>
              </w:rPr>
              <w:t>apliakcij</w:t>
            </w:r>
            <w:proofErr w:type="spellEnd"/>
            <w:r w:rsidRPr="00AE6411">
              <w:rPr>
                <w:sz w:val="22"/>
              </w:rPr>
              <w:t xml:space="preserve"> v okviru prenove in nadgradenj </w:t>
            </w:r>
            <w:proofErr w:type="spellStart"/>
            <w:r w:rsidRPr="00AE6411">
              <w:rPr>
                <w:sz w:val="22"/>
              </w:rPr>
              <w:t>interoperabilnih</w:t>
            </w:r>
            <w:proofErr w:type="spellEnd"/>
            <w:r w:rsidRPr="00AE6411">
              <w:rPr>
                <w:sz w:val="22"/>
              </w:rPr>
              <w:t xml:space="preserve"> informacijskih sistemov.</w:t>
            </w:r>
          </w:p>
          <w:p w14:paraId="450915E3" w14:textId="77777777" w:rsidR="00662274" w:rsidRPr="00EA7099" w:rsidRDefault="00662274" w:rsidP="00662274">
            <w:pPr>
              <w:rPr>
                <w:sz w:val="22"/>
              </w:rPr>
            </w:pPr>
            <w:r w:rsidRPr="007A1C4D">
              <w:rPr>
                <w:b/>
                <w:sz w:val="22"/>
              </w:rPr>
              <w:t>ETIAS;</w:t>
            </w:r>
            <w:r>
              <w:rPr>
                <w:sz w:val="22"/>
              </w:rPr>
              <w:t xml:space="preserve"> </w:t>
            </w:r>
            <w:r w:rsidRPr="00EA7099">
              <w:rPr>
                <w:sz w:val="22"/>
              </w:rPr>
              <w:t xml:space="preserve">Z </w:t>
            </w:r>
            <w:r>
              <w:rPr>
                <w:sz w:val="22"/>
              </w:rPr>
              <w:t>aktivnostmi operacije</w:t>
            </w:r>
            <w:r w:rsidRPr="00EA7099">
              <w:rPr>
                <w:sz w:val="22"/>
              </w:rPr>
              <w:t xml:space="preserve"> bo SI izpolnila obveznosti, ki ji jih nalaga EU uredba ETIAS. Pripravile se bodo potrebne informacijske rešitve, v nadaljevanju pa prilagoditev delovanja potrebam uporabnikov in zahtevam centralnega sistema.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Kajti c</w:t>
            </w:r>
            <w:r w:rsidRPr="00AE6411">
              <w:rPr>
                <w:sz w:val="22"/>
              </w:rPr>
              <w:t>en</w:t>
            </w:r>
            <w:r>
              <w:rPr>
                <w:sz w:val="22"/>
              </w:rPr>
              <w:t xml:space="preserve">tralni projekt ETIAS zamuja - </w:t>
            </w:r>
            <w:proofErr w:type="spellStart"/>
            <w:r>
              <w:rPr>
                <w:sz w:val="22"/>
              </w:rPr>
              <w:t>eu</w:t>
            </w:r>
            <w:proofErr w:type="spellEnd"/>
            <w:r w:rsidRPr="00AE6411">
              <w:rPr>
                <w:sz w:val="22"/>
              </w:rPr>
              <w:t>-LISA še ni vzpostavila testnega sistema, ki bi omogočil</w:t>
            </w:r>
            <w:r>
              <w:rPr>
                <w:sz w:val="22"/>
              </w:rPr>
              <w:t>o</w:t>
            </w:r>
            <w:r w:rsidRPr="00AE6411">
              <w:rPr>
                <w:sz w:val="22"/>
              </w:rPr>
              <w:t xml:space="preserve">, da </w:t>
            </w:r>
            <w:r>
              <w:rPr>
                <w:sz w:val="22"/>
              </w:rPr>
              <w:t>se preveri</w:t>
            </w:r>
            <w:r w:rsidRPr="00AE6411">
              <w:rPr>
                <w:sz w:val="22"/>
              </w:rPr>
              <w:t xml:space="preserve"> delovanje do zdaj razvite aplikacije s strani zunanjega izvajalca. Testiranje in razvoj je na nacionalni ravni v teku na podlagi prejete tehnične dokumentaci</w:t>
            </w:r>
            <w:r>
              <w:rPr>
                <w:sz w:val="22"/>
              </w:rPr>
              <w:t xml:space="preserve">je in predloženega simulatorja </w:t>
            </w:r>
            <w:proofErr w:type="spellStart"/>
            <w:r>
              <w:rPr>
                <w:sz w:val="22"/>
              </w:rPr>
              <w:t>eu</w:t>
            </w:r>
            <w:proofErr w:type="spellEnd"/>
            <w:r w:rsidRPr="00AE6411">
              <w:rPr>
                <w:sz w:val="22"/>
              </w:rPr>
              <w:t>-LISA.</w:t>
            </w:r>
          </w:p>
          <w:p w14:paraId="08997079" w14:textId="77777777" w:rsidR="00662274" w:rsidRPr="00EA7099" w:rsidRDefault="00662274" w:rsidP="00662274">
            <w:pPr>
              <w:rPr>
                <w:sz w:val="22"/>
              </w:rPr>
            </w:pPr>
            <w:r w:rsidRPr="007A1C4D">
              <w:rPr>
                <w:b/>
                <w:sz w:val="22"/>
              </w:rPr>
              <w:t>ETIAS usposabljanje, študijski obiski, delovni sestanki</w:t>
            </w:r>
            <w:r w:rsidRPr="007A1C4D">
              <w:rPr>
                <w:sz w:val="22"/>
              </w:rPr>
              <w:t>;</w:t>
            </w:r>
            <w:r>
              <w:rPr>
                <w:sz w:val="22"/>
              </w:rPr>
              <w:t xml:space="preserve"> </w:t>
            </w:r>
            <w:r w:rsidRPr="00EA7099">
              <w:rPr>
                <w:sz w:val="22"/>
              </w:rPr>
              <w:t xml:space="preserve">V okviru operacije bo do leta 2029 vsaj 10 uslužbencev policije dodatno usposobljenih za delo na sistemu ETIAS in ustrezno obdelavo podatkov za potrebe preiskav hudih in organiziranih oblik kriminalitete, vključno s terorizmom. Operacija je potrjena, aktivnosti se, skladno s </w:t>
            </w:r>
            <w:proofErr w:type="spellStart"/>
            <w:r w:rsidRPr="00EA7099">
              <w:rPr>
                <w:sz w:val="22"/>
              </w:rPr>
              <w:t>časovnico</w:t>
            </w:r>
            <w:proofErr w:type="spellEnd"/>
            <w:r w:rsidRPr="00EA7099">
              <w:rPr>
                <w:sz w:val="22"/>
              </w:rPr>
              <w:t>, v tem obdobju še niso izvajale.</w:t>
            </w:r>
          </w:p>
          <w:p w14:paraId="017C7E9E" w14:textId="77777777" w:rsidR="00662274" w:rsidRPr="00EA7099" w:rsidRDefault="00662274" w:rsidP="00662274">
            <w:pPr>
              <w:rPr>
                <w:sz w:val="22"/>
              </w:rPr>
            </w:pPr>
            <w:r w:rsidRPr="007A1C4D">
              <w:rPr>
                <w:b/>
                <w:sz w:val="22"/>
              </w:rPr>
              <w:t>Nadgradnja SIS</w:t>
            </w:r>
            <w:r w:rsidRPr="007A1C4D">
              <w:rPr>
                <w:sz w:val="22"/>
              </w:rPr>
              <w:t>;</w:t>
            </w:r>
            <w:r>
              <w:rPr>
                <w:sz w:val="22"/>
              </w:rPr>
              <w:t xml:space="preserve"> </w:t>
            </w:r>
            <w:r w:rsidRPr="00EA7099">
              <w:rPr>
                <w:sz w:val="22"/>
              </w:rPr>
              <w:t xml:space="preserve">V okviru operacije so za potrebe </w:t>
            </w:r>
            <w:proofErr w:type="spellStart"/>
            <w:r w:rsidRPr="00EA7099">
              <w:rPr>
                <w:sz w:val="22"/>
              </w:rPr>
              <w:t>interoperabilnosti</w:t>
            </w:r>
            <w:proofErr w:type="spellEnd"/>
            <w:r w:rsidRPr="00EA7099">
              <w:rPr>
                <w:sz w:val="22"/>
              </w:rPr>
              <w:t xml:space="preserve"> načrtovane ustrezne prilagoditve nacionalnega SIS (N-SIS) in aplikacije Sirene na </w:t>
            </w:r>
            <w:proofErr w:type="spellStart"/>
            <w:r w:rsidRPr="00EA7099">
              <w:rPr>
                <w:sz w:val="22"/>
              </w:rPr>
              <w:t>t.i</w:t>
            </w:r>
            <w:proofErr w:type="spellEnd"/>
            <w:r w:rsidRPr="00EA7099">
              <w:rPr>
                <w:sz w:val="22"/>
              </w:rPr>
              <w:t xml:space="preserve">. verzijo SIS-IO.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Operacija nadgradnja</w:t>
            </w:r>
            <w:r w:rsidRPr="00701C55">
              <w:rPr>
                <w:sz w:val="22"/>
              </w:rPr>
              <w:t xml:space="preserve"> SIS je v zamiku, ker čakamo na nov integralni načrt in tehnično d</w:t>
            </w:r>
            <w:r>
              <w:rPr>
                <w:sz w:val="22"/>
              </w:rPr>
              <w:t>okumentacijo, ki jo pripravlja E</w:t>
            </w:r>
            <w:r w:rsidRPr="00701C55">
              <w:rPr>
                <w:sz w:val="22"/>
              </w:rPr>
              <w:t xml:space="preserve">vropska agencija </w:t>
            </w:r>
            <w:proofErr w:type="spellStart"/>
            <w:r w:rsidRPr="00701C55">
              <w:rPr>
                <w:sz w:val="22"/>
              </w:rPr>
              <w:t>eu</w:t>
            </w:r>
            <w:proofErr w:type="spellEnd"/>
            <w:r w:rsidRPr="00701C55">
              <w:rPr>
                <w:sz w:val="22"/>
              </w:rPr>
              <w:t>-LISA.</w:t>
            </w:r>
          </w:p>
          <w:p w14:paraId="201230C4" w14:textId="77777777" w:rsidR="00662274" w:rsidRPr="00EA7099" w:rsidRDefault="00662274" w:rsidP="00662274">
            <w:pPr>
              <w:rPr>
                <w:sz w:val="22"/>
              </w:rPr>
            </w:pPr>
            <w:r w:rsidRPr="007A1C4D">
              <w:rPr>
                <w:b/>
                <w:sz w:val="22"/>
              </w:rPr>
              <w:t xml:space="preserve">Varovanje osebnih podatkov za </w:t>
            </w:r>
            <w:proofErr w:type="spellStart"/>
            <w:r w:rsidRPr="007A1C4D">
              <w:rPr>
                <w:b/>
                <w:sz w:val="22"/>
              </w:rPr>
              <w:t>interoperabilnost</w:t>
            </w:r>
            <w:proofErr w:type="spellEnd"/>
            <w:r w:rsidRPr="007A1C4D">
              <w:rPr>
                <w:sz w:val="22"/>
              </w:rPr>
              <w:t>;</w:t>
            </w:r>
            <w:r>
              <w:rPr>
                <w:sz w:val="22"/>
              </w:rPr>
              <w:t xml:space="preserve"> </w:t>
            </w:r>
            <w:r w:rsidRPr="00EA7099">
              <w:rPr>
                <w:sz w:val="22"/>
              </w:rPr>
              <w:t xml:space="preserve">Z razvitimi informacijskimi rešitvami se bo pristojnim organom v SI omogočila učinkovita raba </w:t>
            </w:r>
            <w:proofErr w:type="spellStart"/>
            <w:r w:rsidRPr="00EA7099">
              <w:rPr>
                <w:sz w:val="22"/>
              </w:rPr>
              <w:t>interoperabilnosti</w:t>
            </w:r>
            <w:proofErr w:type="spellEnd"/>
            <w:r w:rsidRPr="00EA7099">
              <w:rPr>
                <w:sz w:val="22"/>
              </w:rPr>
              <w:t xml:space="preserve">. Operacija je potrjena, aktivnosti se, skladno s </w:t>
            </w:r>
            <w:proofErr w:type="spellStart"/>
            <w:r w:rsidRPr="00EA7099">
              <w:rPr>
                <w:sz w:val="22"/>
              </w:rPr>
              <w:t>časovnico</w:t>
            </w:r>
            <w:proofErr w:type="spellEnd"/>
            <w:r w:rsidRPr="00EA7099">
              <w:rPr>
                <w:sz w:val="22"/>
              </w:rPr>
              <w:t>, v tem obdobju še niso izvajale.</w:t>
            </w:r>
          </w:p>
          <w:p w14:paraId="74E59FF9" w14:textId="19459275" w:rsidR="00662274" w:rsidRPr="00EA7099" w:rsidRDefault="00662274" w:rsidP="00662274">
            <w:pPr>
              <w:rPr>
                <w:sz w:val="22"/>
              </w:rPr>
            </w:pPr>
            <w:r w:rsidRPr="00EA7099">
              <w:rPr>
                <w:b/>
                <w:sz w:val="22"/>
              </w:rPr>
              <w:t>Posodobitev aplikacij za izmenjave podatkov (EUROPOL, INTERPOL, SIRENE)</w:t>
            </w:r>
            <w:r w:rsidRPr="00EA7099">
              <w:rPr>
                <w:sz w:val="22"/>
              </w:rPr>
              <w:t>; Nadgradnja obstoječih aplikacij za nemoteno izmenjavo podatkov do vzpostavitve aplikacij na sodob</w:t>
            </w:r>
            <w:r w:rsidR="0092270D">
              <w:rPr>
                <w:sz w:val="22"/>
              </w:rPr>
              <w:t>ni informacijski platformi CEPIS</w:t>
            </w:r>
            <w:r w:rsidRPr="00EA7099">
              <w:rPr>
                <w:sz w:val="22"/>
              </w:rPr>
              <w:t xml:space="preserve">, katera omogoča hitrejše nadgradnje in implementiranje novih funkcij oz. zahtev, večjo razširljivost in izboljšanje uporabniške izkušnje. Operacija je potrjena, aktivnosti se, skladno s </w:t>
            </w:r>
            <w:proofErr w:type="spellStart"/>
            <w:r w:rsidRPr="00EA7099">
              <w:rPr>
                <w:sz w:val="22"/>
              </w:rPr>
              <w:t>časovnico</w:t>
            </w:r>
            <w:proofErr w:type="spellEnd"/>
            <w:r w:rsidRPr="00EA7099">
              <w:rPr>
                <w:sz w:val="22"/>
              </w:rPr>
              <w:t>, v tem obdobju še niso izvajale.</w:t>
            </w:r>
            <w:r>
              <w:t xml:space="preserve"> V</w:t>
            </w:r>
            <w:r w:rsidRPr="00701C55">
              <w:rPr>
                <w:sz w:val="22"/>
              </w:rPr>
              <w:t xml:space="preserve"> izvedbi je javno naročilo za izbor izvajalca, ki bo razvil novo aplikacijo za potrebe SIS izmenjave podatkov SIRENE/EUROPOL/INTERPOL.</w:t>
            </w:r>
          </w:p>
          <w:p w14:paraId="283717D2" w14:textId="77777777" w:rsidR="00662274" w:rsidRPr="00EA7099" w:rsidRDefault="00662274" w:rsidP="00662274">
            <w:pPr>
              <w:rPr>
                <w:sz w:val="22"/>
                <w:u w:val="single"/>
              </w:rPr>
            </w:pPr>
            <w:r w:rsidRPr="00EA7099">
              <w:rPr>
                <w:sz w:val="22"/>
                <w:u w:val="single"/>
              </w:rPr>
              <w:t>Operativna podpora:</w:t>
            </w:r>
          </w:p>
          <w:p w14:paraId="64999500" w14:textId="77777777" w:rsidR="00662274" w:rsidRPr="00EA7099" w:rsidRDefault="00662274" w:rsidP="00662274">
            <w:pPr>
              <w:rPr>
                <w:sz w:val="22"/>
              </w:rPr>
            </w:pPr>
            <w:r w:rsidRPr="00EA7099">
              <w:rPr>
                <w:b/>
                <w:sz w:val="22"/>
              </w:rPr>
              <w:t>Vzdrževanje SIS II komunikacijskega vmesnika</w:t>
            </w:r>
            <w:r w:rsidRPr="00EA7099">
              <w:rPr>
                <w:sz w:val="22"/>
              </w:rPr>
              <w:t xml:space="preserve"> (SIB); Za nacionalne implementacije EU operacij </w:t>
            </w:r>
            <w:proofErr w:type="spellStart"/>
            <w:r w:rsidRPr="00EA7099">
              <w:rPr>
                <w:sz w:val="22"/>
              </w:rPr>
              <w:t>interoperabilnosti</w:t>
            </w:r>
            <w:proofErr w:type="spellEnd"/>
            <w:r w:rsidRPr="00EA7099">
              <w:rPr>
                <w:sz w:val="22"/>
              </w:rPr>
              <w:t xml:space="preserve"> so razvite aplikativne rešitve, ki jih je potrebno vzdrževati in nadgrajevati.</w:t>
            </w:r>
          </w:p>
          <w:p w14:paraId="72F6064D" w14:textId="77777777" w:rsidR="00662274" w:rsidRPr="00EA7099" w:rsidRDefault="00662274" w:rsidP="00662274">
            <w:pPr>
              <w:rPr>
                <w:sz w:val="22"/>
              </w:rPr>
            </w:pPr>
            <w:r w:rsidRPr="00EA7099">
              <w:rPr>
                <w:sz w:val="22"/>
              </w:rPr>
              <w:t xml:space="preserve">V sklopu operacije se poročajo </w:t>
            </w:r>
            <w:r w:rsidRPr="00EA7099">
              <w:rPr>
                <w:b/>
                <w:sz w:val="22"/>
              </w:rPr>
              <w:t>stroški mejnih policistov</w:t>
            </w:r>
            <w:r w:rsidRPr="00EA7099">
              <w:rPr>
                <w:sz w:val="22"/>
              </w:rPr>
              <w:t>, ki izvajajo mejno kontrolo na Postaji letališke policije Brnik in na Postaji pomorske policije Koper.</w:t>
            </w:r>
          </w:p>
          <w:p w14:paraId="635CA7FD" w14:textId="77777777" w:rsidR="00662274" w:rsidRDefault="00662274" w:rsidP="00662274">
            <w:pPr>
              <w:rPr>
                <w:sz w:val="22"/>
              </w:rPr>
            </w:pPr>
          </w:p>
          <w:p w14:paraId="74A58407" w14:textId="77777777" w:rsidR="00662274" w:rsidRPr="00EA7099" w:rsidRDefault="00662274" w:rsidP="00662274">
            <w:pPr>
              <w:rPr>
                <w:sz w:val="22"/>
              </w:rPr>
            </w:pPr>
            <w:r w:rsidRPr="00EA7099">
              <w:rPr>
                <w:sz w:val="22"/>
              </w:rPr>
              <w:t xml:space="preserve">V okviru </w:t>
            </w:r>
            <w:r w:rsidRPr="00EA7099">
              <w:rPr>
                <w:sz w:val="22"/>
                <w:u w:val="single"/>
              </w:rPr>
              <w:t>Specifičnega cilja 2</w:t>
            </w:r>
            <w:r w:rsidRPr="00EA7099">
              <w:rPr>
                <w:sz w:val="22"/>
              </w:rPr>
              <w:t xml:space="preserve"> se Slovenija usmerja zlasti v izvedbene ukrepe za zagotavljanje učinkovitih in strankam prijaznih storitev za prosilce za vizum ob ohranjanju varnosti in celovitosti vizumskih postopkov, zagotavljanje enotne uporabe pravnega reda Unije glede vizumov, </w:t>
            </w:r>
            <w:r w:rsidRPr="00EA7099">
              <w:rPr>
                <w:sz w:val="22"/>
              </w:rPr>
              <w:lastRenderedPageBreak/>
              <w:t xml:space="preserve">vzpostavitev, delovanje in vzdrževanje obsežnih informacijskih sistemov v skladu s pravom Unije na področju skupne vizumske politike, zlasti VIS, vključno z </w:t>
            </w:r>
            <w:proofErr w:type="spellStart"/>
            <w:r w:rsidRPr="00EA7099">
              <w:rPr>
                <w:sz w:val="22"/>
              </w:rPr>
              <w:t>interoperabilnostjo</w:t>
            </w:r>
            <w:proofErr w:type="spellEnd"/>
            <w:r w:rsidRPr="00EA7099">
              <w:rPr>
                <w:sz w:val="22"/>
              </w:rPr>
              <w:t xml:space="preserve"> teh obsežnih informacijskih sistemov in njihove komunikacijske infrastrukture.</w:t>
            </w:r>
            <w:r w:rsidRPr="00EA7099">
              <w:rPr>
                <w:sz w:val="22"/>
                <w:highlight w:val="lightGray"/>
              </w:rPr>
              <w:t xml:space="preserve"> </w:t>
            </w:r>
          </w:p>
          <w:p w14:paraId="0CC6E8B2" w14:textId="77777777" w:rsidR="00662274" w:rsidRPr="00EA7099" w:rsidRDefault="00662274" w:rsidP="00662274">
            <w:pPr>
              <w:rPr>
                <w:sz w:val="22"/>
              </w:rPr>
            </w:pPr>
            <w:r w:rsidRPr="00EA7099">
              <w:rPr>
                <w:sz w:val="22"/>
              </w:rPr>
              <w:t xml:space="preserve">Ključni resor na tem področju je Ministrstvo za zunanje in evropske zadeve (MZEZ), ki je prejelo sredstva IUMV preko neposredne dodelitve, zaradi zakonskih pristojnosti s predmetnega področja. </w:t>
            </w:r>
          </w:p>
          <w:p w14:paraId="45D9BAB9" w14:textId="77777777" w:rsidR="00662274" w:rsidRPr="00EA7099" w:rsidRDefault="00662274" w:rsidP="00662274">
            <w:pPr>
              <w:rPr>
                <w:sz w:val="22"/>
              </w:rPr>
            </w:pPr>
            <w:r w:rsidRPr="00EA7099">
              <w:rPr>
                <w:sz w:val="22"/>
              </w:rPr>
              <w:t>Za dosego zastavljenih rezultatov so se izvajale naslednje aktivnosti (po izvedbenih ukrepih):</w:t>
            </w:r>
          </w:p>
          <w:p w14:paraId="4CDD1EAD" w14:textId="77777777" w:rsidR="00662274" w:rsidRPr="00EA7099" w:rsidRDefault="00662274" w:rsidP="00662274">
            <w:pPr>
              <w:rPr>
                <w:sz w:val="22"/>
              </w:rPr>
            </w:pPr>
            <w:r w:rsidRPr="00EA7099">
              <w:rPr>
                <w:sz w:val="22"/>
                <w:u w:val="single"/>
              </w:rPr>
              <w:t>Izvedbeni ukrep 2a</w:t>
            </w:r>
            <w:r w:rsidRPr="00EA7099">
              <w:rPr>
                <w:sz w:val="22"/>
              </w:rPr>
              <w:t xml:space="preserve">: </w:t>
            </w:r>
          </w:p>
          <w:p w14:paraId="59EEBA06" w14:textId="77777777" w:rsidR="00662274" w:rsidRPr="00EA7099" w:rsidRDefault="00662274" w:rsidP="00662274">
            <w:pPr>
              <w:rPr>
                <w:sz w:val="22"/>
              </w:rPr>
            </w:pPr>
            <w:r w:rsidRPr="00EA7099">
              <w:rPr>
                <w:b/>
                <w:sz w:val="22"/>
              </w:rPr>
              <w:t>Zagotavljanje kvalitetne povezljivosti</w:t>
            </w:r>
            <w:r w:rsidRPr="00EA7099">
              <w:rPr>
                <w:sz w:val="22"/>
              </w:rPr>
              <w:t xml:space="preserve">; Doslej že zagotovljene izboljšane komunikacijske povezave na sedmih lokacijah, se na podlagi pozitivnih izkušenj v smislu zagotavljanja stalne povezljivosti, ki omogoča nemoteno delovanje vseh vizumskih podsistemov, ohranjajo. S tem se </w:t>
            </w:r>
            <w:r>
              <w:rPr>
                <w:sz w:val="22"/>
              </w:rPr>
              <w:t xml:space="preserve">je </w:t>
            </w:r>
            <w:r w:rsidRPr="00EA7099">
              <w:rPr>
                <w:sz w:val="22"/>
              </w:rPr>
              <w:t>močno zmanjšalo tveganje nedostopnosti sistema in celovito krizno upravljanje v primeru komunikacijskih mrkov, do katerih prihaja v posameznih</w:t>
            </w:r>
            <w:r>
              <w:rPr>
                <w:sz w:val="22"/>
              </w:rPr>
              <w:t xml:space="preserve"> bolj oddaljenih lokacijah ali lokacijah, kjer je</w:t>
            </w:r>
            <w:r w:rsidRPr="00EA7099">
              <w:rPr>
                <w:sz w:val="22"/>
              </w:rPr>
              <w:t xml:space="preserve"> manj razvit</w:t>
            </w:r>
            <w:r>
              <w:rPr>
                <w:sz w:val="22"/>
              </w:rPr>
              <w:t xml:space="preserve"> trg telekomunikacij</w:t>
            </w:r>
            <w:r w:rsidRPr="00EA7099">
              <w:rPr>
                <w:sz w:val="22"/>
              </w:rPr>
              <w:t>.</w:t>
            </w:r>
          </w:p>
          <w:p w14:paraId="36635697" w14:textId="77777777" w:rsidR="00662274" w:rsidRPr="00EA7099" w:rsidRDefault="00662274" w:rsidP="00662274">
            <w:pPr>
              <w:rPr>
                <w:sz w:val="22"/>
              </w:rPr>
            </w:pPr>
            <w:r w:rsidRPr="00EA7099">
              <w:rPr>
                <w:b/>
                <w:sz w:val="22"/>
              </w:rPr>
              <w:t>Nakup in vzdrževanje programskih komponent nacionalnega vizumskega informacijskega sistema</w:t>
            </w:r>
            <w:r w:rsidRPr="00EA7099">
              <w:rPr>
                <w:sz w:val="22"/>
              </w:rPr>
              <w:t>; Slovenija uporablja nacionalni vizumski sistem VIZIS, ki je preko vmesnika SI.VIS priključen na vizumski sistem EU na</w:t>
            </w:r>
            <w:r>
              <w:rPr>
                <w:sz w:val="22"/>
              </w:rPr>
              <w:t xml:space="preserve"> preko 60</w:t>
            </w:r>
            <w:r w:rsidRPr="00EA7099">
              <w:rPr>
                <w:sz w:val="22"/>
              </w:rPr>
              <w:t xml:space="preserve">  lokacijah v tujini in v S</w:t>
            </w:r>
            <w:r>
              <w:rPr>
                <w:sz w:val="22"/>
              </w:rPr>
              <w:t>loveniji</w:t>
            </w:r>
            <w:r w:rsidRPr="00EA7099">
              <w:rPr>
                <w:sz w:val="22"/>
              </w:rPr>
              <w:t>. V obdobju poročanja se je vzdrževal</w:t>
            </w:r>
            <w:r>
              <w:rPr>
                <w:sz w:val="22"/>
              </w:rPr>
              <w:t>o</w:t>
            </w:r>
            <w:r w:rsidRPr="00EA7099">
              <w:rPr>
                <w:sz w:val="22"/>
              </w:rPr>
              <w:t xml:space="preserve"> aplikacij</w:t>
            </w:r>
            <w:r>
              <w:rPr>
                <w:sz w:val="22"/>
              </w:rPr>
              <w:t>e</w:t>
            </w:r>
            <w:r w:rsidRPr="00EA7099">
              <w:rPr>
                <w:sz w:val="22"/>
              </w:rPr>
              <w:t xml:space="preserve"> VIZIS, SI.VIS, baz</w:t>
            </w:r>
            <w:r>
              <w:rPr>
                <w:sz w:val="22"/>
              </w:rPr>
              <w:t>a</w:t>
            </w:r>
            <w:r w:rsidRPr="00EA7099">
              <w:rPr>
                <w:sz w:val="22"/>
              </w:rPr>
              <w:t xml:space="preserve"> DB2, Množični dogodki</w:t>
            </w:r>
            <w:r>
              <w:rPr>
                <w:sz w:val="22"/>
              </w:rPr>
              <w:t xml:space="preserve">, </w:t>
            </w:r>
            <w:r w:rsidRPr="00EA7099">
              <w:rPr>
                <w:sz w:val="22"/>
              </w:rPr>
              <w:t xml:space="preserve"> SZM</w:t>
            </w:r>
            <w:r>
              <w:rPr>
                <w:sz w:val="22"/>
              </w:rPr>
              <w:t xml:space="preserve"> ter programsko opremo za tiskanje 2D črtnih kod</w:t>
            </w:r>
            <w:r w:rsidRPr="00EA7099">
              <w:rPr>
                <w:sz w:val="22"/>
              </w:rPr>
              <w:t>.</w:t>
            </w:r>
          </w:p>
          <w:p w14:paraId="1BFDB39A" w14:textId="77777777" w:rsidR="00662274" w:rsidRPr="00EA7099" w:rsidRDefault="00662274" w:rsidP="00662274">
            <w:pPr>
              <w:rPr>
                <w:sz w:val="22"/>
              </w:rPr>
            </w:pPr>
            <w:r w:rsidRPr="00EA7099">
              <w:rPr>
                <w:sz w:val="22"/>
              </w:rPr>
              <w:t xml:space="preserve">Ustrezno </w:t>
            </w:r>
            <w:r w:rsidRPr="00EA7099">
              <w:rPr>
                <w:b/>
                <w:sz w:val="22"/>
              </w:rPr>
              <w:t>posodabljanje licenc</w:t>
            </w:r>
            <w:r w:rsidRPr="00EA7099">
              <w:rPr>
                <w:sz w:val="22"/>
              </w:rPr>
              <w:t xml:space="preserve"> za licenčno programsko opremo je ključno za delovanje nacionalnega vizumskega sistema, zato so bile v obdobju poročanja posodo</w:t>
            </w:r>
            <w:r>
              <w:rPr>
                <w:sz w:val="22"/>
              </w:rPr>
              <w:t>b</w:t>
            </w:r>
            <w:r w:rsidRPr="00EA7099">
              <w:rPr>
                <w:sz w:val="22"/>
              </w:rPr>
              <w:t>ljene licence za programsko opremo</w:t>
            </w:r>
            <w:r>
              <w:rPr>
                <w:sz w:val="22"/>
              </w:rPr>
              <w:t xml:space="preserve"> za </w:t>
            </w:r>
            <w:r w:rsidRPr="00EA7099">
              <w:rPr>
                <w:sz w:val="22"/>
              </w:rPr>
              <w:t>podpor</w:t>
            </w:r>
            <w:r>
              <w:rPr>
                <w:sz w:val="22"/>
              </w:rPr>
              <w:t>o</w:t>
            </w:r>
            <w:r w:rsidRPr="00EA7099">
              <w:rPr>
                <w:sz w:val="22"/>
              </w:rPr>
              <w:t xml:space="preserve"> vizumskem</w:t>
            </w:r>
            <w:r>
              <w:rPr>
                <w:sz w:val="22"/>
              </w:rPr>
              <w:t>u</w:t>
            </w:r>
            <w:r w:rsidRPr="00EA7099">
              <w:rPr>
                <w:sz w:val="22"/>
              </w:rPr>
              <w:t xml:space="preserve"> poslovanju</w:t>
            </w:r>
            <w:r>
              <w:rPr>
                <w:sz w:val="22"/>
              </w:rPr>
              <w:t xml:space="preserve">, in sicer za </w:t>
            </w:r>
            <w:r w:rsidRPr="00EA7099">
              <w:rPr>
                <w:sz w:val="22"/>
              </w:rPr>
              <w:t>HCL Lotus Notes</w:t>
            </w:r>
            <w:r>
              <w:rPr>
                <w:sz w:val="22"/>
              </w:rPr>
              <w:t xml:space="preserve"> in</w:t>
            </w:r>
            <w:r w:rsidRPr="00EA7099">
              <w:rPr>
                <w:sz w:val="22"/>
              </w:rPr>
              <w:t xml:space="preserve"> </w:t>
            </w:r>
            <w:proofErr w:type="spellStart"/>
            <w:r>
              <w:rPr>
                <w:sz w:val="22"/>
              </w:rPr>
              <w:t>WM</w:t>
            </w:r>
            <w:r w:rsidRPr="00486B4E">
              <w:rPr>
                <w:sz w:val="22"/>
              </w:rPr>
              <w:t>ware</w:t>
            </w:r>
            <w:proofErr w:type="spellEnd"/>
            <w:r w:rsidRPr="00EA7099">
              <w:rPr>
                <w:sz w:val="22"/>
              </w:rPr>
              <w:t>.</w:t>
            </w:r>
          </w:p>
          <w:p w14:paraId="6EDFDF21" w14:textId="77777777" w:rsidR="00662274" w:rsidRPr="00EA7099" w:rsidRDefault="00662274" w:rsidP="00662274">
            <w:pPr>
              <w:rPr>
                <w:sz w:val="22"/>
              </w:rPr>
            </w:pPr>
            <w:r w:rsidRPr="00EA7099">
              <w:rPr>
                <w:sz w:val="22"/>
              </w:rPr>
              <w:t xml:space="preserve">Zaradi hitrega razvoja tehnologije </w:t>
            </w:r>
            <w:r>
              <w:rPr>
                <w:sz w:val="22"/>
              </w:rPr>
              <w:t>sta</w:t>
            </w:r>
            <w:r w:rsidRPr="00EA7099">
              <w:rPr>
                <w:sz w:val="22"/>
              </w:rPr>
              <w:t xml:space="preserve"> </w:t>
            </w:r>
            <w:r w:rsidRPr="00EA7099">
              <w:rPr>
                <w:b/>
                <w:sz w:val="22"/>
              </w:rPr>
              <w:t>sodobna programska in strojna oprema</w:t>
            </w:r>
            <w:r w:rsidRPr="00EA7099">
              <w:rPr>
                <w:sz w:val="22"/>
              </w:rPr>
              <w:t xml:space="preserve"> ključnega pomena. V okviru operacije so se zagotovili strežniki za diplomatsk</w:t>
            </w:r>
            <w:r>
              <w:rPr>
                <w:sz w:val="22"/>
              </w:rPr>
              <w:t xml:space="preserve">a predstavništva in </w:t>
            </w:r>
            <w:r w:rsidRPr="00EA7099">
              <w:rPr>
                <w:sz w:val="22"/>
              </w:rPr>
              <w:t>konzula</w:t>
            </w:r>
            <w:r>
              <w:rPr>
                <w:sz w:val="22"/>
              </w:rPr>
              <w:t>te Republike Slovenije v tujini</w:t>
            </w:r>
            <w:r w:rsidRPr="00EA7099">
              <w:rPr>
                <w:sz w:val="22"/>
              </w:rPr>
              <w:t xml:space="preserve"> (DKP), oprema, namenjena prenovi centralne strežniške opreme MZEZ, zmogljivi prenosni računalniki s priklopno postajo, monitorji oz. zasloni LCD ter energijsko učinkoviti standardni osebni računalniki.</w:t>
            </w:r>
          </w:p>
          <w:p w14:paraId="1D7FDA12" w14:textId="77777777" w:rsidR="00662274" w:rsidRPr="00EA7099" w:rsidRDefault="00662274" w:rsidP="00662274">
            <w:pPr>
              <w:rPr>
                <w:sz w:val="22"/>
              </w:rPr>
            </w:pPr>
            <w:r w:rsidRPr="00EA7099">
              <w:rPr>
                <w:b/>
                <w:sz w:val="22"/>
              </w:rPr>
              <w:t>Izboljšanje standardov, funkcij in procesov na konzulatih</w:t>
            </w:r>
            <w:r w:rsidRPr="00EA7099">
              <w:rPr>
                <w:sz w:val="22"/>
              </w:rPr>
              <w:t>; Aktivnosti so usmerjene v nakup opreme za izboljšanje varnostnih standardov in funkcij ter delovnih procesov v konzularnih oddelkih predstavništev R</w:t>
            </w:r>
            <w:r>
              <w:rPr>
                <w:sz w:val="22"/>
              </w:rPr>
              <w:t xml:space="preserve">epublike </w:t>
            </w:r>
            <w:r w:rsidRPr="00EA7099">
              <w:rPr>
                <w:sz w:val="22"/>
              </w:rPr>
              <w:t>S</w:t>
            </w:r>
            <w:r>
              <w:rPr>
                <w:sz w:val="22"/>
              </w:rPr>
              <w:t>lovenije v tujini, kot tudi v nakup nepremičnin in infrastrukturne posodobitve konzulatov oz. konzularnih oddelkov v tujini, namenjenih vizumskemu poslovanju</w:t>
            </w:r>
            <w:r w:rsidRPr="00EA7099">
              <w:rPr>
                <w:sz w:val="22"/>
              </w:rPr>
              <w:t xml:space="preserve">. Z izvedbo operacije se bo dodatno izboljšala varnost na predstavništvih, kjer se izvaja vizumska dejavnost. Operacija je bila potrjena, </w:t>
            </w:r>
            <w:r>
              <w:rPr>
                <w:sz w:val="22"/>
              </w:rPr>
              <w:t xml:space="preserve">v tem </w:t>
            </w:r>
            <w:r w:rsidRPr="00EA7099">
              <w:rPr>
                <w:sz w:val="22"/>
              </w:rPr>
              <w:t>obdobju</w:t>
            </w:r>
            <w:r>
              <w:rPr>
                <w:sz w:val="22"/>
              </w:rPr>
              <w:t xml:space="preserve"> so se pričele aktivnosti, vendar skladno </w:t>
            </w:r>
            <w:r w:rsidRPr="00EA7099">
              <w:rPr>
                <w:sz w:val="22"/>
              </w:rPr>
              <w:t xml:space="preserve">s </w:t>
            </w:r>
            <w:proofErr w:type="spellStart"/>
            <w:r w:rsidRPr="00EA7099">
              <w:rPr>
                <w:sz w:val="22"/>
              </w:rPr>
              <w:t>časovnico</w:t>
            </w:r>
            <w:proofErr w:type="spellEnd"/>
            <w:r>
              <w:rPr>
                <w:sz w:val="22"/>
              </w:rPr>
              <w:t xml:space="preserve"> javnih naročil in prenov DKP</w:t>
            </w:r>
            <w:r w:rsidRPr="00EA7099">
              <w:rPr>
                <w:sz w:val="22"/>
              </w:rPr>
              <w:t>, še niso</w:t>
            </w:r>
            <w:r>
              <w:rPr>
                <w:sz w:val="22"/>
              </w:rPr>
              <w:t xml:space="preserve"> bile dokončno izvedene</w:t>
            </w:r>
            <w:r w:rsidRPr="00EA7099">
              <w:rPr>
                <w:sz w:val="22"/>
              </w:rPr>
              <w:t>.</w:t>
            </w:r>
          </w:p>
          <w:p w14:paraId="4CDD995D" w14:textId="77777777" w:rsidR="00662274" w:rsidRPr="00EA7099" w:rsidRDefault="00662274" w:rsidP="00662274">
            <w:pPr>
              <w:rPr>
                <w:sz w:val="22"/>
              </w:rPr>
            </w:pPr>
            <w:r w:rsidRPr="00EA7099">
              <w:rPr>
                <w:b/>
                <w:sz w:val="22"/>
              </w:rPr>
              <w:t>Najem storitve zajema biometričnih podatkov na samopostrežnem pametnem kiosku</w:t>
            </w:r>
            <w:r w:rsidRPr="00EA7099">
              <w:rPr>
                <w:sz w:val="22"/>
              </w:rPr>
              <w:t xml:space="preserve">; Z namenom približanja storitev prosilcem je predviden pilotni razvoj in preizkus uporabe kioskov za zajemanje biometričnih podatkov. </w:t>
            </w:r>
            <w:r>
              <w:rPr>
                <w:sz w:val="22"/>
              </w:rPr>
              <w:t>Prvotno predvidena o</w:t>
            </w:r>
            <w:r w:rsidRPr="00EA7099">
              <w:rPr>
                <w:sz w:val="22"/>
              </w:rPr>
              <w:t xml:space="preserve">peracija je </w:t>
            </w:r>
            <w:r>
              <w:rPr>
                <w:sz w:val="22"/>
              </w:rPr>
              <w:t xml:space="preserve">bila naknadno razdeljena na dve fazi in se skladno s </w:t>
            </w:r>
            <w:proofErr w:type="spellStart"/>
            <w:r>
              <w:rPr>
                <w:sz w:val="22"/>
              </w:rPr>
              <w:t>časovnico</w:t>
            </w:r>
            <w:proofErr w:type="spellEnd"/>
            <w:r>
              <w:rPr>
                <w:sz w:val="22"/>
              </w:rPr>
              <w:t xml:space="preserve"> obeh faz v obdobju poročanja še ni pričela izvajati</w:t>
            </w:r>
            <w:r w:rsidRPr="00EA7099">
              <w:rPr>
                <w:sz w:val="22"/>
              </w:rPr>
              <w:t>.</w:t>
            </w:r>
          </w:p>
          <w:p w14:paraId="6C5160CB" w14:textId="77777777" w:rsidR="00662274" w:rsidRPr="00EA7099" w:rsidRDefault="00662274" w:rsidP="00662274">
            <w:pPr>
              <w:rPr>
                <w:sz w:val="22"/>
                <w:u w:val="single"/>
              </w:rPr>
            </w:pPr>
            <w:r w:rsidRPr="00EA7099">
              <w:rPr>
                <w:sz w:val="22"/>
                <w:u w:val="single"/>
              </w:rPr>
              <w:t xml:space="preserve">Izvedbeni ukrep 2c: </w:t>
            </w:r>
          </w:p>
          <w:p w14:paraId="08FB4E0D" w14:textId="77777777" w:rsidR="00662274" w:rsidRPr="00EA7099" w:rsidRDefault="00662274" w:rsidP="00662274">
            <w:pPr>
              <w:rPr>
                <w:sz w:val="22"/>
              </w:rPr>
            </w:pPr>
            <w:r w:rsidRPr="00EA7099">
              <w:rPr>
                <w:sz w:val="22"/>
              </w:rPr>
              <w:t xml:space="preserve">Potekala so </w:t>
            </w:r>
            <w:r w:rsidRPr="00EA7099">
              <w:rPr>
                <w:b/>
                <w:sz w:val="22"/>
              </w:rPr>
              <w:t>usposabljanja</w:t>
            </w:r>
            <w:r w:rsidRPr="00EA7099">
              <w:rPr>
                <w:sz w:val="22"/>
              </w:rPr>
              <w:t xml:space="preserve"> v obliki rednih letnih konzularnih posvetov za vse konzularne uslužbence DKP</w:t>
            </w:r>
            <w:r>
              <w:rPr>
                <w:sz w:val="22"/>
              </w:rPr>
              <w:t xml:space="preserve"> in regionalnih konzularnih posvetov, namenjenih uslužbencem DKP iz določene regije. V obdobju poročanja je bil izveden Letni konzularni posvet 2023 v Ljubljani in regionalni konzularni posvet v Ljubljani in Portorožu aprila 2024. Dodatno predviden regionalni posvet v </w:t>
            </w:r>
            <w:proofErr w:type="spellStart"/>
            <w:r>
              <w:rPr>
                <w:sz w:val="22"/>
              </w:rPr>
              <w:t>Abu</w:t>
            </w:r>
            <w:proofErr w:type="spellEnd"/>
            <w:r>
              <w:rPr>
                <w:sz w:val="22"/>
              </w:rPr>
              <w:t xml:space="preserve"> </w:t>
            </w:r>
            <w:proofErr w:type="spellStart"/>
            <w:r>
              <w:rPr>
                <w:sz w:val="22"/>
              </w:rPr>
              <w:t>Dhabiju</w:t>
            </w:r>
            <w:proofErr w:type="spellEnd"/>
            <w:r>
              <w:rPr>
                <w:sz w:val="22"/>
              </w:rPr>
              <w:t xml:space="preserve"> aprila 2024 je bil zaradi varnostnih razmer odpovedan. T</w:t>
            </w:r>
            <w:r w:rsidRPr="00EA7099">
              <w:rPr>
                <w:sz w:val="22"/>
              </w:rPr>
              <w:t xml:space="preserve">ematike usposabljanj so vključevale predvsem posodobitve pravnega reda EU, </w:t>
            </w:r>
            <w:r>
              <w:rPr>
                <w:sz w:val="22"/>
              </w:rPr>
              <w:t xml:space="preserve">prakso, </w:t>
            </w:r>
            <w:r w:rsidRPr="00EA7099">
              <w:rPr>
                <w:sz w:val="22"/>
              </w:rPr>
              <w:t xml:space="preserve">nove tehnologije, delovne metode na področju vizumov ter prepoznavanje prenarejenih in ponarejenih dokumentov. </w:t>
            </w:r>
          </w:p>
          <w:p w14:paraId="2BEDF768" w14:textId="77777777" w:rsidR="00662274" w:rsidRPr="00EA7099" w:rsidRDefault="00662274" w:rsidP="00662274">
            <w:pPr>
              <w:rPr>
                <w:sz w:val="22"/>
                <w:u w:val="single"/>
              </w:rPr>
            </w:pPr>
            <w:r w:rsidRPr="00EA7099">
              <w:rPr>
                <w:sz w:val="22"/>
                <w:u w:val="single"/>
              </w:rPr>
              <w:t>Operativna podpora:</w:t>
            </w:r>
          </w:p>
          <w:p w14:paraId="6C07C1C5" w14:textId="0D6461C0" w:rsidR="006B4337" w:rsidRPr="00662274" w:rsidRDefault="00662274" w:rsidP="00662274">
            <w:pPr>
              <w:rPr>
                <w:sz w:val="22"/>
              </w:rPr>
            </w:pPr>
            <w:r w:rsidRPr="00EA7099">
              <w:rPr>
                <w:sz w:val="22"/>
              </w:rPr>
              <w:t xml:space="preserve">V okviru SO2 se je operativna podpora usmerjala na </w:t>
            </w:r>
            <w:r w:rsidRPr="00EA7099">
              <w:rPr>
                <w:b/>
                <w:sz w:val="22"/>
              </w:rPr>
              <w:t>stroške zaposlenih, napotenih na DKP</w:t>
            </w:r>
            <w:r w:rsidRPr="00EA7099">
              <w:rPr>
                <w:sz w:val="22"/>
              </w:rPr>
              <w:t>, upoštevana pa je tudi ustrezna podpora vizumskim procesom na sedežu</w:t>
            </w:r>
            <w:r>
              <w:rPr>
                <w:sz w:val="22"/>
              </w:rPr>
              <w:t xml:space="preserve"> MZEZ</w:t>
            </w:r>
            <w:r w:rsidRPr="00EA7099">
              <w:rPr>
                <w:sz w:val="22"/>
              </w:rPr>
              <w:t xml:space="preserve">. Upravičenec MZEZ je v poročevalnem obdobju uveljavljal stroške za šest zaposlenih na </w:t>
            </w:r>
            <w:r>
              <w:rPr>
                <w:sz w:val="22"/>
              </w:rPr>
              <w:t>DKP</w:t>
            </w:r>
            <w:r w:rsidRPr="00EA7099">
              <w:rPr>
                <w:sz w:val="22"/>
              </w:rPr>
              <w:t xml:space="preserve"> v Ankari, Kairu, Moskvi, </w:t>
            </w:r>
            <w:r w:rsidRPr="00EA7099">
              <w:rPr>
                <w:sz w:val="22"/>
              </w:rPr>
              <w:lastRenderedPageBreak/>
              <w:t xml:space="preserve">Pekingu, </w:t>
            </w:r>
            <w:proofErr w:type="spellStart"/>
            <w:r w:rsidRPr="00EA7099">
              <w:rPr>
                <w:sz w:val="22"/>
              </w:rPr>
              <w:t>Abu</w:t>
            </w:r>
            <w:proofErr w:type="spellEnd"/>
            <w:r w:rsidRPr="00EA7099">
              <w:rPr>
                <w:sz w:val="22"/>
              </w:rPr>
              <w:t xml:space="preserve"> </w:t>
            </w:r>
            <w:proofErr w:type="spellStart"/>
            <w:r w:rsidRPr="00EA7099">
              <w:rPr>
                <w:sz w:val="22"/>
              </w:rPr>
              <w:t>Dabiju</w:t>
            </w:r>
            <w:proofErr w:type="spellEnd"/>
            <w:r w:rsidRPr="00EA7099">
              <w:rPr>
                <w:sz w:val="22"/>
              </w:rPr>
              <w:t xml:space="preserve"> in Teheranu ter stroške dela za podporno osebje</w:t>
            </w:r>
            <w:r>
              <w:rPr>
                <w:sz w:val="22"/>
              </w:rPr>
              <w:t xml:space="preserve"> v MZEZ v Ljubljani na področju javnih naročil in vsebinske podpore vizumskemu poslovanju.</w:t>
            </w:r>
          </w:p>
        </w:tc>
      </w:tr>
    </w:tbl>
    <w:p w14:paraId="543BCDE5" w14:textId="77777777" w:rsidR="00AD502C" w:rsidRPr="0019378A" w:rsidRDefault="001C1609" w:rsidP="001C1609">
      <w:pPr>
        <w:pStyle w:val="ManualHeading2"/>
        <w:rPr>
          <w:noProof/>
        </w:rPr>
      </w:pPr>
      <w:r w:rsidRPr="0019378A">
        <w:lastRenderedPageBreak/>
        <w:t>1.2.</w:t>
      </w:r>
      <w:r w:rsidRPr="0019378A">
        <w:tab/>
      </w:r>
      <w:r w:rsidR="00AD502C" w:rsidRPr="0019378A">
        <w:rPr>
          <w:noProof/>
        </w:rPr>
        <w:t>Vprašanja, ki vplivajo na smotrnost – člen 29(2), točka (b), Uredbe (EU) 2021/1148</w:t>
      </w:r>
    </w:p>
    <w:p w14:paraId="1556B558" w14:textId="77777777" w:rsidR="00AD502C" w:rsidRPr="0019378A" w:rsidRDefault="00AD502C" w:rsidP="00AD502C">
      <w:pPr>
        <w:rPr>
          <w:noProof/>
          <w:sz w:val="22"/>
        </w:rPr>
      </w:pPr>
      <w:r w:rsidRPr="0019378A">
        <w:rPr>
          <w:noProof/>
          <w:sz w:val="22"/>
        </w:rPr>
        <w:t xml:space="preserve">Za vsak specifični cilj opišite morebitna vprašanja, ki vplivajo na smotrnost programa med obračunskim letom, in morebitne ukrepe, sprejete za njihovo obravnavo. </w:t>
      </w:r>
    </w:p>
    <w:p w14:paraId="3A77A62B" w14:textId="77777777" w:rsidR="00AD502C" w:rsidRPr="0019378A" w:rsidRDefault="00AD502C" w:rsidP="00AD502C">
      <w:pPr>
        <w:rPr>
          <w:noProof/>
          <w:sz w:val="22"/>
        </w:rPr>
      </w:pPr>
      <w:r w:rsidRPr="0019378A">
        <w:rPr>
          <w:noProof/>
          <w:sz w:val="22"/>
        </w:rPr>
        <w:t>Kadar koli je to mogoče in ustrezno, razlikujte med vprašanji, povezanimi z:</w:t>
      </w:r>
    </w:p>
    <w:p w14:paraId="1B2E981D" w14:textId="77777777" w:rsidR="00AD502C" w:rsidRPr="0019378A" w:rsidRDefault="00AD502C" w:rsidP="00462F73">
      <w:pPr>
        <w:pStyle w:val="Tiret0"/>
        <w:numPr>
          <w:ilvl w:val="0"/>
          <w:numId w:val="10"/>
        </w:numPr>
        <w:rPr>
          <w:noProof/>
          <w:sz w:val="22"/>
        </w:rPr>
      </w:pPr>
      <w:r w:rsidRPr="0019378A">
        <w:rPr>
          <w:noProof/>
          <w:sz w:val="22"/>
        </w:rPr>
        <w:t>nezadostnim poročanjem o dosežkih</w:t>
      </w:r>
      <w:r w:rsidRPr="0019378A">
        <w:rPr>
          <w:rStyle w:val="Sprotnaopomba-sklic"/>
          <w:noProof/>
          <w:sz w:val="22"/>
        </w:rPr>
        <w:footnoteReference w:id="2"/>
      </w:r>
      <w:r w:rsidR="00321F2D" w:rsidRPr="0019378A">
        <w:rPr>
          <w:noProof/>
        </w:rPr>
        <w:t>,</w:t>
      </w:r>
      <w:r w:rsidRPr="0019378A">
        <w:rPr>
          <w:noProof/>
          <w:sz w:val="22"/>
        </w:rPr>
        <w:t xml:space="preserve"> </w:t>
      </w:r>
    </w:p>
    <w:p w14:paraId="658E57DD" w14:textId="77777777" w:rsidR="00AD502C" w:rsidRPr="0019378A" w:rsidRDefault="00AD502C" w:rsidP="00462F73">
      <w:pPr>
        <w:pStyle w:val="Tiret0"/>
        <w:numPr>
          <w:ilvl w:val="0"/>
          <w:numId w:val="10"/>
        </w:numPr>
        <w:rPr>
          <w:noProof/>
          <w:sz w:val="22"/>
        </w:rPr>
      </w:pPr>
      <w:r w:rsidRPr="0019378A">
        <w:rPr>
          <w:noProof/>
          <w:sz w:val="22"/>
        </w:rPr>
        <w:t>določanjem ciljev</w:t>
      </w:r>
      <w:r w:rsidRPr="0019378A">
        <w:rPr>
          <w:rStyle w:val="Sprotnaopomba-sklic"/>
          <w:noProof/>
          <w:sz w:val="22"/>
        </w:rPr>
        <w:footnoteReference w:id="3"/>
      </w:r>
      <w:r w:rsidR="00321F2D" w:rsidRPr="0019378A">
        <w:rPr>
          <w:noProof/>
        </w:rPr>
        <w:t>,</w:t>
      </w:r>
      <w:r w:rsidRPr="0019378A">
        <w:rPr>
          <w:noProof/>
          <w:sz w:val="22"/>
        </w:rPr>
        <w:t xml:space="preserve"> </w:t>
      </w:r>
    </w:p>
    <w:p w14:paraId="20CDB67E" w14:textId="77777777" w:rsidR="00AD502C" w:rsidRPr="0019378A" w:rsidRDefault="00AD502C" w:rsidP="00462F73">
      <w:pPr>
        <w:pStyle w:val="Tiret0"/>
        <w:numPr>
          <w:ilvl w:val="0"/>
          <w:numId w:val="10"/>
        </w:numPr>
        <w:rPr>
          <w:noProof/>
          <w:sz w:val="22"/>
        </w:rPr>
      </w:pPr>
      <w:r w:rsidRPr="0019378A">
        <w:rPr>
          <w:noProof/>
          <w:sz w:val="22"/>
        </w:rPr>
        <w:t>postopkovnimi zamudami in upravnimi zmogljivostmi</w:t>
      </w:r>
      <w:r w:rsidRPr="0019378A">
        <w:rPr>
          <w:rStyle w:val="Sprotnaopomba-sklic"/>
          <w:noProof/>
          <w:sz w:val="22"/>
        </w:rPr>
        <w:footnoteReference w:id="4"/>
      </w:r>
      <w:r w:rsidR="00321F2D" w:rsidRPr="0019378A">
        <w:rPr>
          <w:noProof/>
        </w:rPr>
        <w:t>,</w:t>
      </w:r>
      <w:r w:rsidRPr="0019378A">
        <w:rPr>
          <w:noProof/>
          <w:sz w:val="22"/>
        </w:rPr>
        <w:t xml:space="preserve"> </w:t>
      </w:r>
    </w:p>
    <w:p w14:paraId="0EDEC742" w14:textId="77777777" w:rsidR="00AD502C" w:rsidRPr="0019378A" w:rsidRDefault="00AD502C" w:rsidP="00462F73">
      <w:pPr>
        <w:pStyle w:val="Tiret0"/>
        <w:numPr>
          <w:ilvl w:val="0"/>
          <w:numId w:val="10"/>
        </w:numPr>
        <w:rPr>
          <w:noProof/>
          <w:sz w:val="22"/>
        </w:rPr>
      </w:pPr>
      <w:r w:rsidRPr="0019378A">
        <w:rPr>
          <w:noProof/>
          <w:sz w:val="22"/>
        </w:rPr>
        <w:t>kontekstualnimi spremembami</w:t>
      </w:r>
      <w:r w:rsidRPr="0019378A">
        <w:rPr>
          <w:rStyle w:val="Sprotnaopomba-sklic"/>
          <w:noProof/>
          <w:sz w:val="22"/>
        </w:rPr>
        <w:footnoteReference w:id="5"/>
      </w:r>
      <w:r w:rsidR="00321F2D" w:rsidRPr="0019378A">
        <w:rPr>
          <w:noProof/>
        </w:rPr>
        <w:t>,</w:t>
      </w:r>
    </w:p>
    <w:p w14:paraId="138EED65" w14:textId="77777777" w:rsidR="00AD502C" w:rsidRPr="0019378A" w:rsidRDefault="00AD502C" w:rsidP="00462F73">
      <w:pPr>
        <w:pStyle w:val="Tiret0"/>
        <w:numPr>
          <w:ilvl w:val="0"/>
          <w:numId w:val="10"/>
        </w:numPr>
        <w:rPr>
          <w:noProof/>
          <w:sz w:val="22"/>
        </w:rPr>
      </w:pPr>
      <w:r w:rsidRPr="0019378A">
        <w:rPr>
          <w:noProof/>
          <w:sz w:val="22"/>
        </w:rPr>
        <w:t>zasnovo in/ali izvajanjem operacij</w:t>
      </w:r>
      <w:r w:rsidRPr="0019378A">
        <w:rPr>
          <w:rStyle w:val="Sprotnaopomba-sklic"/>
          <w:noProof/>
          <w:sz w:val="22"/>
        </w:rPr>
        <w:footnoteReference w:id="6"/>
      </w:r>
      <w:r w:rsidRPr="0019378A">
        <w:rPr>
          <w:noProof/>
          <w:sz w:val="22"/>
        </w:rPr>
        <w:t xml:space="preserve"> ter</w:t>
      </w:r>
    </w:p>
    <w:p w14:paraId="6D35FAEE" w14:textId="77777777" w:rsidR="00AD502C" w:rsidRPr="0019378A" w:rsidRDefault="00AD502C" w:rsidP="00462F73">
      <w:pPr>
        <w:pStyle w:val="Tiret0"/>
        <w:numPr>
          <w:ilvl w:val="0"/>
          <w:numId w:val="10"/>
        </w:numPr>
        <w:rPr>
          <w:noProof/>
          <w:sz w:val="22"/>
        </w:rPr>
      </w:pPr>
      <w:r w:rsidRPr="0019378A">
        <w:rPr>
          <w:noProof/>
          <w:sz w:val="22"/>
        </w:rPr>
        <w:t xml:space="preserve">katero koli drugo zadevo. </w:t>
      </w:r>
    </w:p>
    <w:p w14:paraId="4AE861FD" w14:textId="77777777" w:rsidR="00AD502C" w:rsidRPr="0019378A" w:rsidRDefault="00DB17CF" w:rsidP="00151819">
      <w:pPr>
        <w:rPr>
          <w:i/>
          <w:noProof/>
          <w:sz w:val="22"/>
        </w:rPr>
      </w:pPr>
      <w:r w:rsidRPr="0019378A">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14:paraId="5004058B" w14:textId="77777777" w:rsidR="00AD502C" w:rsidRPr="0019378A" w:rsidRDefault="00DB17CF" w:rsidP="00AD502C">
      <w:pPr>
        <w:rPr>
          <w:noProof/>
          <w:sz w:val="22"/>
        </w:rPr>
      </w:pPr>
      <w:r w:rsidRPr="0019378A">
        <w:rPr>
          <w:noProof/>
          <w:sz w:val="22"/>
        </w:rPr>
        <w:t>Vključite informacije o vseh obrazloženih mnenjih Komisije v zvezi s postopki za ugotavljanje kršitev na podlagi člena 258 Pogodbe o delovanju Evropske unije (PDEU), ki so povezana z izvajanjem Instrumenta.</w:t>
      </w:r>
    </w:p>
    <w:tbl>
      <w:tblPr>
        <w:tblStyle w:val="Tabelamrea"/>
        <w:tblW w:w="0" w:type="auto"/>
        <w:tblLook w:val="04A0" w:firstRow="1" w:lastRow="0" w:firstColumn="1" w:lastColumn="0" w:noHBand="0" w:noVBand="1"/>
      </w:tblPr>
      <w:tblGrid>
        <w:gridCol w:w="9063"/>
      </w:tblGrid>
      <w:tr w:rsidR="006240C5" w:rsidRPr="006240C5" w14:paraId="782B4C53" w14:textId="77777777" w:rsidTr="00E45665">
        <w:tc>
          <w:tcPr>
            <w:tcW w:w="9289" w:type="dxa"/>
          </w:tcPr>
          <w:p w14:paraId="11D87445" w14:textId="77777777" w:rsidR="00291D52" w:rsidRPr="00291D52" w:rsidRDefault="00291D52" w:rsidP="00291D52">
            <w:pPr>
              <w:rPr>
                <w:noProof/>
                <w:sz w:val="22"/>
              </w:rPr>
            </w:pPr>
            <w:r w:rsidRPr="00291D52">
              <w:rPr>
                <w:noProof/>
                <w:sz w:val="22"/>
              </w:rPr>
              <w:t xml:space="preserve">Zaradi porabe preostalih/neporabljenih sredstev v okviru programa ISF-B 14-20, poznejše potrditve programa IUMV 21-27, posledično poznejšega začetka izvajanja operacij,  posledic vstopa Republike Hrvaške v Schengensko območje ali spremenjenih potreb pri upravičencih (npr. spremenjene varnostne razmere po svetu) se je OU odločil za posodobitev programa IUMV. </w:t>
            </w:r>
          </w:p>
          <w:p w14:paraId="39150D5E" w14:textId="77777777" w:rsidR="00291D52" w:rsidRPr="00291D52" w:rsidRDefault="00291D52" w:rsidP="00291D52">
            <w:pPr>
              <w:rPr>
                <w:noProof/>
                <w:sz w:val="22"/>
              </w:rPr>
            </w:pPr>
            <w:r w:rsidRPr="00291D52">
              <w:rPr>
                <w:noProof/>
                <w:sz w:val="22"/>
              </w:rPr>
              <w:t xml:space="preserve">Novembra 2024 je bil potrjen program (prenos 5 % sredstev na program SNV). V neformalnem usklajevanju z EK je tudi nova sprememba programa IUMV, ki bo odražala nove potrebe, glede na trenutno stanje, prav tako bodo zajete vsebine, vezane na Pakt o migracijah. Menimo, da bo po potrditvi spremembe programa doseganje zastavljenih ciljev bolj realno. </w:t>
            </w:r>
          </w:p>
          <w:p w14:paraId="042B115A" w14:textId="77777777" w:rsidR="00291D52" w:rsidRPr="00291D52" w:rsidRDefault="00291D52" w:rsidP="00291D52">
            <w:pPr>
              <w:rPr>
                <w:noProof/>
                <w:sz w:val="22"/>
              </w:rPr>
            </w:pPr>
            <w:r w:rsidRPr="00291D52">
              <w:rPr>
                <w:noProof/>
                <w:sz w:val="22"/>
              </w:rPr>
              <w:t>Glede na predvidene spremembe programa IUMV, ki bodo imele za posledico drugačne ciljne vrednosti, ni smiselno poročanje o doseganju ciljnih vrednosti. Menimo, da bo po potrditvi spremembe programa doseganje zastavljenih ciljev bolj realno, kot tudi poročanje.</w:t>
            </w:r>
          </w:p>
          <w:p w14:paraId="162E3D01" w14:textId="47AC024A" w:rsidR="00291D52" w:rsidRPr="00291D52" w:rsidRDefault="00291D52" w:rsidP="00291D52">
            <w:pPr>
              <w:rPr>
                <w:noProof/>
                <w:sz w:val="22"/>
              </w:rPr>
            </w:pPr>
            <w:r w:rsidRPr="00291D52">
              <w:rPr>
                <w:noProof/>
                <w:sz w:val="22"/>
              </w:rPr>
              <w:t xml:space="preserve">Upravičenci v okviru operacij v izvajanju poročajo, da se aktivnosti v veliki meri izvajajo v skladu s potrjeno časovnico, je pa v nekaterih primerih prišlo do ponovitev javnih naročil (zaradi nepopolnih ali neuspešnih ponudb), kar je vodilo do zamikov. Do zamud prihaja tudi zaradi </w:t>
            </w:r>
            <w:r w:rsidR="00D36994">
              <w:rPr>
                <w:noProof/>
                <w:sz w:val="22"/>
              </w:rPr>
              <w:t xml:space="preserve">kadrovskih manjkov, </w:t>
            </w:r>
            <w:r w:rsidR="00D36994">
              <w:rPr>
                <w:noProof/>
                <w:sz w:val="22"/>
              </w:rPr>
              <w:lastRenderedPageBreak/>
              <w:t>predvsem na področju IT</w:t>
            </w:r>
            <w:r w:rsidR="005962DB">
              <w:rPr>
                <w:noProof/>
                <w:sz w:val="22"/>
              </w:rPr>
              <w:t xml:space="preserve">, daljših dobavnih rokov in zaradi </w:t>
            </w:r>
            <w:r w:rsidRPr="00291D52">
              <w:rPr>
                <w:noProof/>
                <w:sz w:val="22"/>
              </w:rPr>
              <w:t>obsežnih tehničnih specifikacij (predvsem na področju informacijskih sistemov) ter zamud na ravni EU (eu-LISA, ETIAS).</w:t>
            </w:r>
          </w:p>
          <w:p w14:paraId="7E615C9F" w14:textId="06E7192C" w:rsidR="001C0998" w:rsidRPr="006240C5" w:rsidRDefault="00291D52" w:rsidP="00291D52">
            <w:pPr>
              <w:rPr>
                <w:noProof/>
                <w:sz w:val="22"/>
              </w:rPr>
            </w:pPr>
            <w:r w:rsidRPr="00291D52">
              <w:rPr>
                <w:noProof/>
                <w:sz w:val="22"/>
              </w:rPr>
              <w:t>OU ne razpolaga z informacijami v zvezi s postopki za ugotavljanje kršitev na podlagi 258. člena Pogodbe o delovanju Evropske unije (PDEU), v povezavi z izvajanjem programa IUMV.</w:t>
            </w:r>
          </w:p>
        </w:tc>
      </w:tr>
    </w:tbl>
    <w:p w14:paraId="301C0311" w14:textId="77777777" w:rsidR="00AD502C" w:rsidRPr="0019378A" w:rsidRDefault="001C1609" w:rsidP="001C1609">
      <w:pPr>
        <w:pStyle w:val="ManualHeading2"/>
        <w:rPr>
          <w:noProof/>
        </w:rPr>
      </w:pPr>
      <w:r w:rsidRPr="0019378A">
        <w:lastRenderedPageBreak/>
        <w:t>1.3.</w:t>
      </w:r>
      <w:r w:rsidRPr="0019378A">
        <w:tab/>
      </w:r>
      <w:r w:rsidR="00AD502C" w:rsidRPr="0019378A">
        <w:rPr>
          <w:noProof/>
        </w:rPr>
        <w:t>Posebni blažilni ukrepi</w:t>
      </w:r>
    </w:p>
    <w:p w14:paraId="3DAE60D8" w14:textId="77777777" w:rsidR="00AD502C" w:rsidRPr="0019378A" w:rsidRDefault="00AD502C" w:rsidP="00AD502C">
      <w:pPr>
        <w:rPr>
          <w:noProof/>
          <w:sz w:val="22"/>
        </w:rPr>
      </w:pPr>
      <w:r w:rsidRPr="0019378A">
        <w:rPr>
          <w:b/>
          <w:noProof/>
          <w:sz w:val="22"/>
        </w:rPr>
        <w:t>Če je ustrezno</w:t>
      </w:r>
      <w:r w:rsidRPr="0019378A">
        <w:rPr>
          <w:noProof/>
          <w:sz w:val="22"/>
        </w:rPr>
        <w:t xml:space="preserve">, na kratko opišite, kako so dejavnosti programa prispevale k ublažitvi učinkov morebitnih relevantnih in nenadnih sprememb pritiska na upravljanje zunanjih meja, ki so posledica kakršnega koli nepredvidenega poslabšanja socialno-ekonomskih ali političnih razmer v tretjih državah, kot je ustrezno. Kadar koli je mogoče, navedite obseg sredstev, prerazporejenih v ta namen, ter s tem povezane dosežene učinke in rezultate. </w:t>
      </w:r>
    </w:p>
    <w:p w14:paraId="65C604C0" w14:textId="77777777" w:rsidR="00AD502C" w:rsidRPr="0019378A" w:rsidRDefault="00AD502C" w:rsidP="00AD502C">
      <w:pPr>
        <w:rPr>
          <w:noProof/>
          <w:sz w:val="22"/>
        </w:rPr>
      </w:pPr>
      <w:r w:rsidRPr="0019378A">
        <w:rPr>
          <w:noProof/>
          <w:sz w:val="22"/>
        </w:rPr>
        <w:t>Posebno pozornost namenite dejavnostim, ki se izvajajo za ublažitev učinkov takih nenadnih sprememb in katerih dosežki morda ne bodo v celoti zajeti s skupnimi kazalniki učinka in rezultatov.</w:t>
      </w:r>
    </w:p>
    <w:tbl>
      <w:tblPr>
        <w:tblStyle w:val="Tabelamrea"/>
        <w:tblW w:w="0" w:type="auto"/>
        <w:tblLook w:val="04A0" w:firstRow="1" w:lastRow="0" w:firstColumn="1" w:lastColumn="0" w:noHBand="0" w:noVBand="1"/>
      </w:tblPr>
      <w:tblGrid>
        <w:gridCol w:w="9063"/>
      </w:tblGrid>
      <w:tr w:rsidR="00AD502C" w:rsidRPr="0019378A" w14:paraId="3E770070" w14:textId="77777777" w:rsidTr="00E45665">
        <w:tc>
          <w:tcPr>
            <w:tcW w:w="9289" w:type="dxa"/>
          </w:tcPr>
          <w:p w14:paraId="78B1221F" w14:textId="38293DF4" w:rsidR="00AD502C" w:rsidRPr="0019378A" w:rsidRDefault="004F202D" w:rsidP="002800DD">
            <w:pPr>
              <w:rPr>
                <w:noProof/>
                <w:sz w:val="22"/>
              </w:rPr>
            </w:pPr>
            <w:r>
              <w:rPr>
                <w:noProof/>
                <w:sz w:val="22"/>
              </w:rPr>
              <w:t xml:space="preserve">Ocenjujemo, da so aktivnosti programa IUMV </w:t>
            </w:r>
            <w:r w:rsidR="001F2147" w:rsidRPr="0019378A">
              <w:rPr>
                <w:noProof/>
                <w:sz w:val="22"/>
              </w:rPr>
              <w:t xml:space="preserve">v </w:t>
            </w:r>
            <w:r w:rsidR="00445597" w:rsidRPr="0019378A">
              <w:rPr>
                <w:noProof/>
                <w:sz w:val="22"/>
              </w:rPr>
              <w:t xml:space="preserve">obračunskem </w:t>
            </w:r>
            <w:r w:rsidR="001F2147" w:rsidRPr="0019378A">
              <w:rPr>
                <w:noProof/>
                <w:sz w:val="22"/>
              </w:rPr>
              <w:t>obdobju</w:t>
            </w:r>
            <w:r w:rsidR="00982A84" w:rsidRPr="0019378A">
              <w:rPr>
                <w:noProof/>
                <w:sz w:val="22"/>
              </w:rPr>
              <w:t xml:space="preserve"> poročanja</w:t>
            </w:r>
            <w:r w:rsidR="001F2147" w:rsidRPr="0019378A">
              <w:rPr>
                <w:noProof/>
                <w:sz w:val="22"/>
              </w:rPr>
              <w:t xml:space="preserve"> </w:t>
            </w:r>
            <w:r w:rsidR="002800DD">
              <w:rPr>
                <w:noProof/>
                <w:sz w:val="22"/>
              </w:rPr>
              <w:t xml:space="preserve">posredno vplivale </w:t>
            </w:r>
            <w:r w:rsidR="002800DD" w:rsidRPr="002800DD">
              <w:rPr>
                <w:noProof/>
                <w:sz w:val="22"/>
              </w:rPr>
              <w:t>k ublažitvi učinkov sprememb pritisk</w:t>
            </w:r>
            <w:r w:rsidR="002800DD">
              <w:rPr>
                <w:noProof/>
                <w:sz w:val="22"/>
              </w:rPr>
              <w:t xml:space="preserve">a na upravljanje zunanjih meja, ki so nastale kot </w:t>
            </w:r>
            <w:r w:rsidR="002800DD" w:rsidRPr="0019378A">
              <w:rPr>
                <w:noProof/>
                <w:sz w:val="22"/>
              </w:rPr>
              <w:t>posledica nepredvidenega poslabšanja socialno-ekonomskih ali političnih razmer v tretjih državah</w:t>
            </w:r>
            <w:r w:rsidR="002800DD" w:rsidRPr="002800DD">
              <w:rPr>
                <w:noProof/>
                <w:sz w:val="22"/>
              </w:rPr>
              <w:t xml:space="preserve"> </w:t>
            </w:r>
            <w:r w:rsidR="002800DD">
              <w:rPr>
                <w:noProof/>
                <w:sz w:val="22"/>
              </w:rPr>
              <w:t>(</w:t>
            </w:r>
            <w:r w:rsidR="002800DD" w:rsidRPr="002800DD">
              <w:rPr>
                <w:noProof/>
                <w:sz w:val="22"/>
              </w:rPr>
              <w:t>npr. zaradi razmer na Bližnjem vzhodu, v Afganistanu, Siriji, Ukrajini</w:t>
            </w:r>
            <w:r w:rsidR="002800DD">
              <w:rPr>
                <w:noProof/>
                <w:sz w:val="22"/>
              </w:rPr>
              <w:t>)</w:t>
            </w:r>
            <w:r w:rsidR="002800DD" w:rsidRPr="002800DD">
              <w:rPr>
                <w:noProof/>
                <w:sz w:val="22"/>
              </w:rPr>
              <w:t xml:space="preserve">, </w:t>
            </w:r>
            <w:r w:rsidR="002800DD">
              <w:rPr>
                <w:noProof/>
                <w:sz w:val="22"/>
              </w:rPr>
              <w:t>vendar za ta namen niso bila prerazporejena sredstva.</w:t>
            </w:r>
          </w:p>
        </w:tc>
      </w:tr>
    </w:tbl>
    <w:p w14:paraId="7658A838" w14:textId="77777777" w:rsidR="00AD502C" w:rsidRPr="0019378A" w:rsidRDefault="001C1609" w:rsidP="001C1609">
      <w:pPr>
        <w:pStyle w:val="ManualHeading2"/>
        <w:rPr>
          <w:noProof/>
        </w:rPr>
      </w:pPr>
      <w:r w:rsidRPr="0019378A">
        <w:t>1.4.</w:t>
      </w:r>
      <w:r w:rsidRPr="0019378A">
        <w:tab/>
      </w:r>
      <w:r w:rsidR="00AD502C" w:rsidRPr="0019378A">
        <w:rPr>
          <w:noProof/>
        </w:rPr>
        <w:t>Operativna podpora – člen 16(3) Uredbe (EU) 2021/1148</w:t>
      </w:r>
    </w:p>
    <w:p w14:paraId="423A5CE3" w14:textId="77777777" w:rsidR="00AD502C" w:rsidRPr="0019378A" w:rsidRDefault="00C62604" w:rsidP="00804A12">
      <w:pPr>
        <w:rPr>
          <w:noProof/>
          <w:sz w:val="22"/>
        </w:rPr>
      </w:pPr>
      <w:r w:rsidRPr="0019378A">
        <w:rPr>
          <w:noProof/>
          <w:sz w:val="22"/>
        </w:rPr>
        <w:t>Če je bila med obračunskim letom uporabljena operativna podpora, opišite, kako je prispevala k doseganju ciljev Instrumenta</w:t>
      </w:r>
      <w:r w:rsidRPr="0019378A">
        <w:rPr>
          <w:rStyle w:val="Sprotnaopomba-sklic"/>
          <w:noProof/>
          <w:sz w:val="22"/>
        </w:rPr>
        <w:footnoteReference w:id="7"/>
      </w:r>
      <w:r w:rsidRPr="0019378A">
        <w:rPr>
          <w:noProof/>
        </w:rPr>
        <w:t>.</w:t>
      </w:r>
      <w:r w:rsidRPr="0019378A">
        <w:rPr>
          <w:noProof/>
          <w:sz w:val="22"/>
        </w:rPr>
        <w:t xml:space="preserve"> </w:t>
      </w:r>
    </w:p>
    <w:p w14:paraId="540A43B6" w14:textId="77777777" w:rsidR="00AD502C" w:rsidRPr="0019378A" w:rsidRDefault="0053671E" w:rsidP="00AD502C">
      <w:pPr>
        <w:rPr>
          <w:noProof/>
          <w:sz w:val="22"/>
        </w:rPr>
      </w:pPr>
      <w:r w:rsidRPr="0019378A">
        <w:rPr>
          <w:noProof/>
          <w:sz w:val="22"/>
        </w:rPr>
        <w:t xml:space="preserve">Pojasnite, ali je bila operativna podpora uporabljena za delovanje in vzdrževanje obsežnih informacijskih sistemov, vključno z Evropskim sistemom za potovalne informacije in odobritve (ETIAS). </w:t>
      </w:r>
    </w:p>
    <w:p w14:paraId="28D46F64" w14:textId="77777777" w:rsidR="00AD502C" w:rsidRPr="0019378A" w:rsidRDefault="00A148D3" w:rsidP="00AD502C">
      <w:pPr>
        <w:rPr>
          <w:noProof/>
          <w:sz w:val="22"/>
        </w:rPr>
      </w:pPr>
      <w:r w:rsidRPr="0019378A">
        <w:rPr>
          <w:noProof/>
          <w:sz w:val="22"/>
        </w:rPr>
        <w:t>Če skupni kumulativni upravičeni stroški operativne podpore za operacije, izbrane za podporo, ob koncu obračunskega leta presegajo 33 % skupnih sredstev, dodeljenih programu, pojasnite razloge za to. Če obstaja tveganje, da bo prag do konca programskega obdobja presežen, opišite predvidene ukrepe za zmanjšanje tveganja.</w:t>
      </w:r>
    </w:p>
    <w:tbl>
      <w:tblPr>
        <w:tblStyle w:val="Tabelamrea"/>
        <w:tblW w:w="0" w:type="auto"/>
        <w:tblLook w:val="04A0" w:firstRow="1" w:lastRow="0" w:firstColumn="1" w:lastColumn="0" w:noHBand="0" w:noVBand="1"/>
      </w:tblPr>
      <w:tblGrid>
        <w:gridCol w:w="9063"/>
      </w:tblGrid>
      <w:tr w:rsidR="00AD502C" w:rsidRPr="0019378A" w14:paraId="25510773" w14:textId="77777777" w:rsidTr="00E45665">
        <w:tc>
          <w:tcPr>
            <w:tcW w:w="9289" w:type="dxa"/>
          </w:tcPr>
          <w:p w14:paraId="0EA00AE1" w14:textId="10BE35E9" w:rsidR="00F37DD7" w:rsidRDefault="00584E8C" w:rsidP="00F37DD7">
            <w:pPr>
              <w:rPr>
                <w:noProof/>
                <w:sz w:val="22"/>
              </w:rPr>
            </w:pPr>
            <w:r w:rsidRPr="00F37DD7">
              <w:rPr>
                <w:noProof/>
                <w:sz w:val="22"/>
              </w:rPr>
              <w:t xml:space="preserve">Slovenija </w:t>
            </w:r>
            <w:r w:rsidR="001772E2" w:rsidRPr="00F37DD7">
              <w:rPr>
                <w:noProof/>
                <w:sz w:val="22"/>
              </w:rPr>
              <w:t xml:space="preserve">je </w:t>
            </w:r>
            <w:r w:rsidRPr="00F37DD7">
              <w:rPr>
                <w:noProof/>
                <w:sz w:val="22"/>
              </w:rPr>
              <w:t>v obračunskem obdobju</w:t>
            </w:r>
            <w:r w:rsidR="00982A84" w:rsidRPr="00F37DD7">
              <w:rPr>
                <w:noProof/>
                <w:sz w:val="22"/>
              </w:rPr>
              <w:t xml:space="preserve"> poročanja</w:t>
            </w:r>
            <w:r w:rsidR="00F37DD7" w:rsidRPr="00F37DD7">
              <w:rPr>
                <w:noProof/>
                <w:sz w:val="22"/>
              </w:rPr>
              <w:t xml:space="preserve"> pričela z izvajanjem načrtovanih aktivnosti</w:t>
            </w:r>
            <w:r w:rsidR="001772E2" w:rsidRPr="00F37DD7">
              <w:rPr>
                <w:noProof/>
                <w:sz w:val="22"/>
              </w:rPr>
              <w:t xml:space="preserve"> s področja operativne podpore</w:t>
            </w:r>
            <w:r w:rsidR="00F37DD7" w:rsidRPr="00F37DD7">
              <w:rPr>
                <w:noProof/>
                <w:sz w:val="22"/>
              </w:rPr>
              <w:t xml:space="preserve">. </w:t>
            </w:r>
            <w:r w:rsidR="00876FAC" w:rsidRPr="00F37DD7">
              <w:rPr>
                <w:noProof/>
                <w:sz w:val="22"/>
              </w:rPr>
              <w:t xml:space="preserve">Gre za </w:t>
            </w:r>
            <w:r w:rsidR="000E64F3" w:rsidRPr="00F37DD7">
              <w:rPr>
                <w:noProof/>
                <w:sz w:val="22"/>
              </w:rPr>
              <w:t>aktivnosti operativne podpore</w:t>
            </w:r>
            <w:r w:rsidR="001772E2" w:rsidRPr="00F37DD7">
              <w:rPr>
                <w:noProof/>
                <w:sz w:val="22"/>
              </w:rPr>
              <w:t xml:space="preserve"> </w:t>
            </w:r>
            <w:r w:rsidR="00392A8C">
              <w:rPr>
                <w:noProof/>
                <w:sz w:val="22"/>
              </w:rPr>
              <w:t xml:space="preserve">izvajanju </w:t>
            </w:r>
            <w:r w:rsidR="001772E2" w:rsidRPr="00F37DD7">
              <w:rPr>
                <w:noProof/>
                <w:sz w:val="22"/>
              </w:rPr>
              <w:t>skupne vizumske politike</w:t>
            </w:r>
            <w:r w:rsidR="00F37DD7">
              <w:rPr>
                <w:noProof/>
                <w:sz w:val="22"/>
              </w:rPr>
              <w:t xml:space="preserve"> (specifični cilj 2)</w:t>
            </w:r>
            <w:r w:rsidR="001772E2" w:rsidRPr="00F37DD7">
              <w:rPr>
                <w:noProof/>
                <w:sz w:val="22"/>
              </w:rPr>
              <w:t xml:space="preserve">, </w:t>
            </w:r>
            <w:r w:rsidR="00BB5A02" w:rsidRPr="00F37DD7">
              <w:rPr>
                <w:noProof/>
                <w:sz w:val="22"/>
              </w:rPr>
              <w:t>ki se nanašajo na stroške</w:t>
            </w:r>
            <w:r w:rsidR="00876FAC" w:rsidRPr="00F37DD7">
              <w:rPr>
                <w:noProof/>
                <w:sz w:val="22"/>
              </w:rPr>
              <w:t xml:space="preserve"> dela zaposlenih v tujini</w:t>
            </w:r>
            <w:r w:rsidR="00BB5A02" w:rsidRPr="00F37DD7">
              <w:rPr>
                <w:noProof/>
                <w:sz w:val="22"/>
              </w:rPr>
              <w:t xml:space="preserve"> (</w:t>
            </w:r>
            <w:r w:rsidR="00392A8C">
              <w:rPr>
                <w:noProof/>
                <w:sz w:val="22"/>
              </w:rPr>
              <w:t>diplomatska predstavništva in konzulati</w:t>
            </w:r>
            <w:r w:rsidR="00BB5A02" w:rsidRPr="00F37DD7">
              <w:rPr>
                <w:noProof/>
                <w:sz w:val="22"/>
              </w:rPr>
              <w:t>)</w:t>
            </w:r>
            <w:r w:rsidR="00876FAC" w:rsidRPr="00F37DD7">
              <w:rPr>
                <w:noProof/>
                <w:sz w:val="22"/>
              </w:rPr>
              <w:t xml:space="preserve"> </w:t>
            </w:r>
            <w:r w:rsidR="00BB5A02" w:rsidRPr="00F37DD7">
              <w:rPr>
                <w:noProof/>
                <w:sz w:val="22"/>
              </w:rPr>
              <w:t xml:space="preserve">in </w:t>
            </w:r>
            <w:r w:rsidR="00392A8C">
              <w:rPr>
                <w:noProof/>
                <w:sz w:val="22"/>
              </w:rPr>
              <w:t xml:space="preserve">v </w:t>
            </w:r>
            <w:r w:rsidR="00BB5A02" w:rsidRPr="00F37DD7">
              <w:rPr>
                <w:noProof/>
                <w:sz w:val="22"/>
              </w:rPr>
              <w:t xml:space="preserve">Sloveniji, </w:t>
            </w:r>
            <w:r w:rsidR="000E64F3" w:rsidRPr="00F37DD7">
              <w:rPr>
                <w:noProof/>
                <w:sz w:val="22"/>
              </w:rPr>
              <w:t xml:space="preserve">ki </w:t>
            </w:r>
            <w:r w:rsidR="007900D3" w:rsidRPr="00F37DD7">
              <w:rPr>
                <w:noProof/>
                <w:sz w:val="22"/>
              </w:rPr>
              <w:t>prispeva</w:t>
            </w:r>
            <w:r w:rsidR="00392A8C">
              <w:rPr>
                <w:noProof/>
                <w:sz w:val="22"/>
              </w:rPr>
              <w:t>jo</w:t>
            </w:r>
            <w:r w:rsidRPr="00F37DD7">
              <w:rPr>
                <w:noProof/>
                <w:sz w:val="22"/>
              </w:rPr>
              <w:t xml:space="preserve"> k</w:t>
            </w:r>
            <w:r w:rsidR="001B0FD1" w:rsidRPr="00F37DD7">
              <w:rPr>
                <w:noProof/>
                <w:sz w:val="22"/>
              </w:rPr>
              <w:t xml:space="preserve"> doseganju ciljev programa IUMV </w:t>
            </w:r>
            <w:r w:rsidR="00BB5A02" w:rsidRPr="00F37DD7">
              <w:rPr>
                <w:noProof/>
                <w:sz w:val="22"/>
              </w:rPr>
              <w:t>na področju skupne vizumske politike.</w:t>
            </w:r>
            <w:r w:rsidR="00F37DD7" w:rsidRPr="00F37DD7">
              <w:rPr>
                <w:noProof/>
                <w:sz w:val="22"/>
              </w:rPr>
              <w:t xml:space="preserve"> </w:t>
            </w:r>
          </w:p>
          <w:p w14:paraId="78C213BC" w14:textId="01AD9470" w:rsidR="00AD502C" w:rsidRPr="00F37DD7" w:rsidRDefault="00F37DD7" w:rsidP="00F37DD7">
            <w:pPr>
              <w:rPr>
                <w:sz w:val="22"/>
              </w:rPr>
            </w:pPr>
            <w:r w:rsidRPr="00F37DD7">
              <w:rPr>
                <w:noProof/>
                <w:sz w:val="22"/>
              </w:rPr>
              <w:t>P</w:t>
            </w:r>
            <w:r w:rsidR="000E33A0">
              <w:rPr>
                <w:noProof/>
                <w:sz w:val="22"/>
              </w:rPr>
              <w:t>oleg</w:t>
            </w:r>
            <w:r>
              <w:rPr>
                <w:noProof/>
                <w:sz w:val="22"/>
              </w:rPr>
              <w:t xml:space="preserve"> tega </w:t>
            </w:r>
            <w:r w:rsidRPr="00F37DD7">
              <w:rPr>
                <w:noProof/>
                <w:sz w:val="22"/>
              </w:rPr>
              <w:t>se izvajajo aktivnosti operativne podpore znotraj specifičnega cilja 1 za v</w:t>
            </w:r>
            <w:proofErr w:type="spellStart"/>
            <w:r w:rsidRPr="00F37DD7">
              <w:rPr>
                <w:sz w:val="22"/>
              </w:rPr>
              <w:t>zdrževanje</w:t>
            </w:r>
            <w:proofErr w:type="spellEnd"/>
            <w:r w:rsidRPr="00F37DD7">
              <w:rPr>
                <w:sz w:val="22"/>
              </w:rPr>
              <w:t xml:space="preserve"> SIS II komunikacijskega vmesnika (SIB) in stroški mejnih policistov, ki izvajajo mejno kontrolo na Postaji letališke policije Brnik in na Postaji pomorske policije Koper.</w:t>
            </w:r>
          </w:p>
          <w:p w14:paraId="487C0D48" w14:textId="1EECAF98" w:rsidR="001B0FD1" w:rsidRPr="00885D87" w:rsidRDefault="001B0FD1" w:rsidP="001B0FD1">
            <w:pPr>
              <w:rPr>
                <w:noProof/>
                <w:color w:val="FF0000"/>
                <w:sz w:val="22"/>
              </w:rPr>
            </w:pPr>
            <w:r w:rsidRPr="00F37DD7">
              <w:rPr>
                <w:noProof/>
                <w:sz w:val="22"/>
              </w:rPr>
              <w:t>V sklopu operativne podpore so načrtovane aktivnosti za delovanje in vzdrževanje obsežnih informacijskih sistemov, vključno z Evropskim sistemom za potovalne informacije in odobritve (ETIAS), vendar se v obračunskem o</w:t>
            </w:r>
            <w:r w:rsidR="000E33A0">
              <w:rPr>
                <w:noProof/>
                <w:sz w:val="22"/>
              </w:rPr>
              <w:t>bdobju še niso pričele izvajati, predvem zaradi zamud na strani centralnega</w:t>
            </w:r>
            <w:r w:rsidR="000E33A0" w:rsidRPr="000E33A0">
              <w:rPr>
                <w:noProof/>
                <w:sz w:val="22"/>
              </w:rPr>
              <w:t xml:space="preserve"> projekt ETIAS</w:t>
            </w:r>
            <w:r w:rsidR="000E33A0">
              <w:rPr>
                <w:noProof/>
                <w:sz w:val="22"/>
              </w:rPr>
              <w:t xml:space="preserve"> (</w:t>
            </w:r>
            <w:r w:rsidR="000E33A0" w:rsidRPr="000E33A0">
              <w:rPr>
                <w:noProof/>
                <w:sz w:val="22"/>
              </w:rPr>
              <w:t>eu-LISA še ni vzpostavila testnega sistema, ki bi omogočil, da preverimo delovanje do zdaj razvite aplikacije s strani zunanjega izvajalca</w:t>
            </w:r>
            <w:r w:rsidR="000E33A0">
              <w:rPr>
                <w:noProof/>
                <w:sz w:val="22"/>
              </w:rPr>
              <w:t>)</w:t>
            </w:r>
            <w:r w:rsidR="000E33A0" w:rsidRPr="000E33A0">
              <w:rPr>
                <w:noProof/>
                <w:sz w:val="22"/>
              </w:rPr>
              <w:t>. Testiranje in razvoj je na nacionalni ravni v teku na podlagi prejete tehnične dokumentacije in predloženega simulatrja eu-LISA.</w:t>
            </w:r>
          </w:p>
          <w:p w14:paraId="5A1651E8" w14:textId="293AF5C6" w:rsidR="001B0FD1" w:rsidRPr="0019378A" w:rsidRDefault="001B0FD1" w:rsidP="00392A8C">
            <w:pPr>
              <w:rPr>
                <w:noProof/>
                <w:sz w:val="22"/>
              </w:rPr>
            </w:pPr>
            <w:r w:rsidRPr="0019378A">
              <w:rPr>
                <w:noProof/>
                <w:sz w:val="22"/>
              </w:rPr>
              <w:t>Glede na načrtovan program in operacije IUMV (potrjene v A</w:t>
            </w:r>
            <w:r w:rsidR="00874AA0" w:rsidRPr="0019378A">
              <w:rPr>
                <w:noProof/>
                <w:sz w:val="22"/>
              </w:rPr>
              <w:t>kcijskem načrtu program</w:t>
            </w:r>
            <w:r w:rsidRPr="0019378A">
              <w:rPr>
                <w:noProof/>
                <w:sz w:val="22"/>
              </w:rPr>
              <w:t>a IUMV</w:t>
            </w:r>
            <w:r w:rsidR="00874AA0" w:rsidRPr="0019378A">
              <w:rPr>
                <w:noProof/>
                <w:sz w:val="22"/>
              </w:rPr>
              <w:t xml:space="preserve">) </w:t>
            </w:r>
            <w:r w:rsidRPr="0019378A">
              <w:rPr>
                <w:noProof/>
                <w:sz w:val="22"/>
              </w:rPr>
              <w:t xml:space="preserve">skupni kumulativni upravičeni stroški operativne podpore </w:t>
            </w:r>
            <w:r w:rsidR="00B1711F">
              <w:rPr>
                <w:noProof/>
                <w:sz w:val="22"/>
              </w:rPr>
              <w:t xml:space="preserve">predvidoma </w:t>
            </w:r>
            <w:r w:rsidRPr="0019378A">
              <w:rPr>
                <w:noProof/>
                <w:sz w:val="22"/>
              </w:rPr>
              <w:t>ne bodo presegali</w:t>
            </w:r>
            <w:r w:rsidR="00874AA0" w:rsidRPr="0019378A">
              <w:rPr>
                <w:noProof/>
                <w:sz w:val="22"/>
              </w:rPr>
              <w:t xml:space="preserve"> 33 % skupnih sredstev</w:t>
            </w:r>
            <w:r w:rsidR="00392A8C">
              <w:rPr>
                <w:noProof/>
                <w:sz w:val="22"/>
              </w:rPr>
              <w:t>,</w:t>
            </w:r>
            <w:r w:rsidR="00874AA0" w:rsidRPr="0019378A">
              <w:rPr>
                <w:noProof/>
                <w:sz w:val="22"/>
              </w:rPr>
              <w:t xml:space="preserve"> </w:t>
            </w:r>
            <w:r w:rsidRPr="0019378A">
              <w:rPr>
                <w:noProof/>
                <w:sz w:val="22"/>
              </w:rPr>
              <w:t xml:space="preserve">dodeljenih programu. </w:t>
            </w:r>
          </w:p>
        </w:tc>
      </w:tr>
    </w:tbl>
    <w:p w14:paraId="30979C46" w14:textId="77777777" w:rsidR="00AD502C" w:rsidRPr="0019378A" w:rsidRDefault="001C1609" w:rsidP="001C1609">
      <w:pPr>
        <w:pStyle w:val="ManualHeading2"/>
        <w:rPr>
          <w:noProof/>
        </w:rPr>
      </w:pPr>
      <w:r w:rsidRPr="0019378A">
        <w:t>1.5.</w:t>
      </w:r>
      <w:r w:rsidRPr="0019378A">
        <w:tab/>
      </w:r>
      <w:r w:rsidR="00AD502C" w:rsidRPr="0019378A">
        <w:rPr>
          <w:noProof/>
        </w:rPr>
        <w:t>Posebni ukrepi</w:t>
      </w:r>
      <w:r w:rsidR="00AD502C" w:rsidRPr="0019378A">
        <w:rPr>
          <w:rStyle w:val="Sprotnaopomba-sklic"/>
          <w:noProof/>
        </w:rPr>
        <w:footnoteReference w:id="8"/>
      </w:r>
      <w:r w:rsidR="00AD502C" w:rsidRPr="0019378A">
        <w:rPr>
          <w:noProof/>
        </w:rPr>
        <w:t xml:space="preserve"> </w:t>
      </w:r>
    </w:p>
    <w:p w14:paraId="4352E692" w14:textId="77777777" w:rsidR="00AD502C" w:rsidRPr="0019378A" w:rsidRDefault="00BC5F3E" w:rsidP="00AD502C">
      <w:pPr>
        <w:rPr>
          <w:noProof/>
          <w:sz w:val="22"/>
        </w:rPr>
      </w:pPr>
      <w:r w:rsidRPr="0019378A">
        <w:rPr>
          <w:noProof/>
          <w:sz w:val="22"/>
        </w:rPr>
        <w:t>Opišite glavne dosežke vseh posebnih ukrepov, izvedenih med obračunskim letom, ter kako so ti ukrepi prispevali k doseganju ciljev programa in ustvarjanju dodane vrednosti Unije</w:t>
      </w:r>
      <w:r w:rsidRPr="0019378A">
        <w:rPr>
          <w:rStyle w:val="Sprotnaopomba-sklic"/>
          <w:noProof/>
          <w:sz w:val="22"/>
        </w:rPr>
        <w:footnoteReference w:id="9"/>
      </w:r>
      <w:r w:rsidRPr="0019378A">
        <w:rPr>
          <w:noProof/>
          <w:sz w:val="22"/>
        </w:rPr>
        <w:t xml:space="preserve">. </w:t>
      </w:r>
    </w:p>
    <w:p w14:paraId="5E645145" w14:textId="77777777" w:rsidR="00E45982" w:rsidRPr="0019378A" w:rsidRDefault="00BC5F3E" w:rsidP="00AD502C">
      <w:pPr>
        <w:rPr>
          <w:noProof/>
          <w:sz w:val="22"/>
        </w:rPr>
      </w:pPr>
      <w:r w:rsidRPr="0019378A">
        <w:rPr>
          <w:noProof/>
          <w:sz w:val="22"/>
        </w:rPr>
        <w:t>Opišite, kako so posamezni ukrepi napredovali, tako postopkovno</w:t>
      </w:r>
      <w:r w:rsidRPr="0019378A">
        <w:rPr>
          <w:rStyle w:val="Sprotnaopomba-sklic"/>
          <w:noProof/>
          <w:sz w:val="22"/>
        </w:rPr>
        <w:footnoteReference w:id="10"/>
      </w:r>
      <w:r w:rsidRPr="0019378A">
        <w:rPr>
          <w:noProof/>
          <w:sz w:val="22"/>
        </w:rPr>
        <w:t xml:space="preserve"> kot operativno</w:t>
      </w:r>
      <w:r w:rsidRPr="0019378A">
        <w:rPr>
          <w:rStyle w:val="Sprotnaopomba-sklic"/>
          <w:noProof/>
          <w:sz w:val="22"/>
        </w:rPr>
        <w:footnoteReference w:id="11"/>
      </w:r>
      <w:r w:rsidRPr="0019378A">
        <w:rPr>
          <w:noProof/>
          <w:sz w:val="22"/>
        </w:rPr>
        <w:t xml:space="preserve">, in izpostavite morebitna vprašanja, ki vplivajo na njihovo uspešnost, zlasti morebitno tveganje premajhne porabe. </w:t>
      </w:r>
    </w:p>
    <w:p w14:paraId="498EA2ED" w14:textId="77777777" w:rsidR="00AD502C" w:rsidRPr="0019378A" w:rsidRDefault="00AD502C" w:rsidP="00AD502C">
      <w:pPr>
        <w:rPr>
          <w:noProof/>
        </w:rPr>
      </w:pPr>
      <w:r w:rsidRPr="0019378A">
        <w:rPr>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AD502C" w:rsidRPr="0019378A" w14:paraId="15E886B5" w14:textId="77777777" w:rsidTr="00E45665">
        <w:tc>
          <w:tcPr>
            <w:tcW w:w="9289" w:type="dxa"/>
          </w:tcPr>
          <w:p w14:paraId="000D364B" w14:textId="77777777" w:rsidR="00AD502C" w:rsidRPr="00420EC1" w:rsidRDefault="008C62C8" w:rsidP="00EA113A">
            <w:pPr>
              <w:pStyle w:val="Personnequisigne"/>
              <w:jc w:val="both"/>
              <w:rPr>
                <w:noProof/>
              </w:rPr>
            </w:pPr>
            <w:r w:rsidRPr="00420EC1">
              <w:rPr>
                <w:i w:val="0"/>
                <w:noProof/>
                <w:sz w:val="22"/>
              </w:rPr>
              <w:t>Slovenija v obračunskem obdobju poročanja v program IUMV ni vključila posebnih ukrepov.</w:t>
            </w:r>
          </w:p>
        </w:tc>
      </w:tr>
    </w:tbl>
    <w:p w14:paraId="14848EB9" w14:textId="77777777" w:rsidR="00AD502C" w:rsidRPr="0019378A" w:rsidRDefault="0049684A" w:rsidP="002D571C">
      <w:pPr>
        <w:rPr>
          <w:noProof/>
          <w:sz w:val="22"/>
        </w:rPr>
      </w:pPr>
      <w:r w:rsidRPr="0019378A">
        <w:rPr>
          <w:noProof/>
          <w:sz w:val="22"/>
        </w:rPr>
        <w:t>V spodnjo preglednico vpišite podrobnosti o vseh posebnih nacionalnih ukrepih, ki se izvajajo v okviru programa. Poročanje o posebnih nadnacionalnih ukrepih bi moralo biti skladno z izbrano možnostjo poročanja</w:t>
      </w:r>
      <w:r w:rsidRPr="0019378A">
        <w:rPr>
          <w:rStyle w:val="Sprotnaopomba-sklic"/>
          <w:noProof/>
          <w:sz w:val="22"/>
        </w:rPr>
        <w:footnoteReference w:id="12"/>
      </w:r>
      <w:r w:rsidRPr="0019378A">
        <w:rPr>
          <w:noProof/>
          <w:sz w:val="22"/>
        </w:rPr>
        <w:t xml:space="preserve">. </w:t>
      </w:r>
    </w:p>
    <w:tbl>
      <w:tblPr>
        <w:tblStyle w:val="Tabelamrea"/>
        <w:tblW w:w="9242" w:type="dxa"/>
        <w:tblLayout w:type="fixed"/>
        <w:tblCellMar>
          <w:left w:w="28" w:type="dxa"/>
          <w:right w:w="28" w:type="dxa"/>
        </w:tblCellMar>
        <w:tblLook w:val="04A0" w:firstRow="1" w:lastRow="0" w:firstColumn="1" w:lastColumn="0" w:noHBand="0" w:noVBand="1"/>
      </w:tblPr>
      <w:tblGrid>
        <w:gridCol w:w="879"/>
        <w:gridCol w:w="992"/>
        <w:gridCol w:w="1134"/>
        <w:gridCol w:w="992"/>
        <w:gridCol w:w="993"/>
        <w:gridCol w:w="1134"/>
        <w:gridCol w:w="1417"/>
        <w:gridCol w:w="1701"/>
      </w:tblGrid>
      <w:tr w:rsidR="00AD502C" w:rsidRPr="0019378A" w14:paraId="540DB0A6" w14:textId="77777777" w:rsidTr="008F5019">
        <w:trPr>
          <w:trHeight w:val="431"/>
        </w:trPr>
        <w:tc>
          <w:tcPr>
            <w:tcW w:w="879" w:type="dxa"/>
            <w:vMerge w:val="restart"/>
            <w:vAlign w:val="center"/>
          </w:tcPr>
          <w:p w14:paraId="3C63FC7C" w14:textId="77777777" w:rsidR="00AD502C" w:rsidRPr="0019378A" w:rsidRDefault="00AD502C" w:rsidP="00AD502C">
            <w:pPr>
              <w:rPr>
                <w:noProof/>
                <w:sz w:val="20"/>
              </w:rPr>
            </w:pPr>
            <w:r w:rsidRPr="0019378A">
              <w:rPr>
                <w:noProof/>
                <w:sz w:val="20"/>
              </w:rPr>
              <w:t>Specifični cilj</w:t>
            </w:r>
          </w:p>
        </w:tc>
        <w:tc>
          <w:tcPr>
            <w:tcW w:w="992" w:type="dxa"/>
            <w:vMerge w:val="restart"/>
            <w:vAlign w:val="center"/>
          </w:tcPr>
          <w:p w14:paraId="62D9E7F2" w14:textId="77777777" w:rsidR="00AD502C" w:rsidRPr="0019378A" w:rsidRDefault="00AD502C" w:rsidP="00AD502C">
            <w:pPr>
              <w:rPr>
                <w:noProof/>
                <w:sz w:val="20"/>
              </w:rPr>
            </w:pPr>
            <w:r w:rsidRPr="0019378A">
              <w:rPr>
                <w:noProof/>
                <w:sz w:val="20"/>
              </w:rPr>
              <w:t>Ime</w:t>
            </w:r>
            <w:r w:rsidR="00F4010A" w:rsidRPr="0019378A">
              <w:rPr>
                <w:noProof/>
                <w:sz w:val="20"/>
              </w:rPr>
              <w:t> </w:t>
            </w:r>
            <w:r w:rsidRPr="0019378A">
              <w:rPr>
                <w:noProof/>
                <w:sz w:val="20"/>
              </w:rPr>
              <w:t>/</w:t>
            </w:r>
            <w:r w:rsidR="00F4010A" w:rsidRPr="0019378A">
              <w:rPr>
                <w:noProof/>
                <w:sz w:val="20"/>
              </w:rPr>
              <w:t xml:space="preserve"> </w:t>
            </w:r>
            <w:r w:rsidRPr="0019378A">
              <w:rPr>
                <w:noProof/>
                <w:sz w:val="20"/>
              </w:rPr>
              <w:t>referenčna številka ukrepa</w:t>
            </w:r>
          </w:p>
        </w:tc>
        <w:tc>
          <w:tcPr>
            <w:tcW w:w="1134" w:type="dxa"/>
            <w:vMerge w:val="restart"/>
            <w:vAlign w:val="center"/>
          </w:tcPr>
          <w:p w14:paraId="5CA420CE" w14:textId="77777777" w:rsidR="00AD502C" w:rsidRPr="0019378A" w:rsidRDefault="00AD502C" w:rsidP="00AD502C">
            <w:pPr>
              <w:rPr>
                <w:noProof/>
                <w:sz w:val="20"/>
              </w:rPr>
            </w:pPr>
            <w:r w:rsidRPr="0019378A">
              <w:rPr>
                <w:noProof/>
                <w:sz w:val="20"/>
              </w:rPr>
              <w:t>Upravičenec</w:t>
            </w:r>
          </w:p>
        </w:tc>
        <w:tc>
          <w:tcPr>
            <w:tcW w:w="992" w:type="dxa"/>
            <w:vMerge w:val="restart"/>
            <w:vAlign w:val="center"/>
          </w:tcPr>
          <w:p w14:paraId="1F8B5C46" w14:textId="77777777" w:rsidR="00AD502C" w:rsidRPr="0019378A" w:rsidRDefault="00AD502C" w:rsidP="00AD502C">
            <w:pPr>
              <w:rPr>
                <w:noProof/>
                <w:sz w:val="20"/>
              </w:rPr>
            </w:pPr>
            <w:r w:rsidRPr="0019378A">
              <w:rPr>
                <w:noProof/>
                <w:sz w:val="20"/>
              </w:rPr>
              <w:t>Obdobje izvajanja</w:t>
            </w:r>
          </w:p>
        </w:tc>
        <w:tc>
          <w:tcPr>
            <w:tcW w:w="993" w:type="dxa"/>
            <w:vMerge w:val="restart"/>
            <w:vAlign w:val="center"/>
          </w:tcPr>
          <w:p w14:paraId="405FB050" w14:textId="77777777" w:rsidR="00AD502C" w:rsidRPr="0019378A" w:rsidRDefault="00AD502C" w:rsidP="009F716C">
            <w:pPr>
              <w:rPr>
                <w:noProof/>
                <w:sz w:val="20"/>
              </w:rPr>
            </w:pPr>
            <w:r w:rsidRPr="0019378A">
              <w:rPr>
                <w:noProof/>
                <w:sz w:val="20"/>
              </w:rPr>
              <w:t>Upravičeni stroški</w:t>
            </w:r>
            <w:r w:rsidRPr="0019378A">
              <w:rPr>
                <w:rStyle w:val="Sprotnaopomba-sklic"/>
                <w:noProof/>
                <w:sz w:val="20"/>
              </w:rPr>
              <w:footnoteReference w:id="13"/>
            </w:r>
          </w:p>
        </w:tc>
        <w:tc>
          <w:tcPr>
            <w:tcW w:w="1134" w:type="dxa"/>
            <w:vMerge w:val="restart"/>
            <w:vAlign w:val="center"/>
          </w:tcPr>
          <w:p w14:paraId="31FBC075" w14:textId="77777777" w:rsidR="00AD502C" w:rsidRPr="0019378A" w:rsidRDefault="00AD502C" w:rsidP="009F716C">
            <w:pPr>
              <w:rPr>
                <w:noProof/>
                <w:sz w:val="20"/>
              </w:rPr>
            </w:pPr>
            <w:r w:rsidRPr="0019378A">
              <w:rPr>
                <w:noProof/>
                <w:sz w:val="20"/>
              </w:rPr>
              <w:t>Upravičeni izdatki</w:t>
            </w:r>
            <w:r w:rsidRPr="0019378A">
              <w:rPr>
                <w:rStyle w:val="Sprotnaopomba-sklic"/>
                <w:noProof/>
                <w:sz w:val="20"/>
              </w:rPr>
              <w:footnoteReference w:id="14"/>
            </w:r>
          </w:p>
        </w:tc>
        <w:tc>
          <w:tcPr>
            <w:tcW w:w="3118" w:type="dxa"/>
            <w:gridSpan w:val="2"/>
            <w:vAlign w:val="center"/>
          </w:tcPr>
          <w:p w14:paraId="221328B7" w14:textId="77777777" w:rsidR="00AD502C" w:rsidRPr="0019378A" w:rsidRDefault="00AD502C" w:rsidP="009F716C">
            <w:pPr>
              <w:rPr>
                <w:noProof/>
                <w:sz w:val="20"/>
              </w:rPr>
            </w:pPr>
            <w:r w:rsidRPr="0019378A">
              <w:rPr>
                <w:noProof/>
                <w:sz w:val="20"/>
              </w:rPr>
              <w:t>Napredek pri ustreznih skupnih kazalnikih in/ali kazalnikih za posamezne programe</w:t>
            </w:r>
            <w:r w:rsidRPr="0019378A">
              <w:rPr>
                <w:rStyle w:val="Sprotnaopomba-sklic"/>
                <w:noProof/>
                <w:sz w:val="20"/>
              </w:rPr>
              <w:footnoteReference w:id="15"/>
            </w:r>
          </w:p>
        </w:tc>
      </w:tr>
      <w:tr w:rsidR="00AD502C" w:rsidRPr="0019378A" w14:paraId="50627674" w14:textId="77777777" w:rsidTr="00C401C7">
        <w:tc>
          <w:tcPr>
            <w:tcW w:w="879" w:type="dxa"/>
            <w:vMerge/>
            <w:vAlign w:val="center"/>
          </w:tcPr>
          <w:p w14:paraId="2C3EA4AD" w14:textId="77777777" w:rsidR="00AD502C" w:rsidRPr="0019378A" w:rsidRDefault="00AD502C" w:rsidP="00AD502C">
            <w:pPr>
              <w:rPr>
                <w:noProof/>
                <w:sz w:val="20"/>
              </w:rPr>
            </w:pPr>
          </w:p>
        </w:tc>
        <w:tc>
          <w:tcPr>
            <w:tcW w:w="992" w:type="dxa"/>
            <w:vMerge/>
            <w:vAlign w:val="center"/>
          </w:tcPr>
          <w:p w14:paraId="7A40488D" w14:textId="77777777" w:rsidR="00AD502C" w:rsidRPr="0019378A" w:rsidRDefault="00AD502C" w:rsidP="00AD502C">
            <w:pPr>
              <w:rPr>
                <w:noProof/>
                <w:sz w:val="20"/>
              </w:rPr>
            </w:pPr>
          </w:p>
        </w:tc>
        <w:tc>
          <w:tcPr>
            <w:tcW w:w="1134" w:type="dxa"/>
            <w:vMerge/>
            <w:vAlign w:val="center"/>
          </w:tcPr>
          <w:p w14:paraId="0F2C42E9" w14:textId="77777777" w:rsidR="00AD502C" w:rsidRPr="0019378A" w:rsidRDefault="00AD502C" w:rsidP="00AD502C">
            <w:pPr>
              <w:rPr>
                <w:noProof/>
                <w:sz w:val="20"/>
              </w:rPr>
            </w:pPr>
          </w:p>
        </w:tc>
        <w:tc>
          <w:tcPr>
            <w:tcW w:w="992" w:type="dxa"/>
            <w:vMerge/>
            <w:vAlign w:val="center"/>
          </w:tcPr>
          <w:p w14:paraId="300F9786" w14:textId="77777777" w:rsidR="00AD502C" w:rsidRPr="0019378A" w:rsidRDefault="00AD502C" w:rsidP="00AD502C">
            <w:pPr>
              <w:rPr>
                <w:noProof/>
                <w:sz w:val="20"/>
              </w:rPr>
            </w:pPr>
          </w:p>
        </w:tc>
        <w:tc>
          <w:tcPr>
            <w:tcW w:w="993" w:type="dxa"/>
            <w:vMerge/>
            <w:vAlign w:val="center"/>
          </w:tcPr>
          <w:p w14:paraId="6134AFF7" w14:textId="77777777" w:rsidR="00AD502C" w:rsidRPr="0019378A" w:rsidRDefault="00AD502C" w:rsidP="00AD502C">
            <w:pPr>
              <w:rPr>
                <w:noProof/>
                <w:sz w:val="20"/>
              </w:rPr>
            </w:pPr>
          </w:p>
        </w:tc>
        <w:tc>
          <w:tcPr>
            <w:tcW w:w="1134" w:type="dxa"/>
            <w:vMerge/>
            <w:vAlign w:val="center"/>
          </w:tcPr>
          <w:p w14:paraId="3D4F9117" w14:textId="77777777" w:rsidR="00AD502C" w:rsidRPr="0019378A" w:rsidRDefault="00AD502C" w:rsidP="00AD502C">
            <w:pPr>
              <w:rPr>
                <w:noProof/>
                <w:sz w:val="20"/>
              </w:rPr>
            </w:pPr>
          </w:p>
        </w:tc>
        <w:tc>
          <w:tcPr>
            <w:tcW w:w="1417" w:type="dxa"/>
            <w:vAlign w:val="center"/>
          </w:tcPr>
          <w:p w14:paraId="307DEA96" w14:textId="77777777" w:rsidR="00AD502C" w:rsidRPr="0019378A" w:rsidRDefault="00AD502C" w:rsidP="00AD502C">
            <w:pPr>
              <w:rPr>
                <w:noProof/>
                <w:sz w:val="20"/>
              </w:rPr>
            </w:pPr>
            <w:r w:rsidRPr="0019378A">
              <w:rPr>
                <w:noProof/>
                <w:sz w:val="20"/>
              </w:rPr>
              <w:t>kazalniki učinka</w:t>
            </w:r>
          </w:p>
        </w:tc>
        <w:tc>
          <w:tcPr>
            <w:tcW w:w="1701" w:type="dxa"/>
            <w:vAlign w:val="center"/>
          </w:tcPr>
          <w:p w14:paraId="699D3E0D" w14:textId="77777777" w:rsidR="00AD502C" w:rsidRPr="0019378A" w:rsidRDefault="00AD502C" w:rsidP="00AD502C">
            <w:pPr>
              <w:rPr>
                <w:noProof/>
                <w:sz w:val="20"/>
              </w:rPr>
            </w:pPr>
            <w:r w:rsidRPr="0019378A">
              <w:rPr>
                <w:noProof/>
                <w:sz w:val="20"/>
              </w:rPr>
              <w:t>kazalniki rezultatov</w:t>
            </w:r>
          </w:p>
        </w:tc>
      </w:tr>
      <w:tr w:rsidR="00AD502C" w:rsidRPr="0019378A" w14:paraId="6F99BCB5" w14:textId="77777777" w:rsidTr="00C401C7">
        <w:tc>
          <w:tcPr>
            <w:tcW w:w="879" w:type="dxa"/>
            <w:vAlign w:val="center"/>
          </w:tcPr>
          <w:p w14:paraId="6C671209" w14:textId="77777777" w:rsidR="00AD502C" w:rsidRPr="0019378A" w:rsidRDefault="00C22D54" w:rsidP="00E45665">
            <w:pPr>
              <w:pStyle w:val="Institutionquisigne"/>
              <w:spacing w:before="0"/>
              <w:jc w:val="center"/>
              <w:rPr>
                <w:i w:val="0"/>
                <w:noProof/>
                <w:sz w:val="22"/>
              </w:rPr>
            </w:pPr>
            <w:r w:rsidRPr="0019378A">
              <w:rPr>
                <w:i w:val="0"/>
                <w:noProof/>
                <w:sz w:val="22"/>
              </w:rPr>
              <w:t>/</w:t>
            </w:r>
          </w:p>
        </w:tc>
        <w:tc>
          <w:tcPr>
            <w:tcW w:w="992" w:type="dxa"/>
            <w:vAlign w:val="center"/>
          </w:tcPr>
          <w:p w14:paraId="492BD190" w14:textId="77777777" w:rsidR="00AD502C" w:rsidRPr="0019378A" w:rsidRDefault="00C22D54" w:rsidP="00E45665">
            <w:pPr>
              <w:pStyle w:val="Institutionquisigne"/>
              <w:spacing w:before="0"/>
              <w:jc w:val="center"/>
              <w:rPr>
                <w:noProof/>
              </w:rPr>
            </w:pPr>
            <w:r w:rsidRPr="0019378A">
              <w:rPr>
                <w:noProof/>
              </w:rPr>
              <w:t>/</w:t>
            </w:r>
          </w:p>
        </w:tc>
        <w:tc>
          <w:tcPr>
            <w:tcW w:w="1134" w:type="dxa"/>
          </w:tcPr>
          <w:p w14:paraId="3113698A" w14:textId="77777777" w:rsidR="00AD502C" w:rsidRPr="0019378A" w:rsidRDefault="00C22D54" w:rsidP="00E45665">
            <w:pPr>
              <w:pStyle w:val="Institutionquisigne"/>
              <w:spacing w:before="0"/>
              <w:jc w:val="center"/>
              <w:rPr>
                <w:noProof/>
              </w:rPr>
            </w:pPr>
            <w:r w:rsidRPr="0019378A">
              <w:rPr>
                <w:noProof/>
              </w:rPr>
              <w:t>/</w:t>
            </w:r>
          </w:p>
        </w:tc>
        <w:tc>
          <w:tcPr>
            <w:tcW w:w="992" w:type="dxa"/>
          </w:tcPr>
          <w:p w14:paraId="50C4A002" w14:textId="77777777" w:rsidR="00AD502C" w:rsidRPr="0019378A" w:rsidRDefault="00C22D54" w:rsidP="00E45665">
            <w:pPr>
              <w:pStyle w:val="Institutionquisigne"/>
              <w:spacing w:before="0"/>
              <w:jc w:val="center"/>
              <w:rPr>
                <w:noProof/>
              </w:rPr>
            </w:pPr>
            <w:r w:rsidRPr="0019378A">
              <w:rPr>
                <w:noProof/>
              </w:rPr>
              <w:t>/</w:t>
            </w:r>
          </w:p>
        </w:tc>
        <w:tc>
          <w:tcPr>
            <w:tcW w:w="993" w:type="dxa"/>
          </w:tcPr>
          <w:p w14:paraId="223B5481" w14:textId="77777777" w:rsidR="00AD502C" w:rsidRPr="0019378A" w:rsidRDefault="00C22D54" w:rsidP="00E45665">
            <w:pPr>
              <w:pStyle w:val="Institutionquisigne"/>
              <w:spacing w:before="0"/>
              <w:jc w:val="center"/>
              <w:rPr>
                <w:noProof/>
              </w:rPr>
            </w:pPr>
            <w:r w:rsidRPr="0019378A">
              <w:rPr>
                <w:noProof/>
              </w:rPr>
              <w:t>/</w:t>
            </w:r>
          </w:p>
        </w:tc>
        <w:tc>
          <w:tcPr>
            <w:tcW w:w="1134" w:type="dxa"/>
          </w:tcPr>
          <w:p w14:paraId="5925A24B" w14:textId="77777777" w:rsidR="00AD502C" w:rsidRPr="0019378A" w:rsidRDefault="00C22D54" w:rsidP="00E45665">
            <w:pPr>
              <w:pStyle w:val="Institutionquisigne"/>
              <w:spacing w:before="0"/>
              <w:jc w:val="center"/>
              <w:rPr>
                <w:noProof/>
              </w:rPr>
            </w:pPr>
            <w:r w:rsidRPr="0019378A">
              <w:rPr>
                <w:noProof/>
              </w:rPr>
              <w:t>/</w:t>
            </w:r>
          </w:p>
        </w:tc>
        <w:tc>
          <w:tcPr>
            <w:tcW w:w="1417" w:type="dxa"/>
          </w:tcPr>
          <w:p w14:paraId="13CFF163" w14:textId="77777777" w:rsidR="00AD502C" w:rsidRPr="0019378A" w:rsidRDefault="00C22D54" w:rsidP="00E45665">
            <w:pPr>
              <w:pStyle w:val="Institutionquisigne"/>
              <w:spacing w:before="0"/>
              <w:jc w:val="center"/>
              <w:rPr>
                <w:i w:val="0"/>
                <w:noProof/>
                <w:sz w:val="20"/>
              </w:rPr>
            </w:pPr>
            <w:r w:rsidRPr="0019378A">
              <w:rPr>
                <w:i w:val="0"/>
                <w:noProof/>
                <w:sz w:val="20"/>
              </w:rPr>
              <w:t>/</w:t>
            </w:r>
          </w:p>
        </w:tc>
        <w:tc>
          <w:tcPr>
            <w:tcW w:w="1701" w:type="dxa"/>
          </w:tcPr>
          <w:p w14:paraId="2B6C2A26" w14:textId="77777777" w:rsidR="00AD502C" w:rsidRPr="0019378A" w:rsidRDefault="00C22D54" w:rsidP="00E45665">
            <w:pPr>
              <w:pStyle w:val="Institutionquisigne"/>
              <w:spacing w:before="0"/>
              <w:jc w:val="center"/>
              <w:rPr>
                <w:i w:val="0"/>
                <w:noProof/>
                <w:sz w:val="20"/>
              </w:rPr>
            </w:pPr>
            <w:r w:rsidRPr="0019378A">
              <w:rPr>
                <w:i w:val="0"/>
                <w:noProof/>
                <w:sz w:val="20"/>
              </w:rPr>
              <w:t>/</w:t>
            </w:r>
          </w:p>
        </w:tc>
      </w:tr>
    </w:tbl>
    <w:p w14:paraId="77E961D6" w14:textId="77777777" w:rsidR="00AD502C" w:rsidRPr="0019378A" w:rsidRDefault="001C1609" w:rsidP="001C1609">
      <w:pPr>
        <w:pStyle w:val="ManualHeading2"/>
        <w:rPr>
          <w:noProof/>
        </w:rPr>
      </w:pPr>
      <w:r w:rsidRPr="0019378A">
        <w:t>1.6.</w:t>
      </w:r>
      <w:r w:rsidRPr="0019378A">
        <w:tab/>
      </w:r>
      <w:r w:rsidR="00AD502C" w:rsidRPr="0019378A">
        <w:rPr>
          <w:noProof/>
        </w:rPr>
        <w:t>ETIAS – člen 29(2), točka (g), Uredbe (EU) 2021/1148</w:t>
      </w:r>
    </w:p>
    <w:p w14:paraId="4F5B5922" w14:textId="77777777" w:rsidR="00AD502C" w:rsidRPr="0019378A" w:rsidRDefault="0053671E" w:rsidP="00AD502C">
      <w:pPr>
        <w:rPr>
          <w:noProof/>
          <w:sz w:val="22"/>
        </w:rPr>
      </w:pPr>
      <w:r w:rsidRPr="0019378A">
        <w:rPr>
          <w:noProof/>
          <w:sz w:val="22"/>
        </w:rPr>
        <w:t>V razdelkih v spodnji preglednici zagotovite informacije o izdatkih v skladu s členom 85(2) in (3) Uredbe (EU) 2018/1240 Evropskega parlamenta in Sveta</w:t>
      </w:r>
      <w:r w:rsidRPr="0019378A">
        <w:rPr>
          <w:rStyle w:val="Sprotnaopomba-sklic"/>
          <w:noProof/>
          <w:sz w:val="22"/>
        </w:rPr>
        <w:footnoteReference w:id="16"/>
      </w:r>
      <w:r w:rsidRPr="0019378A">
        <w:rPr>
          <w:noProof/>
          <w:sz w:val="22"/>
        </w:rPr>
        <w:t xml:space="preserve">, vključenih v obračune v skladu s členom 98 Uredbe (EU) 2021/1060. </w:t>
      </w:r>
    </w:p>
    <w:tbl>
      <w:tblPr>
        <w:tblStyle w:val="Tabelasvetlamrea"/>
        <w:tblW w:w="0" w:type="auto"/>
        <w:tblLook w:val="04A0" w:firstRow="1" w:lastRow="0" w:firstColumn="1" w:lastColumn="0" w:noHBand="0" w:noVBand="1"/>
      </w:tblPr>
      <w:tblGrid>
        <w:gridCol w:w="3681"/>
        <w:gridCol w:w="5382"/>
      </w:tblGrid>
      <w:tr w:rsidR="00AD502C" w:rsidRPr="0019378A" w14:paraId="50E9DBF1" w14:textId="77777777" w:rsidTr="008C62C8">
        <w:tc>
          <w:tcPr>
            <w:tcW w:w="3681" w:type="dxa"/>
          </w:tcPr>
          <w:p w14:paraId="7E775A12" w14:textId="77777777" w:rsidR="00AD502C" w:rsidRPr="0019378A" w:rsidRDefault="00AD502C" w:rsidP="00AD502C">
            <w:pPr>
              <w:spacing w:before="0" w:after="0"/>
              <w:rPr>
                <w:noProof/>
                <w:sz w:val="20"/>
              </w:rPr>
            </w:pPr>
            <w:r w:rsidRPr="0019378A">
              <w:rPr>
                <w:noProof/>
                <w:sz w:val="20"/>
              </w:rPr>
              <w:t>Vrsta stroškov</w:t>
            </w:r>
          </w:p>
        </w:tc>
        <w:tc>
          <w:tcPr>
            <w:tcW w:w="5382" w:type="dxa"/>
          </w:tcPr>
          <w:p w14:paraId="43C753E2" w14:textId="77777777" w:rsidR="00AD502C" w:rsidRPr="0019378A" w:rsidRDefault="00AD502C" w:rsidP="00AD502C">
            <w:pPr>
              <w:spacing w:before="0" w:after="0"/>
              <w:rPr>
                <w:noProof/>
                <w:sz w:val="20"/>
              </w:rPr>
            </w:pPr>
            <w:r w:rsidRPr="0019378A">
              <w:rPr>
                <w:noProof/>
                <w:sz w:val="20"/>
              </w:rPr>
              <w:t>Izdatki v obračunskem letu</w:t>
            </w:r>
          </w:p>
        </w:tc>
      </w:tr>
      <w:tr w:rsidR="00AD502C" w:rsidRPr="0019378A" w14:paraId="29A15633" w14:textId="77777777" w:rsidTr="008C62C8">
        <w:tc>
          <w:tcPr>
            <w:tcW w:w="3681" w:type="dxa"/>
          </w:tcPr>
          <w:p w14:paraId="36A79A66" w14:textId="77777777" w:rsidR="00AD502C" w:rsidRPr="00420EC1" w:rsidRDefault="00E45982" w:rsidP="00AD502C">
            <w:pPr>
              <w:spacing w:before="0" w:after="0"/>
              <w:rPr>
                <w:noProof/>
                <w:sz w:val="20"/>
              </w:rPr>
            </w:pPr>
            <w:r w:rsidRPr="00420EC1">
              <w:rPr>
                <w:noProof/>
                <w:sz w:val="20"/>
              </w:rPr>
              <w:t>Obsežni informacijski sistemi – Evropski sistem za potovalne informacije in odobritve (ETIAS) – člen 85(2) Uredbe (EU) 2018/1240</w:t>
            </w:r>
          </w:p>
        </w:tc>
        <w:tc>
          <w:tcPr>
            <w:tcW w:w="5382" w:type="dxa"/>
          </w:tcPr>
          <w:p w14:paraId="56DAF978" w14:textId="77777777" w:rsidR="00AD502C" w:rsidRPr="00785B4C" w:rsidRDefault="008C62C8" w:rsidP="00AD502C">
            <w:pPr>
              <w:spacing w:before="0" w:after="0"/>
              <w:rPr>
                <w:noProof/>
                <w:sz w:val="20"/>
              </w:rPr>
            </w:pPr>
            <w:r w:rsidRPr="00785B4C">
              <w:rPr>
                <w:noProof/>
                <w:sz w:val="20"/>
              </w:rPr>
              <w:t>Slovenija za obračunsko obdobje ni oddala obračunov, ki bi vključevali izdatke v zvezi z Obsežnimi informacijskimi sistemi – Evropski sistem za potovalne informacije in odobritve (ETIAS) – člen 85(2) Uredbe (EU) 2018/1240.</w:t>
            </w:r>
          </w:p>
        </w:tc>
      </w:tr>
      <w:tr w:rsidR="00AD502C" w:rsidRPr="0019378A" w14:paraId="3BC4979A" w14:textId="77777777" w:rsidTr="008C62C8">
        <w:tc>
          <w:tcPr>
            <w:tcW w:w="3681" w:type="dxa"/>
          </w:tcPr>
          <w:p w14:paraId="2D74A1B1" w14:textId="77777777" w:rsidR="00AD502C" w:rsidRPr="00420EC1" w:rsidRDefault="00E45982" w:rsidP="00AD502C">
            <w:pPr>
              <w:spacing w:before="0" w:after="0"/>
              <w:rPr>
                <w:noProof/>
                <w:sz w:val="20"/>
              </w:rPr>
            </w:pPr>
            <w:r w:rsidRPr="00420EC1">
              <w:rPr>
                <w:noProof/>
                <w:sz w:val="20"/>
              </w:rPr>
              <w:t>Obsežni informacijski sistemi – Evropski sistem za potovalne informacije in odobritve (ETIAS) – člen 85(3) Uredbe (EU) 2018/1240</w:t>
            </w:r>
          </w:p>
        </w:tc>
        <w:tc>
          <w:tcPr>
            <w:tcW w:w="5382" w:type="dxa"/>
          </w:tcPr>
          <w:p w14:paraId="6E6BE1DC" w14:textId="77777777" w:rsidR="00AD502C" w:rsidRPr="00785B4C" w:rsidRDefault="008C62C8" w:rsidP="00AD502C">
            <w:pPr>
              <w:spacing w:before="0" w:after="0"/>
              <w:rPr>
                <w:noProof/>
                <w:sz w:val="20"/>
              </w:rPr>
            </w:pPr>
            <w:r w:rsidRPr="00785B4C">
              <w:rPr>
                <w:noProof/>
                <w:sz w:val="20"/>
              </w:rPr>
              <w:t>Slovenija za obračunsko obdobje ni oddala obračunov, ki bi vključevali izdatke v zvezi z Obsežnimi informacijskimi sistemi – Evropski sistem za potovalne informacije in odobritve (ETIAS) – člen 85(3) Uredbe (EU) 2018/1240.</w:t>
            </w:r>
          </w:p>
        </w:tc>
      </w:tr>
    </w:tbl>
    <w:p w14:paraId="7FF8D153" w14:textId="77777777" w:rsidR="00AD502C" w:rsidRPr="0019378A" w:rsidRDefault="001C1609" w:rsidP="001C1609">
      <w:pPr>
        <w:pStyle w:val="ManualHeading2"/>
        <w:rPr>
          <w:noProof/>
        </w:rPr>
      </w:pPr>
      <w:r w:rsidRPr="0019378A">
        <w:t>1.7.</w:t>
      </w:r>
      <w:r w:rsidRPr="0019378A">
        <w:tab/>
      </w:r>
      <w:r w:rsidR="00AD502C" w:rsidRPr="0019378A">
        <w:rPr>
          <w:noProof/>
        </w:rPr>
        <w:t>Samo v letu 2024: nadaljevanje projektov – člen 33(4), točka (e), Uredbe (EU) 2021/1148</w:t>
      </w:r>
    </w:p>
    <w:p w14:paraId="078349F4" w14:textId="77777777" w:rsidR="00AD502C" w:rsidRPr="0019378A" w:rsidRDefault="0053671E" w:rsidP="00AD502C">
      <w:pPr>
        <w:pStyle w:val="Institutionquisigne"/>
        <w:spacing w:before="120" w:after="120"/>
        <w:rPr>
          <w:bCs/>
          <w:i w:val="0"/>
          <w:noProof/>
          <w:sz w:val="22"/>
        </w:rPr>
      </w:pPr>
      <w:r w:rsidRPr="0019378A">
        <w:rPr>
          <w:i w:val="0"/>
          <w:noProof/>
          <w:sz w:val="22"/>
        </w:rPr>
        <w:t>Poročajte o vseh projektih, ki so se nadaljevali po 1. januarju 2021 ter so bili izbrani in začeti na podlagi Uredbe (EU) št. 515/2014 Evropskega parlamenta in Sveta</w:t>
      </w:r>
      <w:r w:rsidRPr="0019378A">
        <w:rPr>
          <w:rStyle w:val="Sprotnaopomba-sklic"/>
          <w:bCs/>
          <w:i w:val="0"/>
          <w:noProof/>
          <w:sz w:val="22"/>
        </w:rPr>
        <w:footnoteReference w:id="17"/>
      </w:r>
      <w:r w:rsidRPr="0019378A">
        <w:rPr>
          <w:i w:val="0"/>
          <w:noProof/>
          <w:sz w:val="22"/>
        </w:rPr>
        <w:t>, v skladu z Uredbo (EU) št. 514/2014 Evropskega parlamenta in Sveta</w:t>
      </w:r>
      <w:r w:rsidRPr="0019378A">
        <w:rPr>
          <w:rStyle w:val="Sprotnaopomba-sklic"/>
          <w:bCs/>
          <w:i w:val="0"/>
          <w:noProof/>
          <w:sz w:val="22"/>
        </w:rPr>
        <w:footnoteReference w:id="18"/>
      </w:r>
      <w:r w:rsidRPr="0019378A">
        <w:rPr>
          <w:i w:val="0"/>
          <w:noProof/>
          <w:sz w:val="22"/>
        </w:rPr>
        <w:t>.</w:t>
      </w:r>
    </w:p>
    <w:tbl>
      <w:tblPr>
        <w:tblStyle w:val="Tabelamrea"/>
        <w:tblW w:w="0" w:type="auto"/>
        <w:tblLook w:val="04A0" w:firstRow="1" w:lastRow="0" w:firstColumn="1" w:lastColumn="0" w:noHBand="0" w:noVBand="1"/>
      </w:tblPr>
      <w:tblGrid>
        <w:gridCol w:w="9063"/>
      </w:tblGrid>
      <w:tr w:rsidR="00AD502C" w:rsidRPr="0019378A" w14:paraId="148CE6A5" w14:textId="77777777" w:rsidTr="00E45665">
        <w:tc>
          <w:tcPr>
            <w:tcW w:w="9289" w:type="dxa"/>
          </w:tcPr>
          <w:p w14:paraId="52B8BF3A" w14:textId="77777777" w:rsidR="00AD502C" w:rsidRPr="00420EC1" w:rsidRDefault="00D856A3" w:rsidP="00D856A3">
            <w:pPr>
              <w:pStyle w:val="Personnequisigne"/>
              <w:rPr>
                <w:noProof/>
              </w:rPr>
            </w:pPr>
            <w:r w:rsidRPr="00420EC1">
              <w:rPr>
                <w:i w:val="0"/>
                <w:noProof/>
                <w:sz w:val="22"/>
              </w:rPr>
              <w:t>Slovenija v obračunskem obdobju v skladu z 33(4) točko (e) Uredbe 2021/1148/EU ni nadaljevala s projekti iz preteklega programskega obdobja.</w:t>
            </w:r>
          </w:p>
        </w:tc>
      </w:tr>
    </w:tbl>
    <w:p w14:paraId="7C7901DC" w14:textId="77777777" w:rsidR="00AD502C" w:rsidRPr="0019378A" w:rsidRDefault="001C1609" w:rsidP="001C1609">
      <w:pPr>
        <w:pStyle w:val="ManualHeading1"/>
        <w:rPr>
          <w:noProof/>
          <w:sz w:val="22"/>
        </w:rPr>
      </w:pPr>
      <w:r w:rsidRPr="0019378A">
        <w:t>2.</w:t>
      </w:r>
      <w:r w:rsidRPr="0019378A">
        <w:tab/>
      </w:r>
      <w:r w:rsidR="00AD502C" w:rsidRPr="0019378A">
        <w:rPr>
          <w:noProof/>
        </w:rPr>
        <w:t xml:space="preserve">Dopolnjevanje </w:t>
      </w:r>
    </w:p>
    <w:p w14:paraId="49493E6C" w14:textId="77777777" w:rsidR="00AD502C" w:rsidRPr="0019378A" w:rsidRDefault="001C1609" w:rsidP="001C1609">
      <w:pPr>
        <w:pStyle w:val="ManualHeading2"/>
        <w:rPr>
          <w:noProof/>
        </w:rPr>
      </w:pPr>
      <w:r w:rsidRPr="0019378A">
        <w:t>2.1.</w:t>
      </w:r>
      <w:r w:rsidRPr="0019378A">
        <w:tab/>
      </w:r>
      <w:r w:rsidR="00AD502C" w:rsidRPr="0019378A">
        <w:rPr>
          <w:noProof/>
        </w:rPr>
        <w:t>Dopolnjevanje z drugimi skladi Unije – člen 29(2), točka (c), Uredbe (EU) 2021/1148</w:t>
      </w:r>
    </w:p>
    <w:p w14:paraId="19EC857C" w14:textId="77777777" w:rsidR="00AD502C" w:rsidRPr="000E33A0" w:rsidRDefault="004F0A2D" w:rsidP="00AD502C">
      <w:pPr>
        <w:rPr>
          <w:noProof/>
          <w:sz w:val="22"/>
        </w:rPr>
      </w:pPr>
      <w:r w:rsidRPr="000E33A0">
        <w:rPr>
          <w:noProof/>
          <w:sz w:val="22"/>
        </w:rPr>
        <w:t>Opišite dopolnjevanje in, če je ustrezno, sinergije, dosežene med obračunskim letom, med ukrepi, ki so podprti v okviru Instrumenta, in podporo iz drugih skladov Unije, zlasti Instrumenta za finančno podporo za opremo za carinske kontrole, Sklada za notranjo varnost, Sklada za azil, migracije in vključevanje, instrumentov Unije za zunanje financiranje</w:t>
      </w:r>
      <w:r w:rsidRPr="000E33A0">
        <w:rPr>
          <w:rStyle w:val="Sprotnaopomba-sklic"/>
          <w:noProof/>
          <w:sz w:val="22"/>
        </w:rPr>
        <w:footnoteReference w:id="19"/>
      </w:r>
      <w:r w:rsidRPr="000E33A0">
        <w:rPr>
          <w:noProof/>
          <w:sz w:val="22"/>
        </w:rPr>
        <w:t xml:space="preserve"> ali v zvezi s pomorskimi operacijami večnamenskega značaja. </w:t>
      </w:r>
    </w:p>
    <w:p w14:paraId="21C9AE21" w14:textId="77777777" w:rsidR="00AD502C" w:rsidRPr="000E33A0" w:rsidRDefault="004F0A2D" w:rsidP="00AD502C">
      <w:pPr>
        <w:rPr>
          <w:noProof/>
          <w:sz w:val="22"/>
        </w:rPr>
      </w:pPr>
      <w:r w:rsidRPr="000E33A0">
        <w:rPr>
          <w:noProof/>
          <w:sz w:val="22"/>
        </w:rPr>
        <w:t>Opišite tudi dopolnjevanje dejavnosti, ki se izvajajo z vidika krepitve medagencijskega sodelovanja</w:t>
      </w:r>
      <w:r w:rsidRPr="000E33A0">
        <w:rPr>
          <w:rStyle w:val="Sprotnaopomba-sklic"/>
          <w:noProof/>
          <w:sz w:val="22"/>
        </w:rPr>
        <w:footnoteReference w:id="20"/>
      </w:r>
      <w:r w:rsidRPr="000E33A0">
        <w:rPr>
          <w:noProof/>
          <w:sz w:val="22"/>
        </w:rPr>
        <w:t xml:space="preserve">, vključno s sodelovanjem z Evropsko agencijo za mejno in obalno stražo ter ustreznimi nacionalnimi organi. </w:t>
      </w:r>
    </w:p>
    <w:p w14:paraId="5129F7C9" w14:textId="77777777" w:rsidR="00AD502C" w:rsidRPr="000E33A0" w:rsidRDefault="004F0A2D" w:rsidP="00AD502C">
      <w:pPr>
        <w:rPr>
          <w:noProof/>
          <w:sz w:val="22"/>
        </w:rPr>
      </w:pPr>
      <w:r w:rsidRPr="000E33A0">
        <w:rPr>
          <w:noProof/>
          <w:sz w:val="22"/>
        </w:rPr>
        <w:t>Posebno pozornost namenite:</w:t>
      </w:r>
    </w:p>
    <w:p w14:paraId="5213C504" w14:textId="77777777" w:rsidR="00AD502C" w:rsidRPr="000E33A0" w:rsidRDefault="00AD502C" w:rsidP="00C42346">
      <w:pPr>
        <w:pStyle w:val="Tiret0"/>
        <w:numPr>
          <w:ilvl w:val="0"/>
          <w:numId w:val="11"/>
        </w:numPr>
        <w:rPr>
          <w:noProof/>
          <w:sz w:val="22"/>
        </w:rPr>
      </w:pPr>
      <w:r w:rsidRPr="000E33A0">
        <w:rPr>
          <w:noProof/>
          <w:sz w:val="22"/>
        </w:rPr>
        <w:t>dopolnjevanju z instrumenti Unije za zunanje financiranje za ukrepe, ki se izvajajo v tretjih državah ali v zvezi z njimi, s poudarkom na vidikih, ki so skladni z načeli in splošnimi cilji zunanje politike Unije,</w:t>
      </w:r>
    </w:p>
    <w:p w14:paraId="5B7A12FA" w14:textId="77777777" w:rsidR="00AD502C" w:rsidRPr="000E33A0" w:rsidRDefault="00C07548" w:rsidP="00C42346">
      <w:pPr>
        <w:pStyle w:val="Tiret0"/>
        <w:numPr>
          <w:ilvl w:val="0"/>
          <w:numId w:val="11"/>
        </w:numPr>
        <w:rPr>
          <w:noProof/>
          <w:sz w:val="22"/>
        </w:rPr>
      </w:pPr>
      <w:r w:rsidRPr="000E33A0">
        <w:rPr>
          <w:noProof/>
          <w:sz w:val="22"/>
        </w:rPr>
        <w:t xml:space="preserve">uporabi omogočitvenih mehanizmov, kot so obstoječe organizacijske in postopkovne ureditve, ki pomagajo doseči sinergije in dopolnjevanje, ter morebitnim ukrepom, sprejetim za njihovo izboljšanje med obračunskim letom. </w:t>
      </w:r>
    </w:p>
    <w:tbl>
      <w:tblPr>
        <w:tblStyle w:val="Tabelamrea"/>
        <w:tblW w:w="0" w:type="auto"/>
        <w:tblLook w:val="04A0" w:firstRow="1" w:lastRow="0" w:firstColumn="1" w:lastColumn="0" w:noHBand="0" w:noVBand="1"/>
      </w:tblPr>
      <w:tblGrid>
        <w:gridCol w:w="9063"/>
      </w:tblGrid>
      <w:tr w:rsidR="00AD502C" w:rsidRPr="0019378A" w14:paraId="3C8C5C5A" w14:textId="77777777" w:rsidTr="00E45665">
        <w:tc>
          <w:tcPr>
            <w:tcW w:w="9289" w:type="dxa"/>
          </w:tcPr>
          <w:p w14:paraId="2C671024" w14:textId="77777777" w:rsidR="007903DC" w:rsidRDefault="007903DC" w:rsidP="008D2090">
            <w:pPr>
              <w:pStyle w:val="Institutionquisigne"/>
              <w:spacing w:before="0"/>
              <w:rPr>
                <w:i w:val="0"/>
                <w:sz w:val="22"/>
              </w:rPr>
            </w:pPr>
            <w:r w:rsidRPr="007903DC">
              <w:rPr>
                <w:i w:val="0"/>
                <w:sz w:val="22"/>
              </w:rPr>
              <w:t>Slovenija je v obračunskem obdobju poročanja izvajala aktivnosti v zvezi z ukrepi programa IUMV, zato v nadaljevanju poročamo o aktivnostih v zvezi z zaznavo potencialnih dopolnjevanj in sinergije.</w:t>
            </w:r>
          </w:p>
          <w:p w14:paraId="3005444A" w14:textId="77777777" w:rsidR="007903DC" w:rsidRDefault="007903DC" w:rsidP="008D2090">
            <w:pPr>
              <w:pStyle w:val="Institutionquisigne"/>
              <w:spacing w:before="0"/>
              <w:rPr>
                <w:i w:val="0"/>
                <w:sz w:val="22"/>
              </w:rPr>
            </w:pPr>
          </w:p>
          <w:p w14:paraId="30B12F3D" w14:textId="36078F63" w:rsidR="008D2090" w:rsidRDefault="008D2090" w:rsidP="008D2090">
            <w:pPr>
              <w:pStyle w:val="Institutionquisigne"/>
              <w:spacing w:before="0"/>
              <w:rPr>
                <w:i w:val="0"/>
                <w:sz w:val="22"/>
              </w:rPr>
            </w:pPr>
            <w:r w:rsidRPr="008D2090">
              <w:rPr>
                <w:i w:val="0"/>
                <w:sz w:val="22"/>
              </w:rPr>
              <w:t xml:space="preserve">V fazi izbora operacije OU ali posredniško telo preverja morebitno komplementarnost in v povezavi s tem morebitno dvojno financiranje. V navodilih za pripravo prijave operacije je OU opozoril na pomen komplementarnosti ter na obrazcu za oddajo prijave operacije pripravil posebno polje, v katero mora upravičenec navesti morebitno komplementarnost z drugimi viri financiranja. Zaznane so nekatere komplementarnosti, ki so opisane v nadaljevanju. V fazi izvajanja operacije (upravljalnih preverjanj) upravičenci ne poročajo o morebitnih komplementarnostih, zato bomo v naslednjem obdobju poročanja uredili, da se tako poročanje vzpostavi. </w:t>
            </w:r>
          </w:p>
          <w:p w14:paraId="5B149637" w14:textId="77777777" w:rsidR="00CE59B9" w:rsidRPr="00CE59B9" w:rsidRDefault="00CE59B9" w:rsidP="00CE59B9">
            <w:pPr>
              <w:pStyle w:val="Personnequisigne"/>
            </w:pPr>
          </w:p>
          <w:p w14:paraId="186DFB6C" w14:textId="4ABF2A06" w:rsidR="008D2090" w:rsidRPr="008D2090" w:rsidRDefault="007903DC" w:rsidP="008D2090">
            <w:pPr>
              <w:pStyle w:val="Institutionquisigne"/>
              <w:spacing w:before="0"/>
              <w:rPr>
                <w:i w:val="0"/>
                <w:sz w:val="22"/>
              </w:rPr>
            </w:pPr>
            <w:r>
              <w:rPr>
                <w:i w:val="0"/>
                <w:sz w:val="22"/>
              </w:rPr>
              <w:t xml:space="preserve">Na sistemski ravni </w:t>
            </w:r>
            <w:r w:rsidR="008D2090" w:rsidRPr="008D2090">
              <w:rPr>
                <w:i w:val="0"/>
                <w:sz w:val="22"/>
              </w:rPr>
              <w:t xml:space="preserve">OU načrtuje tudi vzpostavitev sistema izmenjave podatkov na temo komplementarnosti tudi z drugimi organi upravljanja na državni ravni. Navezali smo stike s kontaktnimi točkami ter predstavniki mrež Evropske komisije v Sloveniji, kjer pričakujemo tudi uporabne informacije na temo komplementarnosti. </w:t>
            </w:r>
          </w:p>
          <w:p w14:paraId="4E5323EB" w14:textId="77777777" w:rsidR="008D2090" w:rsidRPr="008D2090" w:rsidRDefault="008D2090" w:rsidP="008D2090">
            <w:pPr>
              <w:pStyle w:val="Institutionquisigne"/>
              <w:spacing w:before="0"/>
              <w:rPr>
                <w:i w:val="0"/>
                <w:sz w:val="22"/>
              </w:rPr>
            </w:pPr>
          </w:p>
          <w:p w14:paraId="6695C55C" w14:textId="77777777" w:rsidR="008D2090" w:rsidRPr="008D2090" w:rsidRDefault="008D2090" w:rsidP="008D2090">
            <w:pPr>
              <w:pStyle w:val="Institutionquisigne"/>
              <w:spacing w:before="0"/>
              <w:rPr>
                <w:i w:val="0"/>
                <w:sz w:val="22"/>
              </w:rPr>
            </w:pPr>
            <w:r w:rsidRPr="008D2090">
              <w:rPr>
                <w:i w:val="0"/>
                <w:sz w:val="22"/>
              </w:rPr>
              <w:t xml:space="preserve">Operacije, ki se izvajajo, se dopolnjujejo kot sledi spodaj: </w:t>
            </w:r>
          </w:p>
          <w:p w14:paraId="1AC15635" w14:textId="77777777" w:rsidR="008D2090" w:rsidRPr="008D2090" w:rsidRDefault="008D2090" w:rsidP="008D2090">
            <w:pPr>
              <w:pStyle w:val="Institutionquisigne"/>
              <w:spacing w:before="0"/>
              <w:rPr>
                <w:i w:val="0"/>
                <w:sz w:val="22"/>
              </w:rPr>
            </w:pPr>
          </w:p>
          <w:p w14:paraId="0614E56E" w14:textId="77777777" w:rsidR="008D2090" w:rsidRPr="008D2090" w:rsidRDefault="008D2090" w:rsidP="008D2090">
            <w:pPr>
              <w:pStyle w:val="Institutionquisigne"/>
              <w:spacing w:before="0"/>
              <w:rPr>
                <w:i w:val="0"/>
                <w:sz w:val="22"/>
              </w:rPr>
            </w:pPr>
            <w:r w:rsidRPr="008D2090">
              <w:rPr>
                <w:i w:val="0"/>
                <w:sz w:val="22"/>
              </w:rPr>
              <w:t>SO1: Operacije, ki jih izvaja Policija, Sektor mejne policije se izvajajo zgolj in samo pod okriljem programa IUMV in niso komplementarne z drugimi operacijami.</w:t>
            </w:r>
          </w:p>
          <w:p w14:paraId="6AB26CF3" w14:textId="77777777" w:rsidR="008D2090" w:rsidRPr="008D2090" w:rsidRDefault="008D2090" w:rsidP="008D2090">
            <w:pPr>
              <w:pStyle w:val="Institutionquisigne"/>
              <w:spacing w:before="0"/>
              <w:rPr>
                <w:i w:val="0"/>
                <w:sz w:val="22"/>
              </w:rPr>
            </w:pPr>
            <w:r w:rsidRPr="008D2090">
              <w:rPr>
                <w:i w:val="0"/>
                <w:sz w:val="22"/>
              </w:rPr>
              <w:t xml:space="preserve"> </w:t>
            </w:r>
          </w:p>
          <w:p w14:paraId="5A0A84C3" w14:textId="77777777" w:rsidR="008D2090" w:rsidRPr="008D2090" w:rsidRDefault="008D2090" w:rsidP="008D2090">
            <w:pPr>
              <w:pStyle w:val="Institutionquisigne"/>
              <w:spacing w:before="0"/>
              <w:rPr>
                <w:i w:val="0"/>
                <w:sz w:val="22"/>
              </w:rPr>
            </w:pPr>
            <w:r w:rsidRPr="008D2090">
              <w:rPr>
                <w:i w:val="0"/>
                <w:sz w:val="22"/>
              </w:rPr>
              <w:t xml:space="preserve">Komplementarnost operacij programa IUMV na področju razvoja </w:t>
            </w:r>
            <w:proofErr w:type="spellStart"/>
            <w:r w:rsidRPr="008D2090">
              <w:rPr>
                <w:i w:val="0"/>
                <w:sz w:val="22"/>
              </w:rPr>
              <w:t>interoperabilnih</w:t>
            </w:r>
            <w:proofErr w:type="spellEnd"/>
            <w:r w:rsidRPr="008D2090">
              <w:rPr>
                <w:i w:val="0"/>
                <w:sz w:val="22"/>
              </w:rPr>
              <w:t xml:space="preserve"> aplikativnih rešitev (EES, ETIAS, SIRENE, INTERPOL, EUROPOL) in posodobitve obstoječe programske opreme (SIS) je bila dosežena skozi sinergijo z razvojem, nadgradnjami in vzdrževanjem centralne strežniške platforme CEPIS, ki se je financirala iz Načrta za okrevanje in odpornost </w:t>
            </w:r>
            <w:proofErr w:type="spellStart"/>
            <w:r w:rsidRPr="008D2090">
              <w:rPr>
                <w:i w:val="0"/>
                <w:sz w:val="22"/>
              </w:rPr>
              <w:t>NextGenerationEU</w:t>
            </w:r>
            <w:proofErr w:type="spellEnd"/>
            <w:r w:rsidRPr="008D2090">
              <w:rPr>
                <w:i w:val="0"/>
                <w:sz w:val="22"/>
              </w:rPr>
              <w:t xml:space="preserve">. </w:t>
            </w:r>
          </w:p>
          <w:p w14:paraId="6094088D" w14:textId="77777777" w:rsidR="008D2090" w:rsidRPr="008D2090" w:rsidRDefault="008D2090" w:rsidP="008D2090">
            <w:pPr>
              <w:pStyle w:val="Institutionquisigne"/>
              <w:spacing w:before="0"/>
              <w:rPr>
                <w:i w:val="0"/>
                <w:sz w:val="22"/>
              </w:rPr>
            </w:pPr>
          </w:p>
          <w:p w14:paraId="2A18EFA7" w14:textId="77777777" w:rsidR="008D2090" w:rsidRPr="00D36994" w:rsidRDefault="008D2090" w:rsidP="008D2090">
            <w:pPr>
              <w:pStyle w:val="Institutionquisigne"/>
              <w:spacing w:before="0"/>
              <w:rPr>
                <w:i w:val="0"/>
                <w:sz w:val="22"/>
              </w:rPr>
            </w:pPr>
            <w:r w:rsidRPr="00D36994">
              <w:rPr>
                <w:i w:val="0"/>
                <w:sz w:val="22"/>
              </w:rPr>
              <w:t xml:space="preserve">SO2: Vse operacije MZEZ so namenjene podpori izvajanju skupne vizumske politike ter so zato komplementarne in povezane med seboj; vsaka zase, brez ostalih operacij, ne bi mogle dosegati zastavljenih ciljev in rezultatov. Identificirana je bila tudi komplementarnost z razvojnim področjem Digitalna preobrazba v Načrtu za okrevanje in odpornost </w:t>
            </w:r>
            <w:proofErr w:type="spellStart"/>
            <w:r w:rsidRPr="00D36994">
              <w:rPr>
                <w:i w:val="0"/>
                <w:sz w:val="22"/>
              </w:rPr>
              <w:t>NextGenerationEU</w:t>
            </w:r>
            <w:proofErr w:type="spellEnd"/>
            <w:r w:rsidRPr="00D36994">
              <w:rPr>
                <w:i w:val="0"/>
                <w:sz w:val="22"/>
              </w:rPr>
              <w:t xml:space="preserve">, vendar je bila nato sprejeta odločitev, da se aktivnosti na področju vizumskega poslovanja izloči iz Načrta za okrevanje in odpornost ter celovito obravnava le v programu IUMV. </w:t>
            </w:r>
          </w:p>
          <w:p w14:paraId="19AE98C3" w14:textId="77777777" w:rsidR="008D2090" w:rsidRPr="00D36994" w:rsidRDefault="008D2090" w:rsidP="008D2090">
            <w:pPr>
              <w:pStyle w:val="Institutionquisigne"/>
              <w:spacing w:before="0"/>
              <w:rPr>
                <w:i w:val="0"/>
                <w:sz w:val="22"/>
              </w:rPr>
            </w:pPr>
          </w:p>
          <w:p w14:paraId="46E439DB" w14:textId="5A272211" w:rsidR="00A31E26" w:rsidRPr="00C071D3" w:rsidRDefault="008D2090" w:rsidP="008D2090">
            <w:pPr>
              <w:pStyle w:val="Institutionquisigne"/>
              <w:spacing w:before="0"/>
              <w:rPr>
                <w:i w:val="0"/>
                <w:sz w:val="22"/>
              </w:rPr>
            </w:pPr>
            <w:r w:rsidRPr="00D36994">
              <w:rPr>
                <w:i w:val="0"/>
                <w:sz w:val="22"/>
              </w:rPr>
              <w:t>V splošnem pa je zaznana komplementarnost pri operacijah z integralnimi (državnimi) sredstvi, kar pomeni, da je tako dosežen učinek večji. V tem primeru se natančno opredeli že v javnem naročilu, tehničnih specifikacijah in v sklenjenih pogodbah, kaj je vir financiranja posamezne aktivnosti, s čimer se odpravi tveganja za morebitno dvojno financiranje.</w:t>
            </w:r>
          </w:p>
        </w:tc>
      </w:tr>
    </w:tbl>
    <w:p w14:paraId="6FBFC1B5" w14:textId="77777777" w:rsidR="00AD502C" w:rsidRPr="0019378A" w:rsidRDefault="001C1609" w:rsidP="001C1609">
      <w:pPr>
        <w:pStyle w:val="ManualHeading2"/>
        <w:rPr>
          <w:noProof/>
        </w:rPr>
      </w:pPr>
      <w:r w:rsidRPr="0019378A">
        <w:t>2.2.</w:t>
      </w:r>
      <w:r w:rsidRPr="0019378A">
        <w:tab/>
      </w:r>
      <w:r w:rsidR="00AD502C" w:rsidRPr="0019378A">
        <w:rPr>
          <w:noProof/>
        </w:rPr>
        <w:t xml:space="preserve">Večnamenska oprema in sistemi IKT – člen 13(14) Uredbe (EU) 2021/1148 </w:t>
      </w:r>
    </w:p>
    <w:p w14:paraId="2A7734DE" w14:textId="77777777" w:rsidR="008671BE" w:rsidRPr="0019378A" w:rsidRDefault="00956638" w:rsidP="00AD502C">
      <w:pPr>
        <w:rPr>
          <w:noProof/>
          <w:sz w:val="22"/>
        </w:rPr>
      </w:pPr>
      <w:r w:rsidRPr="0019378A">
        <w:rPr>
          <w:noProof/>
          <w:sz w:val="22"/>
        </w:rPr>
        <w:t xml:space="preserve">Na kratko opišite ustrezne operacije, ki vključujejo opremo in sisteme IKT, nabavljene s podporo programa med obračunskim letom in uporabljene na dopolnilnih področjih carinskih kontrol, v pomorskih operacijah večnamenskega značaja ali za doseganje ciljev Sklada za notranjo varnost ter Sklada za azil, migracije in vključevanje. Navedite kraje, kjer so bili večnamenska oprema in sistemi IKT uporabljeni. </w:t>
      </w:r>
    </w:p>
    <w:p w14:paraId="3A33E2B8" w14:textId="77777777" w:rsidR="00AD502C" w:rsidRPr="0019378A" w:rsidRDefault="00AD502C" w:rsidP="00AD502C">
      <w:pPr>
        <w:rPr>
          <w:noProof/>
          <w:sz w:val="22"/>
        </w:rPr>
      </w:pPr>
      <w:r w:rsidRPr="0019378A">
        <w:rPr>
          <w:noProof/>
          <w:sz w:val="22"/>
        </w:rPr>
        <w:t xml:space="preserve">Za opremo navedite tudi informacije o obdobju njene uporabe na dopolnilnih področjih. </w:t>
      </w:r>
    </w:p>
    <w:tbl>
      <w:tblPr>
        <w:tblStyle w:val="Tabelamrea"/>
        <w:tblW w:w="0" w:type="auto"/>
        <w:tblLook w:val="04A0" w:firstRow="1" w:lastRow="0" w:firstColumn="1" w:lastColumn="0" w:noHBand="0" w:noVBand="1"/>
      </w:tblPr>
      <w:tblGrid>
        <w:gridCol w:w="9063"/>
      </w:tblGrid>
      <w:tr w:rsidR="00AD502C" w:rsidRPr="0019378A" w14:paraId="16246861" w14:textId="77777777" w:rsidTr="00E45665">
        <w:tc>
          <w:tcPr>
            <w:tcW w:w="9289" w:type="dxa"/>
          </w:tcPr>
          <w:p w14:paraId="3E62D149" w14:textId="5F67EACD" w:rsidR="00C20312" w:rsidRPr="00C20312" w:rsidRDefault="00F24F58" w:rsidP="00C20312">
            <w:pPr>
              <w:pStyle w:val="Personnequisigne"/>
              <w:jc w:val="both"/>
              <w:rPr>
                <w:i w:val="0"/>
                <w:noProof/>
                <w:sz w:val="22"/>
              </w:rPr>
            </w:pPr>
            <w:r w:rsidRPr="00874636">
              <w:rPr>
                <w:i w:val="0"/>
                <w:noProof/>
                <w:sz w:val="22"/>
              </w:rPr>
              <w:t xml:space="preserve">Slovenija je v obračunskem obdobju poročanja </w:t>
            </w:r>
            <w:r w:rsidR="0023019F" w:rsidRPr="0019378A">
              <w:rPr>
                <w:i w:val="0"/>
                <w:noProof/>
                <w:sz w:val="22"/>
              </w:rPr>
              <w:t xml:space="preserve">pričela z izvajanjem aktivnosti </w:t>
            </w:r>
            <w:r w:rsidR="00EA113A" w:rsidRPr="0019378A">
              <w:rPr>
                <w:i w:val="0"/>
                <w:noProof/>
                <w:sz w:val="22"/>
              </w:rPr>
              <w:t>v zvezi z ukrepi</w:t>
            </w:r>
            <w:r w:rsidR="00270712">
              <w:rPr>
                <w:i w:val="0"/>
                <w:noProof/>
                <w:sz w:val="22"/>
              </w:rPr>
              <w:t xml:space="preserve"> programa IUMV.</w:t>
            </w:r>
            <w:r w:rsidR="00C714E8">
              <w:rPr>
                <w:i w:val="0"/>
                <w:noProof/>
                <w:sz w:val="22"/>
              </w:rPr>
              <w:t xml:space="preserve"> V tem obdobju, g</w:t>
            </w:r>
            <w:r w:rsidR="00C247E2">
              <w:rPr>
                <w:i w:val="0"/>
                <w:noProof/>
                <w:sz w:val="22"/>
              </w:rPr>
              <w:t>lede na odobrene operac</w:t>
            </w:r>
            <w:r w:rsidR="00C714E8">
              <w:rPr>
                <w:i w:val="0"/>
                <w:noProof/>
                <w:sz w:val="22"/>
              </w:rPr>
              <w:t xml:space="preserve">ije in pregledane zahtevke za povračilo, </w:t>
            </w:r>
            <w:r w:rsidR="0023019F" w:rsidRPr="0019378A">
              <w:rPr>
                <w:i w:val="0"/>
                <w:noProof/>
                <w:sz w:val="22"/>
              </w:rPr>
              <w:t xml:space="preserve"> ne moremo poročati o večnamenski opremi in sistemih IKT, ki bi bili </w:t>
            </w:r>
            <w:r w:rsidR="000F434E" w:rsidRPr="0019378A">
              <w:rPr>
                <w:i w:val="0"/>
                <w:noProof/>
                <w:sz w:val="22"/>
              </w:rPr>
              <w:t xml:space="preserve">že </w:t>
            </w:r>
            <w:r w:rsidR="0023019F" w:rsidRPr="0019378A">
              <w:rPr>
                <w:i w:val="0"/>
                <w:noProof/>
                <w:sz w:val="22"/>
              </w:rPr>
              <w:t>nabavljeni s podporo programa IUMV med obračunskim letom in uporabljeni na dopolnilnih področjih carinskih kontrol, v pomorskih operacijah večnamenskega značaja ali za doseganje ciljev Sklada za notranjo varnost ter Sklada za azil, migracije in vključevanje.</w:t>
            </w:r>
            <w:r w:rsidR="000F434E" w:rsidRPr="0019378A">
              <w:rPr>
                <w:i w:val="0"/>
                <w:noProof/>
                <w:sz w:val="22"/>
              </w:rPr>
              <w:t xml:space="preserve"> </w:t>
            </w:r>
          </w:p>
          <w:p w14:paraId="668B1790" w14:textId="77777777" w:rsidR="00C20312" w:rsidRDefault="00C20312" w:rsidP="00C965F8">
            <w:pPr>
              <w:pStyle w:val="Personnequisigne"/>
              <w:jc w:val="both"/>
              <w:rPr>
                <w:i w:val="0"/>
                <w:noProof/>
                <w:sz w:val="22"/>
              </w:rPr>
            </w:pPr>
          </w:p>
          <w:p w14:paraId="738D7DEA" w14:textId="1C904A9D" w:rsidR="00B53969" w:rsidRPr="00C965F8" w:rsidRDefault="00B53969" w:rsidP="00C965F8">
            <w:pPr>
              <w:pStyle w:val="Personnequisigne"/>
              <w:jc w:val="both"/>
              <w:rPr>
                <w:i w:val="0"/>
                <w:noProof/>
                <w:sz w:val="22"/>
              </w:rPr>
            </w:pPr>
            <w:r>
              <w:rPr>
                <w:i w:val="0"/>
                <w:noProof/>
                <w:sz w:val="22"/>
              </w:rPr>
              <w:t xml:space="preserve">Policija, Sektor mejne policije je v letu 2024 pričel s postopkom nakupa vozil, ki bodo namenjena sodelovanju v operacijah </w:t>
            </w:r>
            <w:r w:rsidR="00B7425B">
              <w:rPr>
                <w:i w:val="0"/>
                <w:noProof/>
                <w:sz w:val="22"/>
              </w:rPr>
              <w:t>agen</w:t>
            </w:r>
            <w:r>
              <w:rPr>
                <w:i w:val="0"/>
                <w:noProof/>
                <w:sz w:val="22"/>
              </w:rPr>
              <w:t>cije Frontex, do nakupa in uporabe tovrstne opreme pa v obdobju poročanja, še ni prišlo.</w:t>
            </w:r>
          </w:p>
        </w:tc>
      </w:tr>
    </w:tbl>
    <w:p w14:paraId="0DC51A26" w14:textId="77777777" w:rsidR="008671BE" w:rsidRPr="0019378A" w:rsidRDefault="0078471E">
      <w:pPr>
        <w:rPr>
          <w:noProof/>
        </w:rPr>
      </w:pPr>
      <w:r w:rsidRPr="0019378A">
        <w:rPr>
          <w:noProof/>
          <w:sz w:val="22"/>
        </w:rPr>
        <w:t>Za informacijski sistem Unije, ki se financira na podlagi Uredbe (EU) 2021/1148 in služi tudi ciljem Uredbe (EU) 2021/1147 in Uredbe (EU) 2021/1149 (večnamenski) ali dejavnostim, ki se zahtevajo v pravnem okviru Unije za interoperabilnost</w:t>
      </w:r>
      <w:r w:rsidRPr="0019378A">
        <w:rPr>
          <w:rStyle w:val="Sprotnaopomba-sklic"/>
          <w:noProof/>
          <w:sz w:val="22"/>
        </w:rPr>
        <w:footnoteReference w:id="21"/>
      </w:r>
      <w:r w:rsidRPr="0019378A">
        <w:rPr>
          <w:noProof/>
          <w:sz w:val="22"/>
        </w:rPr>
        <w:t xml:space="preserve">, izpolnite spodnjo preglednico. </w:t>
      </w:r>
    </w:p>
    <w:tbl>
      <w:tblPr>
        <w:tblStyle w:val="Tabelamrea"/>
        <w:tblW w:w="9289" w:type="dxa"/>
        <w:tblLayout w:type="fixed"/>
        <w:tblLook w:val="04A0" w:firstRow="1" w:lastRow="0" w:firstColumn="1" w:lastColumn="0" w:noHBand="0" w:noVBand="1"/>
      </w:tblPr>
      <w:tblGrid>
        <w:gridCol w:w="1101"/>
        <w:gridCol w:w="992"/>
        <w:gridCol w:w="1276"/>
        <w:gridCol w:w="992"/>
        <w:gridCol w:w="1134"/>
        <w:gridCol w:w="1417"/>
        <w:gridCol w:w="1134"/>
        <w:gridCol w:w="1243"/>
      </w:tblGrid>
      <w:tr w:rsidR="008671BE" w:rsidRPr="0019378A" w14:paraId="6DC9B9FF" w14:textId="77777777" w:rsidTr="008F5019">
        <w:trPr>
          <w:trHeight w:val="688"/>
        </w:trPr>
        <w:tc>
          <w:tcPr>
            <w:tcW w:w="1101" w:type="dxa"/>
            <w:vAlign w:val="center"/>
          </w:tcPr>
          <w:p w14:paraId="5D88CD2A" w14:textId="77777777" w:rsidR="008671BE" w:rsidRPr="0019378A" w:rsidRDefault="008671BE" w:rsidP="00F12B44">
            <w:pPr>
              <w:pStyle w:val="Institutionquisigne"/>
              <w:spacing w:before="0"/>
              <w:jc w:val="center"/>
              <w:rPr>
                <w:i w:val="0"/>
                <w:noProof/>
                <w:sz w:val="20"/>
              </w:rPr>
            </w:pPr>
            <w:r w:rsidRPr="0019378A">
              <w:rPr>
                <w:i w:val="0"/>
                <w:noProof/>
                <w:sz w:val="20"/>
              </w:rPr>
              <w:t>Specifični cilj</w:t>
            </w:r>
          </w:p>
        </w:tc>
        <w:tc>
          <w:tcPr>
            <w:tcW w:w="992" w:type="dxa"/>
            <w:vAlign w:val="center"/>
          </w:tcPr>
          <w:p w14:paraId="6433A849" w14:textId="77777777" w:rsidR="008671BE" w:rsidRPr="0019378A" w:rsidRDefault="008671BE" w:rsidP="0059250C">
            <w:pPr>
              <w:pStyle w:val="Institutionquisigne"/>
              <w:spacing w:before="0"/>
              <w:jc w:val="center"/>
              <w:rPr>
                <w:i w:val="0"/>
                <w:noProof/>
                <w:sz w:val="20"/>
              </w:rPr>
            </w:pPr>
            <w:r w:rsidRPr="0019378A">
              <w:rPr>
                <w:i w:val="0"/>
                <w:noProof/>
                <w:sz w:val="20"/>
              </w:rPr>
              <w:t>Ime operacije</w:t>
            </w:r>
          </w:p>
        </w:tc>
        <w:tc>
          <w:tcPr>
            <w:tcW w:w="1276" w:type="dxa"/>
            <w:vAlign w:val="center"/>
          </w:tcPr>
          <w:p w14:paraId="2CCBE52B" w14:textId="77777777" w:rsidR="008671BE" w:rsidRPr="0019378A" w:rsidRDefault="008671BE" w:rsidP="0059250C">
            <w:pPr>
              <w:pStyle w:val="Institutionquisigne"/>
              <w:spacing w:before="0"/>
              <w:jc w:val="center"/>
              <w:rPr>
                <w:i w:val="0"/>
                <w:noProof/>
                <w:sz w:val="20"/>
              </w:rPr>
            </w:pPr>
            <w:r w:rsidRPr="0019378A">
              <w:rPr>
                <w:i w:val="0"/>
                <w:noProof/>
                <w:sz w:val="20"/>
              </w:rPr>
              <w:t>Upravičenec operacije</w:t>
            </w:r>
          </w:p>
        </w:tc>
        <w:tc>
          <w:tcPr>
            <w:tcW w:w="992" w:type="dxa"/>
            <w:vAlign w:val="center"/>
          </w:tcPr>
          <w:p w14:paraId="252364A3" w14:textId="77777777" w:rsidR="008671BE" w:rsidRPr="0019378A" w:rsidRDefault="008671BE" w:rsidP="0059250C">
            <w:pPr>
              <w:pStyle w:val="Institutionquisigne"/>
              <w:spacing w:before="0"/>
              <w:jc w:val="center"/>
              <w:rPr>
                <w:i w:val="0"/>
                <w:noProof/>
                <w:sz w:val="20"/>
              </w:rPr>
            </w:pPr>
            <w:r w:rsidRPr="0019378A">
              <w:rPr>
                <w:i w:val="0"/>
                <w:noProof/>
                <w:sz w:val="20"/>
              </w:rPr>
              <w:t>Cilj operacije</w:t>
            </w:r>
          </w:p>
        </w:tc>
        <w:tc>
          <w:tcPr>
            <w:tcW w:w="1134" w:type="dxa"/>
            <w:vAlign w:val="center"/>
          </w:tcPr>
          <w:p w14:paraId="59D875AA" w14:textId="77777777" w:rsidR="008671BE" w:rsidRPr="0019378A" w:rsidRDefault="008671BE" w:rsidP="0059250C">
            <w:pPr>
              <w:pStyle w:val="Institutionquisigne"/>
              <w:spacing w:before="0"/>
              <w:jc w:val="center"/>
              <w:rPr>
                <w:i w:val="0"/>
                <w:noProof/>
                <w:sz w:val="20"/>
              </w:rPr>
            </w:pPr>
            <w:r w:rsidRPr="0019378A">
              <w:rPr>
                <w:i w:val="0"/>
                <w:noProof/>
                <w:sz w:val="20"/>
              </w:rPr>
              <w:t>Obdobje izvajanja</w:t>
            </w:r>
          </w:p>
        </w:tc>
        <w:tc>
          <w:tcPr>
            <w:tcW w:w="1417" w:type="dxa"/>
            <w:vAlign w:val="center"/>
          </w:tcPr>
          <w:p w14:paraId="6026DA4A" w14:textId="77777777" w:rsidR="008671BE" w:rsidRPr="0019378A" w:rsidRDefault="008671BE" w:rsidP="0059250C">
            <w:pPr>
              <w:pStyle w:val="Institutionquisigne"/>
              <w:spacing w:before="0"/>
              <w:jc w:val="center"/>
              <w:rPr>
                <w:i w:val="0"/>
                <w:noProof/>
                <w:sz w:val="20"/>
              </w:rPr>
            </w:pPr>
            <w:r w:rsidRPr="0019378A">
              <w:rPr>
                <w:i w:val="0"/>
                <w:noProof/>
                <w:sz w:val="20"/>
              </w:rPr>
              <w:t>Stopnja sofinanciranja</w:t>
            </w:r>
          </w:p>
        </w:tc>
        <w:tc>
          <w:tcPr>
            <w:tcW w:w="1134" w:type="dxa"/>
            <w:vAlign w:val="center"/>
          </w:tcPr>
          <w:p w14:paraId="4D91396D" w14:textId="77777777" w:rsidR="008671BE" w:rsidRPr="0019378A" w:rsidRDefault="008671BE" w:rsidP="0059250C">
            <w:pPr>
              <w:pStyle w:val="Institutionquisigne"/>
              <w:spacing w:before="0"/>
              <w:jc w:val="center"/>
              <w:rPr>
                <w:i w:val="0"/>
                <w:noProof/>
                <w:sz w:val="20"/>
              </w:rPr>
            </w:pPr>
            <w:r w:rsidRPr="0019378A">
              <w:rPr>
                <w:i w:val="0"/>
                <w:noProof/>
                <w:sz w:val="20"/>
              </w:rPr>
              <w:t>Upravičeni stroški</w:t>
            </w:r>
            <w:r w:rsidRPr="0019378A">
              <w:rPr>
                <w:rStyle w:val="Sprotnaopomba-sklic"/>
                <w:b/>
                <w:i w:val="0"/>
                <w:noProof/>
                <w:sz w:val="20"/>
              </w:rPr>
              <w:footnoteReference w:id="22"/>
            </w:r>
          </w:p>
        </w:tc>
        <w:tc>
          <w:tcPr>
            <w:tcW w:w="1243" w:type="dxa"/>
            <w:vAlign w:val="center"/>
          </w:tcPr>
          <w:p w14:paraId="5754DDB1" w14:textId="77777777" w:rsidR="008671BE" w:rsidRPr="0019378A" w:rsidRDefault="008671BE" w:rsidP="0059250C">
            <w:pPr>
              <w:pStyle w:val="Institutionquisigne"/>
              <w:spacing w:before="0"/>
              <w:jc w:val="center"/>
              <w:rPr>
                <w:i w:val="0"/>
                <w:noProof/>
                <w:sz w:val="20"/>
              </w:rPr>
            </w:pPr>
            <w:r w:rsidRPr="0019378A">
              <w:rPr>
                <w:i w:val="0"/>
                <w:noProof/>
                <w:sz w:val="20"/>
              </w:rPr>
              <w:t>Upravičeni izdatki</w:t>
            </w:r>
            <w:r w:rsidRPr="0019378A">
              <w:rPr>
                <w:rStyle w:val="Sprotnaopomba-sklic"/>
                <w:b/>
                <w:i w:val="0"/>
                <w:noProof/>
                <w:sz w:val="20"/>
              </w:rPr>
              <w:footnoteReference w:id="23"/>
            </w:r>
          </w:p>
        </w:tc>
      </w:tr>
      <w:tr w:rsidR="00D7597C" w:rsidRPr="0019378A" w14:paraId="73E26F4C" w14:textId="77777777" w:rsidTr="00400A09">
        <w:trPr>
          <w:trHeight w:val="255"/>
        </w:trPr>
        <w:tc>
          <w:tcPr>
            <w:tcW w:w="1101" w:type="dxa"/>
            <w:vAlign w:val="center"/>
          </w:tcPr>
          <w:p w14:paraId="6EF15EA6" w14:textId="77777777" w:rsidR="00D7597C" w:rsidRPr="0019378A" w:rsidRDefault="00D7597C" w:rsidP="00D7597C">
            <w:pPr>
              <w:pStyle w:val="Institutionquisigne"/>
              <w:spacing w:before="0"/>
              <w:jc w:val="center"/>
              <w:rPr>
                <w:i w:val="0"/>
                <w:noProof/>
                <w:sz w:val="22"/>
              </w:rPr>
            </w:pPr>
            <w:r w:rsidRPr="0019378A">
              <w:rPr>
                <w:i w:val="0"/>
                <w:noProof/>
                <w:sz w:val="22"/>
              </w:rPr>
              <w:t>/</w:t>
            </w:r>
          </w:p>
        </w:tc>
        <w:tc>
          <w:tcPr>
            <w:tcW w:w="992" w:type="dxa"/>
            <w:vAlign w:val="center"/>
          </w:tcPr>
          <w:p w14:paraId="3CC8FF9D" w14:textId="77777777" w:rsidR="00D7597C" w:rsidRPr="0019378A" w:rsidRDefault="00D7597C" w:rsidP="00D7597C">
            <w:pPr>
              <w:pStyle w:val="Institutionquisigne"/>
              <w:spacing w:before="0"/>
              <w:jc w:val="center"/>
              <w:rPr>
                <w:noProof/>
              </w:rPr>
            </w:pPr>
            <w:r w:rsidRPr="0019378A">
              <w:rPr>
                <w:i w:val="0"/>
                <w:noProof/>
                <w:sz w:val="22"/>
              </w:rPr>
              <w:t>/</w:t>
            </w:r>
          </w:p>
        </w:tc>
        <w:tc>
          <w:tcPr>
            <w:tcW w:w="1276" w:type="dxa"/>
            <w:vAlign w:val="center"/>
          </w:tcPr>
          <w:p w14:paraId="060306E0" w14:textId="77777777" w:rsidR="00D7597C" w:rsidRPr="0019378A" w:rsidRDefault="00D7597C" w:rsidP="00D7597C">
            <w:pPr>
              <w:pStyle w:val="Institutionquisigne"/>
              <w:spacing w:before="0"/>
              <w:jc w:val="center"/>
              <w:rPr>
                <w:noProof/>
              </w:rPr>
            </w:pPr>
            <w:r w:rsidRPr="0019378A">
              <w:rPr>
                <w:i w:val="0"/>
                <w:noProof/>
                <w:sz w:val="22"/>
              </w:rPr>
              <w:t>/</w:t>
            </w:r>
          </w:p>
        </w:tc>
        <w:tc>
          <w:tcPr>
            <w:tcW w:w="992" w:type="dxa"/>
            <w:vAlign w:val="center"/>
          </w:tcPr>
          <w:p w14:paraId="3D2B74E0" w14:textId="77777777" w:rsidR="00D7597C" w:rsidRPr="0019378A" w:rsidRDefault="00D7597C" w:rsidP="00D7597C">
            <w:pPr>
              <w:pStyle w:val="Institutionquisigne"/>
              <w:spacing w:before="0"/>
              <w:jc w:val="center"/>
              <w:rPr>
                <w:noProof/>
              </w:rPr>
            </w:pPr>
            <w:r w:rsidRPr="0019378A">
              <w:rPr>
                <w:i w:val="0"/>
                <w:noProof/>
                <w:sz w:val="22"/>
              </w:rPr>
              <w:t>/</w:t>
            </w:r>
          </w:p>
        </w:tc>
        <w:tc>
          <w:tcPr>
            <w:tcW w:w="1134" w:type="dxa"/>
            <w:vAlign w:val="center"/>
          </w:tcPr>
          <w:p w14:paraId="472F8360" w14:textId="77777777" w:rsidR="00D7597C" w:rsidRPr="0019378A" w:rsidRDefault="00D7597C" w:rsidP="00D7597C">
            <w:pPr>
              <w:pStyle w:val="Institutionquisigne"/>
              <w:spacing w:before="0"/>
              <w:jc w:val="center"/>
              <w:rPr>
                <w:noProof/>
              </w:rPr>
            </w:pPr>
            <w:r w:rsidRPr="0019378A">
              <w:rPr>
                <w:i w:val="0"/>
                <w:noProof/>
                <w:sz w:val="22"/>
              </w:rPr>
              <w:t>/</w:t>
            </w:r>
          </w:p>
        </w:tc>
        <w:tc>
          <w:tcPr>
            <w:tcW w:w="1417" w:type="dxa"/>
            <w:vAlign w:val="center"/>
          </w:tcPr>
          <w:p w14:paraId="04CFD717" w14:textId="77777777" w:rsidR="00D7597C" w:rsidRPr="0019378A" w:rsidRDefault="00D7597C" w:rsidP="00D7597C">
            <w:pPr>
              <w:pStyle w:val="Institutionquisigne"/>
              <w:spacing w:before="0"/>
              <w:jc w:val="center"/>
              <w:rPr>
                <w:noProof/>
              </w:rPr>
            </w:pPr>
            <w:r w:rsidRPr="0019378A">
              <w:rPr>
                <w:i w:val="0"/>
                <w:noProof/>
                <w:sz w:val="22"/>
              </w:rPr>
              <w:t>/</w:t>
            </w:r>
          </w:p>
        </w:tc>
        <w:tc>
          <w:tcPr>
            <w:tcW w:w="1134" w:type="dxa"/>
            <w:vAlign w:val="center"/>
          </w:tcPr>
          <w:p w14:paraId="347B3F55" w14:textId="77777777" w:rsidR="00D7597C" w:rsidRPr="0019378A" w:rsidRDefault="00D7597C" w:rsidP="00D7597C">
            <w:pPr>
              <w:pStyle w:val="Institutionquisigne"/>
              <w:spacing w:before="0"/>
              <w:jc w:val="center"/>
              <w:rPr>
                <w:noProof/>
              </w:rPr>
            </w:pPr>
            <w:r w:rsidRPr="0019378A">
              <w:rPr>
                <w:i w:val="0"/>
                <w:noProof/>
                <w:sz w:val="22"/>
              </w:rPr>
              <w:t>/</w:t>
            </w:r>
          </w:p>
        </w:tc>
        <w:tc>
          <w:tcPr>
            <w:tcW w:w="1243" w:type="dxa"/>
            <w:vAlign w:val="center"/>
          </w:tcPr>
          <w:p w14:paraId="77397FA2" w14:textId="77777777" w:rsidR="00D7597C" w:rsidRPr="0019378A" w:rsidRDefault="00D7597C" w:rsidP="00D7597C">
            <w:pPr>
              <w:pStyle w:val="Institutionquisigne"/>
              <w:spacing w:before="0"/>
              <w:jc w:val="center"/>
              <w:rPr>
                <w:noProof/>
              </w:rPr>
            </w:pPr>
            <w:r w:rsidRPr="0019378A">
              <w:rPr>
                <w:i w:val="0"/>
                <w:noProof/>
                <w:sz w:val="22"/>
              </w:rPr>
              <w:t>/</w:t>
            </w:r>
          </w:p>
        </w:tc>
      </w:tr>
    </w:tbl>
    <w:p w14:paraId="50D4A3C7" w14:textId="77777777" w:rsidR="00AD502C" w:rsidRPr="0019378A" w:rsidRDefault="001C1609" w:rsidP="001C1609">
      <w:pPr>
        <w:pStyle w:val="ManualHeading2"/>
        <w:rPr>
          <w:noProof/>
        </w:rPr>
      </w:pPr>
      <w:r w:rsidRPr="0019378A">
        <w:t>2.3.</w:t>
      </w:r>
      <w:r w:rsidRPr="0019378A">
        <w:tab/>
      </w:r>
      <w:r w:rsidR="00AD502C" w:rsidRPr="0019378A">
        <w:rPr>
          <w:noProof/>
        </w:rPr>
        <w:t>Večletni načrti za nakup opreme – člen 13(14), točka (d), Uredbe (EU) 2021/1148</w:t>
      </w:r>
    </w:p>
    <w:p w14:paraId="089BFC29" w14:textId="77777777" w:rsidR="00AD502C" w:rsidRPr="0019378A" w:rsidRDefault="00F12B44" w:rsidP="00AD502C">
      <w:pPr>
        <w:rPr>
          <w:noProof/>
          <w:sz w:val="22"/>
        </w:rPr>
      </w:pPr>
      <w:r w:rsidRPr="0019378A">
        <w:rPr>
          <w:noProof/>
          <w:sz w:val="22"/>
        </w:rPr>
        <w:t xml:space="preserve">Navedite večletne načrte za pričakovani nakup opreme v okviru Instrumenta. </w:t>
      </w:r>
    </w:p>
    <w:tbl>
      <w:tblPr>
        <w:tblStyle w:val="Tabelamrea"/>
        <w:tblW w:w="0" w:type="auto"/>
        <w:tblLook w:val="04A0" w:firstRow="1" w:lastRow="0" w:firstColumn="1" w:lastColumn="0" w:noHBand="0" w:noVBand="1"/>
      </w:tblPr>
      <w:tblGrid>
        <w:gridCol w:w="9063"/>
      </w:tblGrid>
      <w:tr w:rsidR="00AD502C" w:rsidRPr="0019378A" w14:paraId="6541DEFC" w14:textId="77777777" w:rsidTr="00E45665">
        <w:tc>
          <w:tcPr>
            <w:tcW w:w="9289" w:type="dxa"/>
          </w:tcPr>
          <w:p w14:paraId="47F29398" w14:textId="3CDCBE17" w:rsidR="003B7598" w:rsidRPr="003B7598" w:rsidRDefault="00726D0A" w:rsidP="003B7598">
            <w:pPr>
              <w:pStyle w:val="Personnequisigne"/>
              <w:jc w:val="both"/>
              <w:rPr>
                <w:i w:val="0"/>
                <w:noProof/>
                <w:sz w:val="22"/>
              </w:rPr>
            </w:pPr>
            <w:r w:rsidRPr="00420EC1">
              <w:rPr>
                <w:i w:val="0"/>
                <w:noProof/>
                <w:sz w:val="22"/>
              </w:rPr>
              <w:t xml:space="preserve">Slovenija v </w:t>
            </w:r>
            <w:r w:rsidR="000F434E" w:rsidRPr="00420EC1">
              <w:rPr>
                <w:i w:val="0"/>
                <w:noProof/>
                <w:sz w:val="22"/>
              </w:rPr>
              <w:t xml:space="preserve">obračunskem obdobju poročanja še ni </w:t>
            </w:r>
            <w:r w:rsidRPr="00420EC1">
              <w:rPr>
                <w:i w:val="0"/>
                <w:noProof/>
                <w:sz w:val="22"/>
              </w:rPr>
              <w:t xml:space="preserve">pričela z izvajanjem aktivnosti </w:t>
            </w:r>
            <w:r w:rsidR="000F434E" w:rsidRPr="00420EC1">
              <w:rPr>
                <w:i w:val="0"/>
                <w:noProof/>
                <w:sz w:val="22"/>
              </w:rPr>
              <w:t>operacij, v zvezi z ukrepi programa IUMV</w:t>
            </w:r>
            <w:r w:rsidR="00D76B19" w:rsidRPr="00420EC1">
              <w:rPr>
                <w:i w:val="0"/>
                <w:noProof/>
                <w:sz w:val="22"/>
              </w:rPr>
              <w:t xml:space="preserve"> za </w:t>
            </w:r>
            <w:r w:rsidR="000F434E" w:rsidRPr="00420EC1">
              <w:rPr>
                <w:i w:val="0"/>
                <w:noProof/>
                <w:sz w:val="22"/>
              </w:rPr>
              <w:t xml:space="preserve">nakup opreme iz člena 13(14), točka (d) Uredbe (EU) 2021/1148, zato </w:t>
            </w:r>
            <w:r w:rsidR="00C24DA2" w:rsidRPr="00420EC1">
              <w:rPr>
                <w:i w:val="0"/>
                <w:noProof/>
                <w:sz w:val="22"/>
              </w:rPr>
              <w:t xml:space="preserve">lahko poročamo le o načrtovanih </w:t>
            </w:r>
            <w:r w:rsidR="000F434E" w:rsidRPr="00420EC1">
              <w:rPr>
                <w:i w:val="0"/>
                <w:noProof/>
                <w:sz w:val="22"/>
              </w:rPr>
              <w:t xml:space="preserve">večletnih </w:t>
            </w:r>
            <w:r w:rsidRPr="00420EC1">
              <w:rPr>
                <w:i w:val="0"/>
                <w:noProof/>
                <w:sz w:val="22"/>
              </w:rPr>
              <w:t>načrtih za nakupe opreme.</w:t>
            </w:r>
          </w:p>
          <w:p w14:paraId="3814FD20" w14:textId="77777777" w:rsidR="003B7598" w:rsidRDefault="003B7598" w:rsidP="00C965F8">
            <w:pPr>
              <w:pStyle w:val="Personnequisigne"/>
              <w:jc w:val="both"/>
              <w:rPr>
                <w:i w:val="0"/>
                <w:sz w:val="22"/>
              </w:rPr>
            </w:pPr>
          </w:p>
          <w:p w14:paraId="2F26240D" w14:textId="15174093" w:rsidR="00C24DA2" w:rsidRPr="00420EC1" w:rsidRDefault="00C24DA2" w:rsidP="00C965F8">
            <w:pPr>
              <w:pStyle w:val="Personnequisigne"/>
              <w:jc w:val="both"/>
              <w:rPr>
                <w:i w:val="0"/>
                <w:noProof/>
                <w:sz w:val="22"/>
              </w:rPr>
            </w:pPr>
            <w:r w:rsidRPr="00420EC1">
              <w:rPr>
                <w:i w:val="0"/>
                <w:sz w:val="22"/>
              </w:rPr>
              <w:t xml:space="preserve">Slovenija načrtuje, da bo na razpolago Evropski agenciji za mejno in obalno stražo dala 20 vozil (10 od teh je zamenjava obstoječih zastarelih), 1 ročno </w:t>
            </w:r>
            <w:proofErr w:type="spellStart"/>
            <w:r w:rsidRPr="00420EC1">
              <w:rPr>
                <w:i w:val="0"/>
                <w:sz w:val="22"/>
              </w:rPr>
              <w:t>termovizijo</w:t>
            </w:r>
            <w:proofErr w:type="spellEnd"/>
            <w:r w:rsidRPr="00420EC1">
              <w:rPr>
                <w:i w:val="0"/>
                <w:sz w:val="22"/>
              </w:rPr>
              <w:t xml:space="preserve"> (menjava </w:t>
            </w:r>
            <w:r w:rsidR="00AF65B7" w:rsidRPr="00420EC1">
              <w:rPr>
                <w:i w:val="0"/>
                <w:sz w:val="22"/>
              </w:rPr>
              <w:t xml:space="preserve">obstoječe </w:t>
            </w:r>
            <w:r w:rsidRPr="00420EC1">
              <w:rPr>
                <w:i w:val="0"/>
                <w:sz w:val="22"/>
              </w:rPr>
              <w:t xml:space="preserve">zastarele) in 1 mobilno </w:t>
            </w:r>
            <w:proofErr w:type="spellStart"/>
            <w:r w:rsidRPr="00420EC1">
              <w:rPr>
                <w:i w:val="0"/>
                <w:sz w:val="22"/>
              </w:rPr>
              <w:t>te</w:t>
            </w:r>
            <w:r w:rsidR="00207477" w:rsidRPr="00420EC1">
              <w:rPr>
                <w:i w:val="0"/>
                <w:sz w:val="22"/>
              </w:rPr>
              <w:t>r</w:t>
            </w:r>
            <w:r w:rsidRPr="00420EC1">
              <w:rPr>
                <w:i w:val="0"/>
                <w:sz w:val="22"/>
              </w:rPr>
              <w:t>movizijo</w:t>
            </w:r>
            <w:proofErr w:type="spellEnd"/>
            <w:r w:rsidRPr="00420EC1">
              <w:rPr>
                <w:i w:val="0"/>
                <w:sz w:val="22"/>
              </w:rPr>
              <w:t>. Javno naročilo za 10 vozil je že izvedla (po obračunskem obdobju poročanja)</w:t>
            </w:r>
            <w:r w:rsidR="00207477" w:rsidRPr="00420EC1">
              <w:rPr>
                <w:i w:val="0"/>
                <w:sz w:val="22"/>
              </w:rPr>
              <w:t xml:space="preserve"> in izvajalcev</w:t>
            </w:r>
            <w:r w:rsidRPr="00420EC1">
              <w:rPr>
                <w:i w:val="0"/>
                <w:sz w:val="22"/>
              </w:rPr>
              <w:t xml:space="preserve"> ni bil izbran – postopek se </w:t>
            </w:r>
            <w:r w:rsidR="00C965F8">
              <w:rPr>
                <w:i w:val="0"/>
                <w:sz w:val="22"/>
              </w:rPr>
              <w:t>je</w:t>
            </w:r>
            <w:r w:rsidRPr="00420EC1">
              <w:rPr>
                <w:i w:val="0"/>
                <w:sz w:val="22"/>
              </w:rPr>
              <w:t xml:space="preserve"> ponovil</w:t>
            </w:r>
            <w:r w:rsidR="00C965F8">
              <w:rPr>
                <w:i w:val="0"/>
                <w:sz w:val="22"/>
              </w:rPr>
              <w:t>, poteka pregled prejetih ponudb</w:t>
            </w:r>
            <w:r w:rsidRPr="00420EC1">
              <w:rPr>
                <w:i w:val="0"/>
                <w:sz w:val="22"/>
              </w:rPr>
              <w:t>. Nakup ostale opreme pa je načrtovan v 2026.</w:t>
            </w:r>
          </w:p>
        </w:tc>
      </w:tr>
    </w:tbl>
    <w:p w14:paraId="2B1468B4" w14:textId="77777777" w:rsidR="00AD502C" w:rsidRPr="0019378A" w:rsidRDefault="001C1609" w:rsidP="001C1609">
      <w:pPr>
        <w:pStyle w:val="ManualHeading1"/>
        <w:rPr>
          <w:noProof/>
        </w:rPr>
      </w:pPr>
      <w:r w:rsidRPr="0019378A">
        <w:t>3.</w:t>
      </w:r>
      <w:r w:rsidRPr="0019378A">
        <w:tab/>
      </w:r>
      <w:r w:rsidR="00AD502C" w:rsidRPr="0019378A">
        <w:rPr>
          <w:noProof/>
        </w:rPr>
        <w:t>Izvajanje pravnega reda Unije – člen 29(2), točka (d), Uredbe (EU) 2021/1148</w:t>
      </w:r>
    </w:p>
    <w:p w14:paraId="49017E3B" w14:textId="77777777" w:rsidR="00AD502C" w:rsidRPr="0019378A" w:rsidRDefault="00F12B44" w:rsidP="00AD502C">
      <w:pPr>
        <w:rPr>
          <w:noProof/>
          <w:sz w:val="22"/>
        </w:rPr>
      </w:pPr>
      <w:r w:rsidRPr="0019378A">
        <w:rPr>
          <w:noProof/>
          <w:sz w:val="22"/>
        </w:rPr>
        <w:t>Na kratko opišite, kako je program med obračunskim letom prispeval k izvajanju ustreznega pravnega reda Unije (prava Unije), zlasti o schengenskem območju, upravljanju meja in vizumski politiki, ter k vsem ustreznim akcijskim načrtom.</w:t>
      </w:r>
    </w:p>
    <w:tbl>
      <w:tblPr>
        <w:tblStyle w:val="Tabelamrea"/>
        <w:tblW w:w="0" w:type="auto"/>
        <w:tblLook w:val="04A0" w:firstRow="1" w:lastRow="0" w:firstColumn="1" w:lastColumn="0" w:noHBand="0" w:noVBand="1"/>
      </w:tblPr>
      <w:tblGrid>
        <w:gridCol w:w="9063"/>
      </w:tblGrid>
      <w:tr w:rsidR="00CF74E9" w:rsidRPr="0019378A" w14:paraId="6DC6B501" w14:textId="77777777" w:rsidTr="00CF74E9">
        <w:tc>
          <w:tcPr>
            <w:tcW w:w="9289" w:type="dxa"/>
          </w:tcPr>
          <w:p w14:paraId="15AFFE70" w14:textId="77777777" w:rsidR="00BE4DB1" w:rsidRPr="00BE4DB1" w:rsidRDefault="00BE4DB1" w:rsidP="00BE4DB1">
            <w:pPr>
              <w:tabs>
                <w:tab w:val="left" w:pos="4252"/>
              </w:tabs>
              <w:autoSpaceDE w:val="0"/>
              <w:autoSpaceDN w:val="0"/>
              <w:adjustRightInd w:val="0"/>
              <w:spacing w:before="0" w:after="0"/>
              <w:rPr>
                <w:color w:val="000000"/>
                <w:sz w:val="22"/>
              </w:rPr>
            </w:pPr>
            <w:r w:rsidRPr="00BE4DB1">
              <w:rPr>
                <w:color w:val="000000"/>
                <w:sz w:val="22"/>
              </w:rPr>
              <w:t xml:space="preserve">Vse operacije v izvajanju dosledno sledijo določilom Pogodbe o delovanju EU, Listine EU o temeljnih pravicah in Konvencije o statusu beguncev s Protokolom iz leta 1967. </w:t>
            </w:r>
          </w:p>
          <w:p w14:paraId="1BC0D6EC" w14:textId="77777777" w:rsidR="00BE4DB1" w:rsidRPr="00BE4DB1" w:rsidRDefault="00BE4DB1" w:rsidP="00BE4DB1">
            <w:pPr>
              <w:tabs>
                <w:tab w:val="left" w:pos="4252"/>
              </w:tabs>
              <w:autoSpaceDE w:val="0"/>
              <w:autoSpaceDN w:val="0"/>
              <w:adjustRightInd w:val="0"/>
              <w:spacing w:before="0" w:after="0"/>
              <w:rPr>
                <w:color w:val="000000"/>
                <w:sz w:val="22"/>
              </w:rPr>
            </w:pPr>
          </w:p>
          <w:p w14:paraId="0AD29E97" w14:textId="2E6963CC" w:rsidR="00BE4DB1" w:rsidRPr="00BE4DB1" w:rsidRDefault="00BE4DB1" w:rsidP="00BE4DB1">
            <w:pPr>
              <w:tabs>
                <w:tab w:val="left" w:pos="4252"/>
              </w:tabs>
              <w:autoSpaceDE w:val="0"/>
              <w:autoSpaceDN w:val="0"/>
              <w:adjustRightInd w:val="0"/>
              <w:spacing w:before="0" w:after="0"/>
              <w:rPr>
                <w:color w:val="000000"/>
                <w:sz w:val="22"/>
              </w:rPr>
            </w:pPr>
            <w:r w:rsidRPr="00BE4DB1">
              <w:rPr>
                <w:color w:val="000000"/>
                <w:sz w:val="22"/>
              </w:rPr>
              <w:t xml:space="preserve">V okviru </w:t>
            </w:r>
            <w:r w:rsidRPr="00BE4DB1">
              <w:rPr>
                <w:b/>
                <w:bCs/>
                <w:color w:val="000000"/>
                <w:sz w:val="22"/>
              </w:rPr>
              <w:t>Specifičnega cilja 1</w:t>
            </w:r>
            <w:r w:rsidRPr="00BE4DB1">
              <w:rPr>
                <w:color w:val="000000"/>
                <w:sz w:val="22"/>
              </w:rPr>
              <w:t xml:space="preserve"> s</w:t>
            </w:r>
            <w:r w:rsidR="00105F4B">
              <w:rPr>
                <w:color w:val="000000"/>
                <w:sz w:val="22"/>
              </w:rPr>
              <w:t xml:space="preserve">o se izvajale operacije, ki </w:t>
            </w:r>
            <w:r w:rsidRPr="00BE4DB1">
              <w:rPr>
                <w:color w:val="000000"/>
                <w:sz w:val="22"/>
              </w:rPr>
              <w:t>implementirajo določbe nacionalnega prava: Zakona o nalogah in pooblastilih policije (Uradni list RS, št. 15/13), Kazenskega zakonika (Uradni list RS, št. 50/12 in nadaljnje spremembe), Zakona o kazenskem postopku (Uradni list RS št.</w:t>
            </w:r>
            <w:r w:rsidR="00373A05">
              <w:rPr>
                <w:color w:val="000000"/>
                <w:sz w:val="22"/>
              </w:rPr>
              <w:t xml:space="preserve"> 176/21 in nadaljnje spremembe),</w:t>
            </w:r>
            <w:r w:rsidRPr="00BE4DB1">
              <w:rPr>
                <w:color w:val="000000"/>
                <w:sz w:val="22"/>
              </w:rPr>
              <w:t xml:space="preserve"> Zakona o nadzoru državne meje (Uradni list RS, št. 35/10 in nadaljnje spremembe) in podrejenih aktov; ter določbe pravnega reda EU: Uredba 2</w:t>
            </w:r>
            <w:r w:rsidR="00373A05">
              <w:rPr>
                <w:color w:val="000000"/>
                <w:sz w:val="22"/>
              </w:rPr>
              <w:t>016/399/EU, Uredba 2017/2225/EU,</w:t>
            </w:r>
            <w:r w:rsidRPr="00BE4DB1">
              <w:rPr>
                <w:color w:val="000000"/>
                <w:sz w:val="22"/>
              </w:rPr>
              <w:t xml:space="preserve"> Uredba 2017/2226/EU, Uredba 2018/1860/EU</w:t>
            </w:r>
            <w:r w:rsidR="00373A05">
              <w:rPr>
                <w:color w:val="000000"/>
                <w:sz w:val="22"/>
              </w:rPr>
              <w:t>, Uredba 2018/1861/EU, Uredba 2018/1862/EU,</w:t>
            </w:r>
            <w:r w:rsidRPr="00BE4DB1">
              <w:rPr>
                <w:color w:val="000000"/>
                <w:sz w:val="22"/>
              </w:rPr>
              <w:t xml:space="preserve"> Uredba 2018/1240/EU, Uredba 2019/817/EU, Uredba 2</w:t>
            </w:r>
            <w:r w:rsidR="00373A05">
              <w:rPr>
                <w:color w:val="000000"/>
                <w:sz w:val="22"/>
              </w:rPr>
              <w:t>019/818/EU, Uredba 2019/1896/EU,</w:t>
            </w:r>
            <w:r w:rsidRPr="00BE4DB1">
              <w:rPr>
                <w:color w:val="000000"/>
                <w:sz w:val="22"/>
              </w:rPr>
              <w:t xml:space="preserve"> Uredba 20</w:t>
            </w:r>
            <w:r w:rsidR="00373A05">
              <w:rPr>
                <w:color w:val="000000"/>
                <w:sz w:val="22"/>
              </w:rPr>
              <w:t>18/1240/EU, Uredba 2021/1133/EU, Uredba 2021/1134/EU, Uredba 2022/922/EU,</w:t>
            </w:r>
            <w:r w:rsidRPr="00BE4DB1">
              <w:rPr>
                <w:rFonts w:ascii="Arial" w:hAnsi="Arial" w:cs="Arial"/>
                <w:iCs/>
                <w:color w:val="000000"/>
                <w:sz w:val="22"/>
              </w:rPr>
              <w:t xml:space="preserve"> </w:t>
            </w:r>
            <w:r w:rsidR="00F16A60">
              <w:rPr>
                <w:color w:val="000000"/>
                <w:sz w:val="22"/>
              </w:rPr>
              <w:t>Uredba 2024/903/EU in</w:t>
            </w:r>
            <w:r w:rsidRPr="00BE4DB1">
              <w:rPr>
                <w:color w:val="000000"/>
                <w:sz w:val="22"/>
              </w:rPr>
              <w:t xml:space="preserve"> Izvedbeni sklep </w:t>
            </w:r>
            <w:hyperlink r:id="rId11" w:history="1">
              <w:r w:rsidRPr="00BE4DB1">
                <w:rPr>
                  <w:color w:val="000000"/>
                  <w:sz w:val="22"/>
                </w:rPr>
                <w:t>2023/201</w:t>
              </w:r>
            </w:hyperlink>
            <w:r w:rsidRPr="00BE4DB1">
              <w:rPr>
                <w:color w:val="000000"/>
                <w:sz w:val="22"/>
              </w:rPr>
              <w:t>/EU.</w:t>
            </w:r>
          </w:p>
          <w:p w14:paraId="4D1AC246" w14:textId="77777777" w:rsidR="00BE4DB1" w:rsidRPr="00BE4DB1" w:rsidRDefault="00BE4DB1" w:rsidP="00BE4DB1">
            <w:pPr>
              <w:tabs>
                <w:tab w:val="left" w:pos="4252"/>
              </w:tabs>
              <w:autoSpaceDE w:val="0"/>
              <w:autoSpaceDN w:val="0"/>
              <w:adjustRightInd w:val="0"/>
              <w:spacing w:before="0" w:after="0"/>
              <w:rPr>
                <w:color w:val="000000"/>
                <w:sz w:val="22"/>
              </w:rPr>
            </w:pPr>
          </w:p>
          <w:p w14:paraId="3463A53C" w14:textId="21D64E4F" w:rsidR="00AD502C" w:rsidRPr="00420EC1" w:rsidRDefault="00BE4DB1" w:rsidP="005809E2">
            <w:pPr>
              <w:tabs>
                <w:tab w:val="left" w:pos="4252"/>
              </w:tabs>
              <w:autoSpaceDE w:val="0"/>
              <w:autoSpaceDN w:val="0"/>
              <w:adjustRightInd w:val="0"/>
              <w:spacing w:before="0" w:after="0"/>
              <w:rPr>
                <w:i/>
                <w:noProof/>
              </w:rPr>
            </w:pPr>
            <w:r w:rsidRPr="00BE4DB1">
              <w:rPr>
                <w:color w:val="000000"/>
                <w:sz w:val="22"/>
              </w:rPr>
              <w:t xml:space="preserve">V okviru </w:t>
            </w:r>
            <w:r w:rsidRPr="00BE4DB1">
              <w:rPr>
                <w:b/>
                <w:bCs/>
                <w:color w:val="000000"/>
                <w:sz w:val="22"/>
              </w:rPr>
              <w:t>Specifičnega cilja 2</w:t>
            </w:r>
            <w:r w:rsidRPr="00BE4DB1">
              <w:rPr>
                <w:color w:val="000000"/>
                <w:sz w:val="22"/>
              </w:rPr>
              <w:t xml:space="preserve"> </w:t>
            </w:r>
            <w:r w:rsidR="007532F9" w:rsidRPr="00105F4B">
              <w:rPr>
                <w:color w:val="000000"/>
                <w:sz w:val="22"/>
              </w:rPr>
              <w:t>s</w:t>
            </w:r>
            <w:r w:rsidR="00105F4B" w:rsidRPr="00105F4B">
              <w:rPr>
                <w:color w:val="000000"/>
                <w:sz w:val="22"/>
              </w:rPr>
              <w:t xml:space="preserve">o se izvajale operacije, ki </w:t>
            </w:r>
            <w:r w:rsidRPr="00105F4B">
              <w:rPr>
                <w:color w:val="000000"/>
                <w:sz w:val="22"/>
              </w:rPr>
              <w:t>implementirajo določbe nacionalnega prava: Zakona o tujcih (Uradni list RS, št. 50/11 in nadaljnje spremembe) in podrejenih aktov; ter določb</w:t>
            </w:r>
            <w:r w:rsidR="007532F9" w:rsidRPr="00105F4B">
              <w:rPr>
                <w:color w:val="000000"/>
                <w:sz w:val="22"/>
              </w:rPr>
              <w:t xml:space="preserve">e pravnega reda EU: Uredbe </w:t>
            </w:r>
            <w:r w:rsidRPr="00105F4B">
              <w:rPr>
                <w:color w:val="000000"/>
                <w:sz w:val="22"/>
              </w:rPr>
              <w:t>810/2009</w:t>
            </w:r>
            <w:r w:rsidR="007532F9" w:rsidRPr="00105F4B">
              <w:rPr>
                <w:color w:val="000000"/>
                <w:sz w:val="22"/>
              </w:rPr>
              <w:t>/ES</w:t>
            </w:r>
            <w:r w:rsidRPr="00105F4B">
              <w:rPr>
                <w:color w:val="000000"/>
                <w:sz w:val="22"/>
              </w:rPr>
              <w:t>, Uredba 767/2008</w:t>
            </w:r>
            <w:r w:rsidR="007532F9" w:rsidRPr="00105F4B">
              <w:rPr>
                <w:color w:val="000000"/>
                <w:sz w:val="22"/>
              </w:rPr>
              <w:t>/ES</w:t>
            </w:r>
            <w:r w:rsidRPr="00105F4B">
              <w:rPr>
                <w:color w:val="000000"/>
                <w:sz w:val="22"/>
              </w:rPr>
              <w:t xml:space="preserve">, </w:t>
            </w:r>
            <w:r w:rsidR="005809E2">
              <w:rPr>
                <w:color w:val="000000"/>
                <w:sz w:val="22"/>
              </w:rPr>
              <w:t xml:space="preserve">Uredba 2018/1806/EU, </w:t>
            </w:r>
            <w:r w:rsidRPr="00105F4B">
              <w:rPr>
                <w:color w:val="000000"/>
                <w:sz w:val="22"/>
              </w:rPr>
              <w:t>Uredba 2021/1133</w:t>
            </w:r>
            <w:r w:rsidR="007532F9" w:rsidRPr="00105F4B">
              <w:rPr>
                <w:color w:val="000000"/>
                <w:sz w:val="22"/>
              </w:rPr>
              <w:t>/EU</w:t>
            </w:r>
            <w:r w:rsidR="005809E2">
              <w:rPr>
                <w:color w:val="000000"/>
                <w:sz w:val="22"/>
              </w:rPr>
              <w:t xml:space="preserve"> in</w:t>
            </w:r>
            <w:r w:rsidRPr="00105F4B">
              <w:rPr>
                <w:color w:val="000000"/>
                <w:sz w:val="22"/>
              </w:rPr>
              <w:t xml:space="preserve"> Uredba 2021/1134</w:t>
            </w:r>
            <w:r w:rsidR="007532F9" w:rsidRPr="00105F4B">
              <w:rPr>
                <w:color w:val="000000"/>
                <w:sz w:val="22"/>
              </w:rPr>
              <w:t>/EU</w:t>
            </w:r>
            <w:r w:rsidRPr="00105F4B">
              <w:rPr>
                <w:color w:val="000000"/>
                <w:sz w:val="22"/>
              </w:rPr>
              <w:t>.</w:t>
            </w:r>
          </w:p>
        </w:tc>
      </w:tr>
    </w:tbl>
    <w:p w14:paraId="7B1AC8C4" w14:textId="77777777" w:rsidR="00AD502C" w:rsidRPr="0019378A" w:rsidRDefault="001C1609" w:rsidP="001C1609">
      <w:pPr>
        <w:pStyle w:val="ManualHeading1"/>
        <w:rPr>
          <w:noProof/>
        </w:rPr>
      </w:pPr>
      <w:r w:rsidRPr="0019378A">
        <w:t>4.</w:t>
      </w:r>
      <w:r w:rsidRPr="0019378A">
        <w:tab/>
      </w:r>
      <w:r w:rsidR="00AD502C" w:rsidRPr="0019378A">
        <w:rPr>
          <w:noProof/>
        </w:rPr>
        <w:t>Komuniciranje in prepoznavnost – člen 29(2), točka (e), Uredbe (EU) 2021/1148</w:t>
      </w:r>
    </w:p>
    <w:p w14:paraId="4D950C80" w14:textId="77777777" w:rsidR="00AD502C" w:rsidRPr="0019378A" w:rsidRDefault="00F12B44" w:rsidP="00AD502C">
      <w:pPr>
        <w:rPr>
          <w:noProof/>
          <w:sz w:val="22"/>
        </w:rPr>
      </w:pPr>
      <w:r w:rsidRPr="0019378A">
        <w:rPr>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1"/>
        <w:tblW w:w="9063" w:type="dxa"/>
        <w:tblLook w:val="04A0" w:firstRow="1" w:lastRow="0" w:firstColumn="1" w:lastColumn="0" w:noHBand="0" w:noVBand="1"/>
      </w:tblPr>
      <w:tblGrid>
        <w:gridCol w:w="9063"/>
      </w:tblGrid>
      <w:tr w:rsidR="00F770B4" w:rsidRPr="0019378A" w14:paraId="43E24E18" w14:textId="77777777" w:rsidTr="00F770B4">
        <w:tc>
          <w:tcPr>
            <w:tcW w:w="9063" w:type="dxa"/>
          </w:tcPr>
          <w:p w14:paraId="5827F26A" w14:textId="1DFAE3F3" w:rsidR="00552015" w:rsidRDefault="00552015" w:rsidP="00552015">
            <w:pPr>
              <w:pStyle w:val="Personnequisigne"/>
              <w:jc w:val="both"/>
              <w:rPr>
                <w:i w:val="0"/>
                <w:sz w:val="22"/>
              </w:rPr>
            </w:pPr>
            <w:r w:rsidRPr="002F67B6">
              <w:rPr>
                <w:i w:val="0"/>
                <w:noProof/>
                <w:sz w:val="22"/>
              </w:rPr>
              <w:t>Slovenija je v obračunskem obdobju poročanja pričela z izvajanjem aktivn</w:t>
            </w:r>
            <w:r>
              <w:rPr>
                <w:i w:val="0"/>
                <w:noProof/>
                <w:sz w:val="22"/>
              </w:rPr>
              <w:t>osti v zvezi z ukrepi programa IUMV</w:t>
            </w:r>
            <w:r w:rsidRPr="002F67B6">
              <w:rPr>
                <w:i w:val="0"/>
                <w:noProof/>
                <w:sz w:val="22"/>
              </w:rPr>
              <w:t xml:space="preserve">, </w:t>
            </w:r>
            <w:r>
              <w:rPr>
                <w:i w:val="0"/>
                <w:noProof/>
                <w:sz w:val="22"/>
              </w:rPr>
              <w:t>zato</w:t>
            </w:r>
            <w:r w:rsidRPr="002F67B6">
              <w:rPr>
                <w:i w:val="0"/>
                <w:noProof/>
                <w:sz w:val="22"/>
              </w:rPr>
              <w:t xml:space="preserve"> lahko poročamo o napredku v zvezi s cilji, določenimi v komunikacijski strategiji</w:t>
            </w:r>
            <w:r>
              <w:rPr>
                <w:i w:val="0"/>
                <w:noProof/>
                <w:sz w:val="22"/>
              </w:rPr>
              <w:t xml:space="preserve">. </w:t>
            </w:r>
            <w:r w:rsidRPr="002F67B6">
              <w:rPr>
                <w:i w:val="0"/>
              </w:rPr>
              <w:t>Na področju</w:t>
            </w:r>
            <w:r w:rsidRPr="002F67B6">
              <w:rPr>
                <w:i w:val="0"/>
                <w:sz w:val="22"/>
              </w:rPr>
              <w:t xml:space="preserve"> prepoznavnosti, preglednosti in komuniciranja so pote</w:t>
            </w:r>
            <w:r>
              <w:rPr>
                <w:i w:val="0"/>
                <w:sz w:val="22"/>
              </w:rPr>
              <w:t>kale številne aktivnosti namenjene splošni, interni in zainteresirani javnosti za programe AMIF, SNV in IUMV.</w:t>
            </w:r>
          </w:p>
          <w:p w14:paraId="0F8BC046" w14:textId="77777777" w:rsidR="00552015" w:rsidRDefault="00552015" w:rsidP="00552015">
            <w:pPr>
              <w:pStyle w:val="Personnequisigne"/>
              <w:jc w:val="both"/>
              <w:rPr>
                <w:i w:val="0"/>
                <w:sz w:val="22"/>
              </w:rPr>
            </w:pPr>
          </w:p>
          <w:p w14:paraId="7F5C0941" w14:textId="5926182F" w:rsidR="00552015" w:rsidRPr="00D11FE3" w:rsidRDefault="00552015" w:rsidP="00552015">
            <w:pPr>
              <w:pStyle w:val="Personnequisigne"/>
              <w:jc w:val="both"/>
              <w:rPr>
                <w:i w:val="0"/>
                <w:sz w:val="22"/>
              </w:rPr>
            </w:pPr>
            <w:r w:rsidRPr="00D11FE3">
              <w:rPr>
                <w:i w:val="0"/>
                <w:sz w:val="22"/>
              </w:rPr>
              <w:t xml:space="preserve">Komunikacijske aktivnosti za interno javnost so potekale </w:t>
            </w:r>
            <w:r>
              <w:rPr>
                <w:i w:val="0"/>
                <w:sz w:val="22"/>
              </w:rPr>
              <w:t xml:space="preserve">predvsem </w:t>
            </w:r>
            <w:r w:rsidRPr="00D11FE3">
              <w:rPr>
                <w:i w:val="0"/>
                <w:sz w:val="22"/>
              </w:rPr>
              <w:t xml:space="preserve">v okviru poročanja </w:t>
            </w:r>
            <w:r>
              <w:rPr>
                <w:i w:val="0"/>
                <w:sz w:val="22"/>
              </w:rPr>
              <w:t>O</w:t>
            </w:r>
            <w:r w:rsidRPr="00D11FE3">
              <w:rPr>
                <w:i w:val="0"/>
                <w:sz w:val="22"/>
              </w:rPr>
              <w:t>dbor</w:t>
            </w:r>
            <w:r>
              <w:rPr>
                <w:i w:val="0"/>
                <w:sz w:val="22"/>
              </w:rPr>
              <w:t>u</w:t>
            </w:r>
            <w:r w:rsidRPr="00D11FE3">
              <w:rPr>
                <w:i w:val="0"/>
                <w:sz w:val="22"/>
              </w:rPr>
              <w:t xml:space="preserve"> za spremljanje, INFORM-SI, INFORM-EU, delavnic z</w:t>
            </w:r>
            <w:r>
              <w:rPr>
                <w:i w:val="0"/>
                <w:sz w:val="22"/>
              </w:rPr>
              <w:t>a upravičence</w:t>
            </w:r>
            <w:r w:rsidRPr="00D11FE3">
              <w:rPr>
                <w:i w:val="0"/>
                <w:sz w:val="22"/>
              </w:rPr>
              <w:t>, operativnih sestankov</w:t>
            </w:r>
            <w:r>
              <w:rPr>
                <w:i w:val="0"/>
                <w:sz w:val="22"/>
              </w:rPr>
              <w:t xml:space="preserve"> ter</w:t>
            </w:r>
            <w:r w:rsidRPr="00D11FE3">
              <w:rPr>
                <w:i w:val="0"/>
                <w:sz w:val="22"/>
              </w:rPr>
              <w:t xml:space="preserve"> preko </w:t>
            </w:r>
            <w:r>
              <w:rPr>
                <w:i w:val="0"/>
                <w:sz w:val="22"/>
              </w:rPr>
              <w:t>I</w:t>
            </w:r>
            <w:r w:rsidRPr="00D11FE3">
              <w:rPr>
                <w:i w:val="0"/>
                <w:sz w:val="22"/>
              </w:rPr>
              <w:t>ntraneta</w:t>
            </w:r>
            <w:r>
              <w:rPr>
                <w:i w:val="0"/>
                <w:sz w:val="22"/>
              </w:rPr>
              <w:t xml:space="preserve"> MNZ in </w:t>
            </w:r>
            <w:r w:rsidRPr="00D11FE3">
              <w:rPr>
                <w:i w:val="0"/>
                <w:sz w:val="22"/>
              </w:rPr>
              <w:t>Policije</w:t>
            </w:r>
            <w:r w:rsidR="00A12DB1">
              <w:rPr>
                <w:i w:val="0"/>
                <w:sz w:val="22"/>
              </w:rPr>
              <w:t xml:space="preserve"> ter intraneta </w:t>
            </w:r>
            <w:r w:rsidR="00BC7BB1">
              <w:rPr>
                <w:i w:val="0"/>
                <w:sz w:val="22"/>
              </w:rPr>
              <w:t xml:space="preserve">in </w:t>
            </w:r>
            <w:proofErr w:type="spellStart"/>
            <w:r w:rsidR="00BC7BB1">
              <w:rPr>
                <w:i w:val="0"/>
                <w:sz w:val="22"/>
              </w:rPr>
              <w:t>depešnega</w:t>
            </w:r>
            <w:proofErr w:type="spellEnd"/>
            <w:r w:rsidR="00BC7BB1">
              <w:rPr>
                <w:i w:val="0"/>
                <w:sz w:val="22"/>
              </w:rPr>
              <w:t xml:space="preserve"> sistema </w:t>
            </w:r>
            <w:r w:rsidR="00A12DB1">
              <w:rPr>
                <w:i w:val="0"/>
                <w:sz w:val="22"/>
              </w:rPr>
              <w:t>MZEZ</w:t>
            </w:r>
            <w:r w:rsidRPr="00D11FE3">
              <w:rPr>
                <w:i w:val="0"/>
                <w:sz w:val="22"/>
              </w:rPr>
              <w:t>. Ostale aktivnosti so namenjene splošni in zainteresirani javnosti.</w:t>
            </w:r>
          </w:p>
          <w:p w14:paraId="08DBFBED" w14:textId="77777777" w:rsidR="00552015" w:rsidRPr="003D2118" w:rsidRDefault="00552015" w:rsidP="00552015">
            <w:pPr>
              <w:pStyle w:val="Personnequisigne"/>
              <w:jc w:val="both"/>
              <w:rPr>
                <w:sz w:val="22"/>
              </w:rPr>
            </w:pPr>
          </w:p>
          <w:p w14:paraId="7A5C6991" w14:textId="77777777" w:rsidR="00552015" w:rsidRPr="00D42A18" w:rsidRDefault="00552015" w:rsidP="00552015">
            <w:pPr>
              <w:autoSpaceDE w:val="0"/>
              <w:autoSpaceDN w:val="0"/>
              <w:adjustRightInd w:val="0"/>
              <w:spacing w:after="0"/>
              <w:rPr>
                <w:sz w:val="22"/>
              </w:rPr>
            </w:pPr>
            <w:r w:rsidRPr="00D42A18">
              <w:rPr>
                <w:sz w:val="22"/>
              </w:rPr>
              <w:t xml:space="preserve">Splošne aktivnosti: </w:t>
            </w:r>
          </w:p>
          <w:p w14:paraId="464AE1E7" w14:textId="77777777" w:rsidR="00552015" w:rsidRPr="00D42A18" w:rsidRDefault="00552015" w:rsidP="00552015">
            <w:pPr>
              <w:pStyle w:val="Odstavekseznama"/>
              <w:numPr>
                <w:ilvl w:val="0"/>
                <w:numId w:val="30"/>
              </w:numPr>
              <w:tabs>
                <w:tab w:val="left" w:pos="4252"/>
              </w:tabs>
              <w:autoSpaceDE w:val="0"/>
              <w:autoSpaceDN w:val="0"/>
              <w:adjustRightInd w:val="0"/>
              <w:spacing w:before="0" w:after="0"/>
              <w:rPr>
                <w:sz w:val="22"/>
              </w:rPr>
            </w:pPr>
            <w:r w:rsidRPr="00D42A18">
              <w:rPr>
                <w:sz w:val="22"/>
              </w:rPr>
              <w:t>Posodobitev Navodil organa upravljanja na področju zagotavljanja prepoznavnosti, preglednosti in komuniciranja evropske politike na področju notranjih zadev v programskem obdobju 2021–2027, št. 007-328/2023/2 z dne 5.6.2024.</w:t>
            </w:r>
          </w:p>
          <w:p w14:paraId="41C92912" w14:textId="77777777" w:rsidR="00552015" w:rsidRPr="00D42A18" w:rsidRDefault="00552015" w:rsidP="00552015">
            <w:pPr>
              <w:pStyle w:val="Personnequisigne"/>
              <w:numPr>
                <w:ilvl w:val="0"/>
                <w:numId w:val="30"/>
              </w:numPr>
              <w:jc w:val="both"/>
              <w:rPr>
                <w:i w:val="0"/>
                <w:noProof/>
                <w:sz w:val="22"/>
              </w:rPr>
            </w:pPr>
            <w:r w:rsidRPr="00D42A18">
              <w:rPr>
                <w:i w:val="0"/>
                <w:noProof/>
                <w:sz w:val="22"/>
              </w:rPr>
              <w:t xml:space="preserve">Vsi upravičenci so se v prijavi operacije zavezali k upoštevanju vseh zavez, ki jih določa Uredba 2021/1060/EU, o katerih bodo poročali OU v zahtevkih za povračilo. </w:t>
            </w:r>
          </w:p>
          <w:p w14:paraId="5D395C52" w14:textId="77777777" w:rsidR="00552015" w:rsidRPr="00D42A18" w:rsidRDefault="00552015" w:rsidP="00552015">
            <w:pPr>
              <w:pStyle w:val="Odstavekseznama"/>
              <w:numPr>
                <w:ilvl w:val="0"/>
                <w:numId w:val="30"/>
              </w:numPr>
              <w:tabs>
                <w:tab w:val="left" w:pos="4252"/>
              </w:tabs>
              <w:autoSpaceDE w:val="0"/>
              <w:autoSpaceDN w:val="0"/>
              <w:adjustRightInd w:val="0"/>
              <w:spacing w:before="0" w:after="0"/>
              <w:rPr>
                <w:sz w:val="22"/>
              </w:rPr>
            </w:pPr>
            <w:r w:rsidRPr="00D42A18">
              <w:rPr>
                <w:sz w:val="22"/>
              </w:rPr>
              <w:t xml:space="preserve">Zagotovilo, da odločitve o podpori za financiranje operacije vključujejo dikcijo, da se EU podeli brezplačna, </w:t>
            </w:r>
            <w:proofErr w:type="spellStart"/>
            <w:r w:rsidRPr="00D42A18">
              <w:rPr>
                <w:sz w:val="22"/>
              </w:rPr>
              <w:t>neizključna</w:t>
            </w:r>
            <w:proofErr w:type="spellEnd"/>
            <w:r w:rsidRPr="00D42A18">
              <w:rPr>
                <w:sz w:val="22"/>
              </w:rPr>
              <w:t xml:space="preserve"> in nepreklicna licenca za rabo komunikacijskega gradiva ter morebitne pripadajoče predhodno obstoječe pravice.</w:t>
            </w:r>
          </w:p>
          <w:p w14:paraId="7C97AC3F" w14:textId="7CA9FA3E" w:rsidR="00552015" w:rsidRPr="00D42A18" w:rsidRDefault="00552015" w:rsidP="00552015">
            <w:pPr>
              <w:pStyle w:val="Odstavekseznama"/>
              <w:numPr>
                <w:ilvl w:val="0"/>
                <w:numId w:val="30"/>
              </w:numPr>
              <w:tabs>
                <w:tab w:val="left" w:pos="4252"/>
              </w:tabs>
              <w:autoSpaceDE w:val="0"/>
              <w:autoSpaceDN w:val="0"/>
              <w:adjustRightInd w:val="0"/>
              <w:spacing w:before="0" w:after="0"/>
              <w:rPr>
                <w:sz w:val="22"/>
              </w:rPr>
            </w:pPr>
            <w:r w:rsidRPr="00D42A18">
              <w:rPr>
                <w:sz w:val="22"/>
              </w:rPr>
              <w:t xml:space="preserve">Nudenje podpore upravičencem za pravilno izvajanje aktivnosti na področju prepoznavnosti, preglednosti in komuniciranja. OU je izvedel </w:t>
            </w:r>
            <w:r>
              <w:rPr>
                <w:sz w:val="22"/>
              </w:rPr>
              <w:t>pet</w:t>
            </w:r>
            <w:r w:rsidRPr="00871BD0">
              <w:rPr>
                <w:sz w:val="22"/>
              </w:rPr>
              <w:t xml:space="preserve"> delavnic za upravičence</w:t>
            </w:r>
            <w:r w:rsidRPr="00D42A18">
              <w:rPr>
                <w:sz w:val="22"/>
              </w:rPr>
              <w:t xml:space="preserve">, </w:t>
            </w:r>
            <w:r>
              <w:rPr>
                <w:sz w:val="22"/>
              </w:rPr>
              <w:t>od tega dve</w:t>
            </w:r>
            <w:r w:rsidRPr="00D42A18">
              <w:rPr>
                <w:sz w:val="22"/>
              </w:rPr>
              <w:t xml:space="preserve"> splošni za vse upravičence ter </w:t>
            </w:r>
            <w:r>
              <w:rPr>
                <w:sz w:val="22"/>
              </w:rPr>
              <w:t>tri</w:t>
            </w:r>
            <w:r w:rsidRPr="00D42A18">
              <w:rPr>
                <w:sz w:val="22"/>
              </w:rPr>
              <w:t xml:space="preserve"> specifične - </w:t>
            </w:r>
            <w:r>
              <w:rPr>
                <w:sz w:val="22"/>
              </w:rPr>
              <w:t>namenjene</w:t>
            </w:r>
            <w:r w:rsidRPr="00D42A18">
              <w:rPr>
                <w:sz w:val="22"/>
              </w:rPr>
              <w:t xml:space="preserve"> posamezni</w:t>
            </w:r>
            <w:r w:rsidR="00A12DB1">
              <w:rPr>
                <w:sz w:val="22"/>
              </w:rPr>
              <w:t>m</w:t>
            </w:r>
            <w:r w:rsidRPr="00D42A18">
              <w:rPr>
                <w:sz w:val="22"/>
              </w:rPr>
              <w:t xml:space="preserve"> upravičencem. </w:t>
            </w:r>
            <w:r w:rsidRPr="00D42A18">
              <w:rPr>
                <w:bCs/>
                <w:sz w:val="22"/>
              </w:rPr>
              <w:t>Na delavnicah so bile predstavljene novosti in zahteve, ki jih določa Uredba 2021/1060/EU za izvajanje aktivnosti na področju prepoznavnosti, preglednosti in komuniciranja 2021-2027. Namen delavnic je bil upravičence opremiti s potrebnimi znanji in veščinami pri izvedbi komunikacijskih aktivnostih, prikazati</w:t>
            </w:r>
            <w:r>
              <w:rPr>
                <w:bCs/>
                <w:sz w:val="22"/>
              </w:rPr>
              <w:t xml:space="preserve"> praktične primere dobrih praks</w:t>
            </w:r>
            <w:r w:rsidRPr="00D42A18">
              <w:rPr>
                <w:bCs/>
                <w:sz w:val="22"/>
              </w:rPr>
              <w:t xml:space="preserve"> ter uporabo »</w:t>
            </w:r>
            <w:proofErr w:type="spellStart"/>
            <w:r w:rsidRPr="00D42A18">
              <w:rPr>
                <w:bCs/>
                <w:sz w:val="22"/>
              </w:rPr>
              <w:t>Online</w:t>
            </w:r>
            <w:proofErr w:type="spellEnd"/>
            <w:r w:rsidRPr="00D42A18">
              <w:rPr>
                <w:bCs/>
                <w:sz w:val="22"/>
              </w:rPr>
              <w:t xml:space="preserve"> generatorja«.</w:t>
            </w:r>
          </w:p>
          <w:p w14:paraId="61B7F3C2" w14:textId="77777777" w:rsidR="00552015" w:rsidRPr="003D2118" w:rsidRDefault="00552015" w:rsidP="00552015">
            <w:pPr>
              <w:autoSpaceDE w:val="0"/>
              <w:autoSpaceDN w:val="0"/>
              <w:adjustRightInd w:val="0"/>
              <w:spacing w:before="0" w:after="0"/>
              <w:rPr>
                <w:color w:val="FF0000"/>
                <w:sz w:val="22"/>
              </w:rPr>
            </w:pPr>
          </w:p>
          <w:p w14:paraId="690F3184" w14:textId="77777777" w:rsidR="00552015" w:rsidRPr="005D500C" w:rsidRDefault="00552015" w:rsidP="00552015">
            <w:pPr>
              <w:autoSpaceDE w:val="0"/>
              <w:autoSpaceDN w:val="0"/>
              <w:adjustRightInd w:val="0"/>
              <w:spacing w:before="0" w:after="0"/>
              <w:rPr>
                <w:sz w:val="22"/>
              </w:rPr>
            </w:pPr>
            <w:r w:rsidRPr="005D500C">
              <w:rPr>
                <w:sz w:val="22"/>
              </w:rPr>
              <w:t>Sodelovanje v okviru</w:t>
            </w:r>
            <w:r>
              <w:rPr>
                <w:sz w:val="22"/>
              </w:rPr>
              <w:t xml:space="preserve"> mreže</w:t>
            </w:r>
            <w:r w:rsidRPr="005D500C">
              <w:rPr>
                <w:sz w:val="22"/>
              </w:rPr>
              <w:t xml:space="preserve"> INFORM EU in INFORM SI:  </w:t>
            </w:r>
          </w:p>
          <w:p w14:paraId="06EB7F35" w14:textId="77777777" w:rsidR="00552015" w:rsidRPr="00D42A18" w:rsidRDefault="00552015" w:rsidP="00552015">
            <w:pPr>
              <w:pStyle w:val="Odstavekseznama"/>
              <w:numPr>
                <w:ilvl w:val="0"/>
                <w:numId w:val="30"/>
              </w:numPr>
              <w:tabs>
                <w:tab w:val="left" w:pos="4252"/>
              </w:tabs>
              <w:autoSpaceDE w:val="0"/>
              <w:autoSpaceDN w:val="0"/>
              <w:adjustRightInd w:val="0"/>
              <w:spacing w:before="0" w:after="0"/>
              <w:rPr>
                <w:sz w:val="22"/>
              </w:rPr>
            </w:pPr>
            <w:r>
              <w:rPr>
                <w:sz w:val="22"/>
              </w:rPr>
              <w:t>P</w:t>
            </w:r>
            <w:r w:rsidRPr="00D42A18">
              <w:rPr>
                <w:sz w:val="22"/>
              </w:rPr>
              <w:t>osoda</w:t>
            </w:r>
            <w:r>
              <w:rPr>
                <w:sz w:val="22"/>
              </w:rPr>
              <w:t>bljanje</w:t>
            </w:r>
            <w:r w:rsidRPr="00D42A18">
              <w:rPr>
                <w:sz w:val="22"/>
              </w:rPr>
              <w:t xml:space="preserve"> imenovanja </w:t>
            </w:r>
            <w:proofErr w:type="spellStart"/>
            <w:r w:rsidRPr="00D42A18">
              <w:rPr>
                <w:sz w:val="22"/>
              </w:rPr>
              <w:t>komunikatork</w:t>
            </w:r>
            <w:proofErr w:type="spellEnd"/>
            <w:r w:rsidRPr="00D42A18">
              <w:rPr>
                <w:sz w:val="22"/>
              </w:rPr>
              <w:t xml:space="preserve"> za </w:t>
            </w:r>
            <w:r>
              <w:rPr>
                <w:sz w:val="22"/>
              </w:rPr>
              <w:t xml:space="preserve">programe AMIF, SNV in IUMV, </w:t>
            </w:r>
            <w:r w:rsidRPr="00D42A18">
              <w:rPr>
                <w:sz w:val="22"/>
              </w:rPr>
              <w:t>pristojni</w:t>
            </w:r>
            <w:r>
              <w:rPr>
                <w:sz w:val="22"/>
              </w:rPr>
              <w:t>h</w:t>
            </w:r>
            <w:r w:rsidRPr="00D42A18">
              <w:rPr>
                <w:sz w:val="22"/>
              </w:rPr>
              <w:t xml:space="preserve"> za sodelovanje z nacionalnim koordinatorjem za komuniciranje skladov EU in Evropsko komisijo v skladu z 48. členom Uredbe 2021/1060/EU.</w:t>
            </w:r>
          </w:p>
          <w:p w14:paraId="137BB719" w14:textId="77777777" w:rsidR="00552015" w:rsidRDefault="00552015" w:rsidP="00552015">
            <w:pPr>
              <w:numPr>
                <w:ilvl w:val="0"/>
                <w:numId w:val="30"/>
              </w:numPr>
              <w:tabs>
                <w:tab w:val="left" w:pos="4252"/>
              </w:tabs>
              <w:spacing w:before="0" w:after="0" w:line="260" w:lineRule="exact"/>
              <w:rPr>
                <w:sz w:val="22"/>
              </w:rPr>
            </w:pPr>
            <w:r>
              <w:rPr>
                <w:sz w:val="22"/>
              </w:rPr>
              <w:t xml:space="preserve">Udeležba na </w:t>
            </w:r>
            <w:hyperlink r:id="rId12" w:history="1">
              <w:r>
                <w:rPr>
                  <w:sz w:val="22"/>
                </w:rPr>
                <w:t>6. plenarnem zasedanju</w:t>
              </w:r>
              <w:r w:rsidRPr="00CB11C3">
                <w:rPr>
                  <w:sz w:val="22"/>
                </w:rPr>
                <w:t xml:space="preserve"> INFORM-EU, Hannover, Nemčija, 27-29.5.2024, »</w:t>
              </w:r>
              <w:proofErr w:type="spellStart"/>
              <w:r w:rsidRPr="00CB11C3">
                <w:rPr>
                  <w:sz w:val="22"/>
                </w:rPr>
                <w:t>Communicating</w:t>
              </w:r>
              <w:proofErr w:type="spellEnd"/>
              <w:r w:rsidRPr="00CB11C3">
                <w:rPr>
                  <w:sz w:val="22"/>
                </w:rPr>
                <w:t xml:space="preserve"> </w:t>
              </w:r>
              <w:proofErr w:type="spellStart"/>
              <w:r w:rsidRPr="00CB11C3">
                <w:rPr>
                  <w:sz w:val="22"/>
                </w:rPr>
                <w:t>achievements</w:t>
              </w:r>
              <w:proofErr w:type="spellEnd"/>
              <w:r w:rsidRPr="00CB11C3">
                <w:rPr>
                  <w:sz w:val="22"/>
                </w:rPr>
                <w:t xml:space="preserve"> </w:t>
              </w:r>
              <w:proofErr w:type="spellStart"/>
              <w:r w:rsidRPr="00CB11C3">
                <w:rPr>
                  <w:sz w:val="22"/>
                </w:rPr>
                <w:t>and</w:t>
              </w:r>
              <w:proofErr w:type="spellEnd"/>
              <w:r w:rsidRPr="00CB11C3">
                <w:rPr>
                  <w:sz w:val="22"/>
                </w:rPr>
                <w:t xml:space="preserve"> </w:t>
              </w:r>
              <w:proofErr w:type="spellStart"/>
              <w:r w:rsidRPr="00CB11C3">
                <w:rPr>
                  <w:sz w:val="22"/>
                </w:rPr>
                <w:t>results</w:t>
              </w:r>
              <w:proofErr w:type="spellEnd"/>
            </w:hyperlink>
            <w:r w:rsidRPr="00CB11C3">
              <w:rPr>
                <w:sz w:val="22"/>
              </w:rPr>
              <w:t>«</w:t>
            </w:r>
            <w:r>
              <w:rPr>
                <w:sz w:val="22"/>
              </w:rPr>
              <w:t>.</w:t>
            </w:r>
          </w:p>
          <w:p w14:paraId="0C2BFF52" w14:textId="77777777" w:rsidR="00552015" w:rsidRPr="005D500C" w:rsidRDefault="00552015" w:rsidP="00552015">
            <w:pPr>
              <w:numPr>
                <w:ilvl w:val="0"/>
                <w:numId w:val="30"/>
              </w:numPr>
              <w:tabs>
                <w:tab w:val="left" w:pos="4252"/>
              </w:tabs>
              <w:spacing w:before="0" w:after="0" w:line="260" w:lineRule="exact"/>
              <w:rPr>
                <w:sz w:val="22"/>
              </w:rPr>
            </w:pPr>
            <w:r>
              <w:rPr>
                <w:sz w:val="22"/>
              </w:rPr>
              <w:t>Udeležba na 7. plenarnem zasedanju</w:t>
            </w:r>
            <w:r w:rsidRPr="005D500C">
              <w:rPr>
                <w:sz w:val="22"/>
              </w:rPr>
              <w:t xml:space="preserve"> INFORM-SI</w:t>
            </w:r>
            <w:r>
              <w:rPr>
                <w:sz w:val="22"/>
              </w:rPr>
              <w:t>, ki je potekal aprila 2024.</w:t>
            </w:r>
          </w:p>
          <w:p w14:paraId="0EEE99F9" w14:textId="77777777" w:rsidR="00552015" w:rsidRDefault="00552015" w:rsidP="00552015">
            <w:pPr>
              <w:autoSpaceDE w:val="0"/>
              <w:autoSpaceDN w:val="0"/>
              <w:adjustRightInd w:val="0"/>
              <w:spacing w:before="0" w:after="0"/>
              <w:rPr>
                <w:sz w:val="22"/>
              </w:rPr>
            </w:pPr>
          </w:p>
          <w:p w14:paraId="7295AD3C" w14:textId="77777777" w:rsidR="00552015" w:rsidRPr="00D42A18" w:rsidRDefault="00552015" w:rsidP="00552015">
            <w:pPr>
              <w:autoSpaceDE w:val="0"/>
              <w:autoSpaceDN w:val="0"/>
              <w:adjustRightInd w:val="0"/>
              <w:spacing w:before="0" w:after="0"/>
              <w:rPr>
                <w:sz w:val="22"/>
              </w:rPr>
            </w:pPr>
            <w:r w:rsidRPr="00D42A18">
              <w:rPr>
                <w:sz w:val="22"/>
              </w:rPr>
              <w:t>Odbor za spremljanje:</w:t>
            </w:r>
          </w:p>
          <w:p w14:paraId="7323D772" w14:textId="77777777" w:rsidR="00552015" w:rsidRPr="00D42A18" w:rsidRDefault="00552015" w:rsidP="00552015">
            <w:pPr>
              <w:numPr>
                <w:ilvl w:val="0"/>
                <w:numId w:val="30"/>
              </w:numPr>
              <w:tabs>
                <w:tab w:val="left" w:pos="4252"/>
              </w:tabs>
              <w:spacing w:before="0" w:after="0" w:line="260" w:lineRule="exact"/>
              <w:rPr>
                <w:sz w:val="22"/>
              </w:rPr>
            </w:pPr>
            <w:r w:rsidRPr="00D42A18">
              <w:rPr>
                <w:sz w:val="22"/>
              </w:rPr>
              <w:t>Seznanitev Odbora za spremljanje o izvajanju strategije komuniciranja evropske politike na področju notranjih zadev v Republiki Sloveniji za programsko obdobje 2021-2027 ter ukrepov prepoznavnosti, preglednosti in komuniciranja.</w:t>
            </w:r>
          </w:p>
          <w:p w14:paraId="410D2BF9" w14:textId="77777777" w:rsidR="00552015" w:rsidRPr="00D42A18" w:rsidRDefault="00552015" w:rsidP="00552015">
            <w:pPr>
              <w:autoSpaceDE w:val="0"/>
              <w:autoSpaceDN w:val="0"/>
              <w:adjustRightInd w:val="0"/>
              <w:spacing w:before="0" w:after="0"/>
              <w:rPr>
                <w:b/>
                <w:sz w:val="22"/>
              </w:rPr>
            </w:pPr>
          </w:p>
          <w:p w14:paraId="315CB72A" w14:textId="77777777" w:rsidR="00552015" w:rsidRPr="00F97708" w:rsidRDefault="00552015" w:rsidP="00552015">
            <w:pPr>
              <w:autoSpaceDE w:val="0"/>
              <w:autoSpaceDN w:val="0"/>
              <w:adjustRightInd w:val="0"/>
              <w:spacing w:before="0" w:after="0"/>
              <w:rPr>
                <w:sz w:val="22"/>
              </w:rPr>
            </w:pPr>
            <w:r w:rsidRPr="00F97708">
              <w:rPr>
                <w:sz w:val="22"/>
              </w:rPr>
              <w:t xml:space="preserve">Dogodki: </w:t>
            </w:r>
          </w:p>
          <w:p w14:paraId="4CEB9994" w14:textId="75B1DC9C" w:rsidR="00552015" w:rsidRPr="005D500C" w:rsidRDefault="00552015" w:rsidP="00552015">
            <w:pPr>
              <w:pStyle w:val="Odstavekseznama"/>
              <w:numPr>
                <w:ilvl w:val="0"/>
                <w:numId w:val="30"/>
              </w:numPr>
              <w:tabs>
                <w:tab w:val="left" w:pos="4252"/>
              </w:tabs>
              <w:autoSpaceDE w:val="0"/>
              <w:autoSpaceDN w:val="0"/>
              <w:adjustRightInd w:val="0"/>
              <w:spacing w:before="0" w:after="0"/>
              <w:rPr>
                <w:bCs/>
                <w:sz w:val="22"/>
              </w:rPr>
            </w:pPr>
            <w:r w:rsidRPr="005D500C">
              <w:rPr>
                <w:bCs/>
                <w:sz w:val="22"/>
              </w:rPr>
              <w:t xml:space="preserve">V okviru promocijske akcije »EU projekt, moj projekt« je </w:t>
            </w:r>
            <w:r w:rsidR="00A12DB1">
              <w:rPr>
                <w:bCs/>
                <w:sz w:val="22"/>
              </w:rPr>
              <w:t xml:space="preserve">bilo </w:t>
            </w:r>
            <w:r w:rsidRPr="005D500C">
              <w:rPr>
                <w:bCs/>
                <w:sz w:val="22"/>
              </w:rPr>
              <w:t>na ravni Slovenije izbranih 20 projektov</w:t>
            </w:r>
            <w:r w:rsidR="00A12DB1">
              <w:rPr>
                <w:bCs/>
                <w:sz w:val="22"/>
              </w:rPr>
              <w:t>,</w:t>
            </w:r>
            <w:r w:rsidRPr="005D500C">
              <w:rPr>
                <w:bCs/>
                <w:sz w:val="22"/>
              </w:rPr>
              <w:t xml:space="preserve"> </w:t>
            </w:r>
            <w:r w:rsidR="00A12DB1">
              <w:rPr>
                <w:bCs/>
                <w:sz w:val="22"/>
              </w:rPr>
              <w:t>(so)</w:t>
            </w:r>
            <w:r w:rsidRPr="005D500C">
              <w:rPr>
                <w:bCs/>
                <w:sz w:val="22"/>
              </w:rPr>
              <w:t>financiranih iz EU sredstev. Na ravni programov AMIF, SNV in IUMV so tekle priprave na predstavitev 3 projektov</w:t>
            </w:r>
            <w:r w:rsidR="00A12DB1">
              <w:rPr>
                <w:bCs/>
                <w:sz w:val="22"/>
              </w:rPr>
              <w:t>,</w:t>
            </w:r>
            <w:r w:rsidRPr="005D500C">
              <w:rPr>
                <w:bCs/>
                <w:sz w:val="22"/>
              </w:rPr>
              <w:t xml:space="preserve"> sofinanciranih z EU sredstvi</w:t>
            </w:r>
            <w:r>
              <w:rPr>
                <w:bCs/>
                <w:sz w:val="22"/>
              </w:rPr>
              <w:t xml:space="preserve"> </w:t>
            </w:r>
            <w:r>
              <w:rPr>
                <w:sz w:val="22"/>
              </w:rPr>
              <w:t xml:space="preserve">programov </w:t>
            </w:r>
            <w:r w:rsidRPr="003D2118">
              <w:rPr>
                <w:sz w:val="22"/>
              </w:rPr>
              <w:t>AMIF, SNV in IUMV</w:t>
            </w:r>
            <w:r w:rsidRPr="005D500C">
              <w:rPr>
                <w:bCs/>
                <w:sz w:val="22"/>
              </w:rPr>
              <w:t xml:space="preserve"> (</w:t>
            </w:r>
            <w:r>
              <w:rPr>
                <w:bCs/>
                <w:sz w:val="22"/>
              </w:rPr>
              <w:t>organizacija dogodka, promocije</w:t>
            </w:r>
            <w:r w:rsidRPr="005D500C">
              <w:rPr>
                <w:bCs/>
                <w:sz w:val="22"/>
              </w:rPr>
              <w:t xml:space="preserve"> preko </w:t>
            </w:r>
            <w:r>
              <w:rPr>
                <w:bCs/>
                <w:sz w:val="22"/>
              </w:rPr>
              <w:t xml:space="preserve">tiskanih medijev, </w:t>
            </w:r>
            <w:r w:rsidRPr="005D500C">
              <w:rPr>
                <w:bCs/>
                <w:sz w:val="22"/>
              </w:rPr>
              <w:t>spletnih strani</w:t>
            </w:r>
            <w:r>
              <w:rPr>
                <w:bCs/>
                <w:sz w:val="22"/>
              </w:rPr>
              <w:t xml:space="preserve">, </w:t>
            </w:r>
            <w:r w:rsidRPr="005D500C">
              <w:rPr>
                <w:bCs/>
                <w:sz w:val="22"/>
              </w:rPr>
              <w:t>družbeni</w:t>
            </w:r>
            <w:r>
              <w:rPr>
                <w:bCs/>
                <w:sz w:val="22"/>
              </w:rPr>
              <w:t>h omrežij, radijski</w:t>
            </w:r>
            <w:r w:rsidR="00E52ED9">
              <w:rPr>
                <w:bCs/>
                <w:sz w:val="22"/>
              </w:rPr>
              <w:t>h</w:t>
            </w:r>
            <w:r>
              <w:rPr>
                <w:bCs/>
                <w:sz w:val="22"/>
              </w:rPr>
              <w:t xml:space="preserve"> in tv oglasov</w:t>
            </w:r>
            <w:r w:rsidRPr="005D500C">
              <w:rPr>
                <w:bCs/>
                <w:sz w:val="22"/>
              </w:rPr>
              <w:t>):</w:t>
            </w:r>
          </w:p>
          <w:p w14:paraId="056F9C02" w14:textId="7D6FBFD4" w:rsidR="00552015" w:rsidRPr="00F97708" w:rsidRDefault="00552015" w:rsidP="00552015">
            <w:pPr>
              <w:pStyle w:val="Odstavekseznama"/>
              <w:numPr>
                <w:ilvl w:val="1"/>
                <w:numId w:val="32"/>
              </w:numPr>
              <w:tabs>
                <w:tab w:val="left" w:pos="4252"/>
              </w:tabs>
              <w:autoSpaceDE w:val="0"/>
              <w:autoSpaceDN w:val="0"/>
              <w:adjustRightInd w:val="0"/>
              <w:spacing w:before="0" w:after="0"/>
              <w:rPr>
                <w:sz w:val="22"/>
              </w:rPr>
            </w:pPr>
            <w:r>
              <w:rPr>
                <w:sz w:val="22"/>
              </w:rPr>
              <w:t>O</w:t>
            </w:r>
            <w:r w:rsidRPr="00F97708">
              <w:rPr>
                <w:sz w:val="22"/>
              </w:rPr>
              <w:t>krepitev opreme nacionalnega forenzičnega laboratorija (ISF), 6.</w:t>
            </w:r>
            <w:r w:rsidR="00E52ED9">
              <w:rPr>
                <w:sz w:val="22"/>
              </w:rPr>
              <w:t xml:space="preserve"> </w:t>
            </w:r>
            <w:r w:rsidRPr="00F97708">
              <w:rPr>
                <w:sz w:val="22"/>
              </w:rPr>
              <w:t>11.</w:t>
            </w:r>
            <w:r w:rsidR="00E52ED9">
              <w:rPr>
                <w:sz w:val="22"/>
              </w:rPr>
              <w:t xml:space="preserve"> </w:t>
            </w:r>
            <w:r w:rsidRPr="00F97708">
              <w:rPr>
                <w:sz w:val="22"/>
              </w:rPr>
              <w:t>2024 v Ljubljani</w:t>
            </w:r>
          </w:p>
          <w:p w14:paraId="25C0B904" w14:textId="6615C10E" w:rsidR="00552015" w:rsidRPr="00F97708" w:rsidRDefault="00552015" w:rsidP="00552015">
            <w:pPr>
              <w:pStyle w:val="Odstavekseznama"/>
              <w:numPr>
                <w:ilvl w:val="1"/>
                <w:numId w:val="32"/>
              </w:numPr>
              <w:tabs>
                <w:tab w:val="left" w:pos="4252"/>
              </w:tabs>
              <w:autoSpaceDE w:val="0"/>
              <w:autoSpaceDN w:val="0"/>
              <w:adjustRightInd w:val="0"/>
              <w:spacing w:before="0" w:after="0"/>
              <w:rPr>
                <w:sz w:val="22"/>
              </w:rPr>
            </w:pPr>
            <w:r>
              <w:rPr>
                <w:sz w:val="22"/>
              </w:rPr>
              <w:t>O</w:t>
            </w:r>
            <w:r w:rsidRPr="00F97708">
              <w:rPr>
                <w:sz w:val="22"/>
              </w:rPr>
              <w:t>krepitev opreme specialne enote policije (ISF), 15.</w:t>
            </w:r>
            <w:r w:rsidR="00E52ED9">
              <w:rPr>
                <w:sz w:val="22"/>
              </w:rPr>
              <w:t xml:space="preserve"> </w:t>
            </w:r>
            <w:r w:rsidRPr="00F97708">
              <w:rPr>
                <w:sz w:val="22"/>
              </w:rPr>
              <w:t>9.</w:t>
            </w:r>
            <w:r w:rsidR="00E52ED9">
              <w:rPr>
                <w:sz w:val="22"/>
              </w:rPr>
              <w:t xml:space="preserve"> </w:t>
            </w:r>
            <w:r w:rsidRPr="00F97708">
              <w:rPr>
                <w:sz w:val="22"/>
              </w:rPr>
              <w:t>2024 v Postojni</w:t>
            </w:r>
          </w:p>
          <w:p w14:paraId="6112E101" w14:textId="745A357F" w:rsidR="00552015" w:rsidRPr="00BE65E9" w:rsidRDefault="00552015" w:rsidP="00BE65E9">
            <w:pPr>
              <w:pStyle w:val="Odstavekseznama"/>
              <w:numPr>
                <w:ilvl w:val="1"/>
                <w:numId w:val="32"/>
              </w:numPr>
              <w:tabs>
                <w:tab w:val="left" w:pos="4252"/>
              </w:tabs>
              <w:autoSpaceDE w:val="0"/>
              <w:autoSpaceDN w:val="0"/>
              <w:adjustRightInd w:val="0"/>
              <w:spacing w:before="0" w:after="0"/>
              <w:rPr>
                <w:sz w:val="22"/>
              </w:rPr>
            </w:pPr>
            <w:r>
              <w:rPr>
                <w:sz w:val="22"/>
              </w:rPr>
              <w:t>N</w:t>
            </w:r>
            <w:r w:rsidRPr="00F97708">
              <w:rPr>
                <w:sz w:val="22"/>
              </w:rPr>
              <w:t>astanitev in oskrba otrok brez spremstva (AMIF), 7.</w:t>
            </w:r>
            <w:r w:rsidR="00E52ED9">
              <w:rPr>
                <w:sz w:val="22"/>
              </w:rPr>
              <w:t xml:space="preserve"> </w:t>
            </w:r>
            <w:r w:rsidRPr="00F97708">
              <w:rPr>
                <w:sz w:val="22"/>
              </w:rPr>
              <w:t>9.</w:t>
            </w:r>
            <w:r w:rsidR="00E52ED9">
              <w:rPr>
                <w:sz w:val="22"/>
              </w:rPr>
              <w:t xml:space="preserve"> </w:t>
            </w:r>
            <w:r w:rsidRPr="00F97708">
              <w:rPr>
                <w:sz w:val="22"/>
              </w:rPr>
              <w:t>2024 v Postojni</w:t>
            </w:r>
          </w:p>
          <w:p w14:paraId="2C4ECB4A" w14:textId="436933A0" w:rsidR="00552015" w:rsidRPr="00BE65E9" w:rsidRDefault="00552015" w:rsidP="00552015">
            <w:pPr>
              <w:pStyle w:val="Odstavekseznama"/>
              <w:numPr>
                <w:ilvl w:val="0"/>
                <w:numId w:val="30"/>
              </w:numPr>
              <w:tabs>
                <w:tab w:val="left" w:pos="4252"/>
              </w:tabs>
              <w:autoSpaceDE w:val="0"/>
              <w:autoSpaceDN w:val="0"/>
              <w:adjustRightInd w:val="0"/>
              <w:spacing w:before="0" w:after="0"/>
              <w:rPr>
                <w:sz w:val="22"/>
              </w:rPr>
            </w:pPr>
            <w:r w:rsidRPr="00BE65E9">
              <w:rPr>
                <w:sz w:val="22"/>
              </w:rPr>
              <w:t>Za promocijo možnosti, ki jih ponujajo EU skladi</w:t>
            </w:r>
            <w:r w:rsidR="00E52ED9">
              <w:rPr>
                <w:sz w:val="22"/>
              </w:rPr>
              <w:t>,</w:t>
            </w:r>
            <w:r w:rsidRPr="00BE65E9">
              <w:rPr>
                <w:sz w:val="22"/>
              </w:rPr>
              <w:t xml:space="preserve"> je potekalo šest Potujočih pisarn. V obdobju poročanja so potekale priprave, saj so bil</w:t>
            </w:r>
            <w:r w:rsidR="00E52ED9">
              <w:rPr>
                <w:sz w:val="22"/>
              </w:rPr>
              <w:t>e</w:t>
            </w:r>
            <w:r w:rsidRPr="00BE65E9">
              <w:rPr>
                <w:sz w:val="22"/>
              </w:rPr>
              <w:t xml:space="preserve"> kar v okviru treh predstavljene možnosti za financiranje iz </w:t>
            </w:r>
            <w:r w:rsidRPr="00BE65E9">
              <w:rPr>
                <w:bCs/>
                <w:sz w:val="22"/>
              </w:rPr>
              <w:t>programov AMIF, SNV in IUMV.</w:t>
            </w:r>
          </w:p>
          <w:p w14:paraId="65D9AD3F" w14:textId="77777777" w:rsidR="00552015" w:rsidRDefault="00552015" w:rsidP="00552015">
            <w:pPr>
              <w:autoSpaceDE w:val="0"/>
              <w:autoSpaceDN w:val="0"/>
              <w:adjustRightInd w:val="0"/>
              <w:spacing w:before="0" w:after="0"/>
              <w:rPr>
                <w:sz w:val="22"/>
              </w:rPr>
            </w:pPr>
          </w:p>
          <w:p w14:paraId="6AD84225" w14:textId="77777777" w:rsidR="00552015" w:rsidRPr="00D42A18" w:rsidRDefault="00552015" w:rsidP="00552015">
            <w:pPr>
              <w:autoSpaceDE w:val="0"/>
              <w:autoSpaceDN w:val="0"/>
              <w:adjustRightInd w:val="0"/>
              <w:spacing w:before="0" w:after="0"/>
              <w:rPr>
                <w:sz w:val="22"/>
              </w:rPr>
            </w:pPr>
            <w:r>
              <w:rPr>
                <w:sz w:val="22"/>
              </w:rPr>
              <w:t>S</w:t>
            </w:r>
            <w:r w:rsidRPr="00D42A18">
              <w:rPr>
                <w:sz w:val="22"/>
              </w:rPr>
              <w:t>pletna stran:</w:t>
            </w:r>
          </w:p>
          <w:p w14:paraId="056E73BD" w14:textId="6789A574" w:rsidR="00552015" w:rsidRPr="00D42A18" w:rsidRDefault="00552015" w:rsidP="00552015">
            <w:pPr>
              <w:pStyle w:val="Personnequisigne"/>
              <w:numPr>
                <w:ilvl w:val="0"/>
                <w:numId w:val="30"/>
              </w:numPr>
              <w:jc w:val="both"/>
              <w:rPr>
                <w:i w:val="0"/>
                <w:noProof/>
                <w:sz w:val="22"/>
              </w:rPr>
            </w:pPr>
            <w:r w:rsidRPr="00D42A18">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w:t>
            </w:r>
            <w:r w:rsidR="00F1473E">
              <w:rPr>
                <w:i w:val="0"/>
                <w:noProof/>
                <w:sz w:val="22"/>
              </w:rPr>
              <w:t xml:space="preserve"> skladi s področja notranjih zadev.</w:t>
            </w:r>
            <w:r w:rsidRPr="00D42A18">
              <w:rPr>
                <w:i w:val="0"/>
                <w:noProof/>
                <w:sz w:val="22"/>
              </w:rPr>
              <w:t xml:space="preserve"> Enotni spletni portal bo vključeval obveznosti iz točke (b) 46. člena ter iz prvega odstavka 49. člena Uredbe 2021/1060/EU.</w:t>
            </w:r>
          </w:p>
          <w:p w14:paraId="2DA4708F" w14:textId="55CC6E25" w:rsidR="00552015" w:rsidRPr="003D2118" w:rsidRDefault="00552015" w:rsidP="00250914">
            <w:pPr>
              <w:autoSpaceDE w:val="0"/>
              <w:autoSpaceDN w:val="0"/>
              <w:adjustRightInd w:val="0"/>
              <w:spacing w:before="0" w:after="0"/>
              <w:rPr>
                <w:color w:val="FF0000"/>
                <w:sz w:val="22"/>
              </w:rPr>
            </w:pPr>
          </w:p>
          <w:p w14:paraId="187EDF84" w14:textId="77777777" w:rsidR="00552015" w:rsidRPr="003D2118" w:rsidRDefault="00552015" w:rsidP="00552015">
            <w:pPr>
              <w:autoSpaceDE w:val="0"/>
              <w:autoSpaceDN w:val="0"/>
              <w:adjustRightInd w:val="0"/>
              <w:spacing w:before="0" w:after="0"/>
              <w:rPr>
                <w:sz w:val="22"/>
              </w:rPr>
            </w:pPr>
            <w:r w:rsidRPr="003D2118">
              <w:rPr>
                <w:sz w:val="22"/>
              </w:rPr>
              <w:t>Socialna omrežja:</w:t>
            </w:r>
          </w:p>
          <w:p w14:paraId="56517BF5" w14:textId="20182045" w:rsidR="00552015" w:rsidRDefault="00552015" w:rsidP="00552015">
            <w:pPr>
              <w:pStyle w:val="Odstavekseznama"/>
              <w:numPr>
                <w:ilvl w:val="0"/>
                <w:numId w:val="30"/>
              </w:numPr>
              <w:tabs>
                <w:tab w:val="left" w:pos="4252"/>
              </w:tabs>
              <w:autoSpaceDE w:val="0"/>
              <w:autoSpaceDN w:val="0"/>
              <w:adjustRightInd w:val="0"/>
              <w:spacing w:before="0" w:after="0"/>
              <w:rPr>
                <w:sz w:val="22"/>
              </w:rPr>
            </w:pPr>
            <w:r>
              <w:rPr>
                <w:sz w:val="22"/>
              </w:rPr>
              <w:t>Splošne a</w:t>
            </w:r>
            <w:r w:rsidRPr="003D2118">
              <w:rPr>
                <w:sz w:val="22"/>
              </w:rPr>
              <w:t xml:space="preserve">ktivnostih </w:t>
            </w:r>
            <w:r>
              <w:rPr>
                <w:sz w:val="22"/>
              </w:rPr>
              <w:t xml:space="preserve">OU </w:t>
            </w:r>
            <w:r w:rsidRPr="003D2118">
              <w:rPr>
                <w:sz w:val="22"/>
              </w:rPr>
              <w:t xml:space="preserve">za prepoznavnost </w:t>
            </w:r>
            <w:r>
              <w:rPr>
                <w:sz w:val="22"/>
              </w:rPr>
              <w:t>vsebin in operacij</w:t>
            </w:r>
            <w:r w:rsidR="00E52ED9">
              <w:rPr>
                <w:sz w:val="22"/>
              </w:rPr>
              <w:t>,</w:t>
            </w:r>
            <w:r>
              <w:rPr>
                <w:sz w:val="22"/>
              </w:rPr>
              <w:t xml:space="preserve"> </w:t>
            </w:r>
            <w:r w:rsidR="00E52ED9">
              <w:rPr>
                <w:sz w:val="22"/>
              </w:rPr>
              <w:t>(so)</w:t>
            </w:r>
            <w:r>
              <w:rPr>
                <w:sz w:val="22"/>
              </w:rPr>
              <w:t xml:space="preserve">financiranih iz programov </w:t>
            </w:r>
            <w:r w:rsidRPr="003D2118">
              <w:rPr>
                <w:sz w:val="22"/>
              </w:rPr>
              <w:t xml:space="preserve">AMIF, SNV in IUMV </w:t>
            </w:r>
            <w:r>
              <w:rPr>
                <w:sz w:val="22"/>
              </w:rPr>
              <w:t xml:space="preserve">so se izvajale </w:t>
            </w:r>
            <w:r w:rsidRPr="003D2118">
              <w:rPr>
                <w:sz w:val="22"/>
              </w:rPr>
              <w:t xml:space="preserve">na Intranetu MNZ in družbenih omrežjih MNZ FB, Policija FB, </w:t>
            </w:r>
            <w:r>
              <w:rPr>
                <w:sz w:val="22"/>
              </w:rPr>
              <w:t xml:space="preserve">evropska sredstva FN, evropska sredstva </w:t>
            </w:r>
            <w:proofErr w:type="spellStart"/>
            <w:r>
              <w:rPr>
                <w:sz w:val="22"/>
              </w:rPr>
              <w:t>Linkedin</w:t>
            </w:r>
            <w:proofErr w:type="spellEnd"/>
            <w:r>
              <w:rPr>
                <w:sz w:val="22"/>
              </w:rPr>
              <w:t>.</w:t>
            </w:r>
          </w:p>
          <w:p w14:paraId="0F0D37E7" w14:textId="77777777" w:rsidR="00552015" w:rsidRDefault="00552015" w:rsidP="00552015">
            <w:pPr>
              <w:pStyle w:val="Odstavekseznama"/>
              <w:numPr>
                <w:ilvl w:val="0"/>
                <w:numId w:val="30"/>
              </w:numPr>
              <w:tabs>
                <w:tab w:val="left" w:pos="4252"/>
              </w:tabs>
              <w:autoSpaceDE w:val="0"/>
              <w:autoSpaceDN w:val="0"/>
              <w:adjustRightInd w:val="0"/>
              <w:spacing w:before="0" w:after="0"/>
              <w:rPr>
                <w:sz w:val="22"/>
              </w:rPr>
            </w:pPr>
            <w:r>
              <w:rPr>
                <w:sz w:val="22"/>
              </w:rPr>
              <w:t>O</w:t>
            </w:r>
            <w:r w:rsidRPr="003D2118">
              <w:rPr>
                <w:sz w:val="22"/>
              </w:rPr>
              <w:t>bjava javnih razpisov v mesečniku Vizija kohezija</w:t>
            </w:r>
            <w:r>
              <w:rPr>
                <w:sz w:val="22"/>
              </w:rPr>
              <w:t>, poleg objav na straneh upravičencev.</w:t>
            </w:r>
          </w:p>
          <w:p w14:paraId="092660DA" w14:textId="79E3ABA1" w:rsidR="00552015" w:rsidRPr="003D2118" w:rsidRDefault="00552015" w:rsidP="00552015">
            <w:pPr>
              <w:pStyle w:val="Odstavekseznama"/>
              <w:numPr>
                <w:ilvl w:val="0"/>
                <w:numId w:val="30"/>
              </w:numPr>
              <w:tabs>
                <w:tab w:val="left" w:pos="4252"/>
              </w:tabs>
              <w:autoSpaceDE w:val="0"/>
              <w:autoSpaceDN w:val="0"/>
              <w:adjustRightInd w:val="0"/>
              <w:spacing w:before="0" w:after="0"/>
              <w:rPr>
                <w:sz w:val="22"/>
              </w:rPr>
            </w:pPr>
            <w:r>
              <w:rPr>
                <w:sz w:val="22"/>
              </w:rPr>
              <w:t>Aktivnosti promocije operacij</w:t>
            </w:r>
            <w:r w:rsidR="00E52ED9">
              <w:rPr>
                <w:sz w:val="22"/>
              </w:rPr>
              <w:t>,</w:t>
            </w:r>
            <w:r>
              <w:rPr>
                <w:sz w:val="22"/>
              </w:rPr>
              <w:t xml:space="preserve"> </w:t>
            </w:r>
            <w:r w:rsidR="00E52ED9">
              <w:rPr>
                <w:sz w:val="22"/>
              </w:rPr>
              <w:t>(so)</w:t>
            </w:r>
            <w:r>
              <w:rPr>
                <w:sz w:val="22"/>
              </w:rPr>
              <w:t xml:space="preserve">financiranih iz programov </w:t>
            </w:r>
            <w:r w:rsidRPr="003D2118">
              <w:rPr>
                <w:sz w:val="22"/>
              </w:rPr>
              <w:t xml:space="preserve">AMIF, SNV in IUMV </w:t>
            </w:r>
            <w:r>
              <w:rPr>
                <w:sz w:val="22"/>
              </w:rPr>
              <w:t>na spletnih straneh in družbenih omrežjih upravičencev.</w:t>
            </w:r>
          </w:p>
          <w:p w14:paraId="205E4D0F" w14:textId="2E3C2C23" w:rsidR="00552015" w:rsidRPr="003D2118" w:rsidRDefault="00E52ED9" w:rsidP="00552015">
            <w:pPr>
              <w:pStyle w:val="Odstavekseznama"/>
              <w:numPr>
                <w:ilvl w:val="0"/>
                <w:numId w:val="30"/>
              </w:numPr>
              <w:tabs>
                <w:tab w:val="left" w:pos="4252"/>
              </w:tabs>
              <w:autoSpaceDE w:val="0"/>
              <w:autoSpaceDN w:val="0"/>
              <w:adjustRightInd w:val="0"/>
              <w:spacing w:before="0" w:after="0"/>
              <w:rPr>
                <w:sz w:val="22"/>
              </w:rPr>
            </w:pPr>
            <w:r>
              <w:rPr>
                <w:sz w:val="22"/>
              </w:rPr>
              <w:t>Vz</w:t>
            </w:r>
            <w:r w:rsidR="00552015" w:rsidRPr="003D2118">
              <w:rPr>
                <w:sz w:val="22"/>
              </w:rPr>
              <w:t>postavitev in uporaba ključnikov #AMIF, #SNV, #ISF, #BMVI, #IUMV, #</w:t>
            </w:r>
            <w:proofErr w:type="spellStart"/>
            <w:r w:rsidR="00552015" w:rsidRPr="003D2118">
              <w:rPr>
                <w:sz w:val="22"/>
              </w:rPr>
              <w:t>evropskasredstva</w:t>
            </w:r>
            <w:proofErr w:type="spellEnd"/>
            <w:r w:rsidR="00552015" w:rsidRPr="003D2118">
              <w:rPr>
                <w:sz w:val="22"/>
              </w:rPr>
              <w:t>, @</w:t>
            </w:r>
            <w:proofErr w:type="spellStart"/>
            <w:r w:rsidR="00552015" w:rsidRPr="003D2118">
              <w:rPr>
                <w:sz w:val="22"/>
              </w:rPr>
              <w:t>evropskasredstva</w:t>
            </w:r>
            <w:proofErr w:type="spellEnd"/>
            <w:r w:rsidR="00552015" w:rsidRPr="003D2118">
              <w:rPr>
                <w:sz w:val="22"/>
              </w:rPr>
              <w:t xml:space="preserve">, </w:t>
            </w:r>
            <w:proofErr w:type="spellStart"/>
            <w:r w:rsidR="00552015" w:rsidRPr="003D2118">
              <w:rPr>
                <w:sz w:val="22"/>
              </w:rPr>
              <w:t>EUSecurity</w:t>
            </w:r>
            <w:proofErr w:type="spellEnd"/>
            <w:r w:rsidR="00552015" w:rsidRPr="003D2118">
              <w:rPr>
                <w:sz w:val="22"/>
              </w:rPr>
              <w:t xml:space="preserve">, </w:t>
            </w:r>
            <w:proofErr w:type="spellStart"/>
            <w:r w:rsidR="00552015" w:rsidRPr="003D2118">
              <w:rPr>
                <w:sz w:val="22"/>
              </w:rPr>
              <w:t>EUMigration</w:t>
            </w:r>
            <w:proofErr w:type="spellEnd"/>
            <w:r w:rsidR="00552015" w:rsidRPr="003D2118">
              <w:rPr>
                <w:sz w:val="22"/>
              </w:rPr>
              <w:t>.</w:t>
            </w:r>
          </w:p>
          <w:p w14:paraId="5CBF0553" w14:textId="77777777" w:rsidR="00552015" w:rsidRPr="003D2118" w:rsidRDefault="00552015" w:rsidP="00552015">
            <w:pPr>
              <w:pStyle w:val="Odstavekseznama"/>
              <w:numPr>
                <w:ilvl w:val="0"/>
                <w:numId w:val="30"/>
              </w:numPr>
              <w:tabs>
                <w:tab w:val="left" w:pos="4252"/>
              </w:tabs>
              <w:autoSpaceDE w:val="0"/>
              <w:autoSpaceDN w:val="0"/>
              <w:adjustRightInd w:val="0"/>
              <w:spacing w:before="0" w:after="0"/>
              <w:rPr>
                <w:sz w:val="22"/>
              </w:rPr>
            </w:pPr>
            <w:r w:rsidRPr="003D2118">
              <w:rPr>
                <w:sz w:val="22"/>
              </w:rPr>
              <w:t>Dobre zgodbe projektov: posneti 3 videi in na družbenih omrežjih objavljen 1 video posnetek – operativni prikaz delovanja merilca CO2 na terenu.</w:t>
            </w:r>
          </w:p>
          <w:p w14:paraId="683B3EBA" w14:textId="5380FA0E" w:rsidR="00F770B4" w:rsidRPr="00552015" w:rsidRDefault="00F770B4" w:rsidP="00552015">
            <w:pPr>
              <w:tabs>
                <w:tab w:val="left" w:pos="4252"/>
              </w:tabs>
              <w:autoSpaceDE w:val="0"/>
              <w:autoSpaceDN w:val="0"/>
              <w:adjustRightInd w:val="0"/>
              <w:spacing w:before="0" w:after="0"/>
              <w:rPr>
                <w:sz w:val="22"/>
              </w:rPr>
            </w:pPr>
          </w:p>
        </w:tc>
      </w:tr>
    </w:tbl>
    <w:p w14:paraId="5BDAD778" w14:textId="77777777" w:rsidR="00AD502C" w:rsidRPr="0019378A" w:rsidRDefault="00F12B44" w:rsidP="00AD502C">
      <w:pPr>
        <w:rPr>
          <w:noProof/>
          <w:sz w:val="22"/>
        </w:rPr>
      </w:pPr>
      <w:r w:rsidRPr="0019378A">
        <w:rPr>
          <w:noProof/>
          <w:sz w:val="22"/>
        </w:rPr>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AD502C" w:rsidRPr="0019378A" w14:paraId="211AE865" w14:textId="77777777" w:rsidTr="00E45665">
        <w:tc>
          <w:tcPr>
            <w:tcW w:w="9289" w:type="dxa"/>
          </w:tcPr>
          <w:p w14:paraId="7588EDE2" w14:textId="77777777" w:rsidR="00F67231" w:rsidRPr="00420EC1" w:rsidRDefault="00FD0A30" w:rsidP="00F67231">
            <w:pPr>
              <w:pStyle w:val="Personnequisigne"/>
              <w:jc w:val="both"/>
            </w:pPr>
            <w:r w:rsidRPr="00420EC1">
              <w:rPr>
                <w:i w:val="0"/>
                <w:noProof/>
                <w:sz w:val="22"/>
              </w:rPr>
              <w:t>https://evropskasredstva.si</w:t>
            </w:r>
          </w:p>
        </w:tc>
      </w:tr>
    </w:tbl>
    <w:p w14:paraId="205236BF" w14:textId="77777777" w:rsidR="00AD502C" w:rsidRPr="0019378A" w:rsidRDefault="001C1609" w:rsidP="001C1609">
      <w:pPr>
        <w:pStyle w:val="ManualHeading1"/>
        <w:rPr>
          <w:noProof/>
        </w:rPr>
      </w:pPr>
      <w:r w:rsidRPr="0019378A">
        <w:t>5.</w:t>
      </w:r>
      <w:r w:rsidRPr="0019378A">
        <w:tab/>
      </w:r>
      <w:r w:rsidR="00AD502C" w:rsidRPr="0019378A">
        <w:rPr>
          <w:noProof/>
        </w:rPr>
        <w:t xml:space="preserve">Omogočitveni pogoji in horizontalna načela </w:t>
      </w:r>
    </w:p>
    <w:p w14:paraId="0D0AFEE1" w14:textId="77777777" w:rsidR="00AD502C" w:rsidRPr="0019378A" w:rsidRDefault="001C1609" w:rsidP="001C1609">
      <w:pPr>
        <w:pStyle w:val="ManualHeading2"/>
        <w:rPr>
          <w:noProof/>
        </w:rPr>
      </w:pPr>
      <w:r w:rsidRPr="0019378A">
        <w:t>5.1.</w:t>
      </w:r>
      <w:r w:rsidRPr="0019378A">
        <w:tab/>
      </w:r>
      <w:r w:rsidR="00AD502C" w:rsidRPr="0019378A">
        <w:rPr>
          <w:noProof/>
        </w:rPr>
        <w:t>Omogočitveni pogoji – člen 29(2), točka (f), Uredbe (EU) 2021/1148</w:t>
      </w:r>
    </w:p>
    <w:p w14:paraId="79E0A7C5" w14:textId="77777777" w:rsidR="00AD502C" w:rsidRPr="0019378A" w:rsidRDefault="00F12B44" w:rsidP="00AD502C">
      <w:pPr>
        <w:rPr>
          <w:noProof/>
          <w:sz w:val="22"/>
        </w:rPr>
      </w:pPr>
      <w:r w:rsidRPr="0019378A">
        <w:rPr>
          <w:noProof/>
          <w:sz w:val="22"/>
        </w:rPr>
        <w:t>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w:t>
      </w:r>
    </w:p>
    <w:tbl>
      <w:tblPr>
        <w:tblStyle w:val="Tabelamrea"/>
        <w:tblW w:w="0" w:type="auto"/>
        <w:tblLook w:val="04A0" w:firstRow="1" w:lastRow="0" w:firstColumn="1" w:lastColumn="0" w:noHBand="0" w:noVBand="1"/>
      </w:tblPr>
      <w:tblGrid>
        <w:gridCol w:w="9063"/>
      </w:tblGrid>
      <w:tr w:rsidR="00AD502C" w:rsidRPr="0019378A" w14:paraId="7C973A73" w14:textId="77777777" w:rsidTr="00E45665">
        <w:tc>
          <w:tcPr>
            <w:tcW w:w="9289" w:type="dxa"/>
          </w:tcPr>
          <w:p w14:paraId="06FE997E" w14:textId="482F8022" w:rsidR="007B6E22" w:rsidRPr="007B6E22" w:rsidRDefault="007B6E22" w:rsidP="007B6E22">
            <w:pPr>
              <w:spacing w:before="0" w:after="160" w:line="259" w:lineRule="auto"/>
              <w:rPr>
                <w:sz w:val="22"/>
              </w:rPr>
            </w:pPr>
            <w:r w:rsidRPr="007B6E22">
              <w:rPr>
                <w:sz w:val="22"/>
              </w:rPr>
              <w:t>V obračunskem obdobju smo nadaljevali z izvajanjem aktivnosti, ki so bile usmerjene v vzpostavitev učinkovitega sistema za izpolnjevanje in uporabo omogočitvenih pogojev v nadaljnjih fazah izvajanja programa, in sicer:</w:t>
            </w:r>
          </w:p>
          <w:p w14:paraId="70532527" w14:textId="5E5BACEA" w:rsidR="007B6E22" w:rsidRPr="007B6E22" w:rsidRDefault="007B6E22" w:rsidP="007B6E22">
            <w:pPr>
              <w:pStyle w:val="Odstavekseznama"/>
              <w:numPr>
                <w:ilvl w:val="0"/>
                <w:numId w:val="33"/>
              </w:numPr>
              <w:spacing w:before="0" w:after="160" w:line="259" w:lineRule="auto"/>
              <w:rPr>
                <w:sz w:val="22"/>
              </w:rPr>
            </w:pPr>
            <w:r w:rsidRPr="007B6E22">
              <w:rPr>
                <w:sz w:val="22"/>
              </w:rPr>
              <w:t>Pripravili smo Postopkovnik za izvajanje Horizontalnih omogočitvenih pogojev. Postopkovnik smo predstavili upravičencem na skupni delavnici. Z vsebino postopkovnika smo na internem sestanku seznanili tudi zaposlene. Postopkovnik je zainteresirani javnosti dostopen tudi na podstraneh spletnega mesta evrospkasredstva.si, ki se nanašajo na program</w:t>
            </w:r>
            <w:r w:rsidR="004E2A06">
              <w:rPr>
                <w:sz w:val="22"/>
              </w:rPr>
              <w:t>e</w:t>
            </w:r>
            <w:r w:rsidRPr="007B6E22">
              <w:rPr>
                <w:sz w:val="22"/>
              </w:rPr>
              <w:t xml:space="preserve"> sklad</w:t>
            </w:r>
            <w:r w:rsidR="004E2A06">
              <w:rPr>
                <w:sz w:val="22"/>
              </w:rPr>
              <w:t>ov s področja notranjih zadev</w:t>
            </w:r>
            <w:r w:rsidRPr="007B6E22">
              <w:rPr>
                <w:sz w:val="22"/>
              </w:rPr>
              <w:t>.</w:t>
            </w:r>
          </w:p>
          <w:p w14:paraId="40C533B7" w14:textId="2A980E67" w:rsidR="007B6E22" w:rsidRPr="007B6E22" w:rsidRDefault="007B6E22" w:rsidP="007B6E22">
            <w:pPr>
              <w:pStyle w:val="Odstavekseznama"/>
              <w:numPr>
                <w:ilvl w:val="0"/>
                <w:numId w:val="33"/>
              </w:numPr>
              <w:spacing w:before="0" w:after="160" w:line="259" w:lineRule="auto"/>
              <w:rPr>
                <w:sz w:val="22"/>
              </w:rPr>
            </w:pPr>
            <w:r w:rsidRPr="007B6E22">
              <w:rPr>
                <w:sz w:val="22"/>
              </w:rPr>
              <w:t>S sklepom ministra je bila imenovana oseba, ki je pristojna za področje horizontalnih omogočitvenih pogojev.</w:t>
            </w:r>
          </w:p>
          <w:p w14:paraId="685DD8B5" w14:textId="0CDBE883" w:rsidR="007B6E22" w:rsidRPr="007B6E22" w:rsidRDefault="007B6E22" w:rsidP="007B6E22">
            <w:pPr>
              <w:pStyle w:val="Odstavekseznama"/>
              <w:numPr>
                <w:ilvl w:val="0"/>
                <w:numId w:val="33"/>
              </w:numPr>
              <w:spacing w:before="0" w:after="160" w:line="259" w:lineRule="auto"/>
              <w:rPr>
                <w:sz w:val="22"/>
              </w:rPr>
            </w:pPr>
            <w:r w:rsidRPr="007B6E22">
              <w:rPr>
                <w:sz w:val="22"/>
              </w:rPr>
              <w:t xml:space="preserve">Pravila </w:t>
            </w:r>
            <w:r w:rsidR="0089697F">
              <w:rPr>
                <w:sz w:val="22"/>
              </w:rPr>
              <w:t xml:space="preserve">upravičenosti </w:t>
            </w:r>
            <w:r w:rsidRPr="007B6E22">
              <w:rPr>
                <w:sz w:val="22"/>
              </w:rPr>
              <w:t xml:space="preserve">za črpanje sredstev, Navodila za izvajanje upravljalnih preverjanj in besedilo vsakokratne odločitve o podpori, smo dopolnili z vsebinami, ki se nanašajo na horizontalne </w:t>
            </w:r>
            <w:proofErr w:type="spellStart"/>
            <w:r w:rsidRPr="007B6E22">
              <w:rPr>
                <w:sz w:val="22"/>
              </w:rPr>
              <w:t>om</w:t>
            </w:r>
            <w:r>
              <w:rPr>
                <w:sz w:val="22"/>
              </w:rPr>
              <w:t>o</w:t>
            </w:r>
            <w:r w:rsidRPr="007B6E22">
              <w:rPr>
                <w:sz w:val="22"/>
              </w:rPr>
              <w:t>gočitvene</w:t>
            </w:r>
            <w:proofErr w:type="spellEnd"/>
            <w:r w:rsidRPr="007B6E22">
              <w:rPr>
                <w:sz w:val="22"/>
              </w:rPr>
              <w:t xml:space="preserve"> pogoje. Tako smo vzpostavili trdno pravno podlago, ki nam v primeru morebitnih kršitev s strani upravičencev, omogoča izvajanje korektivnih ukrepov in nudi ustrezno podlago za pravno varstvo.</w:t>
            </w:r>
          </w:p>
          <w:p w14:paraId="734F80CD" w14:textId="0CAEBA30" w:rsidR="007B6E22" w:rsidRPr="007B6E22" w:rsidRDefault="007B6E22" w:rsidP="007B6E22">
            <w:pPr>
              <w:pStyle w:val="Odstavekseznama"/>
              <w:numPr>
                <w:ilvl w:val="0"/>
                <w:numId w:val="33"/>
              </w:numPr>
              <w:spacing w:before="0" w:after="160" w:line="259" w:lineRule="auto"/>
              <w:rPr>
                <w:sz w:val="22"/>
              </w:rPr>
            </w:pPr>
            <w:r w:rsidRPr="007B6E22">
              <w:rPr>
                <w:sz w:val="22"/>
              </w:rPr>
              <w:t>Pripravili smo obrazec za prijavo kršitev Listine EU o temeljnih pravicah in Konvencije o pravicah invalidov, ki je zainteresirani javnosti dostopen na podstraneh spletnega mesta evrospkasredstva.si, ki se nanašajo na program</w:t>
            </w:r>
            <w:r w:rsidR="0089697F">
              <w:rPr>
                <w:sz w:val="22"/>
              </w:rPr>
              <w:t xml:space="preserve">e </w:t>
            </w:r>
            <w:r w:rsidR="0089697F" w:rsidRPr="007B6E22">
              <w:rPr>
                <w:sz w:val="22"/>
              </w:rPr>
              <w:t>sklad</w:t>
            </w:r>
            <w:r w:rsidR="0089697F">
              <w:rPr>
                <w:sz w:val="22"/>
              </w:rPr>
              <w:t>ov s področja notranjih zadev</w:t>
            </w:r>
            <w:r w:rsidRPr="007B6E22">
              <w:rPr>
                <w:sz w:val="22"/>
              </w:rPr>
              <w:t>.</w:t>
            </w:r>
          </w:p>
          <w:p w14:paraId="4C0D2BA3" w14:textId="151A3201" w:rsidR="007B6E22" w:rsidRPr="007B6E22" w:rsidRDefault="007B6E22" w:rsidP="007B6E22">
            <w:pPr>
              <w:pStyle w:val="Odstavekseznama"/>
              <w:numPr>
                <w:ilvl w:val="0"/>
                <w:numId w:val="33"/>
              </w:numPr>
              <w:spacing w:before="0" w:after="160" w:line="259" w:lineRule="auto"/>
              <w:rPr>
                <w:sz w:val="22"/>
              </w:rPr>
            </w:pPr>
            <w:r w:rsidRPr="007B6E22">
              <w:rPr>
                <w:sz w:val="22"/>
              </w:rPr>
              <w:t xml:space="preserve">Preverjanje skladnosti z Listino EU o temeljnih pravicah ter Konvencijo o pravicah invalidov smo vključili v kontrolo prijave operacij ter kontrolo zahtevkov za povračilo/izplačilo. Tovrstna kontrola nam omogoča, da operacije, pri katerih obstajajo dejavniki tveganja še pred izvajanjem izločimo oz. jih vsebinsko ustrezno korigiramo (preventiva) ali da zaznamo in ustrezno korigiramo ravnanja upravičenca v fazi izvajanja operacije. Veseli nas, da indicev, ki bi kazali na morebitne kršitve Listine ali Konvencije, nismo zaznali. </w:t>
            </w:r>
          </w:p>
          <w:p w14:paraId="2F481D42" w14:textId="25537C1F" w:rsidR="00F67231" w:rsidRPr="00A17780" w:rsidRDefault="007B6E22" w:rsidP="007B6E22">
            <w:pPr>
              <w:pStyle w:val="Odstavekseznama"/>
              <w:numPr>
                <w:ilvl w:val="0"/>
                <w:numId w:val="33"/>
              </w:numPr>
              <w:spacing w:before="0" w:after="160" w:line="259" w:lineRule="auto"/>
              <w:rPr>
                <w:sz w:val="22"/>
              </w:rPr>
            </w:pPr>
            <w:r w:rsidRPr="007B6E22">
              <w:rPr>
                <w:sz w:val="22"/>
              </w:rPr>
              <w:t>Postali smo del posvetovalnega telesa ministrstva za integracijo načela enakosti spolov. To nam omogoča, da na področju enakosti spolov aktivno sodelujemo pri oblikovanju politik in izvajanju aktivnosti znotraj ministrstva in da imamo dostop do dodatnih izobraževalnih vsebin.</w:t>
            </w:r>
          </w:p>
        </w:tc>
      </w:tr>
    </w:tbl>
    <w:p w14:paraId="50AA46F0" w14:textId="77777777" w:rsidR="00AD502C" w:rsidRPr="0019378A" w:rsidRDefault="001C1609" w:rsidP="001C1609">
      <w:pPr>
        <w:pStyle w:val="ManualHeading2"/>
        <w:rPr>
          <w:noProof/>
        </w:rPr>
      </w:pPr>
      <w:r w:rsidRPr="0019378A">
        <w:t>5.2.</w:t>
      </w:r>
      <w:r w:rsidRPr="0019378A">
        <w:tab/>
      </w:r>
      <w:r w:rsidR="0001528B" w:rsidRPr="0019378A">
        <w:rPr>
          <w:noProof/>
        </w:rPr>
        <w:t>Skladnost s horizontalnimi načeli – člen 9 Uredbe (EU) 2021/1060</w:t>
      </w:r>
    </w:p>
    <w:p w14:paraId="2F703417" w14:textId="77777777" w:rsidR="00AD502C" w:rsidRPr="0019378A" w:rsidRDefault="0049684A" w:rsidP="00AD502C">
      <w:pPr>
        <w:rPr>
          <w:noProof/>
          <w:sz w:val="22"/>
        </w:rPr>
      </w:pPr>
      <w:r w:rsidRPr="0019378A">
        <w:rPr>
          <w:noProof/>
          <w:sz w:val="22"/>
        </w:rPr>
        <w:t>Opišite, kako ste med obračunskim letom zagotovili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AD502C" w:rsidRPr="0019378A" w14:paraId="7845B408" w14:textId="77777777" w:rsidTr="00E45665">
        <w:tc>
          <w:tcPr>
            <w:tcW w:w="9289" w:type="dxa"/>
          </w:tcPr>
          <w:p w14:paraId="722E62C7" w14:textId="77777777" w:rsidR="007B6E22" w:rsidRPr="007B6E22" w:rsidRDefault="007B6E22" w:rsidP="007B6E22">
            <w:pPr>
              <w:spacing w:before="0" w:after="160" w:line="259" w:lineRule="auto"/>
              <w:rPr>
                <w:sz w:val="22"/>
              </w:rPr>
            </w:pPr>
            <w:r w:rsidRPr="007B6E22">
              <w:rPr>
                <w:sz w:val="22"/>
              </w:rPr>
              <w:t>V obračunskem obdobju smo nadaljevali z izvajanjem aktivnosti, ki so bile usmerjene v vzpostavitev učinkovitega sistema za izpolnjevanje in uporabo omogočitvenih pogojev v nadaljnjih fazah izvajanja programa, in sicer:</w:t>
            </w:r>
          </w:p>
          <w:p w14:paraId="78906453" w14:textId="471332E0" w:rsidR="007B6E22" w:rsidRPr="0089697F" w:rsidRDefault="007B6E22" w:rsidP="0089697F">
            <w:pPr>
              <w:pStyle w:val="Odstavekseznama"/>
              <w:numPr>
                <w:ilvl w:val="0"/>
                <w:numId w:val="33"/>
              </w:numPr>
              <w:spacing w:before="0" w:after="160" w:line="259" w:lineRule="auto"/>
              <w:rPr>
                <w:sz w:val="22"/>
              </w:rPr>
            </w:pPr>
            <w:r w:rsidRPr="007B6E22">
              <w:rPr>
                <w:sz w:val="22"/>
              </w:rPr>
              <w:t xml:space="preserve">Pripravili smo Postopkovnik za izvajanje Horizontalnih omogočitvenih pogojev. Postopkovnik smo predstavili upravičencem na skupni delavnici. Z vsebino postopkovnika smo na internem sestanku seznanili tudi zaposlene. Postopkovnik je zainteresirani javnosti dostopen tudi na podstraneh spletnega mesta evrospkasredstva.si, ki se nanašajo na </w:t>
            </w:r>
            <w:r w:rsidR="0089697F" w:rsidRPr="007B6E22">
              <w:rPr>
                <w:sz w:val="22"/>
              </w:rPr>
              <w:t>program</w:t>
            </w:r>
            <w:r w:rsidR="0089697F">
              <w:rPr>
                <w:sz w:val="22"/>
              </w:rPr>
              <w:t>e</w:t>
            </w:r>
            <w:r w:rsidR="0089697F" w:rsidRPr="007B6E22">
              <w:rPr>
                <w:sz w:val="22"/>
              </w:rPr>
              <w:t xml:space="preserve"> sklad</w:t>
            </w:r>
            <w:r w:rsidR="0089697F">
              <w:rPr>
                <w:sz w:val="22"/>
              </w:rPr>
              <w:t>ov s področja notranjih zadev</w:t>
            </w:r>
            <w:r w:rsidR="0089697F" w:rsidRPr="007B6E22">
              <w:rPr>
                <w:sz w:val="22"/>
              </w:rPr>
              <w:t>.</w:t>
            </w:r>
          </w:p>
          <w:p w14:paraId="5665C40E" w14:textId="77777777" w:rsidR="007B6E22" w:rsidRPr="007B6E22" w:rsidRDefault="007B6E22" w:rsidP="007B6E22">
            <w:pPr>
              <w:pStyle w:val="Odstavekseznama"/>
              <w:numPr>
                <w:ilvl w:val="0"/>
                <w:numId w:val="33"/>
              </w:numPr>
              <w:spacing w:before="0" w:after="160" w:line="259" w:lineRule="auto"/>
              <w:rPr>
                <w:sz w:val="22"/>
              </w:rPr>
            </w:pPr>
            <w:r w:rsidRPr="007B6E22">
              <w:rPr>
                <w:sz w:val="22"/>
              </w:rPr>
              <w:t>S sklepom ministra je bila imenovana oseba, ki je pristojna za področje horizontalnih omogočitvenih pogojev.</w:t>
            </w:r>
          </w:p>
          <w:p w14:paraId="191F2953" w14:textId="3B860E2D" w:rsidR="007B6E22" w:rsidRPr="007B6E22" w:rsidRDefault="0089697F" w:rsidP="007B6E22">
            <w:pPr>
              <w:pStyle w:val="Odstavekseznama"/>
              <w:numPr>
                <w:ilvl w:val="0"/>
                <w:numId w:val="33"/>
              </w:numPr>
              <w:spacing w:before="0" w:after="160" w:line="259" w:lineRule="auto"/>
              <w:rPr>
                <w:sz w:val="22"/>
              </w:rPr>
            </w:pPr>
            <w:r w:rsidRPr="007B6E22">
              <w:rPr>
                <w:sz w:val="22"/>
              </w:rPr>
              <w:t xml:space="preserve">Pravila </w:t>
            </w:r>
            <w:r>
              <w:rPr>
                <w:sz w:val="22"/>
              </w:rPr>
              <w:t xml:space="preserve">upravičenosti </w:t>
            </w:r>
            <w:r w:rsidRPr="007B6E22">
              <w:rPr>
                <w:sz w:val="22"/>
              </w:rPr>
              <w:t>za črpanje sredstev</w:t>
            </w:r>
            <w:r w:rsidR="007B6E22" w:rsidRPr="007B6E22">
              <w:rPr>
                <w:sz w:val="22"/>
              </w:rPr>
              <w:t xml:space="preserve">, Navodila za izvajanje upravljalnih preverjanj in besedilo vsakokratne odločitve o podpori, smo dopolnili z vsebinami, ki se nanašajo na horizontalne </w:t>
            </w:r>
            <w:proofErr w:type="spellStart"/>
            <w:r w:rsidR="007B6E22" w:rsidRPr="007B6E22">
              <w:rPr>
                <w:sz w:val="22"/>
              </w:rPr>
              <w:t>om</w:t>
            </w:r>
            <w:r w:rsidR="007B6E22">
              <w:rPr>
                <w:sz w:val="22"/>
              </w:rPr>
              <w:t>o</w:t>
            </w:r>
            <w:r w:rsidR="007B6E22" w:rsidRPr="007B6E22">
              <w:rPr>
                <w:sz w:val="22"/>
              </w:rPr>
              <w:t>gočitvene</w:t>
            </w:r>
            <w:proofErr w:type="spellEnd"/>
            <w:r w:rsidR="007B6E22" w:rsidRPr="007B6E22">
              <w:rPr>
                <w:sz w:val="22"/>
              </w:rPr>
              <w:t xml:space="preserve"> pogoje. Tako smo vzpostavili trdno pravno podlago, ki nam v primeru morebitnih kršitev s strani upravičencev, omogoča izvajanje korektivnih ukrepov in nudi ustrezno podlago za pravno varstvo.</w:t>
            </w:r>
          </w:p>
          <w:p w14:paraId="5B811FA1" w14:textId="3E999B6B" w:rsidR="007B6E22" w:rsidRPr="0089697F" w:rsidRDefault="007B6E22" w:rsidP="0089697F">
            <w:pPr>
              <w:pStyle w:val="Odstavekseznama"/>
              <w:numPr>
                <w:ilvl w:val="0"/>
                <w:numId w:val="33"/>
              </w:numPr>
              <w:spacing w:before="0" w:after="160" w:line="259" w:lineRule="auto"/>
              <w:rPr>
                <w:sz w:val="22"/>
              </w:rPr>
            </w:pPr>
            <w:r w:rsidRPr="007B6E22">
              <w:rPr>
                <w:sz w:val="22"/>
              </w:rPr>
              <w:t xml:space="preserve">Pripravili smo obrazec za prijavo kršitev Listine EU o temeljnih pravicah in Konvencije o pravicah invalidov, ki je zainteresirani javnosti dostopen na podstraneh spletnega mesta evrospkasredstva.si, ki se nanašajo na </w:t>
            </w:r>
            <w:r w:rsidR="0089697F" w:rsidRPr="007B6E22">
              <w:rPr>
                <w:sz w:val="22"/>
              </w:rPr>
              <w:t>program</w:t>
            </w:r>
            <w:r w:rsidR="0089697F">
              <w:rPr>
                <w:sz w:val="22"/>
              </w:rPr>
              <w:t>e</w:t>
            </w:r>
            <w:r w:rsidR="0089697F" w:rsidRPr="007B6E22">
              <w:rPr>
                <w:sz w:val="22"/>
              </w:rPr>
              <w:t xml:space="preserve"> sklad</w:t>
            </w:r>
            <w:r w:rsidR="0089697F">
              <w:rPr>
                <w:sz w:val="22"/>
              </w:rPr>
              <w:t>ov s področja notranjih zadev</w:t>
            </w:r>
            <w:r w:rsidR="0089697F" w:rsidRPr="007B6E22">
              <w:rPr>
                <w:sz w:val="22"/>
              </w:rPr>
              <w:t>.</w:t>
            </w:r>
          </w:p>
          <w:p w14:paraId="03A75276" w14:textId="77777777" w:rsidR="007B6E22" w:rsidRPr="007B6E22" w:rsidRDefault="007B6E22" w:rsidP="007B6E22">
            <w:pPr>
              <w:pStyle w:val="Odstavekseznama"/>
              <w:numPr>
                <w:ilvl w:val="0"/>
                <w:numId w:val="33"/>
              </w:numPr>
              <w:spacing w:before="0" w:after="160" w:line="259" w:lineRule="auto"/>
              <w:rPr>
                <w:sz w:val="22"/>
              </w:rPr>
            </w:pPr>
            <w:r w:rsidRPr="007B6E22">
              <w:rPr>
                <w:sz w:val="22"/>
              </w:rPr>
              <w:t xml:space="preserve">Preverjanje skladnosti z Listino EU o temeljnih pravicah ter Konvencijo o pravicah invalidov, smo vključili v kontrolo prijave operacij ter kontrolo zahtevkov za povračilo/izplačilo. Tovrstna kontrola nam omogoča, da operacije, pri katerih obstajajo dejavniki tveganja še pred izvajanjem izločimo oz. jih vsebinsko ustrezno korigiramo (preventiva) ali da zaznamo in ustrezno korigiramo ravnanja upravičenca v fazi izvajanja operacije. Veseli nas, da indicev, ki bi kazali na morebitne kršitve Listine ali Konvencije, nismo zaznali. </w:t>
            </w:r>
          </w:p>
          <w:p w14:paraId="48FBA069" w14:textId="750A5D3E" w:rsidR="00F67231" w:rsidRPr="007B6E22" w:rsidRDefault="007B6E22" w:rsidP="007B6E22">
            <w:pPr>
              <w:pStyle w:val="Odstavekseznama"/>
              <w:numPr>
                <w:ilvl w:val="0"/>
                <w:numId w:val="33"/>
              </w:numPr>
              <w:spacing w:before="0" w:after="160" w:line="259" w:lineRule="auto"/>
              <w:rPr>
                <w:sz w:val="22"/>
              </w:rPr>
            </w:pPr>
            <w:r w:rsidRPr="007B6E22">
              <w:rPr>
                <w:sz w:val="22"/>
              </w:rPr>
              <w:t>Postali smo del posvetovalnega telesa ministrstva za integracijo načela enakosti spolov. To nam omogoča, da na področju enakosti spolov aktivno sodelujemo pri oblikovanju politik in izvajanju aktivnosti znotraj ministrstva in da imamo dostop do dodatnih izobraževalnih vsebin.</w:t>
            </w:r>
          </w:p>
        </w:tc>
      </w:tr>
    </w:tbl>
    <w:p w14:paraId="25189995" w14:textId="77777777" w:rsidR="00AD502C" w:rsidRPr="0019378A" w:rsidRDefault="001C1609" w:rsidP="001C1609">
      <w:pPr>
        <w:pStyle w:val="ManualHeading1"/>
        <w:rPr>
          <w:noProof/>
        </w:rPr>
      </w:pPr>
      <w:r w:rsidRPr="0019378A">
        <w:t>6.</w:t>
      </w:r>
      <w:r w:rsidRPr="0019378A">
        <w:tab/>
      </w:r>
      <w:r w:rsidR="00AD502C" w:rsidRPr="0019378A">
        <w:rPr>
          <w:noProof/>
        </w:rPr>
        <w:t>Projekti v tretjih državah ali v zvezi z njimi – člen 29(2), točka (h), Uredbe (EU) 2021/1148</w:t>
      </w:r>
    </w:p>
    <w:p w14:paraId="3BC8BA94" w14:textId="77777777" w:rsidR="00AD502C" w:rsidRPr="0019378A" w:rsidRDefault="0049684A" w:rsidP="00AD502C">
      <w:pPr>
        <w:rPr>
          <w:noProof/>
          <w:sz w:val="22"/>
        </w:rPr>
      </w:pPr>
      <w:r w:rsidRPr="0019378A">
        <w:rPr>
          <w:noProof/>
          <w:sz w:val="22"/>
        </w:rPr>
        <w:t>Opišite vse ukrepe, ki se med obračunskim letom izvajajo v tretjih državah ali v zvezi z njimi, in kako ti ukrepi ustvarjajo dodano vrednost Unije pri doseganju ciljev, ki jih je določil Instrument. Navedite imena zadevnih tretjih držav. V opisu pojasnite, da ukrepi, ki so podprti v okviru Instrumenta, niso usmerjeni v razvoj, so namenjeni interesom notranjih politik Unije in so skladni z dejavnostmi, ki se izvajajo v Evropski uniji. Če je ustrezno, navedite posvetovanja s Komisijo, ki so potekala pred odobritvijo projekta (člen 13(12) Uredbe (EU) 2021/1148).</w:t>
      </w:r>
    </w:p>
    <w:tbl>
      <w:tblPr>
        <w:tblStyle w:val="Tabelamrea"/>
        <w:tblW w:w="0" w:type="auto"/>
        <w:tblLook w:val="04A0" w:firstRow="1" w:lastRow="0" w:firstColumn="1" w:lastColumn="0" w:noHBand="0" w:noVBand="1"/>
      </w:tblPr>
      <w:tblGrid>
        <w:gridCol w:w="9063"/>
      </w:tblGrid>
      <w:tr w:rsidR="00AD502C" w:rsidRPr="0019378A" w14:paraId="0EA065D7" w14:textId="77777777" w:rsidTr="00E45665">
        <w:tc>
          <w:tcPr>
            <w:tcW w:w="9289" w:type="dxa"/>
          </w:tcPr>
          <w:p w14:paraId="1EAA8441" w14:textId="77777777" w:rsidR="00AD502C" w:rsidRPr="0019378A" w:rsidRDefault="00342129" w:rsidP="008707B5">
            <w:pPr>
              <w:pStyle w:val="Personnequisigne"/>
              <w:jc w:val="both"/>
              <w:rPr>
                <w:i w:val="0"/>
                <w:noProof/>
              </w:rPr>
            </w:pPr>
            <w:r w:rsidRPr="0019378A">
              <w:rPr>
                <w:i w:val="0"/>
                <w:noProof/>
                <w:sz w:val="22"/>
              </w:rPr>
              <w:t xml:space="preserve">Slovenija v tem obračunskem obdobju ni izvajala </w:t>
            </w:r>
            <w:r w:rsidR="0023019F" w:rsidRPr="0019378A">
              <w:rPr>
                <w:i w:val="0"/>
                <w:noProof/>
                <w:sz w:val="22"/>
              </w:rPr>
              <w:t>ukrepov</w:t>
            </w:r>
            <w:r w:rsidRPr="0019378A">
              <w:rPr>
                <w:i w:val="0"/>
                <w:noProof/>
                <w:sz w:val="22"/>
              </w:rPr>
              <w:t xml:space="preserve"> ali </w:t>
            </w:r>
            <w:r w:rsidR="0023019F" w:rsidRPr="0019378A">
              <w:rPr>
                <w:i w:val="0"/>
                <w:noProof/>
                <w:sz w:val="22"/>
              </w:rPr>
              <w:t>operacij</w:t>
            </w:r>
            <w:r w:rsidRPr="0019378A">
              <w:rPr>
                <w:i w:val="0"/>
                <w:noProof/>
                <w:sz w:val="22"/>
              </w:rPr>
              <w:t xml:space="preserve"> v tretjih državah ali v zvezi z njimi.</w:t>
            </w:r>
          </w:p>
        </w:tc>
      </w:tr>
    </w:tbl>
    <w:p w14:paraId="3A6FB3BC" w14:textId="77777777" w:rsidR="00AD502C" w:rsidRPr="0019378A" w:rsidRDefault="001C1609" w:rsidP="001C1609">
      <w:pPr>
        <w:pStyle w:val="ManualHeading1"/>
        <w:rPr>
          <w:noProof/>
        </w:rPr>
      </w:pPr>
      <w:r w:rsidRPr="0019378A">
        <w:t>7.</w:t>
      </w:r>
      <w:r w:rsidRPr="0019378A">
        <w:tab/>
      </w:r>
      <w:r w:rsidR="00AD502C" w:rsidRPr="0019378A">
        <w:rPr>
          <w:noProof/>
        </w:rPr>
        <w:t>Povzetek – člen 29(2) Uredbe (EU) 2021/1148</w:t>
      </w:r>
    </w:p>
    <w:p w14:paraId="6A4F09D6" w14:textId="77777777" w:rsidR="00AD502C" w:rsidRPr="0019378A" w:rsidRDefault="007775C9" w:rsidP="00AD502C">
      <w:pPr>
        <w:rPr>
          <w:noProof/>
          <w:sz w:val="22"/>
        </w:rPr>
      </w:pPr>
      <w:r w:rsidRPr="0019378A">
        <w:rPr>
          <w:noProof/>
          <w:sz w:val="22"/>
        </w:rPr>
        <w:t xml:space="preserve">Predložite povzetek oddelkov 1 do 6, ki bo preveden in javno dostopen. </w:t>
      </w:r>
    </w:p>
    <w:p w14:paraId="75394F13" w14:textId="77777777" w:rsidR="00AD502C" w:rsidRPr="0019378A" w:rsidRDefault="00AD502C" w:rsidP="00AD502C">
      <w:pPr>
        <w:rPr>
          <w:noProof/>
          <w:sz w:val="22"/>
        </w:rPr>
      </w:pPr>
      <w:r w:rsidRPr="0019378A">
        <w:rPr>
          <w:noProof/>
          <w:sz w:val="22"/>
        </w:rPr>
        <w:t xml:space="preserve">Povzetek mora zajemati vsaj vse točke iz člena 29(2) in bi moral biti po možnosti strukturiran po teh točkah. </w:t>
      </w:r>
    </w:p>
    <w:p w14:paraId="329B812B" w14:textId="77777777" w:rsidR="00AD502C" w:rsidRPr="001A685B" w:rsidRDefault="00AD502C" w:rsidP="00AD502C">
      <w:pPr>
        <w:rPr>
          <w:noProof/>
          <w:sz w:val="22"/>
        </w:rPr>
      </w:pPr>
      <w:r w:rsidRPr="0019378A">
        <w:rPr>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Pr>
      <w:tblGrid>
        <w:gridCol w:w="9063"/>
      </w:tblGrid>
      <w:tr w:rsidR="00B57823" w:rsidRPr="00B57823" w14:paraId="184CEE87" w14:textId="77777777" w:rsidTr="00E45665">
        <w:tc>
          <w:tcPr>
            <w:tcW w:w="9289" w:type="dxa"/>
          </w:tcPr>
          <w:p w14:paraId="53C6CD3F" w14:textId="4EAEF7A4" w:rsidR="00A76A03" w:rsidRPr="00105F4B" w:rsidRDefault="00A76A03" w:rsidP="00105F4B">
            <w:pPr>
              <w:pStyle w:val="Personnequisigne"/>
              <w:jc w:val="both"/>
            </w:pPr>
            <w:r w:rsidRPr="00105F4B">
              <w:rPr>
                <w:b/>
                <w:i w:val="0"/>
                <w:sz w:val="22"/>
              </w:rPr>
              <w:t>1. Smotrnost</w:t>
            </w:r>
            <w:r w:rsidRPr="00105F4B">
              <w:rPr>
                <w:i w:val="0"/>
                <w:sz w:val="22"/>
              </w:rPr>
              <w:t xml:space="preserve">: </w:t>
            </w:r>
          </w:p>
          <w:p w14:paraId="0959D921" w14:textId="77777777" w:rsidR="00E60FB1" w:rsidRPr="00EA7099" w:rsidRDefault="00E60FB1" w:rsidP="00E60FB1">
            <w:pPr>
              <w:pStyle w:val="Personnequisigne"/>
              <w:jc w:val="both"/>
              <w:rPr>
                <w:i w:val="0"/>
                <w:sz w:val="22"/>
                <w:shd w:val="clear" w:color="auto" w:fill="FFFFFF"/>
              </w:rPr>
            </w:pPr>
            <w:r w:rsidRPr="00EA7099">
              <w:rPr>
                <w:i w:val="0"/>
                <w:sz w:val="22"/>
              </w:rPr>
              <w:t>Program Instrumenta za finančno podporo za upravljanje meja in vizumsko politiko (program IUMV) je bil potrjen 29. 11. 2022. Slovenija je v obračunskem obdobju poročanja, tj. od 1. 7. 2023 do 30. 6. 2024, sicer pričela z izvajanjem aktivnosti v zvezi s programom IUMV, a je imel vstop Republike Hrvaške v Schengensko območje (1. 1. 2023) velik vpliv na to, saj je bil o</w:t>
            </w:r>
            <w:r w:rsidRPr="00EA7099">
              <w:rPr>
                <w:i w:val="0"/>
                <w:sz w:val="22"/>
                <w:shd w:val="clear" w:color="auto" w:fill="FFFFFF"/>
              </w:rPr>
              <w:t xml:space="preserve">dpravljen nadzor na notranjih kopenskih, pomorskih in zračnih mejah. Posledično Slovenija nadaljuje z izvajanjem ukrepov na tistih mejnih prehodih, ki sodijo v zunanjo mejo, ukrepov za zagotavljanje </w:t>
            </w:r>
            <w:proofErr w:type="spellStart"/>
            <w:r w:rsidRPr="00EA7099">
              <w:rPr>
                <w:i w:val="0"/>
                <w:sz w:val="22"/>
                <w:shd w:val="clear" w:color="auto" w:fill="FFFFFF"/>
              </w:rPr>
              <w:t>interoperabilnosti</w:t>
            </w:r>
            <w:proofErr w:type="spellEnd"/>
            <w:r w:rsidRPr="00EA7099">
              <w:rPr>
                <w:i w:val="0"/>
                <w:sz w:val="22"/>
                <w:shd w:val="clear" w:color="auto" w:fill="FFFFFF"/>
              </w:rPr>
              <w:t xml:space="preserve"> in posodobitev IT sistemov</w:t>
            </w:r>
            <w:r>
              <w:rPr>
                <w:i w:val="0"/>
                <w:sz w:val="22"/>
                <w:shd w:val="clear" w:color="auto" w:fill="FFFFFF"/>
              </w:rPr>
              <w:t xml:space="preserve"> ter ukrepov na področju skupne vizumske politike</w:t>
            </w:r>
            <w:r w:rsidRPr="00EA7099">
              <w:rPr>
                <w:i w:val="0"/>
                <w:sz w:val="22"/>
                <w:shd w:val="clear" w:color="auto" w:fill="FFFFFF"/>
              </w:rPr>
              <w:t>.</w:t>
            </w:r>
            <w:r w:rsidRPr="00EA7099">
              <w:rPr>
                <w:i w:val="0"/>
                <w:sz w:val="22"/>
              </w:rPr>
              <w:t xml:space="preserve"> Mejni policisti delujejo tudi v mešanih slovensko-hrvaških patruljah. Poteka izmenjava informacij in sodelovanje pri operacijah odkrivanja in preprečevanja ilegalnih migracij in čezmejne kriminalitete.</w:t>
            </w:r>
          </w:p>
          <w:p w14:paraId="56EB6BC7" w14:textId="77777777" w:rsidR="00E60FB1" w:rsidRPr="00EA7099" w:rsidRDefault="00E60FB1" w:rsidP="00E60FB1">
            <w:pPr>
              <w:pStyle w:val="Personnequisigne"/>
              <w:jc w:val="both"/>
              <w:rPr>
                <w:i w:val="0"/>
                <w:sz w:val="22"/>
                <w:shd w:val="clear" w:color="auto" w:fill="FFFFFF"/>
              </w:rPr>
            </w:pPr>
          </w:p>
          <w:p w14:paraId="20929241" w14:textId="77777777" w:rsidR="00E60FB1" w:rsidRPr="00EA7099" w:rsidRDefault="00E60FB1" w:rsidP="00E60FB1">
            <w:pPr>
              <w:pStyle w:val="Personnequisigne"/>
              <w:jc w:val="both"/>
              <w:rPr>
                <w:i w:val="0"/>
                <w:sz w:val="22"/>
              </w:rPr>
            </w:pPr>
            <w:r w:rsidRPr="00EA7099">
              <w:rPr>
                <w:i w:val="0"/>
                <w:sz w:val="22"/>
                <w:shd w:val="clear" w:color="auto" w:fill="FFFFFF"/>
              </w:rPr>
              <w:t xml:space="preserve">Z vstopom Republike Hrvaške </w:t>
            </w:r>
            <w:r w:rsidRPr="00EA7099">
              <w:rPr>
                <w:i w:val="0"/>
                <w:sz w:val="22"/>
              </w:rPr>
              <w:t xml:space="preserve">v Schengensko območje </w:t>
            </w:r>
            <w:r w:rsidRPr="00EA7099">
              <w:rPr>
                <w:i w:val="0"/>
                <w:sz w:val="22"/>
                <w:shd w:val="clear" w:color="auto" w:fill="FFFFFF"/>
              </w:rPr>
              <w:t>je postala skoraj polovica načrtovanih aktivnosti Programa IUMV, ki so bile vezane na nadzor na začasni zunanji meji, neupravičena. Slovenija ima sedaj na</w:t>
            </w:r>
            <w:r w:rsidRPr="00EA7099">
              <w:rPr>
                <w:i w:val="0"/>
                <w:sz w:val="22"/>
              </w:rPr>
              <w:t xml:space="preserve"> zunanji schengenski meji le 5 mejnih prehodov: 3 na zračni in 2 na morski meji. Novembra 2024 je bil potrjen program (prenos 5</w:t>
            </w:r>
            <w:r>
              <w:rPr>
                <w:i w:val="0"/>
                <w:sz w:val="22"/>
              </w:rPr>
              <w:t xml:space="preserve"> </w:t>
            </w:r>
            <w:r w:rsidRPr="00EA7099">
              <w:rPr>
                <w:i w:val="0"/>
                <w:sz w:val="22"/>
              </w:rPr>
              <w:t>% sredstev na program SNV). V neformalnem usklajevanju z EK je nova sprememba programa IUMV, ki bo odražala nove potrebe, prav tako pa bodo zajete vsebine</w:t>
            </w:r>
            <w:r>
              <w:rPr>
                <w:i w:val="0"/>
                <w:sz w:val="22"/>
              </w:rPr>
              <w:t>,</w:t>
            </w:r>
            <w:r w:rsidRPr="00EA7099">
              <w:rPr>
                <w:i w:val="0"/>
                <w:sz w:val="22"/>
              </w:rPr>
              <w:t xml:space="preserve"> vezane na Pakt o migracijah. Menimo, da bo po potrditvi te spremembe programa IUMV doseganje zastavljenih ciljev bolj realno. </w:t>
            </w:r>
          </w:p>
          <w:p w14:paraId="32017CBD" w14:textId="77777777" w:rsidR="00E60FB1" w:rsidRPr="00EA7099" w:rsidRDefault="00E60FB1" w:rsidP="00E60FB1">
            <w:pPr>
              <w:pStyle w:val="Personnequisigne"/>
              <w:jc w:val="both"/>
              <w:rPr>
                <w:i w:val="0"/>
                <w:sz w:val="22"/>
              </w:rPr>
            </w:pPr>
          </w:p>
          <w:p w14:paraId="7E1B302E" w14:textId="77777777" w:rsidR="00E60FB1" w:rsidRPr="00EA7099" w:rsidRDefault="00E60FB1" w:rsidP="00E60FB1">
            <w:pPr>
              <w:pStyle w:val="Personnequisigne"/>
              <w:jc w:val="both"/>
              <w:rPr>
                <w:i w:val="0"/>
                <w:sz w:val="22"/>
              </w:rPr>
            </w:pPr>
            <w:r w:rsidRPr="00EA7099">
              <w:rPr>
                <w:i w:val="0"/>
                <w:sz w:val="22"/>
              </w:rPr>
              <w:t xml:space="preserve">OU je vzpostavil informacijski sistem MIGRA III, preko katerega poteka izmenjava informacij med OU in upravičenci, </w:t>
            </w:r>
            <w:proofErr w:type="spellStart"/>
            <w:r w:rsidRPr="00EA7099">
              <w:rPr>
                <w:i w:val="0"/>
                <w:sz w:val="22"/>
              </w:rPr>
              <w:t>t.j</w:t>
            </w:r>
            <w:proofErr w:type="spellEnd"/>
            <w:r w:rsidRPr="00EA7099">
              <w:rPr>
                <w:i w:val="0"/>
                <w:sz w:val="22"/>
              </w:rPr>
              <w:t>. oddaja prijav operacij, poročanje o izvajanju operacij (zahtevki za povračilo). IT sistem se redno nadgrajuje, posodablja glede na potrebe uporabnikov ter se odpravlja morebitne napake.</w:t>
            </w:r>
          </w:p>
          <w:p w14:paraId="74144686" w14:textId="77777777" w:rsidR="00E60FB1" w:rsidRPr="00EA7099" w:rsidRDefault="00E60FB1" w:rsidP="00E60FB1">
            <w:pPr>
              <w:rPr>
                <w:sz w:val="22"/>
              </w:rPr>
            </w:pPr>
            <w:r w:rsidRPr="00EA7099">
              <w:rPr>
                <w:sz w:val="22"/>
              </w:rPr>
              <w:t>V obdobju je OU pripravil Akcijski načrt za program IUMV (Akcijski načrt IUMV), ki predstavlja razdelitev/dodelitev vseh finančnih sredstev upravičencem. Način dodelitve je v vseh primerih neposredna dodelitev.</w:t>
            </w:r>
            <w:r w:rsidRPr="00EA7099">
              <w:rPr>
                <w:noProof/>
                <w:sz w:val="22"/>
              </w:rPr>
              <w:t xml:space="preserve"> V trenutni akcijski načrt IUMV je vključenih le 46 operacij (v okvirnem znesku 50 MIO EUR) - gre le za operacije</w:t>
            </w:r>
            <w:r>
              <w:rPr>
                <w:noProof/>
                <w:sz w:val="22"/>
              </w:rPr>
              <w:t>,</w:t>
            </w:r>
            <w:r w:rsidRPr="00EA7099">
              <w:rPr>
                <w:noProof/>
                <w:sz w:val="22"/>
              </w:rPr>
              <w:t xml:space="preserve"> upravičene za izvajanje po vstopu Republike Hrvaške v Schengensko območje. V obdobju poročanja je bilo v izvajanju 30 operacij. </w:t>
            </w:r>
          </w:p>
          <w:p w14:paraId="48E27F96" w14:textId="77777777" w:rsidR="00E60FB1" w:rsidRPr="00EA7099" w:rsidRDefault="00E60FB1" w:rsidP="00E60FB1">
            <w:pPr>
              <w:rPr>
                <w:sz w:val="22"/>
              </w:rPr>
            </w:pPr>
            <w:r w:rsidRPr="00EA7099">
              <w:rPr>
                <w:sz w:val="22"/>
              </w:rPr>
              <w:t xml:space="preserve">V okviru </w:t>
            </w:r>
            <w:r w:rsidRPr="00EA7099">
              <w:rPr>
                <w:sz w:val="22"/>
                <w:u w:val="single"/>
              </w:rPr>
              <w:t>Specifičnega cilja 1</w:t>
            </w:r>
            <w:r w:rsidRPr="00EA7099">
              <w:rPr>
                <w:sz w:val="22"/>
              </w:rPr>
              <w:t xml:space="preserve"> so ukrepi Slovenije</w:t>
            </w:r>
            <w:r>
              <w:rPr>
                <w:sz w:val="22"/>
              </w:rPr>
              <w:t>, kjer je k</w:t>
            </w:r>
            <w:r w:rsidRPr="00EA7099">
              <w:rPr>
                <w:sz w:val="22"/>
              </w:rPr>
              <w:t>ljučni resor Ministrstv</w:t>
            </w:r>
            <w:r>
              <w:rPr>
                <w:sz w:val="22"/>
              </w:rPr>
              <w:t xml:space="preserve">o za notranje zadeve, Policija, usmerjeni v doseg spodaj navedenih </w:t>
            </w:r>
            <w:r w:rsidRPr="00EA7099">
              <w:rPr>
                <w:sz w:val="22"/>
              </w:rPr>
              <w:t>aktivnosti (po izvedbenih ukrepih).</w:t>
            </w:r>
          </w:p>
          <w:p w14:paraId="34456F8A" w14:textId="77777777" w:rsidR="00E60FB1" w:rsidRPr="00EA7099" w:rsidRDefault="00E60FB1" w:rsidP="00E60FB1">
            <w:pPr>
              <w:rPr>
                <w:sz w:val="22"/>
              </w:rPr>
            </w:pPr>
            <w:r w:rsidRPr="00EA7099">
              <w:rPr>
                <w:sz w:val="22"/>
                <w:u w:val="single"/>
              </w:rPr>
              <w:t>Izvedbeni ukrep 1a(i):</w:t>
            </w:r>
          </w:p>
          <w:p w14:paraId="66D4D700" w14:textId="77777777" w:rsidR="00E60FB1" w:rsidRPr="00EA7099" w:rsidRDefault="00E60FB1" w:rsidP="00E60FB1">
            <w:pPr>
              <w:rPr>
                <w:sz w:val="22"/>
              </w:rPr>
            </w:pPr>
            <w:r w:rsidRPr="00EA7099">
              <w:rPr>
                <w:b/>
                <w:sz w:val="22"/>
              </w:rPr>
              <w:t>Mednarodni prostor za zavrnjene državljane tretjih držav (DTD)</w:t>
            </w:r>
            <w:r>
              <w:rPr>
                <w:sz w:val="22"/>
              </w:rPr>
              <w:t xml:space="preserve">, </w:t>
            </w:r>
            <w:r w:rsidRPr="00EA7099">
              <w:rPr>
                <w:sz w:val="22"/>
              </w:rPr>
              <w:t xml:space="preserve">ki ne izpolnjujejo pogojev za vstop, se namesti v posebni prostor, kjer se jim nudi nadzor, prenočišče in prehrano. </w:t>
            </w:r>
          </w:p>
          <w:p w14:paraId="0E48FAFD" w14:textId="77777777" w:rsidR="00E60FB1" w:rsidRDefault="00E60FB1" w:rsidP="00E60FB1">
            <w:pPr>
              <w:rPr>
                <w:sz w:val="22"/>
              </w:rPr>
            </w:pPr>
            <w:r w:rsidRPr="00EA7099">
              <w:rPr>
                <w:b/>
                <w:sz w:val="22"/>
              </w:rPr>
              <w:t xml:space="preserve">Uradniki za zvezo za priseljevanje </w:t>
            </w:r>
            <w:r w:rsidRPr="00EA7099">
              <w:rPr>
                <w:sz w:val="22"/>
              </w:rPr>
              <w:t xml:space="preserve">opravljajo naloge s področja dela policije: področje migracij, boj proti ilegalnim migracijam in boj proti čezmejni kriminaliteti. </w:t>
            </w:r>
          </w:p>
          <w:p w14:paraId="20D1632D" w14:textId="77777777" w:rsidR="00E60FB1" w:rsidRPr="00EA7099" w:rsidRDefault="00E60FB1" w:rsidP="00E60FB1">
            <w:pPr>
              <w:rPr>
                <w:sz w:val="22"/>
                <w:u w:val="single"/>
              </w:rPr>
            </w:pPr>
            <w:r w:rsidRPr="00EA7099">
              <w:rPr>
                <w:sz w:val="22"/>
                <w:u w:val="single"/>
              </w:rPr>
              <w:t>Izvedbeni ukrep 1a(iii):</w:t>
            </w:r>
          </w:p>
          <w:p w14:paraId="1BD66FB8" w14:textId="77777777" w:rsidR="00E60FB1" w:rsidRPr="00EA7099" w:rsidRDefault="00E60FB1" w:rsidP="00E60FB1">
            <w:pPr>
              <w:rPr>
                <w:sz w:val="22"/>
              </w:rPr>
            </w:pPr>
            <w:r w:rsidRPr="00EA7099">
              <w:rPr>
                <w:b/>
                <w:sz w:val="22"/>
              </w:rPr>
              <w:t>Strateška podpora analizam tveganja</w:t>
            </w:r>
            <w:r w:rsidRPr="00EA7099">
              <w:rPr>
                <w:sz w:val="22"/>
              </w:rPr>
              <w:t xml:space="preserve">; Schengenska evalvacija in </w:t>
            </w:r>
            <w:proofErr w:type="spellStart"/>
            <w:r w:rsidRPr="00EA7099">
              <w:rPr>
                <w:sz w:val="22"/>
              </w:rPr>
              <w:t>Frontexova</w:t>
            </w:r>
            <w:proofErr w:type="spellEnd"/>
            <w:r w:rsidRPr="00EA7099">
              <w:rPr>
                <w:sz w:val="22"/>
              </w:rPr>
              <w:t xml:space="preserve"> ocena »</w:t>
            </w:r>
            <w:proofErr w:type="spellStart"/>
            <w:r w:rsidRPr="00EA7099">
              <w:rPr>
                <w:sz w:val="22"/>
              </w:rPr>
              <w:t>Vulnerability</w:t>
            </w:r>
            <w:proofErr w:type="spellEnd"/>
            <w:r w:rsidRPr="00EA7099">
              <w:rPr>
                <w:sz w:val="22"/>
              </w:rPr>
              <w:t xml:space="preserve"> </w:t>
            </w:r>
            <w:proofErr w:type="spellStart"/>
            <w:r w:rsidRPr="00EA7099">
              <w:rPr>
                <w:sz w:val="22"/>
              </w:rPr>
              <w:t>Assessment</w:t>
            </w:r>
            <w:proofErr w:type="spellEnd"/>
            <w:r w:rsidRPr="00EA7099">
              <w:rPr>
                <w:sz w:val="22"/>
              </w:rPr>
              <w:t>« kažeta potrebo po izboljšanju sistema dela in usposobljenosti na področju priprav analiz tveganja. Z nakupom posebnih specialnih programskih orodij je olajšano delo in izboljšana kakovost analiz tveganj. V tem obdobju je omogočen dostop do komercialnih baz pod</w:t>
            </w:r>
            <w:r>
              <w:rPr>
                <w:sz w:val="22"/>
              </w:rPr>
              <w:t>atkov za potrebe mejne kontrole. Pričel se je postopek za nabavo strojne opreme.</w:t>
            </w:r>
          </w:p>
          <w:p w14:paraId="0C88AC6E" w14:textId="77777777" w:rsidR="00E60FB1" w:rsidRPr="00EA7099" w:rsidRDefault="00E60FB1" w:rsidP="00E60FB1">
            <w:pPr>
              <w:rPr>
                <w:sz w:val="22"/>
                <w:u w:val="single"/>
              </w:rPr>
            </w:pPr>
            <w:r w:rsidRPr="00EA7099">
              <w:rPr>
                <w:sz w:val="22"/>
                <w:u w:val="single"/>
              </w:rPr>
              <w:t>Izvedbeni ukrep 1d:</w:t>
            </w:r>
          </w:p>
          <w:p w14:paraId="724BAF7B" w14:textId="77777777" w:rsidR="00E60FB1" w:rsidRPr="00EA7099" w:rsidRDefault="00E60FB1" w:rsidP="00E60FB1">
            <w:pPr>
              <w:rPr>
                <w:sz w:val="22"/>
              </w:rPr>
            </w:pPr>
            <w:r w:rsidRPr="00EA7099">
              <w:rPr>
                <w:b/>
                <w:sz w:val="22"/>
              </w:rPr>
              <w:t>Sodelovanje ekspertov na schengenskih evalvacijah</w:t>
            </w:r>
            <w:r w:rsidRPr="00EA7099">
              <w:rPr>
                <w:sz w:val="22"/>
              </w:rPr>
              <w:t xml:space="preserve">; Z operacijo se </w:t>
            </w:r>
            <w:r w:rsidRPr="00F37DD7">
              <w:rPr>
                <w:sz w:val="22"/>
              </w:rPr>
              <w:t>pokrijejo preostali stroški</w:t>
            </w:r>
            <w:r w:rsidRPr="00EA7099">
              <w:rPr>
                <w:sz w:val="22"/>
              </w:rPr>
              <w:t xml:space="preserve"> sodelovanja na schengenskih evalvacijah. Letno je pričakovati sodelovanje desetih oseb iz Slovenije na različnih področjih, ki so predmet schengenske evalvacije. V obdobju poročanja je na evalvacijah sodelovalo 6 oseb.</w:t>
            </w:r>
          </w:p>
          <w:p w14:paraId="5C97F260" w14:textId="77777777" w:rsidR="00E60FB1" w:rsidRPr="00EA7099" w:rsidRDefault="00E60FB1" w:rsidP="00E60FB1">
            <w:pPr>
              <w:rPr>
                <w:sz w:val="22"/>
              </w:rPr>
            </w:pPr>
            <w:r w:rsidRPr="00EA7099">
              <w:rPr>
                <w:b/>
                <w:sz w:val="22"/>
              </w:rPr>
              <w:t>Vzpostavitev NCC</w:t>
            </w:r>
            <w:r w:rsidRPr="00EA7099">
              <w:rPr>
                <w:sz w:val="22"/>
              </w:rPr>
              <w:t xml:space="preserve">; Načrtovane so investicije v pomorsko opremo in celovit sistem EUROSUR ter vzpostavitev nacionalnega koordinacijskega centra bodo pripomogle k izboljšanju delovnih pogojev za policiste, ki bodo opravljali naloge v centru, kakor tudi v skrajševanju delovnih procesov policistov pri posredovanju podatkov nadaljnjim pristojnim službam.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Se pa je v letu 2024 pričelo tudi s postopki za zagotovitev ustreznih prostorov, in sicer postopek javnega naročila za izbiro projektanta, ki bo pripravil načrt za prenovo prostorov. </w:t>
            </w:r>
          </w:p>
          <w:p w14:paraId="4C3A2DE8" w14:textId="77777777" w:rsidR="00E60FB1" w:rsidRPr="00EA7099" w:rsidRDefault="00E60FB1" w:rsidP="00E60FB1">
            <w:pPr>
              <w:rPr>
                <w:sz w:val="22"/>
              </w:rPr>
            </w:pPr>
            <w:r w:rsidRPr="00EA7099">
              <w:rPr>
                <w:b/>
                <w:sz w:val="22"/>
              </w:rPr>
              <w:t xml:space="preserve">Prenova sistema EUROSUR </w:t>
            </w:r>
            <w:r w:rsidRPr="00EA7099">
              <w:rPr>
                <w:sz w:val="22"/>
              </w:rPr>
              <w:t xml:space="preserve">bo zahtevala zamenjavo praktično vse opreme, ker bo sistem namenjen podatkom višje stopnje tajnosti. Projekt obsega vzpostavitev sistema v slovenski policiji, ki bo povezan s centralnim delom, ki pa je še v fazi načrtovanja. Operacija je potrjena, aktivnosti se, skladno s </w:t>
            </w:r>
            <w:proofErr w:type="spellStart"/>
            <w:r w:rsidRPr="00EA7099">
              <w:rPr>
                <w:sz w:val="22"/>
              </w:rPr>
              <w:t>časovnico</w:t>
            </w:r>
            <w:proofErr w:type="spellEnd"/>
            <w:r w:rsidRPr="00EA7099">
              <w:rPr>
                <w:sz w:val="22"/>
              </w:rPr>
              <w:t>, v tem obdobju še niso izvajale.</w:t>
            </w:r>
          </w:p>
          <w:p w14:paraId="6EFFFFBC" w14:textId="77777777" w:rsidR="00E60FB1" w:rsidRPr="00EA7099" w:rsidRDefault="00E60FB1" w:rsidP="00E60FB1">
            <w:pPr>
              <w:rPr>
                <w:sz w:val="22"/>
              </w:rPr>
            </w:pPr>
            <w:r w:rsidRPr="00EA7099">
              <w:rPr>
                <w:b/>
                <w:sz w:val="22"/>
              </w:rPr>
              <w:t xml:space="preserve">Ročne in mobilne </w:t>
            </w:r>
            <w:proofErr w:type="spellStart"/>
            <w:r w:rsidRPr="00EA7099">
              <w:rPr>
                <w:b/>
                <w:sz w:val="22"/>
              </w:rPr>
              <w:t>termovizije</w:t>
            </w:r>
            <w:proofErr w:type="spellEnd"/>
            <w:r w:rsidRPr="00EA7099">
              <w:rPr>
                <w:sz w:val="22"/>
              </w:rPr>
              <w:t>; Gre za opremo za skupne operacije, skladno</w:t>
            </w:r>
            <w:r>
              <w:rPr>
                <w:sz w:val="22"/>
              </w:rPr>
              <w:t xml:space="preserve"> s </w:t>
            </w:r>
            <w:proofErr w:type="spellStart"/>
            <w:r>
              <w:rPr>
                <w:sz w:val="22"/>
              </w:rPr>
              <w:t>Frontex</w:t>
            </w:r>
            <w:proofErr w:type="spellEnd"/>
            <w:r w:rsidRPr="00EA7099">
              <w:rPr>
                <w:sz w:val="22"/>
              </w:rPr>
              <w:t xml:space="preserve"> standardi </w:t>
            </w:r>
            <w:r>
              <w:rPr>
                <w:sz w:val="22"/>
              </w:rPr>
              <w:t xml:space="preserve">in </w:t>
            </w:r>
            <w:r w:rsidRPr="00EA7099">
              <w:rPr>
                <w:sz w:val="22"/>
              </w:rPr>
              <w:t>nominirano</w:t>
            </w:r>
            <w:r>
              <w:rPr>
                <w:sz w:val="22"/>
              </w:rPr>
              <w:t xml:space="preserve"> v </w:t>
            </w:r>
            <w:proofErr w:type="spellStart"/>
            <w:r>
              <w:rPr>
                <w:sz w:val="22"/>
              </w:rPr>
              <w:t>Frontex</w:t>
            </w:r>
            <w:proofErr w:type="spellEnd"/>
            <w:r w:rsidRPr="00EA7099">
              <w:rPr>
                <w:sz w:val="22"/>
              </w:rPr>
              <w:t xml:space="preserve"> nabor tehnične opreme. Operacija je potrjena, aktivnosti se, skladno s </w:t>
            </w:r>
            <w:proofErr w:type="spellStart"/>
            <w:r w:rsidRPr="00EA7099">
              <w:rPr>
                <w:sz w:val="22"/>
              </w:rPr>
              <w:t>časovnico</w:t>
            </w:r>
            <w:proofErr w:type="spellEnd"/>
            <w:r w:rsidRPr="00EA7099">
              <w:rPr>
                <w:sz w:val="22"/>
              </w:rPr>
              <w:t>, v tem obdobju še niso izvajale.</w:t>
            </w:r>
          </w:p>
          <w:p w14:paraId="6E02C30F" w14:textId="77777777" w:rsidR="00E60FB1" w:rsidRDefault="00E60FB1" w:rsidP="00E60FB1">
            <w:pPr>
              <w:rPr>
                <w:sz w:val="22"/>
              </w:rPr>
            </w:pPr>
            <w:r w:rsidRPr="00EA7099">
              <w:rPr>
                <w:b/>
                <w:sz w:val="22"/>
              </w:rPr>
              <w:t>Zamenjava iztrošenih prevoznih sredstev za nadzor kopenske meje in mejno kontrolo</w:t>
            </w:r>
            <w:r>
              <w:rPr>
                <w:b/>
                <w:sz w:val="22"/>
              </w:rPr>
              <w:t xml:space="preserve"> ter</w:t>
            </w:r>
            <w:r w:rsidRPr="00EA7099">
              <w:rPr>
                <w:sz w:val="22"/>
              </w:rPr>
              <w:t xml:space="preserve"> nominacija v </w:t>
            </w:r>
            <w:proofErr w:type="spellStart"/>
            <w:r w:rsidRPr="00EA7099">
              <w:rPr>
                <w:sz w:val="22"/>
              </w:rPr>
              <w:t>Frontex</w:t>
            </w:r>
            <w:proofErr w:type="spellEnd"/>
            <w:r w:rsidRPr="00EA7099">
              <w:rPr>
                <w:sz w:val="22"/>
              </w:rPr>
              <w:t xml:space="preserve"> nabor tehnične opreme ter nakup patruljnih vozil za napotene mejne policiste v tretje države</w:t>
            </w:r>
            <w:r>
              <w:rPr>
                <w:sz w:val="22"/>
              </w:rPr>
              <w:t>.</w:t>
            </w:r>
            <w:r w:rsidRPr="00EA7099">
              <w:rPr>
                <w:sz w:val="22"/>
              </w:rPr>
              <w:t xml:space="preserve"> Operacija je potrjena, aktivnosti se</w:t>
            </w:r>
            <w:r>
              <w:rPr>
                <w:sz w:val="22"/>
              </w:rPr>
              <w:t xml:space="preserve"> je</w:t>
            </w:r>
            <w:r w:rsidRPr="00EA7099">
              <w:rPr>
                <w:sz w:val="22"/>
              </w:rPr>
              <w:t xml:space="preserve">, skladno s </w:t>
            </w:r>
            <w:proofErr w:type="spellStart"/>
            <w:r w:rsidRPr="00EA7099">
              <w:rPr>
                <w:sz w:val="22"/>
              </w:rPr>
              <w:t>časovnico</w:t>
            </w:r>
            <w:proofErr w:type="spellEnd"/>
            <w:r w:rsidRPr="00EA7099">
              <w:rPr>
                <w:sz w:val="22"/>
              </w:rPr>
              <w:t xml:space="preserve">, </w:t>
            </w:r>
            <w:r>
              <w:rPr>
                <w:sz w:val="22"/>
              </w:rPr>
              <w:t xml:space="preserve">pričelo izvajati. Izvedeno javno naročilo za nakup vozil je bilo neuspešno, zato se je pristopilo k ponovitvi, kjer pa je bil izbran izvajalec. </w:t>
            </w:r>
          </w:p>
          <w:p w14:paraId="7B0208B6" w14:textId="77777777" w:rsidR="00E60FB1" w:rsidRPr="00EA7099" w:rsidRDefault="00E60FB1" w:rsidP="00E60FB1">
            <w:pPr>
              <w:rPr>
                <w:sz w:val="22"/>
              </w:rPr>
            </w:pPr>
            <w:r w:rsidRPr="00EA7099">
              <w:rPr>
                <w:b/>
                <w:sz w:val="22"/>
              </w:rPr>
              <w:t>Vzdrževanje pomorskega radarskega sistema</w:t>
            </w:r>
            <w:r w:rsidRPr="00EA7099">
              <w:rPr>
                <w:sz w:val="22"/>
              </w:rPr>
              <w:t xml:space="preserve">; Zagotavljanje operativne razpoložljivosti tehničnih sredstev policije za čimbolj nemoteno izvajanje nalog policije. Operacija je potrjena, aktivnosti se, skladno s </w:t>
            </w:r>
            <w:proofErr w:type="spellStart"/>
            <w:r w:rsidRPr="00EA7099">
              <w:rPr>
                <w:sz w:val="22"/>
              </w:rPr>
              <w:t>časovnico</w:t>
            </w:r>
            <w:proofErr w:type="spellEnd"/>
            <w:r w:rsidRPr="00EA7099">
              <w:rPr>
                <w:sz w:val="22"/>
              </w:rPr>
              <w:t>, v tem obdobju še niso izvajale.</w:t>
            </w:r>
          </w:p>
          <w:p w14:paraId="18152E79" w14:textId="77777777" w:rsidR="00E60FB1" w:rsidRPr="00EA7099" w:rsidRDefault="00E60FB1" w:rsidP="00E60FB1">
            <w:pPr>
              <w:rPr>
                <w:sz w:val="22"/>
                <w:u w:val="single"/>
              </w:rPr>
            </w:pPr>
            <w:r w:rsidRPr="00EA7099">
              <w:rPr>
                <w:sz w:val="22"/>
                <w:u w:val="single"/>
              </w:rPr>
              <w:t>Izvedbeni ukrep 1e:</w:t>
            </w:r>
          </w:p>
          <w:p w14:paraId="7FA49146" w14:textId="77777777" w:rsidR="00E60FB1" w:rsidRPr="00EA7099" w:rsidRDefault="00E60FB1" w:rsidP="00E60FB1">
            <w:pPr>
              <w:rPr>
                <w:sz w:val="22"/>
              </w:rPr>
            </w:pPr>
            <w:proofErr w:type="spellStart"/>
            <w:r w:rsidRPr="00EA7099">
              <w:rPr>
                <w:b/>
                <w:sz w:val="22"/>
              </w:rPr>
              <w:t>Insourceing</w:t>
            </w:r>
            <w:proofErr w:type="spellEnd"/>
            <w:r w:rsidRPr="00EA7099">
              <w:rPr>
                <w:b/>
                <w:sz w:val="22"/>
              </w:rPr>
              <w:t xml:space="preserve"> EES</w:t>
            </w:r>
            <w:r w:rsidRPr="00EA7099">
              <w:rPr>
                <w:sz w:val="22"/>
              </w:rPr>
              <w:t xml:space="preserve">; V tem obdobju so se razvijale rešitve in prilagoditve za EES, zunanji izvajalec pa je pripravil aplikativno rešitev MEKO-SVI. Aplikativna rešitev je bila podvržena </w:t>
            </w:r>
            <w:proofErr w:type="spellStart"/>
            <w:r w:rsidRPr="00EA7099">
              <w:rPr>
                <w:sz w:val="22"/>
              </w:rPr>
              <w:t>skladnostnim</w:t>
            </w:r>
            <w:proofErr w:type="spellEnd"/>
            <w:r w:rsidRPr="00EA7099">
              <w:rPr>
                <w:sz w:val="22"/>
              </w:rPr>
              <w:t xml:space="preserve"> testom, ki so bili v celoti opravljeni in izvedeni. Nadaljevala so se tudi se prilagajanja potrebam uporabnikom in dodatnim ali spremenjenim zahtevam centralnega sistema.</w:t>
            </w:r>
          </w:p>
          <w:p w14:paraId="676628E8" w14:textId="77777777" w:rsidR="00E60FB1" w:rsidRPr="00EA7099" w:rsidRDefault="00E60FB1" w:rsidP="00E60FB1">
            <w:pPr>
              <w:rPr>
                <w:sz w:val="22"/>
              </w:rPr>
            </w:pPr>
            <w:r w:rsidRPr="00EA7099">
              <w:rPr>
                <w:b/>
                <w:sz w:val="22"/>
              </w:rPr>
              <w:t>PKI infrastruktura</w:t>
            </w:r>
            <w:r w:rsidRPr="00EA7099">
              <w:rPr>
                <w:sz w:val="22"/>
              </w:rPr>
              <w:t xml:space="preserve"> je potrebna za izvajanje popolne mejne kontrole vključno s pasivno in terminalsko avtentikacijo ter možnostjo dostopov do prstnih odtisov na e-potovalnih listinah.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Aktivnosti bodo </w:t>
            </w:r>
            <w:r w:rsidRPr="00701C55">
              <w:rPr>
                <w:sz w:val="22"/>
              </w:rPr>
              <w:t>realiziran</w:t>
            </w:r>
            <w:r>
              <w:rPr>
                <w:sz w:val="22"/>
              </w:rPr>
              <w:t>e</w:t>
            </w:r>
            <w:r w:rsidRPr="00701C55">
              <w:rPr>
                <w:sz w:val="22"/>
              </w:rPr>
              <w:t xml:space="preserve"> v letu 2025</w:t>
            </w:r>
            <w:r>
              <w:rPr>
                <w:sz w:val="22"/>
              </w:rPr>
              <w:t>,</w:t>
            </w:r>
            <w:r w:rsidRPr="00701C55">
              <w:rPr>
                <w:sz w:val="22"/>
              </w:rPr>
              <w:t xml:space="preserve"> zaradi priprave zahtevnejše razpisne dokumentacije, ki vključuje pripravo tehnične dokumentacije, ki izpolnjuje zahteve PKI infrastrukture za potrebe Policije in Ministrstva za digitalno preobrazbo.</w:t>
            </w:r>
          </w:p>
          <w:p w14:paraId="553C3D7F" w14:textId="77777777" w:rsidR="00E60FB1" w:rsidRPr="00EA7099" w:rsidRDefault="00E60FB1" w:rsidP="00E60FB1">
            <w:pPr>
              <w:rPr>
                <w:sz w:val="22"/>
              </w:rPr>
            </w:pPr>
            <w:r w:rsidRPr="00EA7099">
              <w:rPr>
                <w:sz w:val="22"/>
              </w:rPr>
              <w:t xml:space="preserve">Skladno z Zakonikom o Schengenskih mejah in Uredbo EES za </w:t>
            </w:r>
            <w:r w:rsidRPr="00EA7099">
              <w:rPr>
                <w:b/>
                <w:sz w:val="22"/>
              </w:rPr>
              <w:t>združljivost obstoječih in novih velikih informacijskih sistemov EU</w:t>
            </w:r>
            <w:r w:rsidRPr="00EA7099">
              <w:rPr>
                <w:sz w:val="22"/>
              </w:rPr>
              <w:t xml:space="preserve">, mora Policija posodobiti, nadgraditi in zamenjati opremo in programsko opremo za izvajanje ukrepov na meji.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Je pa bil </w:t>
            </w:r>
            <w:r w:rsidRPr="00AE6411">
              <w:rPr>
                <w:sz w:val="22"/>
              </w:rPr>
              <w:t xml:space="preserve">decembra 2024 izbran zunanji izvajalec, ki bo izvajal razvoj </w:t>
            </w:r>
            <w:proofErr w:type="spellStart"/>
            <w:r w:rsidRPr="00AE6411">
              <w:rPr>
                <w:sz w:val="22"/>
              </w:rPr>
              <w:t>apliakcij</w:t>
            </w:r>
            <w:proofErr w:type="spellEnd"/>
            <w:r w:rsidRPr="00AE6411">
              <w:rPr>
                <w:sz w:val="22"/>
              </w:rPr>
              <w:t xml:space="preserve"> v okviru prenove in nadgradenj </w:t>
            </w:r>
            <w:proofErr w:type="spellStart"/>
            <w:r w:rsidRPr="00AE6411">
              <w:rPr>
                <w:sz w:val="22"/>
              </w:rPr>
              <w:t>interoperabilnih</w:t>
            </w:r>
            <w:proofErr w:type="spellEnd"/>
            <w:r w:rsidRPr="00AE6411">
              <w:rPr>
                <w:sz w:val="22"/>
              </w:rPr>
              <w:t xml:space="preserve"> informacijskih sistemov.</w:t>
            </w:r>
          </w:p>
          <w:p w14:paraId="03101C97" w14:textId="77777777" w:rsidR="00E60FB1" w:rsidRPr="00EA7099" w:rsidRDefault="00E60FB1" w:rsidP="00E60FB1">
            <w:pPr>
              <w:rPr>
                <w:sz w:val="22"/>
              </w:rPr>
            </w:pPr>
            <w:r w:rsidRPr="007A1C4D">
              <w:rPr>
                <w:b/>
                <w:sz w:val="22"/>
              </w:rPr>
              <w:t>ETIAS;</w:t>
            </w:r>
            <w:r>
              <w:rPr>
                <w:sz w:val="22"/>
              </w:rPr>
              <w:t xml:space="preserve"> </w:t>
            </w:r>
            <w:r w:rsidRPr="00EA7099">
              <w:rPr>
                <w:sz w:val="22"/>
              </w:rPr>
              <w:t xml:space="preserve">Z </w:t>
            </w:r>
            <w:r>
              <w:rPr>
                <w:sz w:val="22"/>
              </w:rPr>
              <w:t>aktivnostmi operacije</w:t>
            </w:r>
            <w:r w:rsidRPr="00EA7099">
              <w:rPr>
                <w:sz w:val="22"/>
              </w:rPr>
              <w:t xml:space="preserve"> bo SI izpolnila obveznosti, ki ji jih nalaga EU uredba ETIAS. Pripravile se bodo potrebne informacijske rešitve, v nadaljevanju pa prilagoditev delovanja potrebam uporabnikov in zahtevam centralnega sistema.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Kajti c</w:t>
            </w:r>
            <w:r w:rsidRPr="00AE6411">
              <w:rPr>
                <w:sz w:val="22"/>
              </w:rPr>
              <w:t>en</w:t>
            </w:r>
            <w:r>
              <w:rPr>
                <w:sz w:val="22"/>
              </w:rPr>
              <w:t xml:space="preserve">tralni projekt ETIAS zamuja - </w:t>
            </w:r>
            <w:proofErr w:type="spellStart"/>
            <w:r>
              <w:rPr>
                <w:sz w:val="22"/>
              </w:rPr>
              <w:t>eu</w:t>
            </w:r>
            <w:proofErr w:type="spellEnd"/>
            <w:r w:rsidRPr="00AE6411">
              <w:rPr>
                <w:sz w:val="22"/>
              </w:rPr>
              <w:t>-LISA še ni vzpostavila testnega sistema, ki bi omogočil</w:t>
            </w:r>
            <w:r>
              <w:rPr>
                <w:sz w:val="22"/>
              </w:rPr>
              <w:t>o</w:t>
            </w:r>
            <w:r w:rsidRPr="00AE6411">
              <w:rPr>
                <w:sz w:val="22"/>
              </w:rPr>
              <w:t xml:space="preserve">, da </w:t>
            </w:r>
            <w:r>
              <w:rPr>
                <w:sz w:val="22"/>
              </w:rPr>
              <w:t>se preveri</w:t>
            </w:r>
            <w:r w:rsidRPr="00AE6411">
              <w:rPr>
                <w:sz w:val="22"/>
              </w:rPr>
              <w:t xml:space="preserve"> delovanje do zdaj razvite aplikacije s strani zunanjega izvajalca. Testiranje in razvoj je na nacionalni ravni v teku na podlagi prejete tehnične dokumentaci</w:t>
            </w:r>
            <w:r>
              <w:rPr>
                <w:sz w:val="22"/>
              </w:rPr>
              <w:t xml:space="preserve">je in predloženega simulatorja </w:t>
            </w:r>
            <w:proofErr w:type="spellStart"/>
            <w:r>
              <w:rPr>
                <w:sz w:val="22"/>
              </w:rPr>
              <w:t>eu</w:t>
            </w:r>
            <w:proofErr w:type="spellEnd"/>
            <w:r w:rsidRPr="00AE6411">
              <w:rPr>
                <w:sz w:val="22"/>
              </w:rPr>
              <w:t>-LISA.</w:t>
            </w:r>
          </w:p>
          <w:p w14:paraId="1C256C1A" w14:textId="77777777" w:rsidR="00E60FB1" w:rsidRPr="00EA7099" w:rsidRDefault="00E60FB1" w:rsidP="00E60FB1">
            <w:pPr>
              <w:rPr>
                <w:sz w:val="22"/>
              </w:rPr>
            </w:pPr>
            <w:r w:rsidRPr="007A1C4D">
              <w:rPr>
                <w:b/>
                <w:sz w:val="22"/>
              </w:rPr>
              <w:t>ETIAS usposabljanje, študijski obiski, delovni sestanki</w:t>
            </w:r>
            <w:r w:rsidRPr="007A1C4D">
              <w:rPr>
                <w:sz w:val="22"/>
              </w:rPr>
              <w:t>;</w:t>
            </w:r>
            <w:r>
              <w:rPr>
                <w:sz w:val="22"/>
              </w:rPr>
              <w:t xml:space="preserve"> </w:t>
            </w:r>
            <w:r w:rsidRPr="00EA7099">
              <w:rPr>
                <w:sz w:val="22"/>
              </w:rPr>
              <w:t xml:space="preserve">V okviru operacije bo do leta 2029 vsaj 10 uslužbencev policije dodatno usposobljenih za delo na sistemu ETIAS in ustrezno obdelavo podatkov za potrebe preiskav hudih in organiziranih oblik kriminalitete, vključno s terorizmom. Operacija je potrjena, aktivnosti se, skladno s </w:t>
            </w:r>
            <w:proofErr w:type="spellStart"/>
            <w:r w:rsidRPr="00EA7099">
              <w:rPr>
                <w:sz w:val="22"/>
              </w:rPr>
              <w:t>časovnico</w:t>
            </w:r>
            <w:proofErr w:type="spellEnd"/>
            <w:r w:rsidRPr="00EA7099">
              <w:rPr>
                <w:sz w:val="22"/>
              </w:rPr>
              <w:t>, v tem obdobju še niso izvajale.</w:t>
            </w:r>
          </w:p>
          <w:p w14:paraId="62B0F178" w14:textId="77777777" w:rsidR="00E60FB1" w:rsidRPr="00EA7099" w:rsidRDefault="00E60FB1" w:rsidP="00E60FB1">
            <w:pPr>
              <w:rPr>
                <w:sz w:val="22"/>
              </w:rPr>
            </w:pPr>
            <w:r w:rsidRPr="007A1C4D">
              <w:rPr>
                <w:b/>
                <w:sz w:val="22"/>
              </w:rPr>
              <w:t>Nadgradnja SIS</w:t>
            </w:r>
            <w:r w:rsidRPr="007A1C4D">
              <w:rPr>
                <w:sz w:val="22"/>
              </w:rPr>
              <w:t>;</w:t>
            </w:r>
            <w:r>
              <w:rPr>
                <w:sz w:val="22"/>
              </w:rPr>
              <w:t xml:space="preserve"> </w:t>
            </w:r>
            <w:r w:rsidRPr="00EA7099">
              <w:rPr>
                <w:sz w:val="22"/>
              </w:rPr>
              <w:t xml:space="preserve">V okviru operacije so za potrebe </w:t>
            </w:r>
            <w:proofErr w:type="spellStart"/>
            <w:r w:rsidRPr="00EA7099">
              <w:rPr>
                <w:sz w:val="22"/>
              </w:rPr>
              <w:t>interoperabilnosti</w:t>
            </w:r>
            <w:proofErr w:type="spellEnd"/>
            <w:r w:rsidRPr="00EA7099">
              <w:rPr>
                <w:sz w:val="22"/>
              </w:rPr>
              <w:t xml:space="preserve"> načrtovane ustrezne prilagoditve nacionalnega SIS (N-SIS) in aplikacije Sirene na </w:t>
            </w:r>
            <w:proofErr w:type="spellStart"/>
            <w:r w:rsidRPr="00EA7099">
              <w:rPr>
                <w:sz w:val="22"/>
              </w:rPr>
              <w:t>t.i</w:t>
            </w:r>
            <w:proofErr w:type="spellEnd"/>
            <w:r w:rsidRPr="00EA7099">
              <w:rPr>
                <w:sz w:val="22"/>
              </w:rPr>
              <w:t xml:space="preserve">. verzijo SIS-IO. Operacija je potrjena, aktivnosti se, skladno s </w:t>
            </w:r>
            <w:proofErr w:type="spellStart"/>
            <w:r w:rsidRPr="00EA7099">
              <w:rPr>
                <w:sz w:val="22"/>
              </w:rPr>
              <w:t>časovnico</w:t>
            </w:r>
            <w:proofErr w:type="spellEnd"/>
            <w:r w:rsidRPr="00EA7099">
              <w:rPr>
                <w:sz w:val="22"/>
              </w:rPr>
              <w:t>, v tem obdobju še niso izvajale.</w:t>
            </w:r>
            <w:r>
              <w:rPr>
                <w:sz w:val="22"/>
              </w:rPr>
              <w:t xml:space="preserve"> Operacija nadgradnja</w:t>
            </w:r>
            <w:r w:rsidRPr="00701C55">
              <w:rPr>
                <w:sz w:val="22"/>
              </w:rPr>
              <w:t xml:space="preserve"> SIS je v zamiku, ker čakamo na nov integralni načrt in tehnično d</w:t>
            </w:r>
            <w:r>
              <w:rPr>
                <w:sz w:val="22"/>
              </w:rPr>
              <w:t>okumentacijo, ki jo pripravlja E</w:t>
            </w:r>
            <w:r w:rsidRPr="00701C55">
              <w:rPr>
                <w:sz w:val="22"/>
              </w:rPr>
              <w:t xml:space="preserve">vropska agencija </w:t>
            </w:r>
            <w:proofErr w:type="spellStart"/>
            <w:r w:rsidRPr="00701C55">
              <w:rPr>
                <w:sz w:val="22"/>
              </w:rPr>
              <w:t>eu</w:t>
            </w:r>
            <w:proofErr w:type="spellEnd"/>
            <w:r w:rsidRPr="00701C55">
              <w:rPr>
                <w:sz w:val="22"/>
              </w:rPr>
              <w:t>-LISA.</w:t>
            </w:r>
          </w:p>
          <w:p w14:paraId="392C7923" w14:textId="77777777" w:rsidR="00E60FB1" w:rsidRPr="00EA7099" w:rsidRDefault="00E60FB1" w:rsidP="00E60FB1">
            <w:pPr>
              <w:rPr>
                <w:sz w:val="22"/>
              </w:rPr>
            </w:pPr>
            <w:r w:rsidRPr="007A1C4D">
              <w:rPr>
                <w:b/>
                <w:sz w:val="22"/>
              </w:rPr>
              <w:t xml:space="preserve">Varovanje osebnih podatkov za </w:t>
            </w:r>
            <w:proofErr w:type="spellStart"/>
            <w:r w:rsidRPr="007A1C4D">
              <w:rPr>
                <w:b/>
                <w:sz w:val="22"/>
              </w:rPr>
              <w:t>interoperabilnost</w:t>
            </w:r>
            <w:proofErr w:type="spellEnd"/>
            <w:r w:rsidRPr="007A1C4D">
              <w:rPr>
                <w:sz w:val="22"/>
              </w:rPr>
              <w:t>;</w:t>
            </w:r>
            <w:r>
              <w:rPr>
                <w:sz w:val="22"/>
              </w:rPr>
              <w:t xml:space="preserve"> </w:t>
            </w:r>
            <w:r w:rsidRPr="00EA7099">
              <w:rPr>
                <w:sz w:val="22"/>
              </w:rPr>
              <w:t xml:space="preserve">Z razvitimi informacijskimi rešitvami se bo pristojnim organom v SI omogočila učinkovita raba </w:t>
            </w:r>
            <w:proofErr w:type="spellStart"/>
            <w:r w:rsidRPr="00EA7099">
              <w:rPr>
                <w:sz w:val="22"/>
              </w:rPr>
              <w:t>interoperabilnosti</w:t>
            </w:r>
            <w:proofErr w:type="spellEnd"/>
            <w:r w:rsidRPr="00EA7099">
              <w:rPr>
                <w:sz w:val="22"/>
              </w:rPr>
              <w:t xml:space="preserve">. Operacija je potrjena, aktivnosti se, skladno s </w:t>
            </w:r>
            <w:proofErr w:type="spellStart"/>
            <w:r w:rsidRPr="00EA7099">
              <w:rPr>
                <w:sz w:val="22"/>
              </w:rPr>
              <w:t>časovnico</w:t>
            </w:r>
            <w:proofErr w:type="spellEnd"/>
            <w:r w:rsidRPr="00EA7099">
              <w:rPr>
                <w:sz w:val="22"/>
              </w:rPr>
              <w:t>, v tem obdobju še niso izvajale.</w:t>
            </w:r>
          </w:p>
          <w:p w14:paraId="7A3006CF" w14:textId="77777777" w:rsidR="00E60FB1" w:rsidRPr="00EA7099" w:rsidRDefault="00E60FB1" w:rsidP="00E60FB1">
            <w:pPr>
              <w:rPr>
                <w:sz w:val="22"/>
              </w:rPr>
            </w:pPr>
            <w:r w:rsidRPr="00EA7099">
              <w:rPr>
                <w:b/>
                <w:sz w:val="22"/>
              </w:rPr>
              <w:t>Posodobitev aplikacij za izmenjave podatkov (EUROPOL, INTERPOL, SIRENE)</w:t>
            </w:r>
            <w:r w:rsidRPr="00EA7099">
              <w:rPr>
                <w:sz w:val="22"/>
              </w:rPr>
              <w:t xml:space="preserve">; Nadgradnja obstoječih aplikacij za nemoteno izmenjavo podatkov do vzpostavitve aplikacij na sodobni informacijski platformi </w:t>
            </w:r>
            <w:proofErr w:type="spellStart"/>
            <w:r w:rsidRPr="00EA7099">
              <w:rPr>
                <w:sz w:val="22"/>
              </w:rPr>
              <w:t>Cepis</w:t>
            </w:r>
            <w:proofErr w:type="spellEnd"/>
            <w:r w:rsidRPr="00EA7099">
              <w:rPr>
                <w:sz w:val="22"/>
              </w:rPr>
              <w:t xml:space="preserve">, katera omogoča hitrejše nadgradnje in implementiranje novih funkcij oz. zahtev, večjo razširljivost in izboljšanje uporabniške izkušnje. Operacija je potrjena, aktivnosti se, skladno s </w:t>
            </w:r>
            <w:proofErr w:type="spellStart"/>
            <w:r w:rsidRPr="00EA7099">
              <w:rPr>
                <w:sz w:val="22"/>
              </w:rPr>
              <w:t>časovnico</w:t>
            </w:r>
            <w:proofErr w:type="spellEnd"/>
            <w:r w:rsidRPr="00EA7099">
              <w:rPr>
                <w:sz w:val="22"/>
              </w:rPr>
              <w:t>, v tem obdobju še niso izvajale.</w:t>
            </w:r>
            <w:r>
              <w:t xml:space="preserve"> V</w:t>
            </w:r>
            <w:r w:rsidRPr="00701C55">
              <w:rPr>
                <w:sz w:val="22"/>
              </w:rPr>
              <w:t xml:space="preserve"> izvedbi je javno naročilo za izbor izvajalca, ki bo razvil novo aplikacijo za potrebe SIS izmenjave podatkov SIRENE/EUROPOL/INTERPOL.</w:t>
            </w:r>
          </w:p>
          <w:p w14:paraId="1F821DE6" w14:textId="77777777" w:rsidR="00E60FB1" w:rsidRPr="00EA7099" w:rsidRDefault="00E60FB1" w:rsidP="00E60FB1">
            <w:pPr>
              <w:rPr>
                <w:sz w:val="22"/>
                <w:u w:val="single"/>
              </w:rPr>
            </w:pPr>
            <w:r w:rsidRPr="00EA7099">
              <w:rPr>
                <w:sz w:val="22"/>
                <w:u w:val="single"/>
              </w:rPr>
              <w:t>Operativna podpora:</w:t>
            </w:r>
          </w:p>
          <w:p w14:paraId="5DC1CD34" w14:textId="77777777" w:rsidR="00E60FB1" w:rsidRPr="00EA7099" w:rsidRDefault="00E60FB1" w:rsidP="00E60FB1">
            <w:pPr>
              <w:rPr>
                <w:sz w:val="22"/>
              </w:rPr>
            </w:pPr>
            <w:r w:rsidRPr="00EA7099">
              <w:rPr>
                <w:b/>
                <w:sz w:val="22"/>
              </w:rPr>
              <w:t>Vzdrževanje SIS II komunikacijskega vmesnika</w:t>
            </w:r>
            <w:r w:rsidRPr="00EA7099">
              <w:rPr>
                <w:sz w:val="22"/>
              </w:rPr>
              <w:t xml:space="preserve"> (SIB); Za nacionalne implementacije EU operacij </w:t>
            </w:r>
            <w:proofErr w:type="spellStart"/>
            <w:r w:rsidRPr="00EA7099">
              <w:rPr>
                <w:sz w:val="22"/>
              </w:rPr>
              <w:t>interoperabilnosti</w:t>
            </w:r>
            <w:proofErr w:type="spellEnd"/>
            <w:r w:rsidRPr="00EA7099">
              <w:rPr>
                <w:sz w:val="22"/>
              </w:rPr>
              <w:t xml:space="preserve"> so razvite aplikativne rešitve, ki jih je potrebno vzdrževati in nadgrajevati.</w:t>
            </w:r>
          </w:p>
          <w:p w14:paraId="6EEA3D1F" w14:textId="77777777" w:rsidR="00E60FB1" w:rsidRPr="00EA7099" w:rsidRDefault="00E60FB1" w:rsidP="00E60FB1">
            <w:pPr>
              <w:rPr>
                <w:sz w:val="22"/>
              </w:rPr>
            </w:pPr>
            <w:r w:rsidRPr="00EA7099">
              <w:rPr>
                <w:sz w:val="22"/>
              </w:rPr>
              <w:t xml:space="preserve">V sklopu operacije se poročajo </w:t>
            </w:r>
            <w:r w:rsidRPr="00EA7099">
              <w:rPr>
                <w:b/>
                <w:sz w:val="22"/>
              </w:rPr>
              <w:t>stroški mejnih policistov</w:t>
            </w:r>
            <w:r w:rsidRPr="00EA7099">
              <w:rPr>
                <w:sz w:val="22"/>
              </w:rPr>
              <w:t>, ki izvajajo mejno kontrolo na Postaji letališke policije Brnik in na Postaji pomorske policije Koper.</w:t>
            </w:r>
          </w:p>
          <w:p w14:paraId="2B37CA6B" w14:textId="77777777" w:rsidR="00E60FB1" w:rsidRDefault="00E60FB1" w:rsidP="00E60FB1">
            <w:pPr>
              <w:rPr>
                <w:sz w:val="22"/>
              </w:rPr>
            </w:pPr>
          </w:p>
          <w:p w14:paraId="165D43F7" w14:textId="77777777" w:rsidR="00E60FB1" w:rsidRDefault="00E60FB1" w:rsidP="00E60FB1">
            <w:pPr>
              <w:rPr>
                <w:sz w:val="22"/>
              </w:rPr>
            </w:pPr>
            <w:r w:rsidRPr="00EA7099">
              <w:rPr>
                <w:sz w:val="22"/>
              </w:rPr>
              <w:t xml:space="preserve">V okviru </w:t>
            </w:r>
            <w:r w:rsidRPr="00EA7099">
              <w:rPr>
                <w:sz w:val="22"/>
                <w:u w:val="single"/>
              </w:rPr>
              <w:t>Specifičnega cilja 2</w:t>
            </w:r>
            <w:r w:rsidRPr="00EA7099">
              <w:rPr>
                <w:sz w:val="22"/>
              </w:rPr>
              <w:t xml:space="preserve"> so ukrepi Slovenije</w:t>
            </w:r>
            <w:r>
              <w:rPr>
                <w:sz w:val="22"/>
              </w:rPr>
              <w:t>, kjer je k</w:t>
            </w:r>
            <w:r w:rsidRPr="00EA7099">
              <w:rPr>
                <w:sz w:val="22"/>
              </w:rPr>
              <w:t>ljučni resor Ministrstvo za zun</w:t>
            </w:r>
            <w:r>
              <w:rPr>
                <w:sz w:val="22"/>
              </w:rPr>
              <w:t xml:space="preserve">anje in evropske zadeve (MZEZ), usmerjeni v doseg spodaj navedenih </w:t>
            </w:r>
            <w:r w:rsidRPr="00EA7099">
              <w:rPr>
                <w:sz w:val="22"/>
              </w:rPr>
              <w:t>aktivnosti (po izvedbenih ukrepih).</w:t>
            </w:r>
          </w:p>
          <w:p w14:paraId="13050D16" w14:textId="77777777" w:rsidR="00E60FB1" w:rsidRPr="00EA7099" w:rsidRDefault="00E60FB1" w:rsidP="00E60FB1">
            <w:pPr>
              <w:rPr>
                <w:sz w:val="22"/>
              </w:rPr>
            </w:pPr>
            <w:r w:rsidRPr="00EA7099">
              <w:rPr>
                <w:sz w:val="22"/>
                <w:u w:val="single"/>
              </w:rPr>
              <w:t>Izvedbeni ukrep 2a</w:t>
            </w:r>
            <w:r w:rsidRPr="00EA7099">
              <w:rPr>
                <w:sz w:val="22"/>
              </w:rPr>
              <w:t xml:space="preserve">: </w:t>
            </w:r>
          </w:p>
          <w:p w14:paraId="43D3BADE" w14:textId="62FA441B" w:rsidR="00E60FB1" w:rsidRPr="00EA7099" w:rsidRDefault="00E60FB1" w:rsidP="00E60FB1">
            <w:pPr>
              <w:rPr>
                <w:sz w:val="22"/>
              </w:rPr>
            </w:pPr>
            <w:r w:rsidRPr="00EA7099">
              <w:rPr>
                <w:b/>
                <w:sz w:val="22"/>
              </w:rPr>
              <w:t>Zagotavljanje kvalitetne povezljivosti</w:t>
            </w:r>
            <w:r w:rsidRPr="00EA7099">
              <w:rPr>
                <w:sz w:val="22"/>
              </w:rPr>
              <w:t>; Doslej že zagotovljene izboljšane komunikacijske povezave na sedmih lokacijah</w:t>
            </w:r>
            <w:r w:rsidR="00972FC9">
              <w:rPr>
                <w:sz w:val="22"/>
              </w:rPr>
              <w:t xml:space="preserve"> diplomatskih predstavništev in konzulatov Republike Slovenije v tujini (DKP)</w:t>
            </w:r>
            <w:r w:rsidRPr="00EA7099">
              <w:rPr>
                <w:sz w:val="22"/>
              </w:rPr>
              <w:t xml:space="preserve">, se na podlagi pozitivnih izkušenj v smislu zagotavljanja stalne povezljivosti, ki omogoča nemoteno delovanje vseh vizumskih podsistemov, ohranjajo. S tem se </w:t>
            </w:r>
            <w:r>
              <w:rPr>
                <w:sz w:val="22"/>
              </w:rPr>
              <w:t xml:space="preserve">je </w:t>
            </w:r>
            <w:r w:rsidRPr="00EA7099">
              <w:rPr>
                <w:sz w:val="22"/>
              </w:rPr>
              <w:t>močno zmanjšalo tveganje nedostopnosti sistema in celovito krizno upravljanje v primeru komunikacijskih mrkov, do katerih prihaja v posameznih</w:t>
            </w:r>
            <w:r>
              <w:rPr>
                <w:sz w:val="22"/>
              </w:rPr>
              <w:t xml:space="preserve"> bolj oddaljenih lokacijah ali lokacijah, kjer je</w:t>
            </w:r>
            <w:r w:rsidRPr="00EA7099">
              <w:rPr>
                <w:sz w:val="22"/>
              </w:rPr>
              <w:t xml:space="preserve"> manj razvit</w:t>
            </w:r>
            <w:r>
              <w:rPr>
                <w:sz w:val="22"/>
              </w:rPr>
              <w:t xml:space="preserve"> trg telekomunikacij</w:t>
            </w:r>
            <w:r w:rsidRPr="00EA7099">
              <w:rPr>
                <w:sz w:val="22"/>
              </w:rPr>
              <w:t>.</w:t>
            </w:r>
          </w:p>
          <w:p w14:paraId="2CB4A121" w14:textId="0C9FCA1F" w:rsidR="00E60FB1" w:rsidRPr="00EA7099" w:rsidRDefault="00E60FB1" w:rsidP="00E60FB1">
            <w:pPr>
              <w:rPr>
                <w:sz w:val="22"/>
              </w:rPr>
            </w:pPr>
            <w:r w:rsidRPr="00EA7099">
              <w:rPr>
                <w:b/>
                <w:sz w:val="22"/>
              </w:rPr>
              <w:t>Nakup in vzdrževanje programskih komponent nacionalnega vizumskega informacijskega sistema</w:t>
            </w:r>
            <w:r w:rsidRPr="00EA7099">
              <w:rPr>
                <w:sz w:val="22"/>
              </w:rPr>
              <w:t>; Slovenija uporablja nacionalni vizumski sistem VIZIS, ki je preko vmesnika SI.VIS priključen na vizumski sistem EU na</w:t>
            </w:r>
            <w:r>
              <w:rPr>
                <w:sz w:val="22"/>
              </w:rPr>
              <w:t xml:space="preserve"> preko 60</w:t>
            </w:r>
            <w:r w:rsidRPr="00EA7099">
              <w:rPr>
                <w:sz w:val="22"/>
              </w:rPr>
              <w:t xml:space="preserve">  lokacijah v tujini in v S</w:t>
            </w:r>
            <w:r>
              <w:rPr>
                <w:sz w:val="22"/>
              </w:rPr>
              <w:t>loveniji</w:t>
            </w:r>
            <w:r w:rsidRPr="00EA7099">
              <w:rPr>
                <w:sz w:val="22"/>
              </w:rPr>
              <w:t>. V obdobju poročanja se je vzdrževal</w:t>
            </w:r>
            <w:r>
              <w:rPr>
                <w:sz w:val="22"/>
              </w:rPr>
              <w:t>o</w:t>
            </w:r>
            <w:r w:rsidRPr="00EA7099">
              <w:rPr>
                <w:sz w:val="22"/>
              </w:rPr>
              <w:t xml:space="preserve"> aplikacij</w:t>
            </w:r>
            <w:r w:rsidR="00972FC9">
              <w:rPr>
                <w:sz w:val="22"/>
              </w:rPr>
              <w:t>o</w:t>
            </w:r>
            <w:r w:rsidRPr="00EA7099">
              <w:rPr>
                <w:sz w:val="22"/>
              </w:rPr>
              <w:t xml:space="preserve"> VIZIS</w:t>
            </w:r>
            <w:r w:rsidR="00972FC9">
              <w:rPr>
                <w:sz w:val="22"/>
              </w:rPr>
              <w:t xml:space="preserve"> in z njo povezano programsko opremo</w:t>
            </w:r>
            <w:r w:rsidRPr="00EA7099">
              <w:rPr>
                <w:sz w:val="22"/>
              </w:rPr>
              <w:t>.</w:t>
            </w:r>
          </w:p>
          <w:p w14:paraId="28963798" w14:textId="5D2A1413" w:rsidR="00E60FB1" w:rsidRPr="00EA7099" w:rsidRDefault="00E60FB1" w:rsidP="00E60FB1">
            <w:pPr>
              <w:rPr>
                <w:sz w:val="22"/>
              </w:rPr>
            </w:pPr>
            <w:r w:rsidRPr="00EA7099">
              <w:rPr>
                <w:sz w:val="22"/>
              </w:rPr>
              <w:t xml:space="preserve">Ustrezno </w:t>
            </w:r>
            <w:r w:rsidRPr="00EA7099">
              <w:rPr>
                <w:b/>
                <w:sz w:val="22"/>
              </w:rPr>
              <w:t>posodabljanje licenc</w:t>
            </w:r>
            <w:r w:rsidRPr="00EA7099">
              <w:rPr>
                <w:sz w:val="22"/>
              </w:rPr>
              <w:t xml:space="preserve"> za licenčno programsko opremo je ključno za delovanje nacionalnega vizumskega sistema, zato so bile v obdobju poročanja posodo</w:t>
            </w:r>
            <w:r>
              <w:rPr>
                <w:sz w:val="22"/>
              </w:rPr>
              <w:t>b</w:t>
            </w:r>
            <w:r w:rsidRPr="00EA7099">
              <w:rPr>
                <w:sz w:val="22"/>
              </w:rPr>
              <w:t xml:space="preserve">ljene </w:t>
            </w:r>
            <w:r w:rsidR="00972FC9">
              <w:rPr>
                <w:sz w:val="22"/>
              </w:rPr>
              <w:t xml:space="preserve">posamezne </w:t>
            </w:r>
            <w:r w:rsidRPr="00EA7099">
              <w:rPr>
                <w:sz w:val="22"/>
              </w:rPr>
              <w:t>licence za programsko opremo</w:t>
            </w:r>
            <w:r>
              <w:rPr>
                <w:sz w:val="22"/>
              </w:rPr>
              <w:t xml:space="preserve"> za </w:t>
            </w:r>
            <w:r w:rsidRPr="00EA7099">
              <w:rPr>
                <w:sz w:val="22"/>
              </w:rPr>
              <w:t>podpor</w:t>
            </w:r>
            <w:r>
              <w:rPr>
                <w:sz w:val="22"/>
              </w:rPr>
              <w:t>o</w:t>
            </w:r>
            <w:r w:rsidRPr="00EA7099">
              <w:rPr>
                <w:sz w:val="22"/>
              </w:rPr>
              <w:t xml:space="preserve"> vizumskem</w:t>
            </w:r>
            <w:r>
              <w:rPr>
                <w:sz w:val="22"/>
              </w:rPr>
              <w:t>u</w:t>
            </w:r>
            <w:r w:rsidRPr="00EA7099">
              <w:rPr>
                <w:sz w:val="22"/>
              </w:rPr>
              <w:t xml:space="preserve"> poslovanju.</w:t>
            </w:r>
          </w:p>
          <w:p w14:paraId="25DF9C6F" w14:textId="260048D0" w:rsidR="00E60FB1" w:rsidRPr="00EA7099" w:rsidRDefault="00E60FB1" w:rsidP="00E60FB1">
            <w:pPr>
              <w:rPr>
                <w:sz w:val="22"/>
              </w:rPr>
            </w:pPr>
            <w:r w:rsidRPr="00EA7099">
              <w:rPr>
                <w:sz w:val="22"/>
              </w:rPr>
              <w:t xml:space="preserve">Zaradi hitrega razvoja tehnologije </w:t>
            </w:r>
            <w:r>
              <w:rPr>
                <w:sz w:val="22"/>
              </w:rPr>
              <w:t>sta</w:t>
            </w:r>
            <w:r w:rsidRPr="00EA7099">
              <w:rPr>
                <w:sz w:val="22"/>
              </w:rPr>
              <w:t xml:space="preserve"> </w:t>
            </w:r>
            <w:r w:rsidRPr="00EA7099">
              <w:rPr>
                <w:b/>
                <w:sz w:val="22"/>
              </w:rPr>
              <w:t>sodobna programska in strojna oprema</w:t>
            </w:r>
            <w:r w:rsidRPr="00EA7099">
              <w:rPr>
                <w:sz w:val="22"/>
              </w:rPr>
              <w:t xml:space="preserve"> ključnega pomena</w:t>
            </w:r>
            <w:r w:rsidR="00972FC9">
              <w:rPr>
                <w:sz w:val="22"/>
              </w:rPr>
              <w:t xml:space="preserve"> za uspešno izvajanje vizumskega poslovanja</w:t>
            </w:r>
            <w:r w:rsidRPr="00EA7099">
              <w:rPr>
                <w:sz w:val="22"/>
              </w:rPr>
              <w:t>. V okviru operacije so se zagotovili strežniki za DKP, oprema, namenjena prenovi centralne strežniške opreme MZEZ, zmogljivi prenosni računalniki s priklopno postajo,  zasloni LCD ter energijsko učinkoviti standardni osebni računalniki.</w:t>
            </w:r>
          </w:p>
          <w:p w14:paraId="0E811C7A" w14:textId="69FAD206" w:rsidR="00E60FB1" w:rsidRPr="00EA7099" w:rsidRDefault="00E60FB1" w:rsidP="00E60FB1">
            <w:pPr>
              <w:rPr>
                <w:sz w:val="22"/>
              </w:rPr>
            </w:pPr>
            <w:r w:rsidRPr="00EA7099">
              <w:rPr>
                <w:b/>
                <w:sz w:val="22"/>
              </w:rPr>
              <w:t>Izboljšanje standardov, funkcij in procesov na konzulatih</w:t>
            </w:r>
            <w:r w:rsidRPr="00EA7099">
              <w:rPr>
                <w:sz w:val="22"/>
              </w:rPr>
              <w:t>; Aktivnosti so usmerjene v nakup opreme za izboljšanje varnostnih standardov in funkcij ter delovnih procesov v konzularnih oddelkih predstavništev R</w:t>
            </w:r>
            <w:r>
              <w:rPr>
                <w:sz w:val="22"/>
              </w:rPr>
              <w:t xml:space="preserve">epublike </w:t>
            </w:r>
            <w:r w:rsidRPr="00EA7099">
              <w:rPr>
                <w:sz w:val="22"/>
              </w:rPr>
              <w:t>S</w:t>
            </w:r>
            <w:r>
              <w:rPr>
                <w:sz w:val="22"/>
              </w:rPr>
              <w:t>lovenije v tujini, kot tudi v nakup nepremičnin in infrastrukturne posodobitve konzulatov oz. konzularnih oddelkov v tujini, namenjenih vizumskemu poslovanju</w:t>
            </w:r>
            <w:r w:rsidRPr="00EA7099">
              <w:rPr>
                <w:sz w:val="22"/>
              </w:rPr>
              <w:t xml:space="preserve">. Operacija je bila potrjena, </w:t>
            </w:r>
            <w:r>
              <w:rPr>
                <w:sz w:val="22"/>
              </w:rPr>
              <w:t xml:space="preserve">v tem </w:t>
            </w:r>
            <w:r w:rsidRPr="00EA7099">
              <w:rPr>
                <w:sz w:val="22"/>
              </w:rPr>
              <w:t>obdobju</w:t>
            </w:r>
            <w:r>
              <w:rPr>
                <w:sz w:val="22"/>
              </w:rPr>
              <w:t xml:space="preserve"> so se pričele </w:t>
            </w:r>
            <w:r w:rsidR="00972FC9">
              <w:rPr>
                <w:sz w:val="22"/>
              </w:rPr>
              <w:t xml:space="preserve">izvajati nekatere </w:t>
            </w:r>
            <w:r>
              <w:rPr>
                <w:sz w:val="22"/>
              </w:rPr>
              <w:t xml:space="preserve">aktivnosti, </w:t>
            </w:r>
            <w:r w:rsidR="00972FC9">
              <w:rPr>
                <w:sz w:val="22"/>
              </w:rPr>
              <w:t>ki pa v obdobju poročanja še niso bile zaključene</w:t>
            </w:r>
            <w:r w:rsidRPr="00EA7099">
              <w:rPr>
                <w:sz w:val="22"/>
              </w:rPr>
              <w:t>.</w:t>
            </w:r>
          </w:p>
          <w:p w14:paraId="0A2E391C" w14:textId="77777777" w:rsidR="00E60FB1" w:rsidRPr="00EA7099" w:rsidRDefault="00E60FB1" w:rsidP="00E60FB1">
            <w:pPr>
              <w:rPr>
                <w:sz w:val="22"/>
              </w:rPr>
            </w:pPr>
            <w:r w:rsidRPr="00EA7099">
              <w:rPr>
                <w:b/>
                <w:sz w:val="22"/>
              </w:rPr>
              <w:t>Najem storitve zajema biometričnih podatkov na samopostrežnem pametnem kiosku</w:t>
            </w:r>
            <w:r w:rsidRPr="00EA7099">
              <w:rPr>
                <w:sz w:val="22"/>
              </w:rPr>
              <w:t xml:space="preserve">; Z namenom približanja storitev prosilcem je predviden pilotni razvoj in preizkus uporabe kioskov za zajemanje biometričnih podatkov. </w:t>
            </w:r>
            <w:r>
              <w:rPr>
                <w:sz w:val="22"/>
              </w:rPr>
              <w:t>Prvotno predvidena o</w:t>
            </w:r>
            <w:r w:rsidRPr="00EA7099">
              <w:rPr>
                <w:sz w:val="22"/>
              </w:rPr>
              <w:t xml:space="preserve">peracija je </w:t>
            </w:r>
            <w:r>
              <w:rPr>
                <w:sz w:val="22"/>
              </w:rPr>
              <w:t xml:space="preserve">bila naknadno razdeljena na dve fazi in se skladno s </w:t>
            </w:r>
            <w:proofErr w:type="spellStart"/>
            <w:r>
              <w:rPr>
                <w:sz w:val="22"/>
              </w:rPr>
              <w:t>časovnico</w:t>
            </w:r>
            <w:proofErr w:type="spellEnd"/>
            <w:r>
              <w:rPr>
                <w:sz w:val="22"/>
              </w:rPr>
              <w:t xml:space="preserve"> obeh faz v obdobju poročanja še ni pričela izvajati</w:t>
            </w:r>
            <w:r w:rsidRPr="00EA7099">
              <w:rPr>
                <w:sz w:val="22"/>
              </w:rPr>
              <w:t>.</w:t>
            </w:r>
          </w:p>
          <w:p w14:paraId="2A5190E9" w14:textId="77777777" w:rsidR="00E60FB1" w:rsidRPr="00EA7099" w:rsidRDefault="00E60FB1" w:rsidP="00E60FB1">
            <w:pPr>
              <w:rPr>
                <w:sz w:val="22"/>
                <w:u w:val="single"/>
              </w:rPr>
            </w:pPr>
            <w:r w:rsidRPr="00EA7099">
              <w:rPr>
                <w:sz w:val="22"/>
                <w:u w:val="single"/>
              </w:rPr>
              <w:t xml:space="preserve">Izvedbeni ukrep 2c: </w:t>
            </w:r>
          </w:p>
          <w:p w14:paraId="1630F4CB" w14:textId="7268E8DF" w:rsidR="00E60FB1" w:rsidRPr="00EA7099" w:rsidRDefault="00E60FB1" w:rsidP="00E60FB1">
            <w:pPr>
              <w:rPr>
                <w:sz w:val="22"/>
              </w:rPr>
            </w:pPr>
            <w:r w:rsidRPr="00EA7099">
              <w:rPr>
                <w:sz w:val="22"/>
              </w:rPr>
              <w:t xml:space="preserve">Potekala so </w:t>
            </w:r>
            <w:r w:rsidRPr="00EA7099">
              <w:rPr>
                <w:b/>
                <w:sz w:val="22"/>
              </w:rPr>
              <w:t>usposabljanja</w:t>
            </w:r>
            <w:r w:rsidRPr="00EA7099">
              <w:rPr>
                <w:sz w:val="22"/>
              </w:rPr>
              <w:t xml:space="preserve"> v obliki rednih letnih konzularnih posvetov za vse konzularne uslužbence DKP</w:t>
            </w:r>
            <w:r>
              <w:rPr>
                <w:sz w:val="22"/>
              </w:rPr>
              <w:t xml:space="preserve"> in regionalnih konzularnih posvetov, namenjenih uslužbencem DKP iz določene regije. V obdobju poročanja je bil izveden Letni konzularni posvet 2023 v Ljubljani in regionalni konzularni posvet v Ljubljani in Portorožu aprila 2024.</w:t>
            </w:r>
            <w:r w:rsidR="003B7598">
              <w:rPr>
                <w:sz w:val="22"/>
              </w:rPr>
              <w:t xml:space="preserve"> </w:t>
            </w:r>
            <w:r>
              <w:rPr>
                <w:sz w:val="22"/>
              </w:rPr>
              <w:t>T</w:t>
            </w:r>
            <w:r w:rsidRPr="00EA7099">
              <w:rPr>
                <w:sz w:val="22"/>
              </w:rPr>
              <w:t xml:space="preserve">ematike usposabljanj so vključevale predvsem posodobitve pravnega reda EU, </w:t>
            </w:r>
            <w:r>
              <w:rPr>
                <w:sz w:val="22"/>
              </w:rPr>
              <w:t xml:space="preserve">prakso, </w:t>
            </w:r>
            <w:r w:rsidRPr="00EA7099">
              <w:rPr>
                <w:sz w:val="22"/>
              </w:rPr>
              <w:t xml:space="preserve">nove tehnologije, delovne metode na področju vizumov ter prepoznavanje prenarejenih in ponarejenih dokumentov. </w:t>
            </w:r>
          </w:p>
          <w:p w14:paraId="6F2BC16C" w14:textId="77777777" w:rsidR="00E60FB1" w:rsidRPr="00EA7099" w:rsidRDefault="00E60FB1" w:rsidP="00E60FB1">
            <w:pPr>
              <w:rPr>
                <w:sz w:val="22"/>
                <w:u w:val="single"/>
              </w:rPr>
            </w:pPr>
            <w:r w:rsidRPr="00EA7099">
              <w:rPr>
                <w:sz w:val="22"/>
                <w:u w:val="single"/>
              </w:rPr>
              <w:t>Operativna podpora:</w:t>
            </w:r>
          </w:p>
          <w:p w14:paraId="7CA8367B" w14:textId="60829CB3" w:rsidR="00E60FB1" w:rsidRPr="00EA7099" w:rsidRDefault="00E60FB1" w:rsidP="00E60FB1">
            <w:pPr>
              <w:rPr>
                <w:sz w:val="22"/>
              </w:rPr>
            </w:pPr>
            <w:r w:rsidRPr="00EA7099">
              <w:rPr>
                <w:sz w:val="22"/>
              </w:rPr>
              <w:t xml:space="preserve">V okviru SO2 se je operativna podpora usmerjala na </w:t>
            </w:r>
            <w:r w:rsidRPr="00EA7099">
              <w:rPr>
                <w:b/>
                <w:sz w:val="22"/>
              </w:rPr>
              <w:t xml:space="preserve">stroške zaposlenih, napotenih na </w:t>
            </w:r>
            <w:r w:rsidR="00972FC9">
              <w:rPr>
                <w:b/>
                <w:sz w:val="22"/>
              </w:rPr>
              <w:t xml:space="preserve">šest </w:t>
            </w:r>
            <w:r w:rsidRPr="00EA7099">
              <w:rPr>
                <w:b/>
                <w:sz w:val="22"/>
              </w:rPr>
              <w:t>DKP</w:t>
            </w:r>
            <w:r w:rsidRPr="00EA7099">
              <w:rPr>
                <w:sz w:val="22"/>
              </w:rPr>
              <w:t>, upoštevana pa je tudi ustrezna podpora vizumskim procesom na sedežu</w:t>
            </w:r>
            <w:r>
              <w:rPr>
                <w:sz w:val="22"/>
              </w:rPr>
              <w:t xml:space="preserve"> MZEZ</w:t>
            </w:r>
            <w:r w:rsidRPr="00EA7099">
              <w:rPr>
                <w:sz w:val="22"/>
              </w:rPr>
              <w:t xml:space="preserve">. </w:t>
            </w:r>
          </w:p>
          <w:p w14:paraId="5C3EFC66" w14:textId="77777777" w:rsidR="00E60FB1" w:rsidRPr="003B7598" w:rsidRDefault="00E60FB1" w:rsidP="00E60FB1">
            <w:pPr>
              <w:rPr>
                <w:sz w:val="22"/>
              </w:rPr>
            </w:pPr>
          </w:p>
          <w:p w14:paraId="7765CEA9" w14:textId="77777777" w:rsidR="00E60FB1" w:rsidRPr="003B7598" w:rsidRDefault="00E60FB1" w:rsidP="00E60FB1">
            <w:pPr>
              <w:rPr>
                <w:sz w:val="22"/>
              </w:rPr>
            </w:pPr>
            <w:r w:rsidRPr="003B7598">
              <w:rPr>
                <w:sz w:val="22"/>
              </w:rPr>
              <w:t xml:space="preserve">Zaradi porabe preostalih/neporabljenih sredstev v okviru programa ISF-B 14-20, poznejše potrditve programa IUMV 21-27, posledično poznejšega začetka izvajanja operacij,  posledic vstopa Republike Hrvaške v Schengensko območje ali spremenjenih potreb pri upravičencih (npr. spremenjene varnostne razmere po svetu) se je OU odločil za posodobitev programa IUMV. </w:t>
            </w:r>
          </w:p>
          <w:p w14:paraId="17B62208" w14:textId="77777777" w:rsidR="00E60FB1" w:rsidRPr="003B7598" w:rsidRDefault="00E60FB1" w:rsidP="00E60FB1">
            <w:pPr>
              <w:rPr>
                <w:sz w:val="22"/>
              </w:rPr>
            </w:pPr>
          </w:p>
          <w:p w14:paraId="41445177" w14:textId="77777777" w:rsidR="00E60FB1" w:rsidRPr="003B7598" w:rsidRDefault="00E60FB1" w:rsidP="00E60FB1">
            <w:pPr>
              <w:rPr>
                <w:sz w:val="22"/>
              </w:rPr>
            </w:pPr>
            <w:r w:rsidRPr="003B7598">
              <w:rPr>
                <w:sz w:val="22"/>
              </w:rPr>
              <w:t>Novembra 2024 je bil potrjen program (prenos 5 % sredstev na program SNV). V neformalnem usklajevanju z EK je tudi nova sprememba programa IUMV, ki bo odražala nove potrebe, glede na trenutno stanje, prav tako bodo zajete vsebine, vezane na Pakt o migracijah. Menimo, da bo po potrditvi spremembe programa doseganje zastavljenih ciljev bolj realno. Glede na predvidene spremembe programa IUMV, ki bodo imele za posledico drugačne ciljne vrednosti, ni smiselno poročanje o doseganju ciljnih vrednosti. Menimo, da bo po potrditvi spremembe programa doseganje zastavljenih ciljev bolj realno, kot tudi poročanje.</w:t>
            </w:r>
          </w:p>
          <w:p w14:paraId="74F623C9" w14:textId="202551D4" w:rsidR="00E60FB1" w:rsidRPr="003B7598" w:rsidRDefault="00E60FB1" w:rsidP="00E60FB1">
            <w:pPr>
              <w:rPr>
                <w:sz w:val="22"/>
              </w:rPr>
            </w:pPr>
            <w:r w:rsidRPr="003B7598">
              <w:rPr>
                <w:sz w:val="22"/>
              </w:rPr>
              <w:t xml:space="preserve">Upravičenci v okviru operacij v izvajanju poročajo, da se aktivnosti v veliki meri izvajajo v skladu s potrjeno </w:t>
            </w:r>
            <w:proofErr w:type="spellStart"/>
            <w:r w:rsidRPr="003B7598">
              <w:rPr>
                <w:sz w:val="22"/>
              </w:rPr>
              <w:t>časovnico</w:t>
            </w:r>
            <w:proofErr w:type="spellEnd"/>
            <w:r w:rsidRPr="003B7598">
              <w:rPr>
                <w:sz w:val="22"/>
              </w:rPr>
              <w:t xml:space="preserve">, je pa v nekaterih primerih prišlo do ponovitev javnih naročil (zaradi nepopolnih ali neuspešnih ponudb), kar je vodilo do zamikov. Do zamud prihaja tudi zaradi </w:t>
            </w:r>
            <w:r w:rsidR="005962DB" w:rsidRPr="003B7598">
              <w:rPr>
                <w:sz w:val="22"/>
              </w:rPr>
              <w:t xml:space="preserve">daljših dobavnih rokov in zaradi </w:t>
            </w:r>
            <w:r w:rsidRPr="003B7598">
              <w:rPr>
                <w:sz w:val="22"/>
              </w:rPr>
              <w:t>obsežnih tehničnih specifikacij (predvsem na področju informacijskih sistemov) ter zamud na ravni EU (</w:t>
            </w:r>
            <w:proofErr w:type="spellStart"/>
            <w:r w:rsidRPr="003B7598">
              <w:rPr>
                <w:sz w:val="22"/>
              </w:rPr>
              <w:t>eu</w:t>
            </w:r>
            <w:proofErr w:type="spellEnd"/>
            <w:r w:rsidRPr="003B7598">
              <w:rPr>
                <w:sz w:val="22"/>
              </w:rPr>
              <w:t>-LISA, ETIAS).</w:t>
            </w:r>
          </w:p>
          <w:p w14:paraId="410C6FC8" w14:textId="617A5ED3" w:rsidR="007903DC" w:rsidRPr="008D2090" w:rsidRDefault="00A76A03" w:rsidP="007903DC">
            <w:pPr>
              <w:pStyle w:val="Tiret0"/>
              <w:numPr>
                <w:ilvl w:val="0"/>
                <w:numId w:val="0"/>
              </w:numPr>
              <w:rPr>
                <w:sz w:val="22"/>
              </w:rPr>
            </w:pPr>
            <w:r w:rsidRPr="00E27C9A">
              <w:rPr>
                <w:b/>
                <w:noProof/>
                <w:sz w:val="22"/>
              </w:rPr>
              <w:t>2. Dopolnjevanja:</w:t>
            </w:r>
            <w:r w:rsidR="007903DC">
              <w:rPr>
                <w:noProof/>
                <w:sz w:val="22"/>
              </w:rPr>
              <w:t xml:space="preserve"> </w:t>
            </w:r>
            <w:r w:rsidR="007903DC" w:rsidRPr="007903DC">
              <w:rPr>
                <w:sz w:val="22"/>
              </w:rPr>
              <w:t xml:space="preserve">Slovenija je v obračunskem obdobju poročanja izvajala aktivnosti v zvezi z ukrepi programa IUMV, zato v nadaljevanju poročamo o aktivnostih v zvezi z zaznavo potencialnih dopolnjevanj in sinergije. Komplementarnost se preverja v fazi izbora operacije, vzpostavili bomo tudi preverjanje v fazi izvajanja operacije (upravljalnih preverjanj) ter na sistemski ravni. OU načrtuje tudi vzpostavitev sistema izmenjave podatkov na temo komplementarnosti tudi z drugimi organi upravljanja na državni ravni. Navezali smo stike s kontaktnimi točkami ter predstavniki mrež Evropske komisije v Sloveniji, kjer pričakujemo tudi uporabne informacije na temo komplementarnosti. </w:t>
            </w:r>
          </w:p>
          <w:p w14:paraId="1529164A" w14:textId="77777777" w:rsidR="007903DC" w:rsidRPr="008D2090" w:rsidRDefault="007903DC" w:rsidP="007903DC">
            <w:pPr>
              <w:pStyle w:val="Institutionquisigne"/>
              <w:spacing w:before="0"/>
              <w:rPr>
                <w:i w:val="0"/>
                <w:sz w:val="22"/>
              </w:rPr>
            </w:pPr>
          </w:p>
          <w:p w14:paraId="236F95EC" w14:textId="3CC7D4F2" w:rsidR="007903DC" w:rsidRPr="008D2090" w:rsidRDefault="007903DC" w:rsidP="007903DC">
            <w:pPr>
              <w:pStyle w:val="Institutionquisigne"/>
              <w:spacing w:before="0"/>
              <w:rPr>
                <w:i w:val="0"/>
                <w:sz w:val="22"/>
              </w:rPr>
            </w:pPr>
            <w:r w:rsidRPr="008D2090">
              <w:rPr>
                <w:i w:val="0"/>
                <w:sz w:val="22"/>
              </w:rPr>
              <w:t>Operacije, ki jih izvaja Policija, Sektor mejne policije se izvajajo zgolj in samo pod okriljem programa IUMV in niso komplementarne z drugimi operacijami.</w:t>
            </w:r>
          </w:p>
          <w:p w14:paraId="0AD73C7B" w14:textId="77777777" w:rsidR="007903DC" w:rsidRPr="008D2090" w:rsidRDefault="007903DC" w:rsidP="007903DC">
            <w:pPr>
              <w:pStyle w:val="Institutionquisigne"/>
              <w:spacing w:before="0"/>
              <w:rPr>
                <w:i w:val="0"/>
                <w:sz w:val="22"/>
              </w:rPr>
            </w:pPr>
            <w:r w:rsidRPr="008D2090">
              <w:rPr>
                <w:i w:val="0"/>
                <w:sz w:val="22"/>
              </w:rPr>
              <w:t xml:space="preserve"> </w:t>
            </w:r>
          </w:p>
          <w:p w14:paraId="7E37E191" w14:textId="77777777" w:rsidR="007903DC" w:rsidRPr="008D2090" w:rsidRDefault="007903DC" w:rsidP="007903DC">
            <w:pPr>
              <w:pStyle w:val="Institutionquisigne"/>
              <w:spacing w:before="0"/>
              <w:rPr>
                <w:i w:val="0"/>
                <w:sz w:val="22"/>
              </w:rPr>
            </w:pPr>
            <w:r w:rsidRPr="008D2090">
              <w:rPr>
                <w:i w:val="0"/>
                <w:sz w:val="22"/>
              </w:rPr>
              <w:t xml:space="preserve">Komplementarnost operacij programa IUMV na področju razvoja </w:t>
            </w:r>
            <w:proofErr w:type="spellStart"/>
            <w:r w:rsidRPr="008D2090">
              <w:rPr>
                <w:i w:val="0"/>
                <w:sz w:val="22"/>
              </w:rPr>
              <w:t>interoperabilnih</w:t>
            </w:r>
            <w:proofErr w:type="spellEnd"/>
            <w:r w:rsidRPr="008D2090">
              <w:rPr>
                <w:i w:val="0"/>
                <w:sz w:val="22"/>
              </w:rPr>
              <w:t xml:space="preserve"> aplikativnih rešitev (EES, ETIAS, SIRENE, INTERPOL, EUROPOL) in posodobitve obstoječe programske opreme (SIS) je bila dosežena skozi sinergijo z razvojem, nadgradnjami in vzdrževanjem centralne strežniške platforme CEPIS, ki se je financirala iz Načrta za okrevanje in odpornost </w:t>
            </w:r>
            <w:proofErr w:type="spellStart"/>
            <w:r w:rsidRPr="008D2090">
              <w:rPr>
                <w:i w:val="0"/>
                <w:sz w:val="22"/>
              </w:rPr>
              <w:t>NextGenerationEU</w:t>
            </w:r>
            <w:proofErr w:type="spellEnd"/>
            <w:r w:rsidRPr="008D2090">
              <w:rPr>
                <w:i w:val="0"/>
                <w:sz w:val="22"/>
              </w:rPr>
              <w:t xml:space="preserve">. </w:t>
            </w:r>
          </w:p>
          <w:p w14:paraId="40D5824B" w14:textId="77777777" w:rsidR="007903DC" w:rsidRPr="008D2090" w:rsidRDefault="007903DC" w:rsidP="007903DC">
            <w:pPr>
              <w:pStyle w:val="Institutionquisigne"/>
              <w:spacing w:before="0"/>
              <w:rPr>
                <w:i w:val="0"/>
                <w:sz w:val="22"/>
              </w:rPr>
            </w:pPr>
          </w:p>
          <w:p w14:paraId="59F45295" w14:textId="447C245F" w:rsidR="007903DC" w:rsidRPr="008D2090" w:rsidRDefault="007903DC" w:rsidP="007903DC">
            <w:pPr>
              <w:pStyle w:val="Institutionquisigne"/>
              <w:spacing w:before="0"/>
              <w:rPr>
                <w:i w:val="0"/>
                <w:sz w:val="22"/>
              </w:rPr>
            </w:pPr>
            <w:r w:rsidRPr="008D2090">
              <w:rPr>
                <w:i w:val="0"/>
                <w:sz w:val="22"/>
              </w:rPr>
              <w:t xml:space="preserve">Vse operacije MZEZ so namenjene podpori izvajanju skupne vizumske politike ter so zato komplementarne in povezane med seboj; vsaka zase, brez ostalih operacij, ne bi mogle dosegati zastavljenih ciljev in rezultatov. Identificirana je bila tudi komplementarnost z razvojnim področjem Digitalna preobrazba v Načrtu za okrevanje in odpornost </w:t>
            </w:r>
            <w:proofErr w:type="spellStart"/>
            <w:r w:rsidRPr="008D2090">
              <w:rPr>
                <w:i w:val="0"/>
                <w:sz w:val="22"/>
              </w:rPr>
              <w:t>NextGenerationEU</w:t>
            </w:r>
            <w:proofErr w:type="spellEnd"/>
            <w:r w:rsidRPr="008D2090">
              <w:rPr>
                <w:i w:val="0"/>
                <w:sz w:val="22"/>
              </w:rPr>
              <w:t xml:space="preserve">, vendar je bila nato sprejeta odločitev, da se aktivnosti na področju vizumskega poslovanja izloči iz Načrta za okrevanje in odpornost ter celovito obravnava le v programu IUMV. </w:t>
            </w:r>
          </w:p>
          <w:p w14:paraId="0D110815" w14:textId="77777777" w:rsidR="007903DC" w:rsidRPr="008D2090" w:rsidRDefault="007903DC" w:rsidP="007903DC">
            <w:pPr>
              <w:pStyle w:val="Institutionquisigne"/>
              <w:spacing w:before="0"/>
              <w:rPr>
                <w:i w:val="0"/>
                <w:sz w:val="22"/>
              </w:rPr>
            </w:pPr>
          </w:p>
          <w:p w14:paraId="5ABC2A93" w14:textId="3479B18C" w:rsidR="007903DC" w:rsidRPr="007903DC" w:rsidRDefault="007903DC" w:rsidP="007903DC">
            <w:pPr>
              <w:pStyle w:val="Personnequisigne"/>
              <w:jc w:val="both"/>
              <w:rPr>
                <w:i w:val="0"/>
                <w:sz w:val="22"/>
              </w:rPr>
            </w:pPr>
            <w:r w:rsidRPr="008D2090">
              <w:rPr>
                <w:i w:val="0"/>
                <w:sz w:val="22"/>
              </w:rPr>
              <w:t>V splošnem pa je zaznana komplementarnost pri operacijah z integralnimi (državnimi) sredstvi, kar pomeni, da je tako dosežen učinek večji. V tem primeru se natančno opredeli že v javnem naročilu, tehničnih specifikacijah in v sklenjenih pogodbah, kaj je vir financiranja posamezne aktivnosti, s čimer se odpravi tveganja za morebitno dvojno financiranje.</w:t>
            </w:r>
          </w:p>
          <w:p w14:paraId="4C25CDC8" w14:textId="77777777" w:rsidR="007903DC" w:rsidRDefault="007903DC" w:rsidP="00A76A03">
            <w:pPr>
              <w:pStyle w:val="Personnequisigne"/>
              <w:jc w:val="both"/>
              <w:rPr>
                <w:b/>
                <w:i w:val="0"/>
                <w:noProof/>
                <w:sz w:val="22"/>
              </w:rPr>
            </w:pPr>
          </w:p>
          <w:p w14:paraId="28D1CA89" w14:textId="0CDB179E" w:rsidR="00A76A03" w:rsidRPr="00F46D57" w:rsidRDefault="00A76A03" w:rsidP="00A76A03">
            <w:pPr>
              <w:pStyle w:val="Personnequisigne"/>
              <w:jc w:val="both"/>
              <w:rPr>
                <w:i w:val="0"/>
                <w:noProof/>
                <w:sz w:val="22"/>
              </w:rPr>
            </w:pPr>
            <w:r w:rsidRPr="00F46D57">
              <w:rPr>
                <w:b/>
                <w:i w:val="0"/>
                <w:noProof/>
                <w:sz w:val="22"/>
              </w:rPr>
              <w:t>3. Izvajanje pravnega reda Unije</w:t>
            </w:r>
            <w:r w:rsidRPr="00F46D57">
              <w:rPr>
                <w:i w:val="0"/>
                <w:noProof/>
                <w:sz w:val="22"/>
              </w:rPr>
              <w:t xml:space="preserve">: Vse operacije v izvajanju dosledno sledijo določilom Pogodbe o delovanju EU, Listine EU o temeljnih pravicah in Konvencije o statusu beguncev s Protokolom iz leta 1967. </w:t>
            </w:r>
          </w:p>
          <w:p w14:paraId="1353A26B" w14:textId="77777777" w:rsidR="00A76A03" w:rsidRPr="00F46D57" w:rsidRDefault="00A76A03" w:rsidP="00A76A03">
            <w:pPr>
              <w:pStyle w:val="Personnequisigne"/>
              <w:jc w:val="both"/>
              <w:rPr>
                <w:i w:val="0"/>
                <w:noProof/>
                <w:sz w:val="22"/>
              </w:rPr>
            </w:pPr>
          </w:p>
          <w:p w14:paraId="608BE9DE" w14:textId="4ECFD2AF" w:rsidR="00F46D57" w:rsidRPr="007E005F" w:rsidRDefault="00A76A03" w:rsidP="00F46D57">
            <w:pPr>
              <w:tabs>
                <w:tab w:val="left" w:pos="4252"/>
              </w:tabs>
              <w:autoSpaceDE w:val="0"/>
              <w:autoSpaceDN w:val="0"/>
              <w:adjustRightInd w:val="0"/>
              <w:spacing w:before="0" w:after="0"/>
              <w:rPr>
                <w:color w:val="000000"/>
                <w:sz w:val="22"/>
              </w:rPr>
            </w:pPr>
            <w:r w:rsidRPr="00F46D57">
              <w:rPr>
                <w:noProof/>
                <w:sz w:val="22"/>
              </w:rPr>
              <w:t xml:space="preserve">V okviru </w:t>
            </w:r>
            <w:r w:rsidRPr="007E005F">
              <w:rPr>
                <w:noProof/>
                <w:sz w:val="22"/>
              </w:rPr>
              <w:t xml:space="preserve">Specifičnega cilja 1 </w:t>
            </w:r>
            <w:r w:rsidR="00420EC1" w:rsidRPr="007E005F">
              <w:rPr>
                <w:noProof/>
                <w:sz w:val="22"/>
              </w:rPr>
              <w:t>se izvaja pravni red Unije tako, da o</w:t>
            </w:r>
            <w:r w:rsidRPr="007E005F">
              <w:rPr>
                <w:noProof/>
                <w:sz w:val="22"/>
              </w:rPr>
              <w:t xml:space="preserve">peracije implementirajo določbe nacionalnega prava: </w:t>
            </w:r>
            <w:r w:rsidR="00F46D57" w:rsidRPr="007E005F">
              <w:rPr>
                <w:sz w:val="22"/>
              </w:rPr>
              <w:t xml:space="preserve">Zakona </w:t>
            </w:r>
            <w:r w:rsidR="00F46D57" w:rsidRPr="007E005F">
              <w:rPr>
                <w:color w:val="000000"/>
                <w:sz w:val="22"/>
              </w:rPr>
              <w:t>o nalogah in pooblastilih policije (Uradni list RS, št. 15/13), Kazenskega zakonika (Uradni list RS, št. 50/12 in nadaljnje spremembe), Zakona o kazenskem postopku (Uradni list RS št. 176/21 in nadaljnje spremembe); Zakona o nadzoru državne meje (Uradni list RS, št. 35/10 in nadaljnje spremembe) in podrejenih aktov; ter določbe pravnega reda EU: Uredba 2016/399/EU, Uredba 2017/2225/EU; Uredba 2017/2226/EU, Uredba 2018/1860/EU; Uredba 2018/1861/EU; Uredba 2018/1862/EU; Uredba 2018/1240/EU, Uredba 2019/817/EU, Uredba 2019/818/EU, Uredba 2019/1896/EU; Uredba 2018/1240/EU, Uredba 2021/1133/EU; Uredba 2021/1134/EU; Uredba 2022/922/EU;</w:t>
            </w:r>
            <w:r w:rsidR="00F46D57" w:rsidRPr="007E005F">
              <w:rPr>
                <w:rFonts w:ascii="Arial" w:hAnsi="Arial" w:cs="Arial"/>
                <w:iCs/>
                <w:color w:val="000000"/>
                <w:sz w:val="22"/>
              </w:rPr>
              <w:t xml:space="preserve"> </w:t>
            </w:r>
            <w:r w:rsidR="00F46D57" w:rsidRPr="007E005F">
              <w:rPr>
                <w:color w:val="000000"/>
                <w:sz w:val="22"/>
              </w:rPr>
              <w:t xml:space="preserve">Uredba 2024/903/EU; Izvedbeni sklep </w:t>
            </w:r>
            <w:hyperlink r:id="rId13" w:history="1">
              <w:r w:rsidR="00F46D57" w:rsidRPr="007E005F">
                <w:rPr>
                  <w:color w:val="000000"/>
                  <w:sz w:val="22"/>
                </w:rPr>
                <w:t>2023/201</w:t>
              </w:r>
            </w:hyperlink>
            <w:r w:rsidR="00F46D57" w:rsidRPr="007E005F">
              <w:rPr>
                <w:color w:val="000000"/>
                <w:sz w:val="22"/>
              </w:rPr>
              <w:t>/EU.</w:t>
            </w:r>
          </w:p>
          <w:p w14:paraId="038E10CC" w14:textId="4DAF7E45" w:rsidR="00A76A03" w:rsidRPr="007E005F" w:rsidRDefault="00A76A03" w:rsidP="00A76A03">
            <w:pPr>
              <w:pStyle w:val="Personnequisigne"/>
              <w:jc w:val="both"/>
              <w:rPr>
                <w:i w:val="0"/>
                <w:noProof/>
                <w:color w:val="FF0000"/>
                <w:sz w:val="22"/>
              </w:rPr>
            </w:pPr>
          </w:p>
          <w:p w14:paraId="7C2723D1" w14:textId="265930D8" w:rsidR="00A76A03" w:rsidRPr="00B57823" w:rsidRDefault="00A76A03" w:rsidP="00A76A03">
            <w:pPr>
              <w:pStyle w:val="Personnequisigne"/>
              <w:jc w:val="both"/>
              <w:rPr>
                <w:i w:val="0"/>
                <w:noProof/>
                <w:color w:val="FF0000"/>
                <w:sz w:val="22"/>
              </w:rPr>
            </w:pPr>
            <w:r w:rsidRPr="007E005F">
              <w:rPr>
                <w:i w:val="0"/>
                <w:noProof/>
                <w:sz w:val="22"/>
              </w:rPr>
              <w:t>V okviru Specifičnega cilja 2</w:t>
            </w:r>
            <w:r w:rsidRPr="00F46D57">
              <w:rPr>
                <w:i w:val="0"/>
                <w:noProof/>
                <w:sz w:val="22"/>
              </w:rPr>
              <w:t xml:space="preserve"> </w:t>
            </w:r>
            <w:r w:rsidR="00420EC1" w:rsidRPr="00F46D57">
              <w:rPr>
                <w:i w:val="0"/>
                <w:noProof/>
                <w:sz w:val="22"/>
              </w:rPr>
              <w:t>se izvaja pravni red Unije tako, da o</w:t>
            </w:r>
            <w:r w:rsidRPr="00F46D57">
              <w:rPr>
                <w:i w:val="0"/>
                <w:noProof/>
                <w:sz w:val="22"/>
              </w:rPr>
              <w:t xml:space="preserve">peracije implementirajo določbe nacionalnega prava: </w:t>
            </w:r>
            <w:r w:rsidR="00F46D57" w:rsidRPr="00BE4DB1">
              <w:rPr>
                <w:i w:val="0"/>
                <w:color w:val="000000"/>
                <w:sz w:val="22"/>
              </w:rPr>
              <w:t>Zakona o tujcih (Uradni list RS, št. 50/11 in nadaljnje spremembe) in podrejenih aktov; ter določb</w:t>
            </w:r>
            <w:r w:rsidR="00F46D57">
              <w:rPr>
                <w:i w:val="0"/>
                <w:color w:val="000000"/>
                <w:sz w:val="22"/>
              </w:rPr>
              <w:t xml:space="preserve">e pravnega reda EU: Uredbe </w:t>
            </w:r>
            <w:r w:rsidR="00F46D57" w:rsidRPr="00BE4DB1">
              <w:rPr>
                <w:i w:val="0"/>
                <w:color w:val="000000"/>
                <w:sz w:val="22"/>
              </w:rPr>
              <w:t>810/2009</w:t>
            </w:r>
            <w:r w:rsidR="00F46D57">
              <w:rPr>
                <w:i w:val="0"/>
                <w:color w:val="000000"/>
                <w:sz w:val="22"/>
              </w:rPr>
              <w:t>/ES</w:t>
            </w:r>
            <w:r w:rsidR="00F46D57" w:rsidRPr="00BE4DB1">
              <w:rPr>
                <w:i w:val="0"/>
                <w:color w:val="000000"/>
                <w:sz w:val="22"/>
              </w:rPr>
              <w:t>, Uredba 767/2008</w:t>
            </w:r>
            <w:r w:rsidR="00F46D57">
              <w:rPr>
                <w:i w:val="0"/>
                <w:color w:val="000000"/>
                <w:sz w:val="22"/>
              </w:rPr>
              <w:t>/ES</w:t>
            </w:r>
            <w:r w:rsidR="00F46D57" w:rsidRPr="00BE4DB1">
              <w:rPr>
                <w:i w:val="0"/>
                <w:color w:val="000000"/>
                <w:sz w:val="22"/>
              </w:rPr>
              <w:t xml:space="preserve">, </w:t>
            </w:r>
            <w:r w:rsidR="00D17541" w:rsidRPr="00D17541">
              <w:rPr>
                <w:i w:val="0"/>
                <w:color w:val="000000"/>
                <w:sz w:val="22"/>
              </w:rPr>
              <w:t xml:space="preserve">Uredba 2018/1806/EU, </w:t>
            </w:r>
            <w:r w:rsidR="00F46D57" w:rsidRPr="00BE4DB1">
              <w:rPr>
                <w:i w:val="0"/>
                <w:color w:val="000000"/>
                <w:sz w:val="22"/>
              </w:rPr>
              <w:t>Uredba 2021/1133</w:t>
            </w:r>
            <w:r w:rsidR="00F46D57">
              <w:rPr>
                <w:i w:val="0"/>
                <w:color w:val="000000"/>
                <w:sz w:val="22"/>
              </w:rPr>
              <w:t>/EU</w:t>
            </w:r>
            <w:r w:rsidR="00D17541">
              <w:rPr>
                <w:i w:val="0"/>
                <w:color w:val="000000"/>
                <w:sz w:val="22"/>
              </w:rPr>
              <w:t xml:space="preserve"> in</w:t>
            </w:r>
            <w:r w:rsidR="00F46D57" w:rsidRPr="00BE4DB1">
              <w:rPr>
                <w:i w:val="0"/>
                <w:color w:val="000000"/>
                <w:sz w:val="22"/>
              </w:rPr>
              <w:t xml:space="preserve"> Uredba 2021/1134</w:t>
            </w:r>
            <w:r w:rsidR="00F46D57">
              <w:rPr>
                <w:i w:val="0"/>
                <w:color w:val="000000"/>
                <w:sz w:val="22"/>
              </w:rPr>
              <w:t>/EU</w:t>
            </w:r>
            <w:r w:rsidR="00F46D57" w:rsidRPr="00BE4DB1">
              <w:rPr>
                <w:i w:val="0"/>
                <w:color w:val="000000"/>
                <w:sz w:val="22"/>
              </w:rPr>
              <w:t>.</w:t>
            </w:r>
          </w:p>
          <w:p w14:paraId="04961499" w14:textId="77777777" w:rsidR="00A76A03" w:rsidRPr="00B57823" w:rsidRDefault="00A76A03" w:rsidP="00A76A03">
            <w:pPr>
              <w:pStyle w:val="Personnequisigne"/>
              <w:jc w:val="both"/>
              <w:rPr>
                <w:b/>
                <w:i w:val="0"/>
                <w:noProof/>
                <w:color w:val="FF0000"/>
                <w:sz w:val="22"/>
              </w:rPr>
            </w:pPr>
          </w:p>
          <w:p w14:paraId="411F7B8A" w14:textId="0A89B38E" w:rsidR="00400A09" w:rsidRDefault="00A76A03" w:rsidP="00400A09">
            <w:pPr>
              <w:pStyle w:val="Personnequisigne"/>
              <w:jc w:val="both"/>
              <w:rPr>
                <w:i w:val="0"/>
                <w:sz w:val="22"/>
              </w:rPr>
            </w:pPr>
            <w:r w:rsidRPr="00400A09">
              <w:rPr>
                <w:b/>
                <w:i w:val="0"/>
                <w:noProof/>
                <w:sz w:val="22"/>
              </w:rPr>
              <w:t>4. Komuniciranje in prepoznavnost</w:t>
            </w:r>
            <w:r w:rsidRPr="00400A09">
              <w:rPr>
                <w:i w:val="0"/>
                <w:noProof/>
                <w:sz w:val="22"/>
              </w:rPr>
              <w:t xml:space="preserve">: </w:t>
            </w:r>
            <w:r w:rsidR="00400A09" w:rsidRPr="002F67B6">
              <w:rPr>
                <w:i w:val="0"/>
                <w:noProof/>
                <w:sz w:val="22"/>
              </w:rPr>
              <w:t xml:space="preserve">Slovenija je v obračunskem obdobju poročanja </w:t>
            </w:r>
            <w:r w:rsidR="00400A09">
              <w:rPr>
                <w:i w:val="0"/>
                <w:noProof/>
                <w:sz w:val="22"/>
              </w:rPr>
              <w:t>n</w:t>
            </w:r>
            <w:r w:rsidR="00400A09" w:rsidRPr="002F67B6">
              <w:rPr>
                <w:i w:val="0"/>
              </w:rPr>
              <w:t>a področju</w:t>
            </w:r>
            <w:r w:rsidR="00400A09" w:rsidRPr="002F67B6">
              <w:rPr>
                <w:i w:val="0"/>
                <w:sz w:val="22"/>
              </w:rPr>
              <w:t xml:space="preserve"> prepoznavnosti, preglednosti in komuniciranja </w:t>
            </w:r>
            <w:r w:rsidR="00400A09">
              <w:rPr>
                <w:i w:val="0"/>
                <w:sz w:val="22"/>
              </w:rPr>
              <w:t>izvajala številne aktivnosti namenjene splošni, interni in zainteresirani javnosti za programe AMIF, SNV in IUMV.</w:t>
            </w:r>
          </w:p>
          <w:p w14:paraId="6FD322BD" w14:textId="77777777" w:rsidR="00400A09" w:rsidRDefault="00400A09" w:rsidP="00400A09">
            <w:pPr>
              <w:pStyle w:val="Personnequisigne"/>
              <w:jc w:val="both"/>
              <w:rPr>
                <w:i w:val="0"/>
                <w:sz w:val="22"/>
              </w:rPr>
            </w:pPr>
          </w:p>
          <w:p w14:paraId="11E8A30D" w14:textId="77777777" w:rsidR="00400A09" w:rsidRPr="00D11FE3" w:rsidRDefault="00400A09" w:rsidP="00400A09">
            <w:pPr>
              <w:pStyle w:val="Personnequisigne"/>
              <w:jc w:val="both"/>
              <w:rPr>
                <w:i w:val="0"/>
                <w:sz w:val="22"/>
              </w:rPr>
            </w:pPr>
            <w:r w:rsidRPr="00D11FE3">
              <w:rPr>
                <w:i w:val="0"/>
                <w:sz w:val="22"/>
              </w:rPr>
              <w:t xml:space="preserve">Komunikacijske aktivnosti za interno javnost so potekale </w:t>
            </w:r>
            <w:r>
              <w:rPr>
                <w:i w:val="0"/>
                <w:sz w:val="22"/>
              </w:rPr>
              <w:t xml:space="preserve">predvsem </w:t>
            </w:r>
            <w:r w:rsidRPr="00D11FE3">
              <w:rPr>
                <w:i w:val="0"/>
                <w:sz w:val="22"/>
              </w:rPr>
              <w:t xml:space="preserve">v okviru poročanja </w:t>
            </w:r>
            <w:r>
              <w:rPr>
                <w:i w:val="0"/>
                <w:sz w:val="22"/>
              </w:rPr>
              <w:t>O</w:t>
            </w:r>
            <w:r w:rsidRPr="00D11FE3">
              <w:rPr>
                <w:i w:val="0"/>
                <w:sz w:val="22"/>
              </w:rPr>
              <w:t>dbor</w:t>
            </w:r>
            <w:r>
              <w:rPr>
                <w:i w:val="0"/>
                <w:sz w:val="22"/>
              </w:rPr>
              <w:t>u</w:t>
            </w:r>
            <w:r w:rsidRPr="00D11FE3">
              <w:rPr>
                <w:i w:val="0"/>
                <w:sz w:val="22"/>
              </w:rPr>
              <w:t xml:space="preserve"> za spremljanje, INFORM-SI, INFORM-EU, delavnic z</w:t>
            </w:r>
            <w:r>
              <w:rPr>
                <w:i w:val="0"/>
                <w:sz w:val="22"/>
              </w:rPr>
              <w:t>a upravičence</w:t>
            </w:r>
            <w:r w:rsidRPr="00D11FE3">
              <w:rPr>
                <w:i w:val="0"/>
                <w:sz w:val="22"/>
              </w:rPr>
              <w:t>, operativnih sestankov</w:t>
            </w:r>
            <w:r>
              <w:rPr>
                <w:i w:val="0"/>
                <w:sz w:val="22"/>
              </w:rPr>
              <w:t xml:space="preserve"> ter</w:t>
            </w:r>
            <w:r w:rsidRPr="00D11FE3">
              <w:rPr>
                <w:i w:val="0"/>
                <w:sz w:val="22"/>
              </w:rPr>
              <w:t xml:space="preserve"> preko </w:t>
            </w:r>
            <w:r>
              <w:rPr>
                <w:i w:val="0"/>
                <w:sz w:val="22"/>
              </w:rPr>
              <w:t>I</w:t>
            </w:r>
            <w:r w:rsidRPr="00D11FE3">
              <w:rPr>
                <w:i w:val="0"/>
                <w:sz w:val="22"/>
              </w:rPr>
              <w:t>ntraneta</w:t>
            </w:r>
            <w:r>
              <w:rPr>
                <w:i w:val="0"/>
                <w:sz w:val="22"/>
              </w:rPr>
              <w:t xml:space="preserve"> MNZ in </w:t>
            </w:r>
            <w:r w:rsidRPr="00D11FE3">
              <w:rPr>
                <w:i w:val="0"/>
                <w:sz w:val="22"/>
              </w:rPr>
              <w:t>Policije. Ostale aktivnosti so namenjene splošni in zainteresirani javnosti.</w:t>
            </w:r>
          </w:p>
          <w:p w14:paraId="24C3DCE7" w14:textId="77777777" w:rsidR="00400A09" w:rsidRPr="003D2118" w:rsidRDefault="00400A09" w:rsidP="00400A09">
            <w:pPr>
              <w:pStyle w:val="Personnequisigne"/>
              <w:jc w:val="both"/>
              <w:rPr>
                <w:sz w:val="22"/>
              </w:rPr>
            </w:pPr>
          </w:p>
          <w:p w14:paraId="67322597" w14:textId="3EE627DB" w:rsidR="00400A09" w:rsidRPr="00400A09" w:rsidRDefault="00400A09" w:rsidP="00400A09">
            <w:pPr>
              <w:autoSpaceDE w:val="0"/>
              <w:autoSpaceDN w:val="0"/>
              <w:adjustRightInd w:val="0"/>
              <w:spacing w:after="0"/>
              <w:rPr>
                <w:i/>
                <w:noProof/>
                <w:sz w:val="22"/>
              </w:rPr>
            </w:pPr>
            <w:r>
              <w:rPr>
                <w:sz w:val="22"/>
              </w:rPr>
              <w:t xml:space="preserve">Posodobljena so bila </w:t>
            </w:r>
            <w:r w:rsidRPr="00D42A18">
              <w:rPr>
                <w:sz w:val="22"/>
              </w:rPr>
              <w:t>Navodil</w:t>
            </w:r>
            <w:r>
              <w:rPr>
                <w:sz w:val="22"/>
              </w:rPr>
              <w:t xml:space="preserve">a za zagotavljanje </w:t>
            </w:r>
            <w:r w:rsidRPr="00D42A18">
              <w:rPr>
                <w:sz w:val="22"/>
              </w:rPr>
              <w:t>prepoznavnosti, preglednosti in komuniciranja evropske politike na področju notranjih zadev v programskem obdobju 2021–2027</w:t>
            </w:r>
            <w:r>
              <w:rPr>
                <w:sz w:val="22"/>
              </w:rPr>
              <w:t>. Nudena je bila podporo</w:t>
            </w:r>
            <w:r w:rsidRPr="00400A09">
              <w:rPr>
                <w:sz w:val="22"/>
              </w:rPr>
              <w:t xml:space="preserve"> upravičencem za pravilno izvajanje aktivnosti na področju prepoznavnosti</w:t>
            </w:r>
            <w:r>
              <w:rPr>
                <w:sz w:val="22"/>
              </w:rPr>
              <w:t xml:space="preserve">, preglednosti in komuniciranja, za kar je OU izvedel </w:t>
            </w:r>
            <w:r w:rsidRPr="00400A09">
              <w:rPr>
                <w:sz w:val="22"/>
              </w:rPr>
              <w:t>pet</w:t>
            </w:r>
            <w:r>
              <w:rPr>
                <w:sz w:val="22"/>
              </w:rPr>
              <w:t xml:space="preserve"> delavnic, kjer so </w:t>
            </w:r>
            <w:r>
              <w:rPr>
                <w:bCs/>
                <w:sz w:val="22"/>
              </w:rPr>
              <w:t xml:space="preserve">bile predstavljene novosti, </w:t>
            </w:r>
            <w:r w:rsidRPr="00400A09">
              <w:rPr>
                <w:bCs/>
                <w:sz w:val="22"/>
              </w:rPr>
              <w:t>zahteve</w:t>
            </w:r>
            <w:r>
              <w:rPr>
                <w:bCs/>
                <w:sz w:val="22"/>
              </w:rPr>
              <w:t>, primeri dobrih praks in uporaba</w:t>
            </w:r>
            <w:r w:rsidRPr="00400A09">
              <w:rPr>
                <w:bCs/>
                <w:sz w:val="22"/>
              </w:rPr>
              <w:t xml:space="preserve"> »</w:t>
            </w:r>
            <w:proofErr w:type="spellStart"/>
            <w:r w:rsidRPr="00400A09">
              <w:rPr>
                <w:bCs/>
                <w:sz w:val="22"/>
              </w:rPr>
              <w:t>Online</w:t>
            </w:r>
            <w:proofErr w:type="spellEnd"/>
            <w:r w:rsidRPr="00400A09">
              <w:rPr>
                <w:bCs/>
                <w:sz w:val="22"/>
              </w:rPr>
              <w:t xml:space="preserve"> generatorja«.</w:t>
            </w:r>
          </w:p>
          <w:p w14:paraId="09D9119D" w14:textId="77777777" w:rsidR="00400A09" w:rsidRPr="003D2118" w:rsidRDefault="00400A09" w:rsidP="00400A09">
            <w:pPr>
              <w:autoSpaceDE w:val="0"/>
              <w:autoSpaceDN w:val="0"/>
              <w:adjustRightInd w:val="0"/>
              <w:spacing w:before="0" w:after="0"/>
              <w:rPr>
                <w:color w:val="FF0000"/>
                <w:sz w:val="22"/>
              </w:rPr>
            </w:pPr>
          </w:p>
          <w:p w14:paraId="0FE43889" w14:textId="7BFB7081" w:rsidR="00400A09" w:rsidRPr="00D42A18" w:rsidRDefault="00400A09" w:rsidP="00400A09">
            <w:pPr>
              <w:autoSpaceDE w:val="0"/>
              <w:autoSpaceDN w:val="0"/>
              <w:adjustRightInd w:val="0"/>
              <w:spacing w:before="0" w:after="0"/>
              <w:rPr>
                <w:sz w:val="22"/>
              </w:rPr>
            </w:pPr>
            <w:r>
              <w:rPr>
                <w:sz w:val="22"/>
              </w:rPr>
              <w:t xml:space="preserve">Potekalo je sodelovanje </w:t>
            </w:r>
            <w:r w:rsidRPr="005D500C">
              <w:rPr>
                <w:sz w:val="22"/>
              </w:rPr>
              <w:t>v okviru</w:t>
            </w:r>
            <w:r>
              <w:rPr>
                <w:sz w:val="22"/>
              </w:rPr>
              <w:t xml:space="preserve"> mreže</w:t>
            </w:r>
            <w:r w:rsidRPr="005D500C">
              <w:rPr>
                <w:sz w:val="22"/>
              </w:rPr>
              <w:t xml:space="preserve"> INFORM EU in INFORM SI</w:t>
            </w:r>
            <w:r>
              <w:rPr>
                <w:sz w:val="22"/>
              </w:rPr>
              <w:t xml:space="preserve"> ter s</w:t>
            </w:r>
            <w:r w:rsidRPr="00D42A18">
              <w:rPr>
                <w:sz w:val="22"/>
              </w:rPr>
              <w:t>eznanitev Odbora za spremljanje o izvajanju strategije komuniciranja evropske politike na področju notranjih zadev v Republiki Sloveniji za programsko obdobje 2021-2027 ter ukrepov prepoznavnosti, preglednosti in komuniciranja.</w:t>
            </w:r>
          </w:p>
          <w:p w14:paraId="41599365" w14:textId="77777777" w:rsidR="00400A09" w:rsidRPr="00D42A18" w:rsidRDefault="00400A09" w:rsidP="00400A09">
            <w:pPr>
              <w:autoSpaceDE w:val="0"/>
              <w:autoSpaceDN w:val="0"/>
              <w:adjustRightInd w:val="0"/>
              <w:spacing w:before="0" w:after="0"/>
              <w:rPr>
                <w:b/>
                <w:sz w:val="22"/>
              </w:rPr>
            </w:pPr>
          </w:p>
          <w:p w14:paraId="4A0A1037" w14:textId="58645B61" w:rsidR="00400A09" w:rsidRPr="00F97708" w:rsidRDefault="00400A09" w:rsidP="00400A09">
            <w:pPr>
              <w:tabs>
                <w:tab w:val="left" w:pos="4252"/>
              </w:tabs>
              <w:autoSpaceDE w:val="0"/>
              <w:autoSpaceDN w:val="0"/>
              <w:adjustRightInd w:val="0"/>
              <w:spacing w:before="0" w:after="0"/>
              <w:rPr>
                <w:sz w:val="22"/>
              </w:rPr>
            </w:pPr>
            <w:r w:rsidRPr="00400A09">
              <w:rPr>
                <w:bCs/>
                <w:sz w:val="22"/>
              </w:rPr>
              <w:t>V okviru promocijske akcije »EU projekt, moj projekt«, ki je na ravni Slovenije izbranih 20 projektov</w:t>
            </w:r>
            <w:r w:rsidR="004A6D1D">
              <w:rPr>
                <w:bCs/>
                <w:sz w:val="22"/>
              </w:rPr>
              <w:t>,</w:t>
            </w:r>
            <w:r w:rsidRPr="00400A09">
              <w:rPr>
                <w:bCs/>
                <w:sz w:val="22"/>
              </w:rPr>
              <w:t xml:space="preserve"> </w:t>
            </w:r>
            <w:r w:rsidR="004A6D1D">
              <w:rPr>
                <w:bCs/>
                <w:sz w:val="22"/>
              </w:rPr>
              <w:t>(so)</w:t>
            </w:r>
            <w:r w:rsidRPr="00400A09">
              <w:rPr>
                <w:bCs/>
                <w:sz w:val="22"/>
              </w:rPr>
              <w:t>financiranih iz EU sredstev. Na ravni programov AMIF, SNV in IUMV so tekle priprave na predstavitev 3 projektov</w:t>
            </w:r>
            <w:r w:rsidR="004A6D1D">
              <w:rPr>
                <w:bCs/>
                <w:sz w:val="22"/>
              </w:rPr>
              <w:t>,</w:t>
            </w:r>
            <w:r w:rsidRPr="00400A09">
              <w:rPr>
                <w:bCs/>
                <w:sz w:val="22"/>
              </w:rPr>
              <w:t xml:space="preserve"> sofinanciranih z EU sredstvi </w:t>
            </w:r>
            <w:r w:rsidRPr="00400A09">
              <w:rPr>
                <w:sz w:val="22"/>
              </w:rPr>
              <w:t>programov AMIF, SNV in IUMV</w:t>
            </w:r>
            <w:r w:rsidRPr="00400A09">
              <w:rPr>
                <w:bCs/>
                <w:sz w:val="22"/>
              </w:rPr>
              <w:t xml:space="preserve"> (organizacija dogodka, promocije preko tiskanih medijev, spletnih strani, družbenih omrežij, radijski in tv oglasov</w:t>
            </w:r>
            <w:r>
              <w:rPr>
                <w:bCs/>
                <w:sz w:val="22"/>
              </w:rPr>
              <w:t>.</w:t>
            </w:r>
          </w:p>
          <w:p w14:paraId="7F1CF993" w14:textId="77777777" w:rsidR="00400A09" w:rsidRPr="003D2118" w:rsidRDefault="00400A09" w:rsidP="00400A09">
            <w:pPr>
              <w:pStyle w:val="Odstavekseznama"/>
              <w:tabs>
                <w:tab w:val="left" w:pos="4252"/>
              </w:tabs>
              <w:autoSpaceDE w:val="0"/>
              <w:autoSpaceDN w:val="0"/>
              <w:adjustRightInd w:val="0"/>
              <w:spacing w:before="0" w:after="0"/>
              <w:ind w:left="709" w:hanging="5"/>
              <w:rPr>
                <w:color w:val="000000"/>
                <w:sz w:val="22"/>
              </w:rPr>
            </w:pPr>
          </w:p>
          <w:p w14:paraId="159F81C7" w14:textId="166C3DDB" w:rsidR="00400A09" w:rsidRPr="00400A09" w:rsidRDefault="00400A09" w:rsidP="00400A09">
            <w:pPr>
              <w:tabs>
                <w:tab w:val="left" w:pos="4252"/>
              </w:tabs>
              <w:autoSpaceDE w:val="0"/>
              <w:autoSpaceDN w:val="0"/>
              <w:adjustRightInd w:val="0"/>
              <w:spacing w:before="0" w:after="0"/>
              <w:rPr>
                <w:color w:val="FF0000"/>
                <w:sz w:val="22"/>
              </w:rPr>
            </w:pPr>
            <w:r w:rsidRPr="00400A09">
              <w:rPr>
                <w:sz w:val="22"/>
              </w:rPr>
              <w:t xml:space="preserve">Za promocijo možnosti, ki jih ponujajo EU skladi je potekalo šest Potujočih pisarn. V obdobju poročanja so potekale priprave, saj so bili kar v okviru treh predstavljene možnosti za </w:t>
            </w:r>
            <w:r w:rsidR="004A6D1D">
              <w:rPr>
                <w:sz w:val="22"/>
              </w:rPr>
              <w:t>(so)</w:t>
            </w:r>
            <w:r w:rsidRPr="00400A09">
              <w:rPr>
                <w:sz w:val="22"/>
              </w:rPr>
              <w:t xml:space="preserve">financiranje iz </w:t>
            </w:r>
            <w:r w:rsidRPr="00400A09">
              <w:rPr>
                <w:bCs/>
                <w:sz w:val="22"/>
              </w:rPr>
              <w:t>programov AMIF, SNV in IUMV.</w:t>
            </w:r>
          </w:p>
          <w:p w14:paraId="23426F0F" w14:textId="77777777" w:rsidR="00400A09" w:rsidRDefault="00400A09" w:rsidP="00400A09">
            <w:pPr>
              <w:autoSpaceDE w:val="0"/>
              <w:autoSpaceDN w:val="0"/>
              <w:adjustRightInd w:val="0"/>
              <w:spacing w:before="0" w:after="0"/>
              <w:rPr>
                <w:sz w:val="22"/>
              </w:rPr>
            </w:pPr>
          </w:p>
          <w:p w14:paraId="36F6609F" w14:textId="77777777" w:rsidR="00400A09" w:rsidRPr="00D42A18" w:rsidRDefault="00400A09" w:rsidP="00400A09">
            <w:pPr>
              <w:pStyle w:val="Personnequisigne"/>
              <w:jc w:val="both"/>
              <w:rPr>
                <w:i w:val="0"/>
                <w:noProof/>
                <w:sz w:val="22"/>
              </w:rPr>
            </w:pPr>
            <w:r w:rsidRPr="00D42A18">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Skladom za azil, migracije in vključevanje. Enotni spletni portal bo vključeval obveznosti iz točke (b) 46. člena ter iz prvega odstavka 49. člena Uredbe 2021/1060/EU.</w:t>
            </w:r>
          </w:p>
          <w:p w14:paraId="24E572B4" w14:textId="77777777" w:rsidR="00400A09" w:rsidRPr="003D2118" w:rsidRDefault="00400A09" w:rsidP="00400A09">
            <w:pPr>
              <w:autoSpaceDE w:val="0"/>
              <w:autoSpaceDN w:val="0"/>
              <w:adjustRightInd w:val="0"/>
              <w:spacing w:before="0" w:after="0"/>
              <w:rPr>
                <w:color w:val="FF0000"/>
                <w:sz w:val="22"/>
              </w:rPr>
            </w:pPr>
          </w:p>
          <w:p w14:paraId="71895203" w14:textId="5DF522A3" w:rsidR="00A76A03" w:rsidRPr="00CE274F" w:rsidRDefault="00400A09" w:rsidP="00CE274F">
            <w:pPr>
              <w:tabs>
                <w:tab w:val="left" w:pos="4252"/>
              </w:tabs>
              <w:autoSpaceDE w:val="0"/>
              <w:autoSpaceDN w:val="0"/>
              <w:adjustRightInd w:val="0"/>
              <w:spacing w:before="0" w:after="0"/>
              <w:rPr>
                <w:sz w:val="22"/>
              </w:rPr>
            </w:pPr>
            <w:r w:rsidRPr="00400A09">
              <w:rPr>
                <w:sz w:val="22"/>
              </w:rPr>
              <w:t>Splošne aktivnostih za prepoznavnost vsebin in operacij</w:t>
            </w:r>
            <w:r w:rsidR="004A6D1D">
              <w:rPr>
                <w:sz w:val="22"/>
              </w:rPr>
              <w:t>,</w:t>
            </w:r>
            <w:r w:rsidRPr="00400A09">
              <w:rPr>
                <w:sz w:val="22"/>
              </w:rPr>
              <w:t xml:space="preserve"> </w:t>
            </w:r>
            <w:r w:rsidR="004A6D1D">
              <w:rPr>
                <w:sz w:val="22"/>
              </w:rPr>
              <w:t>(so)</w:t>
            </w:r>
            <w:r w:rsidRPr="00400A09">
              <w:rPr>
                <w:sz w:val="22"/>
              </w:rPr>
              <w:t xml:space="preserve">financiranih iz programov AMIF, SNV in IUMV so se izvajale na družbenih omrežjih MNZ FB, Policija FB, evropska sredstva FN, evropska sredstva </w:t>
            </w:r>
            <w:proofErr w:type="spellStart"/>
            <w:r w:rsidRPr="00400A09">
              <w:rPr>
                <w:sz w:val="22"/>
              </w:rPr>
              <w:t>Linkedin</w:t>
            </w:r>
            <w:proofErr w:type="spellEnd"/>
            <w:r w:rsidRPr="00400A09">
              <w:rPr>
                <w:sz w:val="22"/>
              </w:rPr>
              <w:t>.</w:t>
            </w:r>
            <w:r w:rsidR="00CE274F">
              <w:rPr>
                <w:sz w:val="22"/>
              </w:rPr>
              <w:t xml:space="preserve"> Potekale s</w:t>
            </w:r>
            <w:r w:rsidR="00C841D2">
              <w:rPr>
                <w:sz w:val="22"/>
              </w:rPr>
              <w:t>o</w:t>
            </w:r>
            <w:r w:rsidR="00CE274F">
              <w:rPr>
                <w:sz w:val="22"/>
              </w:rPr>
              <w:t xml:space="preserve"> a</w:t>
            </w:r>
            <w:r w:rsidRPr="00CE274F">
              <w:rPr>
                <w:sz w:val="22"/>
              </w:rPr>
              <w:t>ktivnosti promocije operacij</w:t>
            </w:r>
            <w:r w:rsidR="00D17541">
              <w:rPr>
                <w:sz w:val="22"/>
              </w:rPr>
              <w:t>,</w:t>
            </w:r>
            <w:r w:rsidRPr="00CE274F">
              <w:rPr>
                <w:sz w:val="22"/>
              </w:rPr>
              <w:t xml:space="preserve"> </w:t>
            </w:r>
            <w:r w:rsidR="00D17541">
              <w:rPr>
                <w:sz w:val="22"/>
              </w:rPr>
              <w:t>(so)</w:t>
            </w:r>
            <w:r w:rsidRPr="00CE274F">
              <w:rPr>
                <w:sz w:val="22"/>
              </w:rPr>
              <w:t xml:space="preserve">financiranih iz programov </w:t>
            </w:r>
            <w:proofErr w:type="spellStart"/>
            <w:r w:rsidRPr="00CE274F">
              <w:rPr>
                <w:sz w:val="22"/>
              </w:rPr>
              <w:t>programov</w:t>
            </w:r>
            <w:proofErr w:type="spellEnd"/>
            <w:r w:rsidRPr="00CE274F">
              <w:rPr>
                <w:sz w:val="22"/>
              </w:rPr>
              <w:t xml:space="preserve"> AMIF, SNV in IUMV na spletnih straneh in družbenih omrežjih upravičencev</w:t>
            </w:r>
            <w:r w:rsidR="00C841D2">
              <w:rPr>
                <w:sz w:val="22"/>
              </w:rPr>
              <w:t xml:space="preserve"> ter dogodkih posameznih upravičencev</w:t>
            </w:r>
            <w:r w:rsidRPr="00CE274F">
              <w:rPr>
                <w:sz w:val="22"/>
              </w:rPr>
              <w:t>.</w:t>
            </w:r>
          </w:p>
          <w:p w14:paraId="3C1C2EAF" w14:textId="77777777" w:rsidR="00A76A03" w:rsidRPr="00B57823" w:rsidRDefault="00A76A03" w:rsidP="00A76A03">
            <w:pPr>
              <w:pStyle w:val="Personnequisigne"/>
              <w:jc w:val="both"/>
              <w:rPr>
                <w:b/>
                <w:i w:val="0"/>
                <w:noProof/>
                <w:color w:val="FF0000"/>
                <w:sz w:val="22"/>
              </w:rPr>
            </w:pPr>
          </w:p>
          <w:p w14:paraId="2037B124" w14:textId="6FD2754D" w:rsidR="00A76A03" w:rsidRPr="00B57823" w:rsidRDefault="00A76A03" w:rsidP="00A76A03">
            <w:pPr>
              <w:pStyle w:val="Personnequisigne"/>
              <w:jc w:val="both"/>
              <w:rPr>
                <w:i w:val="0"/>
                <w:noProof/>
                <w:color w:val="FF0000"/>
                <w:sz w:val="22"/>
              </w:rPr>
            </w:pPr>
            <w:r w:rsidRPr="00A17780">
              <w:rPr>
                <w:b/>
                <w:i w:val="0"/>
                <w:noProof/>
                <w:sz w:val="22"/>
              </w:rPr>
              <w:t>5. Omogočitveni pogoji</w:t>
            </w:r>
            <w:r w:rsidR="00BE4DB1" w:rsidRPr="00A17780">
              <w:rPr>
                <w:i w:val="0"/>
                <w:noProof/>
                <w:sz w:val="22"/>
              </w:rPr>
              <w:t xml:space="preserve">: Slovenija v </w:t>
            </w:r>
            <w:r w:rsidRPr="00A17780">
              <w:rPr>
                <w:i w:val="0"/>
                <w:sz w:val="22"/>
              </w:rPr>
              <w:t>luči učinkovite implementacije horizontalnih omogočitvenih pogojev »Dejanska uporaba in izvajanje Listine o temeljnih pravicah« ter »Izvajanje in uporaba Konvencije združenih narodov o pravicah invalidov v skladu s Sklepom Sveta 2010/48/ES«</w:t>
            </w:r>
            <w:r w:rsidR="00A17780" w:rsidRPr="00A17780">
              <w:rPr>
                <w:i w:val="0"/>
                <w:sz w:val="22"/>
              </w:rPr>
              <w:t xml:space="preserve"> sledi zastavljenim aktivnostim</w:t>
            </w:r>
            <w:r w:rsidR="00BE4DB1" w:rsidRPr="00A17780">
              <w:rPr>
                <w:i w:val="0"/>
                <w:sz w:val="22"/>
              </w:rPr>
              <w:t xml:space="preserve"> v programu IUMV za </w:t>
            </w:r>
            <w:r w:rsidRPr="00A17780">
              <w:rPr>
                <w:i w:val="0"/>
                <w:sz w:val="22"/>
              </w:rPr>
              <w:t xml:space="preserve">izpolnjevanje in uporabo omogočitvenih pogojev v </w:t>
            </w:r>
            <w:r w:rsidR="00BE4DB1" w:rsidRPr="00A17780">
              <w:rPr>
                <w:i w:val="0"/>
                <w:sz w:val="22"/>
              </w:rPr>
              <w:t xml:space="preserve">vseh fazah </w:t>
            </w:r>
            <w:r w:rsidR="00BE4DB1" w:rsidRPr="00A17780">
              <w:rPr>
                <w:i w:val="0"/>
              </w:rPr>
              <w:t>izvajanja programa.</w:t>
            </w:r>
            <w:r w:rsidRPr="00B57823">
              <w:rPr>
                <w:i w:val="0"/>
                <w:color w:val="FF0000"/>
                <w:sz w:val="22"/>
              </w:rPr>
              <w:tab/>
            </w:r>
          </w:p>
          <w:p w14:paraId="13936316" w14:textId="77777777" w:rsidR="00AC51D2" w:rsidRPr="00B57823" w:rsidRDefault="00A76A03" w:rsidP="00A76A03">
            <w:pPr>
              <w:rPr>
                <w:color w:val="FF0000"/>
                <w:sz w:val="22"/>
              </w:rPr>
            </w:pPr>
            <w:r w:rsidRPr="00BE4DB1">
              <w:rPr>
                <w:b/>
                <w:noProof/>
                <w:sz w:val="22"/>
              </w:rPr>
              <w:t>6. Projekti v tretjih državah</w:t>
            </w:r>
            <w:r w:rsidRPr="00BE4DB1">
              <w:rPr>
                <w:noProof/>
                <w:sz w:val="22"/>
              </w:rPr>
              <w:t>: Slovenija v tem obračunskem obdobju ni izvajala ukrepov ali operacij v tretjih državah ali v zvezi z njimi.</w:t>
            </w:r>
          </w:p>
        </w:tc>
      </w:tr>
    </w:tbl>
    <w:p w14:paraId="5A6778F9" w14:textId="77777777" w:rsidR="006A41E2" w:rsidRPr="006A7366" w:rsidRDefault="006A41E2">
      <w:pPr>
        <w:rPr>
          <w:noProof/>
        </w:rPr>
      </w:pPr>
    </w:p>
    <w:sectPr w:rsidR="006A41E2" w:rsidRPr="006A7366" w:rsidSect="00F27903">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A09F" w14:textId="77777777" w:rsidR="00A11706" w:rsidRDefault="00A11706" w:rsidP="00555224">
      <w:pPr>
        <w:spacing w:before="0" w:after="0"/>
      </w:pPr>
      <w:r>
        <w:separator/>
      </w:r>
    </w:p>
  </w:endnote>
  <w:endnote w:type="continuationSeparator" w:id="0">
    <w:p w14:paraId="7819585A" w14:textId="77777777" w:rsidR="00A11706" w:rsidRDefault="00A11706" w:rsidP="00555224">
      <w:pPr>
        <w:spacing w:before="0" w:after="0"/>
      </w:pPr>
      <w:r>
        <w:continuationSeparator/>
      </w:r>
    </w:p>
  </w:endnote>
  <w:endnote w:type="continuationNotice" w:id="1">
    <w:p w14:paraId="086E3769" w14:textId="77777777" w:rsidR="00A11706" w:rsidRDefault="00A117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15D9" w14:textId="2069AC8A" w:rsidR="00A11706" w:rsidRPr="00F27903" w:rsidRDefault="00A11706" w:rsidP="00F27903">
    <w:pPr>
      <w:pStyle w:val="Noga"/>
      <w:rPr>
        <w:rFonts w:ascii="Arial" w:hAnsi="Arial" w:cs="Arial"/>
        <w:b/>
        <w:sz w:val="48"/>
      </w:rPr>
    </w:pPr>
    <w:r w:rsidRPr="00F27903">
      <w:rPr>
        <w:rFonts w:ascii="Arial" w:hAnsi="Arial" w:cs="Arial"/>
        <w:b/>
        <w:sz w:val="48"/>
      </w:rPr>
      <w:t>SL</w:t>
    </w:r>
    <w:r w:rsidRPr="00F27903">
      <w:rPr>
        <w:rFonts w:ascii="Arial" w:hAnsi="Arial" w:cs="Arial"/>
        <w:b/>
        <w:sz w:val="48"/>
      </w:rPr>
      <w:tab/>
    </w:r>
    <w:r>
      <w:fldChar w:fldCharType="begin"/>
    </w:r>
    <w:r>
      <w:instrText xml:space="preserve"> PAGE  \* MERGEFORMAT </w:instrText>
    </w:r>
    <w:r>
      <w:fldChar w:fldCharType="separate"/>
    </w:r>
    <w:r w:rsidR="00602316">
      <w:rPr>
        <w:noProof/>
      </w:rPr>
      <w:t>4</w:t>
    </w:r>
    <w:r>
      <w:fldChar w:fldCharType="end"/>
    </w:r>
    <w:r>
      <w:tab/>
    </w:r>
    <w:r w:rsidRPr="00F27903">
      <w:tab/>
    </w:r>
    <w:r w:rsidRPr="00F27903">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2448" w14:textId="77777777" w:rsidR="00A11706" w:rsidRPr="00F27903" w:rsidRDefault="00A11706" w:rsidP="00F279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D366" w14:textId="77777777" w:rsidR="00A11706" w:rsidRDefault="00A11706" w:rsidP="00555224">
      <w:pPr>
        <w:spacing w:before="0" w:after="0"/>
      </w:pPr>
      <w:r>
        <w:separator/>
      </w:r>
    </w:p>
  </w:footnote>
  <w:footnote w:type="continuationSeparator" w:id="0">
    <w:p w14:paraId="0E2F42F4" w14:textId="77777777" w:rsidR="00A11706" w:rsidRDefault="00A11706" w:rsidP="00555224">
      <w:pPr>
        <w:spacing w:before="0" w:after="0"/>
      </w:pPr>
      <w:r>
        <w:continuationSeparator/>
      </w:r>
    </w:p>
  </w:footnote>
  <w:footnote w:type="continuationNotice" w:id="1">
    <w:p w14:paraId="137618F5" w14:textId="77777777" w:rsidR="00A11706" w:rsidRDefault="00A11706">
      <w:pPr>
        <w:spacing w:before="0" w:after="0"/>
      </w:pPr>
    </w:p>
  </w:footnote>
  <w:footnote w:id="2">
    <w:p w14:paraId="34EFB6C8" w14:textId="77777777" w:rsidR="00A11706" w:rsidRPr="00FD144E" w:rsidRDefault="00A11706">
      <w:pPr>
        <w:pStyle w:val="Sprotnaopomba-besedilo"/>
        <w:rPr>
          <w:sz w:val="18"/>
        </w:rPr>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14:paraId="6B43DB10" w14:textId="77777777" w:rsidR="00A11706" w:rsidRPr="00FD144E" w:rsidRDefault="00A11706">
      <w:pPr>
        <w:pStyle w:val="Sprotnaopomba-besedilo"/>
        <w:rPr>
          <w:sz w:val="18"/>
        </w:rPr>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14:paraId="2537EECC" w14:textId="77777777" w:rsidR="00A11706" w:rsidRPr="009F716C" w:rsidRDefault="00A11706">
      <w:pPr>
        <w:pStyle w:val="Sprotnaopomba-besedilo"/>
        <w:rPr>
          <w:sz w:val="18"/>
        </w:rPr>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14:paraId="6DD0D6DB" w14:textId="77777777" w:rsidR="00A11706" w:rsidRPr="00FD144E" w:rsidRDefault="00A11706">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14:paraId="7FCF8C16" w14:textId="77777777" w:rsidR="00A11706" w:rsidRPr="00095E27" w:rsidRDefault="00A11706">
      <w:pPr>
        <w:pStyle w:val="Sprotnaopomba-besedilo"/>
        <w:rPr>
          <w:sz w:val="18"/>
        </w:rPr>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14:paraId="583E23FF" w14:textId="77777777" w:rsidR="00A11706" w:rsidRPr="00804A12" w:rsidRDefault="00A11706">
      <w:pPr>
        <w:pStyle w:val="Sprotnaopomba-besedilo"/>
      </w:pPr>
      <w:r>
        <w:rPr>
          <w:rStyle w:val="Sprotnaopomba-sklic"/>
        </w:rPr>
        <w:footnoteRef/>
      </w:r>
      <w:r>
        <w:tab/>
      </w:r>
      <w:r>
        <w:rPr>
          <w:sz w:val="18"/>
        </w:rPr>
        <w:t xml:space="preserve">Če je to ustrezno za ta namen, navedite informacije, ki spadajo na področje uporabe Uredbe (EU) 2021/1148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 Podobno se, če je ustrezno, sklicujte na ocene ranljivosti, izvedene v skladu z Uredbo (EU) 2019/1896 Evropskega parlamenta in Sveta z dne 13. novembra 2019 o evropski mejni in obalni straži (UL L 295, 14.11.2019, str. 1), vključno s priporočili na podlagi schengenskih ocenjevanj in ocen ranljivosti </w:t>
      </w:r>
      <w:r>
        <w:rPr>
          <w:sz w:val="18"/>
          <w:shd w:val="clear" w:color="auto" w:fill="FFFFFF"/>
        </w:rPr>
        <w:t>ter povezanimi priporočili.</w:t>
      </w:r>
    </w:p>
  </w:footnote>
  <w:footnote w:id="8">
    <w:p w14:paraId="62F7DF27" w14:textId="77777777" w:rsidR="00A11706" w:rsidRPr="00FD144E" w:rsidRDefault="00A11706" w:rsidP="0053671E">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w:t>
      </w:r>
      <w:proofErr w:type="spellStart"/>
      <w:r>
        <w:rPr>
          <w:sz w:val="18"/>
        </w:rPr>
        <w:t>Ares</w:t>
      </w:r>
      <w:proofErr w:type="spellEnd"/>
      <w:r>
        <w:rPr>
          <w:sz w:val="18"/>
        </w:rPr>
        <w:t xml:space="preserve"> (2022)1060102).</w:t>
      </w:r>
    </w:p>
  </w:footnote>
  <w:footnote w:id="9">
    <w:p w14:paraId="5A38BC20" w14:textId="77777777" w:rsidR="00A11706" w:rsidRPr="00095E27" w:rsidRDefault="00A11706">
      <w:pPr>
        <w:pStyle w:val="Sprotnaopomba-besedilo"/>
      </w:pPr>
      <w:r>
        <w:rPr>
          <w:rStyle w:val="Sprotnaopomba-sklic"/>
        </w:rPr>
        <w:footnoteRef/>
      </w:r>
      <w:r>
        <w:tab/>
      </w:r>
      <w:r>
        <w:rPr>
          <w:sz w:val="18"/>
        </w:rPr>
        <w:t>Dodana vrednost Unije je opredeljena kot ustvarjanje rezultatov, ki presegajo tisto, kar bi države članice dosegle same.</w:t>
      </w:r>
    </w:p>
  </w:footnote>
  <w:footnote w:id="10">
    <w:p w14:paraId="4D95F31D" w14:textId="77777777" w:rsidR="00A11706" w:rsidRPr="00095E27" w:rsidRDefault="00A11706">
      <w:pPr>
        <w:pStyle w:val="Sprotnaopomba-besedilo"/>
      </w:pPr>
      <w:r>
        <w:rPr>
          <w:rStyle w:val="Sprotnaopomba-sklic"/>
        </w:rPr>
        <w:footnoteRef/>
      </w:r>
      <w:r>
        <w:tab/>
      </w:r>
      <w:r>
        <w:rPr>
          <w:sz w:val="18"/>
        </w:rPr>
        <w:t>Na primer v zvezi z dejavnostmi javnega naročanja ali drugimi sprejetimi pripravljalnimi ukrepi.</w:t>
      </w:r>
    </w:p>
  </w:footnote>
  <w:footnote w:id="11">
    <w:p w14:paraId="0C9C7110" w14:textId="77777777" w:rsidR="00A11706" w:rsidRPr="00095E27" w:rsidRDefault="00A11706">
      <w:pPr>
        <w:pStyle w:val="Sprotnaopomba-besedilo"/>
      </w:pPr>
      <w:r>
        <w:rPr>
          <w:rStyle w:val="Sprotnaopomba-sklic"/>
        </w:rPr>
        <w:footnoteRef/>
      </w:r>
      <w:r>
        <w:tab/>
      </w:r>
      <w:r>
        <w:rPr>
          <w:sz w:val="18"/>
        </w:rPr>
        <w:t>Na primer v smislu dosežkov, učinkov, rezultatov itd.</w:t>
      </w:r>
    </w:p>
  </w:footnote>
  <w:footnote w:id="12">
    <w:p w14:paraId="68AA17E6" w14:textId="77777777" w:rsidR="00A11706" w:rsidRPr="00FD144E" w:rsidRDefault="00A11706">
      <w:pPr>
        <w:pStyle w:val="Sprotnaopomba-besedilo"/>
      </w:pPr>
      <w:r>
        <w:rPr>
          <w:rStyle w:val="Sprotnaopomba-sklic"/>
        </w:rPr>
        <w:footnoteRef/>
      </w:r>
      <w:r>
        <w:tab/>
      </w:r>
      <w:r>
        <w:rPr>
          <w:sz w:val="18"/>
        </w:rPr>
        <w:t>Kot je navedeno v obvestilu Komisije z dne 14. februarja 2022 (</w:t>
      </w:r>
      <w:proofErr w:type="spellStart"/>
      <w:r>
        <w:rPr>
          <w:sz w:val="18"/>
        </w:rPr>
        <w:t>Ares</w:t>
      </w:r>
      <w:proofErr w:type="spellEnd"/>
      <w:r>
        <w:rPr>
          <w:sz w:val="18"/>
        </w:rPr>
        <w:t xml:space="preserve"> (2022)1060102).</w:t>
      </w:r>
    </w:p>
  </w:footnote>
  <w:footnote w:id="13">
    <w:p w14:paraId="6063CF62" w14:textId="77777777" w:rsidR="00A11706" w:rsidRPr="00FD144E" w:rsidRDefault="00A11706">
      <w:pPr>
        <w:pStyle w:val="Sprotnaopomba-besedilo"/>
      </w:pPr>
      <w:r>
        <w:rPr>
          <w:rStyle w:val="Sprotnaopomba-sklic"/>
        </w:rPr>
        <w:footnoteRef/>
      </w:r>
      <w:r>
        <w:tab/>
      </w:r>
      <w:r>
        <w:rPr>
          <w:sz w:val="18"/>
        </w:rPr>
        <w:t>Skupni upravičeni stroški izbranih operacij, kot so bili sporočeni Komisiji do 31. julija zadnjega obračunskega leta.</w:t>
      </w:r>
    </w:p>
  </w:footnote>
  <w:footnote w:id="14">
    <w:p w14:paraId="7017D3F7" w14:textId="77777777" w:rsidR="00A11706" w:rsidRPr="00FD144E" w:rsidRDefault="00A11706">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 w:id="15">
    <w:p w14:paraId="5D2BA41D" w14:textId="77777777" w:rsidR="00A11706" w:rsidRPr="00FD144E" w:rsidRDefault="00A11706">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14:paraId="6E43D043" w14:textId="77777777" w:rsidR="00A11706" w:rsidRPr="00F30684" w:rsidRDefault="00A11706">
      <w:pPr>
        <w:pStyle w:val="Sprotnaopomba-besedilo"/>
      </w:pPr>
      <w:r>
        <w:rPr>
          <w:rStyle w:val="Sprotnaopomba-sklic"/>
        </w:rPr>
        <w:footnoteRef/>
      </w:r>
      <w:r>
        <w:tab/>
      </w:r>
      <w:r>
        <w:rPr>
          <w:sz w:val="18"/>
          <w:shd w:val="clear" w:color="auto" w:fill="FFFFFF"/>
        </w:rPr>
        <w:t>Uredba (EU) 2018/1240 Evropskega parlamenta in Sveta z dne 12. septembra 2018 o vzpostavitvi Evropskega sistema za potovalne informacije in odobritve (ETIAS) ter spremembi uredb (EU) št. 1077/2011, (EU) št. 515/2014, (EU) 2016/399, (EU) 2016/1624 in (EU) 2017/2226 (UL L 236, 19.9.2018, str. 1).</w:t>
      </w:r>
    </w:p>
  </w:footnote>
  <w:footnote w:id="17">
    <w:p w14:paraId="3A99917A" w14:textId="77777777" w:rsidR="00A11706" w:rsidRPr="00FD144E" w:rsidRDefault="00A11706">
      <w:pPr>
        <w:pStyle w:val="Sprotnaopomba-besedilo"/>
      </w:pPr>
      <w:r>
        <w:rPr>
          <w:rStyle w:val="Sprotnaopomba-sklic"/>
        </w:rPr>
        <w:footnoteRef/>
      </w:r>
      <w:r>
        <w:tab/>
      </w:r>
      <w:r>
        <w:rPr>
          <w:sz w:val="18"/>
          <w:shd w:val="clear" w:color="auto" w:fill="FFFFFF"/>
        </w:rPr>
        <w:t>Uredba (EU) št. 515/2014 Evropskega parlamenta in Sveta z dne 16. aprila 2014 o vzpostavitvi instrumenta za finančno podporo na področju zunanjih meja in vizumov v okviru Sklada za notranjo varnost in o razveljavitvi Odločbe št. 574/2007/ES (UL L 150, 20.5.2014, str. 143).</w:t>
      </w:r>
    </w:p>
  </w:footnote>
  <w:footnote w:id="18">
    <w:p w14:paraId="306EC7F8" w14:textId="77777777" w:rsidR="00A11706" w:rsidRPr="00151819" w:rsidRDefault="00A11706">
      <w:pPr>
        <w:pStyle w:val="Sprotnaopomba-besedilo"/>
      </w:pPr>
      <w:r>
        <w:rPr>
          <w:rStyle w:val="Sprotnaopomba-sklic"/>
        </w:rPr>
        <w:footnoteRef/>
      </w:r>
      <w:r>
        <w:tab/>
      </w:r>
      <w:r>
        <w:rPr>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9">
    <w:p w14:paraId="24FA35FC" w14:textId="77777777" w:rsidR="00A11706" w:rsidRPr="00151819" w:rsidRDefault="00A11706">
      <w:pPr>
        <w:pStyle w:val="Sprotnaopomba-besedilo"/>
      </w:pPr>
      <w:r>
        <w:rPr>
          <w:rStyle w:val="Sprotnaopomba-sklic"/>
        </w:rPr>
        <w:footnoteRef/>
      </w:r>
      <w:r>
        <w:tab/>
      </w:r>
      <w:r>
        <w:rPr>
          <w:sz w:val="18"/>
        </w:rPr>
        <w:t>Zlasti instrument za sosedstvo ter razvojno in mednarodno sodelovanje (NDICI) – Globalna Evropa in instrument za predpristopno pomoč (IPA).</w:t>
      </w:r>
    </w:p>
  </w:footnote>
  <w:footnote w:id="20">
    <w:p w14:paraId="2DF5C390" w14:textId="77777777" w:rsidR="00A11706" w:rsidRPr="00151819" w:rsidRDefault="00A11706">
      <w:pPr>
        <w:pStyle w:val="Sprotnaopomba-besedilo"/>
      </w:pPr>
      <w:r>
        <w:rPr>
          <w:rStyle w:val="Sprotnaopomba-sklic"/>
        </w:rPr>
        <w:footnoteRef/>
      </w:r>
      <w:r>
        <w:tab/>
      </w:r>
      <w:r>
        <w:rPr>
          <w:sz w:val="18"/>
        </w:rPr>
        <w:t>Kot je sodelovanje na ravni Unije med državami članicami ter med državami članicami in ustreznimi organi, uradi in agencijami Unije ter sodelovanje na nacionalni ravni med pristojnimi organi v vsaki državi članici.</w:t>
      </w:r>
    </w:p>
  </w:footnote>
  <w:footnote w:id="21">
    <w:p w14:paraId="485C3BEF" w14:textId="77777777" w:rsidR="00A11706" w:rsidRPr="00DF7BF3" w:rsidRDefault="00A11706" w:rsidP="00BE551E">
      <w:pPr>
        <w:pStyle w:val="Sprotnaopomba-besedilo"/>
        <w:rPr>
          <w:sz w:val="18"/>
        </w:rPr>
      </w:pPr>
      <w:r>
        <w:rPr>
          <w:rStyle w:val="Sprotnaopomba-sklic"/>
        </w:rPr>
        <w:footnoteRef/>
      </w:r>
      <w:r>
        <w:tab/>
      </w:r>
      <w:r>
        <w:rPr>
          <w:sz w:val="18"/>
        </w:rPr>
        <w:t xml:space="preserve">Uredba (EU) 2019/817 Evropskega parlamenta in Sveta z dne 20. maja 2019 o vzpostavitvi okvira za </w:t>
      </w:r>
      <w:proofErr w:type="spellStart"/>
      <w:r>
        <w:rPr>
          <w:sz w:val="18"/>
        </w:rPr>
        <w:t>interoperabilnost</w:t>
      </w:r>
      <w:proofErr w:type="spellEnd"/>
      <w:r>
        <w:rPr>
          <w:sz w:val="18"/>
        </w:rPr>
        <w:t xml:space="preserve"> informacijskih sistemov EU na področju meja in vizumov ter spremembi uredb (ES) št. 767/2008, (EU) 2016/399, (EU) 2017/2226, (EU) 2018/1240, (EU) 2018/1726 in (EU) 2018/1861 Evropskega parlamenta in Sveta ter Odločbe Sveta 2004/512/ES in Sklepa Sveta 2008/633/PNZ (</w:t>
      </w:r>
      <w:hyperlink r:id="rId1" w:history="1">
        <w:r>
          <w:rPr>
            <w:sz w:val="18"/>
          </w:rPr>
          <w:t>UL L 135, 22.5.2019, str. 27</w:t>
        </w:r>
      </w:hyperlink>
      <w:r>
        <w:rPr>
          <w:sz w:val="18"/>
        </w:rPr>
        <w:t>).</w:t>
      </w:r>
    </w:p>
    <w:p w14:paraId="15742AC0" w14:textId="77777777" w:rsidR="00A11706" w:rsidRPr="00DF7BF3" w:rsidRDefault="00A11706" w:rsidP="00DF7BF3">
      <w:pPr>
        <w:pStyle w:val="Sprotnaopomba-besedilo"/>
        <w:ind w:firstLine="0"/>
        <w:rPr>
          <w:sz w:val="18"/>
        </w:rPr>
      </w:pPr>
      <w:r>
        <w:rPr>
          <w:sz w:val="18"/>
        </w:rPr>
        <w:t xml:space="preserve">Uredba (EU) 2019/818 Evropskega parlamenta in Sveta z dne 20. maja 2019 o vzpostavitvi okvira za </w:t>
      </w:r>
      <w:proofErr w:type="spellStart"/>
      <w:r>
        <w:rPr>
          <w:sz w:val="18"/>
        </w:rPr>
        <w:t>interoperabilnost</w:t>
      </w:r>
      <w:proofErr w:type="spellEnd"/>
      <w:r>
        <w:rPr>
          <w:sz w:val="18"/>
        </w:rPr>
        <w:t xml:space="preserve"> informacijskih sistemov EU na področju policijskega in pravosodnega sodelovanja, azila ter migracij in spremembi uredb (EU) 2018/1726, (EU) 2018/1862 ter (EU) 2019/816 (</w:t>
      </w:r>
      <w:hyperlink r:id="rId2" w:history="1">
        <w:r>
          <w:rPr>
            <w:sz w:val="18"/>
          </w:rPr>
          <w:t>UL L 135, 22.5.2019, str. 85</w:t>
        </w:r>
      </w:hyperlink>
      <w:r>
        <w:rPr>
          <w:sz w:val="18"/>
        </w:rPr>
        <w:t xml:space="preserve">). </w:t>
      </w:r>
    </w:p>
  </w:footnote>
  <w:footnote w:id="22">
    <w:p w14:paraId="2498C2F2" w14:textId="77777777" w:rsidR="00A11706" w:rsidRPr="009F716C" w:rsidRDefault="00A11706" w:rsidP="008671BE">
      <w:pPr>
        <w:pStyle w:val="Sprotnaopomba-besedilo"/>
      </w:pPr>
      <w:r>
        <w:rPr>
          <w:rStyle w:val="Sprotnaopomba-sklic"/>
        </w:rPr>
        <w:footnoteRef/>
      </w:r>
      <w:r>
        <w:tab/>
      </w:r>
      <w:r>
        <w:rPr>
          <w:sz w:val="18"/>
        </w:rPr>
        <w:t>Skupni upravičeni stroški izbranih operacij, kot so bili sporočeni Komisiji do 31. julija zadnjega obračunskega leta.</w:t>
      </w:r>
    </w:p>
  </w:footnote>
  <w:footnote w:id="23">
    <w:p w14:paraId="137B846D" w14:textId="77777777" w:rsidR="00A11706" w:rsidRPr="009F716C" w:rsidRDefault="00A11706" w:rsidP="008671BE">
      <w:pPr>
        <w:pStyle w:val="Sprotnaopomba-besedilo"/>
      </w:pPr>
      <w:r>
        <w:rPr>
          <w:rStyle w:val="Sprotnaopomba-sklic"/>
        </w:rPr>
        <w:footnoteRef/>
      </w:r>
      <w:r>
        <w:tab/>
      </w:r>
      <w:r>
        <w:rPr>
          <w:sz w:val="18"/>
        </w:rPr>
        <w:t>Skupni znesek upravičenih izdatkov, ki jih upravičenci prijavijo organu upravljanja, kot je bil sporočen Komisiji do 31. julija zadnjega obračunskega leta.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0A0C1C4F"/>
    <w:multiLevelType w:val="hybridMultilevel"/>
    <w:tmpl w:val="355217B4"/>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797133"/>
    <w:multiLevelType w:val="hybridMultilevel"/>
    <w:tmpl w:val="65C241AE"/>
    <w:lvl w:ilvl="0" w:tplc="823A672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6F7111"/>
    <w:multiLevelType w:val="hybridMultilevel"/>
    <w:tmpl w:val="E72AB59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571ADD"/>
    <w:multiLevelType w:val="hybridMultilevel"/>
    <w:tmpl w:val="5E8CA15A"/>
    <w:lvl w:ilvl="0" w:tplc="8CD8A4F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2F2D1D8B"/>
    <w:multiLevelType w:val="hybridMultilevel"/>
    <w:tmpl w:val="DFB48834"/>
    <w:lvl w:ilvl="0" w:tplc="C0B2140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B97DF2"/>
    <w:multiLevelType w:val="hybridMultilevel"/>
    <w:tmpl w:val="65C826AE"/>
    <w:lvl w:ilvl="0" w:tplc="5A20FDB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6A1FCA"/>
    <w:multiLevelType w:val="hybridMultilevel"/>
    <w:tmpl w:val="76FE7978"/>
    <w:lvl w:ilvl="0" w:tplc="E340A59C">
      <w:numFmt w:val="bullet"/>
      <w:lvlText w:val="-"/>
      <w:lvlJc w:val="left"/>
      <w:pPr>
        <w:ind w:left="720" w:hanging="360"/>
      </w:pPr>
      <w:rPr>
        <w:rFonts w:ascii="Arial" w:eastAsiaTheme="minorHAnsi" w:hAnsi="Arial" w:cs="Arial" w:hint="default"/>
        <w:color w:val="auto"/>
        <w:sz w:val="22"/>
      </w:rPr>
    </w:lvl>
    <w:lvl w:ilvl="1" w:tplc="0424000D">
      <w:start w:val="1"/>
      <w:numFmt w:val="bullet"/>
      <w:lvlText w:val=""/>
      <w:lvlJc w:val="left"/>
      <w:pPr>
        <w:ind w:left="1440" w:hanging="360"/>
      </w:pPr>
      <w:rPr>
        <w:rFonts w:ascii="Wingdings" w:hAnsi="Wingdings"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FDE303F"/>
    <w:multiLevelType w:val="hybridMultilevel"/>
    <w:tmpl w:val="5F78DDB8"/>
    <w:lvl w:ilvl="0" w:tplc="C8DEA0F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D50A78"/>
    <w:multiLevelType w:val="hybridMultilevel"/>
    <w:tmpl w:val="AEBC166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7B971ADF"/>
    <w:multiLevelType w:val="hybridMultilevel"/>
    <w:tmpl w:val="336C2DC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num>
  <w:num w:numId="11">
    <w:abstractNumId w:val="29"/>
    <w:lvlOverride w:ilvl="0">
      <w:startOverride w:val="1"/>
    </w:lvlOverride>
  </w:num>
  <w:num w:numId="12">
    <w:abstractNumId w:val="29"/>
  </w:num>
  <w:num w:numId="13">
    <w:abstractNumId w:val="20"/>
  </w:num>
  <w:num w:numId="14">
    <w:abstractNumId w:val="31"/>
  </w:num>
  <w:num w:numId="15">
    <w:abstractNumId w:val="16"/>
  </w:num>
  <w:num w:numId="16">
    <w:abstractNumId w:val="21"/>
  </w:num>
  <w:num w:numId="17">
    <w:abstractNumId w:val="22"/>
  </w:num>
  <w:num w:numId="18">
    <w:abstractNumId w:val="11"/>
  </w:num>
  <w:num w:numId="19">
    <w:abstractNumId w:val="30"/>
  </w:num>
  <w:num w:numId="20">
    <w:abstractNumId w:val="10"/>
  </w:num>
  <w:num w:numId="21">
    <w:abstractNumId w:val="23"/>
  </w:num>
  <w:num w:numId="22">
    <w:abstractNumId w:val="27"/>
  </w:num>
  <w:num w:numId="23">
    <w:abstractNumId w:val="28"/>
  </w:num>
  <w:num w:numId="24">
    <w:abstractNumId w:val="15"/>
  </w:num>
  <w:num w:numId="25">
    <w:abstractNumId w:val="26"/>
  </w:num>
  <w:num w:numId="26">
    <w:abstractNumId w:val="33"/>
  </w:num>
  <w:num w:numId="27">
    <w:abstractNumId w:val="12"/>
  </w:num>
  <w:num w:numId="28">
    <w:abstractNumId w:val="18"/>
  </w:num>
  <w:num w:numId="29">
    <w:abstractNumId w:val="25"/>
  </w:num>
  <w:num w:numId="30">
    <w:abstractNumId w:val="8"/>
  </w:num>
  <w:num w:numId="31">
    <w:abstractNumId w:val="13"/>
  </w:num>
  <w:num w:numId="32">
    <w:abstractNumId w:val="19"/>
  </w:num>
  <w:num w:numId="33">
    <w:abstractNumId w:val="32"/>
  </w:num>
  <w:num w:numId="34">
    <w:abstractNumId w:val="14"/>
  </w:num>
  <w:num w:numId="35">
    <w:abstractNumId w:val="24"/>
  </w:num>
  <w:num w:numId="36">
    <w:abstractNumId w:val="9"/>
  </w:num>
  <w:num w:numId="3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proofState w:spelling="clean" w:grammar="clean"/>
  <w:attachedTemplate r:id="rId1"/>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8 08:49: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E062E4C1-AF33-4E60-8579-C303A275411F"/>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Instrumenta za finan\u269?no podporo za upravljanje meja in vizumsko politiko za programsko obdobje 2021\u8211?2027 v skladu z Uredbo (EU) 2021/1148"/>
    <w:docVar w:name="LW_OBJETACTEPRINCIPAL.CP" w:val="o določitvi predloge za letna poročila o smotrnosti Instrumenta za finančno podporo za upravljanje meja in vizumsko politiko za programsko obdobje 2021–2027 v skladu z Uredbo (EU) 2021/1148"/>
    <w:docVar w:name="LW_PART_NBR" w:val="1"/>
    <w:docVar w:name="LW_PART_NBR_TOTAL" w:val="1"/>
    <w:docVar w:name="LW_REF.INST.NEW" w:val="C"/>
    <w:docVar w:name="LW_REF.INST.NEW_ADOPTED" w:val="final"/>
    <w:docVar w:name="LW_REF.INST.NEW_TEXT" w:val="(2023) 56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01F97"/>
    <w:rsid w:val="000133CF"/>
    <w:rsid w:val="00014F7C"/>
    <w:rsid w:val="0001528B"/>
    <w:rsid w:val="00015579"/>
    <w:rsid w:val="00015C4A"/>
    <w:rsid w:val="00026E75"/>
    <w:rsid w:val="00027FAF"/>
    <w:rsid w:val="000459A3"/>
    <w:rsid w:val="00046462"/>
    <w:rsid w:val="00053829"/>
    <w:rsid w:val="00070021"/>
    <w:rsid w:val="00075EDB"/>
    <w:rsid w:val="000776BD"/>
    <w:rsid w:val="00080B5C"/>
    <w:rsid w:val="00081CCF"/>
    <w:rsid w:val="00083808"/>
    <w:rsid w:val="00083BA7"/>
    <w:rsid w:val="00083CBC"/>
    <w:rsid w:val="000858E5"/>
    <w:rsid w:val="00085A16"/>
    <w:rsid w:val="00085D54"/>
    <w:rsid w:val="00090285"/>
    <w:rsid w:val="000903CC"/>
    <w:rsid w:val="00091AD6"/>
    <w:rsid w:val="000934B7"/>
    <w:rsid w:val="00093DFB"/>
    <w:rsid w:val="00095E27"/>
    <w:rsid w:val="0009616E"/>
    <w:rsid w:val="000A0779"/>
    <w:rsid w:val="000A273D"/>
    <w:rsid w:val="000B3480"/>
    <w:rsid w:val="000B526B"/>
    <w:rsid w:val="000B6DA6"/>
    <w:rsid w:val="000C122F"/>
    <w:rsid w:val="000C2574"/>
    <w:rsid w:val="000C4CC6"/>
    <w:rsid w:val="000D44D0"/>
    <w:rsid w:val="000E33A0"/>
    <w:rsid w:val="000E64F3"/>
    <w:rsid w:val="000F1C58"/>
    <w:rsid w:val="000F434E"/>
    <w:rsid w:val="001015BB"/>
    <w:rsid w:val="001042B2"/>
    <w:rsid w:val="00104E34"/>
    <w:rsid w:val="00105F4B"/>
    <w:rsid w:val="0010693A"/>
    <w:rsid w:val="001077B4"/>
    <w:rsid w:val="00111085"/>
    <w:rsid w:val="00111D07"/>
    <w:rsid w:val="00117E08"/>
    <w:rsid w:val="00122018"/>
    <w:rsid w:val="00122E97"/>
    <w:rsid w:val="00130970"/>
    <w:rsid w:val="001320D1"/>
    <w:rsid w:val="00134B90"/>
    <w:rsid w:val="00135D69"/>
    <w:rsid w:val="00141E24"/>
    <w:rsid w:val="0014670F"/>
    <w:rsid w:val="00151819"/>
    <w:rsid w:val="00152894"/>
    <w:rsid w:val="00153209"/>
    <w:rsid w:val="001540DD"/>
    <w:rsid w:val="0015448D"/>
    <w:rsid w:val="00154541"/>
    <w:rsid w:val="00173DC1"/>
    <w:rsid w:val="001772E2"/>
    <w:rsid w:val="00180C7E"/>
    <w:rsid w:val="00181A3F"/>
    <w:rsid w:val="00183B38"/>
    <w:rsid w:val="00190F0B"/>
    <w:rsid w:val="0019152D"/>
    <w:rsid w:val="0019378A"/>
    <w:rsid w:val="00197021"/>
    <w:rsid w:val="001A1F71"/>
    <w:rsid w:val="001A292A"/>
    <w:rsid w:val="001A685B"/>
    <w:rsid w:val="001B0FD1"/>
    <w:rsid w:val="001C0807"/>
    <w:rsid w:val="001C0998"/>
    <w:rsid w:val="001C13AA"/>
    <w:rsid w:val="001C1609"/>
    <w:rsid w:val="001C1E55"/>
    <w:rsid w:val="001C4994"/>
    <w:rsid w:val="001D175D"/>
    <w:rsid w:val="001D6E2E"/>
    <w:rsid w:val="001E0672"/>
    <w:rsid w:val="001E14D1"/>
    <w:rsid w:val="001E3E4B"/>
    <w:rsid w:val="001E42FD"/>
    <w:rsid w:val="001E5F94"/>
    <w:rsid w:val="001F1131"/>
    <w:rsid w:val="001F2147"/>
    <w:rsid w:val="001F4B12"/>
    <w:rsid w:val="001F71DC"/>
    <w:rsid w:val="00200C0C"/>
    <w:rsid w:val="0020278D"/>
    <w:rsid w:val="00202C38"/>
    <w:rsid w:val="00207477"/>
    <w:rsid w:val="002166C4"/>
    <w:rsid w:val="00216D79"/>
    <w:rsid w:val="002229DC"/>
    <w:rsid w:val="0023019F"/>
    <w:rsid w:val="00233356"/>
    <w:rsid w:val="00235298"/>
    <w:rsid w:val="00236574"/>
    <w:rsid w:val="0023755C"/>
    <w:rsid w:val="00244632"/>
    <w:rsid w:val="00244A46"/>
    <w:rsid w:val="00250914"/>
    <w:rsid w:val="00251735"/>
    <w:rsid w:val="002543DE"/>
    <w:rsid w:val="002547ED"/>
    <w:rsid w:val="00254824"/>
    <w:rsid w:val="00255FA8"/>
    <w:rsid w:val="0025781C"/>
    <w:rsid w:val="00260538"/>
    <w:rsid w:val="00260785"/>
    <w:rsid w:val="00267706"/>
    <w:rsid w:val="00270712"/>
    <w:rsid w:val="00271400"/>
    <w:rsid w:val="00277AF0"/>
    <w:rsid w:val="00277E24"/>
    <w:rsid w:val="002800A7"/>
    <w:rsid w:val="002800DD"/>
    <w:rsid w:val="00284CFA"/>
    <w:rsid w:val="00285046"/>
    <w:rsid w:val="0028620A"/>
    <w:rsid w:val="00291D52"/>
    <w:rsid w:val="002922A2"/>
    <w:rsid w:val="00296314"/>
    <w:rsid w:val="002975BA"/>
    <w:rsid w:val="002A1FE3"/>
    <w:rsid w:val="002A6B7D"/>
    <w:rsid w:val="002B2318"/>
    <w:rsid w:val="002B4C92"/>
    <w:rsid w:val="002B5086"/>
    <w:rsid w:val="002C4A46"/>
    <w:rsid w:val="002C60F2"/>
    <w:rsid w:val="002D571C"/>
    <w:rsid w:val="002E13C5"/>
    <w:rsid w:val="002E355D"/>
    <w:rsid w:val="002E5A3B"/>
    <w:rsid w:val="002F14B3"/>
    <w:rsid w:val="002F1935"/>
    <w:rsid w:val="002F5106"/>
    <w:rsid w:val="002F567C"/>
    <w:rsid w:val="003003B7"/>
    <w:rsid w:val="00305958"/>
    <w:rsid w:val="0031211D"/>
    <w:rsid w:val="003158EB"/>
    <w:rsid w:val="00321F2D"/>
    <w:rsid w:val="0032373D"/>
    <w:rsid w:val="00323AA1"/>
    <w:rsid w:val="00327883"/>
    <w:rsid w:val="00331956"/>
    <w:rsid w:val="00332A4B"/>
    <w:rsid w:val="00333222"/>
    <w:rsid w:val="00342129"/>
    <w:rsid w:val="003459B8"/>
    <w:rsid w:val="00347EE8"/>
    <w:rsid w:val="0035085A"/>
    <w:rsid w:val="00351C18"/>
    <w:rsid w:val="0035484F"/>
    <w:rsid w:val="00355929"/>
    <w:rsid w:val="0036026D"/>
    <w:rsid w:val="00360A6E"/>
    <w:rsid w:val="00363261"/>
    <w:rsid w:val="003651F7"/>
    <w:rsid w:val="0037290B"/>
    <w:rsid w:val="00373A05"/>
    <w:rsid w:val="0037403D"/>
    <w:rsid w:val="003923CA"/>
    <w:rsid w:val="00392A8C"/>
    <w:rsid w:val="003945F3"/>
    <w:rsid w:val="0039481C"/>
    <w:rsid w:val="003A14BE"/>
    <w:rsid w:val="003A6A89"/>
    <w:rsid w:val="003B217D"/>
    <w:rsid w:val="003B616F"/>
    <w:rsid w:val="003B706A"/>
    <w:rsid w:val="003B7598"/>
    <w:rsid w:val="003D54A1"/>
    <w:rsid w:val="003E338B"/>
    <w:rsid w:val="003E36B0"/>
    <w:rsid w:val="003E4922"/>
    <w:rsid w:val="003E49B2"/>
    <w:rsid w:val="003E754D"/>
    <w:rsid w:val="003E7D66"/>
    <w:rsid w:val="003E7F9C"/>
    <w:rsid w:val="00400A09"/>
    <w:rsid w:val="00402349"/>
    <w:rsid w:val="00402DEB"/>
    <w:rsid w:val="00405D43"/>
    <w:rsid w:val="004108D7"/>
    <w:rsid w:val="00410DEC"/>
    <w:rsid w:val="0041224B"/>
    <w:rsid w:val="00417407"/>
    <w:rsid w:val="0041789F"/>
    <w:rsid w:val="00420EC1"/>
    <w:rsid w:val="00435A0C"/>
    <w:rsid w:val="004371FD"/>
    <w:rsid w:val="00437336"/>
    <w:rsid w:val="004374D7"/>
    <w:rsid w:val="004414E6"/>
    <w:rsid w:val="0044327D"/>
    <w:rsid w:val="0044515F"/>
    <w:rsid w:val="00445597"/>
    <w:rsid w:val="00462F73"/>
    <w:rsid w:val="004630E2"/>
    <w:rsid w:val="00475B8F"/>
    <w:rsid w:val="00481574"/>
    <w:rsid w:val="0048218B"/>
    <w:rsid w:val="004827CC"/>
    <w:rsid w:val="00486B4E"/>
    <w:rsid w:val="00490445"/>
    <w:rsid w:val="0049684A"/>
    <w:rsid w:val="0049785B"/>
    <w:rsid w:val="004A30F9"/>
    <w:rsid w:val="004A6D1D"/>
    <w:rsid w:val="004B03FA"/>
    <w:rsid w:val="004B053D"/>
    <w:rsid w:val="004B3767"/>
    <w:rsid w:val="004B3C93"/>
    <w:rsid w:val="004B5C03"/>
    <w:rsid w:val="004D7779"/>
    <w:rsid w:val="004E137F"/>
    <w:rsid w:val="004E2A06"/>
    <w:rsid w:val="004F00F8"/>
    <w:rsid w:val="004F0A2D"/>
    <w:rsid w:val="004F1E95"/>
    <w:rsid w:val="004F202D"/>
    <w:rsid w:val="004F5E71"/>
    <w:rsid w:val="005000D5"/>
    <w:rsid w:val="00513ADE"/>
    <w:rsid w:val="00515026"/>
    <w:rsid w:val="00520A2F"/>
    <w:rsid w:val="0052377A"/>
    <w:rsid w:val="00523A9D"/>
    <w:rsid w:val="00523DE2"/>
    <w:rsid w:val="00532177"/>
    <w:rsid w:val="00535AC2"/>
    <w:rsid w:val="005363A0"/>
    <w:rsid w:val="005365AB"/>
    <w:rsid w:val="0053671E"/>
    <w:rsid w:val="00540775"/>
    <w:rsid w:val="00543793"/>
    <w:rsid w:val="00545857"/>
    <w:rsid w:val="00552015"/>
    <w:rsid w:val="00552A8B"/>
    <w:rsid w:val="005537AB"/>
    <w:rsid w:val="00555224"/>
    <w:rsid w:val="00555916"/>
    <w:rsid w:val="00561E3E"/>
    <w:rsid w:val="00562738"/>
    <w:rsid w:val="0056447F"/>
    <w:rsid w:val="00571255"/>
    <w:rsid w:val="0057136B"/>
    <w:rsid w:val="005809E2"/>
    <w:rsid w:val="00582244"/>
    <w:rsid w:val="00584E8C"/>
    <w:rsid w:val="005856EF"/>
    <w:rsid w:val="00591AB0"/>
    <w:rsid w:val="0059250C"/>
    <w:rsid w:val="00593DD3"/>
    <w:rsid w:val="005962DB"/>
    <w:rsid w:val="005A1285"/>
    <w:rsid w:val="005A3D19"/>
    <w:rsid w:val="005A64CB"/>
    <w:rsid w:val="005B0FF3"/>
    <w:rsid w:val="005B5B8B"/>
    <w:rsid w:val="005B69E9"/>
    <w:rsid w:val="005C02C1"/>
    <w:rsid w:val="005C15BF"/>
    <w:rsid w:val="005C1DB7"/>
    <w:rsid w:val="005C47C3"/>
    <w:rsid w:val="005E3B5B"/>
    <w:rsid w:val="005E4B96"/>
    <w:rsid w:val="005E568E"/>
    <w:rsid w:val="005F06A7"/>
    <w:rsid w:val="005F3499"/>
    <w:rsid w:val="00602316"/>
    <w:rsid w:val="0061234B"/>
    <w:rsid w:val="006140C2"/>
    <w:rsid w:val="00620513"/>
    <w:rsid w:val="00622F52"/>
    <w:rsid w:val="00623FB7"/>
    <w:rsid w:val="006240C5"/>
    <w:rsid w:val="00635C75"/>
    <w:rsid w:val="00636FE6"/>
    <w:rsid w:val="00646794"/>
    <w:rsid w:val="00656EC7"/>
    <w:rsid w:val="00662274"/>
    <w:rsid w:val="00681D27"/>
    <w:rsid w:val="00683DBB"/>
    <w:rsid w:val="006968E5"/>
    <w:rsid w:val="006A366B"/>
    <w:rsid w:val="006A41E2"/>
    <w:rsid w:val="006A4B05"/>
    <w:rsid w:val="006A64A2"/>
    <w:rsid w:val="006A7366"/>
    <w:rsid w:val="006B053D"/>
    <w:rsid w:val="006B1152"/>
    <w:rsid w:val="006B4337"/>
    <w:rsid w:val="006B5B67"/>
    <w:rsid w:val="006B67FE"/>
    <w:rsid w:val="006C0D1D"/>
    <w:rsid w:val="006C5C3B"/>
    <w:rsid w:val="006C7A9E"/>
    <w:rsid w:val="006D05D8"/>
    <w:rsid w:val="006D3501"/>
    <w:rsid w:val="006D67D2"/>
    <w:rsid w:val="006E268C"/>
    <w:rsid w:val="006E2DD3"/>
    <w:rsid w:val="006E6884"/>
    <w:rsid w:val="006F1E13"/>
    <w:rsid w:val="006F3C12"/>
    <w:rsid w:val="006F486A"/>
    <w:rsid w:val="006F5ACE"/>
    <w:rsid w:val="006F64DA"/>
    <w:rsid w:val="00701C55"/>
    <w:rsid w:val="007027D4"/>
    <w:rsid w:val="00705779"/>
    <w:rsid w:val="0071304E"/>
    <w:rsid w:val="00714C40"/>
    <w:rsid w:val="007161C6"/>
    <w:rsid w:val="0071685A"/>
    <w:rsid w:val="00721837"/>
    <w:rsid w:val="0072518C"/>
    <w:rsid w:val="00725598"/>
    <w:rsid w:val="00726D0A"/>
    <w:rsid w:val="0073178E"/>
    <w:rsid w:val="00731E01"/>
    <w:rsid w:val="00734F22"/>
    <w:rsid w:val="00736CBC"/>
    <w:rsid w:val="0074216E"/>
    <w:rsid w:val="00742497"/>
    <w:rsid w:val="007459ED"/>
    <w:rsid w:val="007478DA"/>
    <w:rsid w:val="00747C96"/>
    <w:rsid w:val="007532F9"/>
    <w:rsid w:val="00756B8B"/>
    <w:rsid w:val="00760682"/>
    <w:rsid w:val="007609D2"/>
    <w:rsid w:val="00761619"/>
    <w:rsid w:val="00761FFD"/>
    <w:rsid w:val="00766BB4"/>
    <w:rsid w:val="00774E62"/>
    <w:rsid w:val="0077621B"/>
    <w:rsid w:val="007775C9"/>
    <w:rsid w:val="0078295D"/>
    <w:rsid w:val="0078415E"/>
    <w:rsid w:val="0078471E"/>
    <w:rsid w:val="007850C9"/>
    <w:rsid w:val="00785B4C"/>
    <w:rsid w:val="007900D3"/>
    <w:rsid w:val="007903DC"/>
    <w:rsid w:val="00790F74"/>
    <w:rsid w:val="00794F0B"/>
    <w:rsid w:val="007B0547"/>
    <w:rsid w:val="007B6E22"/>
    <w:rsid w:val="007C672A"/>
    <w:rsid w:val="007C7AAC"/>
    <w:rsid w:val="007D0D22"/>
    <w:rsid w:val="007D11F7"/>
    <w:rsid w:val="007E005F"/>
    <w:rsid w:val="007E2F63"/>
    <w:rsid w:val="007E49C7"/>
    <w:rsid w:val="007F17A7"/>
    <w:rsid w:val="007F1A68"/>
    <w:rsid w:val="007F5B84"/>
    <w:rsid w:val="007F6345"/>
    <w:rsid w:val="008008F2"/>
    <w:rsid w:val="00804283"/>
    <w:rsid w:val="00804A12"/>
    <w:rsid w:val="00805D68"/>
    <w:rsid w:val="00806621"/>
    <w:rsid w:val="00810B93"/>
    <w:rsid w:val="00813DBC"/>
    <w:rsid w:val="00817DCD"/>
    <w:rsid w:val="00824438"/>
    <w:rsid w:val="00830E61"/>
    <w:rsid w:val="00831111"/>
    <w:rsid w:val="00836645"/>
    <w:rsid w:val="00836C96"/>
    <w:rsid w:val="00845587"/>
    <w:rsid w:val="00850414"/>
    <w:rsid w:val="00857C22"/>
    <w:rsid w:val="00860CF3"/>
    <w:rsid w:val="00865122"/>
    <w:rsid w:val="008671BE"/>
    <w:rsid w:val="00867816"/>
    <w:rsid w:val="008707B5"/>
    <w:rsid w:val="00872563"/>
    <w:rsid w:val="00874636"/>
    <w:rsid w:val="00874AA0"/>
    <w:rsid w:val="0087657F"/>
    <w:rsid w:val="00876FAC"/>
    <w:rsid w:val="00885D87"/>
    <w:rsid w:val="008908D4"/>
    <w:rsid w:val="00891DBC"/>
    <w:rsid w:val="00892376"/>
    <w:rsid w:val="00893A65"/>
    <w:rsid w:val="00893E4E"/>
    <w:rsid w:val="00894A2F"/>
    <w:rsid w:val="0089697F"/>
    <w:rsid w:val="008A02D6"/>
    <w:rsid w:val="008A18F9"/>
    <w:rsid w:val="008A200B"/>
    <w:rsid w:val="008A704D"/>
    <w:rsid w:val="008B1A84"/>
    <w:rsid w:val="008B27C2"/>
    <w:rsid w:val="008B7F82"/>
    <w:rsid w:val="008C0695"/>
    <w:rsid w:val="008C0AA5"/>
    <w:rsid w:val="008C3D9E"/>
    <w:rsid w:val="008C3E02"/>
    <w:rsid w:val="008C62C8"/>
    <w:rsid w:val="008C6A56"/>
    <w:rsid w:val="008D1226"/>
    <w:rsid w:val="008D2090"/>
    <w:rsid w:val="008D327B"/>
    <w:rsid w:val="008D3763"/>
    <w:rsid w:val="008D39CD"/>
    <w:rsid w:val="008D3E9F"/>
    <w:rsid w:val="008D6919"/>
    <w:rsid w:val="008D6A9D"/>
    <w:rsid w:val="008E1CAB"/>
    <w:rsid w:val="008F0509"/>
    <w:rsid w:val="008F1DB4"/>
    <w:rsid w:val="008F4E6A"/>
    <w:rsid w:val="008F5019"/>
    <w:rsid w:val="00900D70"/>
    <w:rsid w:val="009137B8"/>
    <w:rsid w:val="00914B22"/>
    <w:rsid w:val="00914C1B"/>
    <w:rsid w:val="009170CA"/>
    <w:rsid w:val="00917A55"/>
    <w:rsid w:val="0092270D"/>
    <w:rsid w:val="00927926"/>
    <w:rsid w:val="00927A94"/>
    <w:rsid w:val="00930399"/>
    <w:rsid w:val="00933FC4"/>
    <w:rsid w:val="009362A9"/>
    <w:rsid w:val="00940E4A"/>
    <w:rsid w:val="00943CAB"/>
    <w:rsid w:val="00945407"/>
    <w:rsid w:val="009462A4"/>
    <w:rsid w:val="00947F13"/>
    <w:rsid w:val="00951CE5"/>
    <w:rsid w:val="0095227B"/>
    <w:rsid w:val="00956638"/>
    <w:rsid w:val="00957881"/>
    <w:rsid w:val="00966640"/>
    <w:rsid w:val="009668A9"/>
    <w:rsid w:val="00967035"/>
    <w:rsid w:val="0097002C"/>
    <w:rsid w:val="00971D40"/>
    <w:rsid w:val="00972FC9"/>
    <w:rsid w:val="00982A84"/>
    <w:rsid w:val="00983335"/>
    <w:rsid w:val="00983339"/>
    <w:rsid w:val="00991EAF"/>
    <w:rsid w:val="0099568B"/>
    <w:rsid w:val="009A48FE"/>
    <w:rsid w:val="009A5A49"/>
    <w:rsid w:val="009B2000"/>
    <w:rsid w:val="009B2E94"/>
    <w:rsid w:val="009C2E85"/>
    <w:rsid w:val="009C3846"/>
    <w:rsid w:val="009D2860"/>
    <w:rsid w:val="009D3A7D"/>
    <w:rsid w:val="009D6E8E"/>
    <w:rsid w:val="009D7228"/>
    <w:rsid w:val="009E75AB"/>
    <w:rsid w:val="009F2252"/>
    <w:rsid w:val="009F716C"/>
    <w:rsid w:val="00A002B3"/>
    <w:rsid w:val="00A02CE9"/>
    <w:rsid w:val="00A0708A"/>
    <w:rsid w:val="00A11706"/>
    <w:rsid w:val="00A12DB1"/>
    <w:rsid w:val="00A148D3"/>
    <w:rsid w:val="00A17780"/>
    <w:rsid w:val="00A21690"/>
    <w:rsid w:val="00A21743"/>
    <w:rsid w:val="00A2271B"/>
    <w:rsid w:val="00A24854"/>
    <w:rsid w:val="00A27E34"/>
    <w:rsid w:val="00A31E26"/>
    <w:rsid w:val="00A37698"/>
    <w:rsid w:val="00A417FB"/>
    <w:rsid w:val="00A5395E"/>
    <w:rsid w:val="00A61670"/>
    <w:rsid w:val="00A726FE"/>
    <w:rsid w:val="00A72A4F"/>
    <w:rsid w:val="00A7322A"/>
    <w:rsid w:val="00A76A03"/>
    <w:rsid w:val="00A82CBD"/>
    <w:rsid w:val="00A847E6"/>
    <w:rsid w:val="00A94B82"/>
    <w:rsid w:val="00A97818"/>
    <w:rsid w:val="00AA2358"/>
    <w:rsid w:val="00AA5652"/>
    <w:rsid w:val="00AA6283"/>
    <w:rsid w:val="00AA72E3"/>
    <w:rsid w:val="00AB0131"/>
    <w:rsid w:val="00AB4FA4"/>
    <w:rsid w:val="00AC191B"/>
    <w:rsid w:val="00AC51D2"/>
    <w:rsid w:val="00AD502C"/>
    <w:rsid w:val="00AD5784"/>
    <w:rsid w:val="00AD69D6"/>
    <w:rsid w:val="00AE0ADB"/>
    <w:rsid w:val="00AE5793"/>
    <w:rsid w:val="00AE5A8C"/>
    <w:rsid w:val="00AE5AA2"/>
    <w:rsid w:val="00AE6411"/>
    <w:rsid w:val="00AE78DE"/>
    <w:rsid w:val="00AF2D41"/>
    <w:rsid w:val="00AF5A2E"/>
    <w:rsid w:val="00AF65B7"/>
    <w:rsid w:val="00AF6802"/>
    <w:rsid w:val="00AF78FB"/>
    <w:rsid w:val="00B00D91"/>
    <w:rsid w:val="00B03A44"/>
    <w:rsid w:val="00B043A6"/>
    <w:rsid w:val="00B07595"/>
    <w:rsid w:val="00B103F8"/>
    <w:rsid w:val="00B11FC9"/>
    <w:rsid w:val="00B12F52"/>
    <w:rsid w:val="00B14CCD"/>
    <w:rsid w:val="00B15327"/>
    <w:rsid w:val="00B1711F"/>
    <w:rsid w:val="00B21A52"/>
    <w:rsid w:val="00B22BCD"/>
    <w:rsid w:val="00B2365F"/>
    <w:rsid w:val="00B2641A"/>
    <w:rsid w:val="00B31877"/>
    <w:rsid w:val="00B31F1F"/>
    <w:rsid w:val="00B51C20"/>
    <w:rsid w:val="00B52073"/>
    <w:rsid w:val="00B53969"/>
    <w:rsid w:val="00B54804"/>
    <w:rsid w:val="00B5488D"/>
    <w:rsid w:val="00B576A7"/>
    <w:rsid w:val="00B57823"/>
    <w:rsid w:val="00B60C80"/>
    <w:rsid w:val="00B62194"/>
    <w:rsid w:val="00B64C65"/>
    <w:rsid w:val="00B67D57"/>
    <w:rsid w:val="00B71583"/>
    <w:rsid w:val="00B72B08"/>
    <w:rsid w:val="00B7425B"/>
    <w:rsid w:val="00B75806"/>
    <w:rsid w:val="00B80600"/>
    <w:rsid w:val="00B80D67"/>
    <w:rsid w:val="00B83642"/>
    <w:rsid w:val="00B84432"/>
    <w:rsid w:val="00B8569E"/>
    <w:rsid w:val="00B86258"/>
    <w:rsid w:val="00B913DF"/>
    <w:rsid w:val="00B93290"/>
    <w:rsid w:val="00BA6A94"/>
    <w:rsid w:val="00BA6E76"/>
    <w:rsid w:val="00BB0A1C"/>
    <w:rsid w:val="00BB5A02"/>
    <w:rsid w:val="00BC3884"/>
    <w:rsid w:val="00BC4E1A"/>
    <w:rsid w:val="00BC5F3E"/>
    <w:rsid w:val="00BC7BB1"/>
    <w:rsid w:val="00BD1D18"/>
    <w:rsid w:val="00BD5A8A"/>
    <w:rsid w:val="00BE0854"/>
    <w:rsid w:val="00BE2A37"/>
    <w:rsid w:val="00BE4DB1"/>
    <w:rsid w:val="00BE551E"/>
    <w:rsid w:val="00BE65E9"/>
    <w:rsid w:val="00BE662A"/>
    <w:rsid w:val="00BF0850"/>
    <w:rsid w:val="00BF6305"/>
    <w:rsid w:val="00C071D3"/>
    <w:rsid w:val="00C07548"/>
    <w:rsid w:val="00C150E0"/>
    <w:rsid w:val="00C20312"/>
    <w:rsid w:val="00C21D44"/>
    <w:rsid w:val="00C22CA9"/>
    <w:rsid w:val="00C22D54"/>
    <w:rsid w:val="00C247E2"/>
    <w:rsid w:val="00C24B42"/>
    <w:rsid w:val="00C24DA2"/>
    <w:rsid w:val="00C267A3"/>
    <w:rsid w:val="00C316BD"/>
    <w:rsid w:val="00C32F50"/>
    <w:rsid w:val="00C338CD"/>
    <w:rsid w:val="00C401C7"/>
    <w:rsid w:val="00C40797"/>
    <w:rsid w:val="00C42346"/>
    <w:rsid w:val="00C439D7"/>
    <w:rsid w:val="00C45A19"/>
    <w:rsid w:val="00C51C64"/>
    <w:rsid w:val="00C56E81"/>
    <w:rsid w:val="00C62604"/>
    <w:rsid w:val="00C629AE"/>
    <w:rsid w:val="00C70734"/>
    <w:rsid w:val="00C714E8"/>
    <w:rsid w:val="00C71B80"/>
    <w:rsid w:val="00C8307A"/>
    <w:rsid w:val="00C841D2"/>
    <w:rsid w:val="00C86961"/>
    <w:rsid w:val="00C965F8"/>
    <w:rsid w:val="00CA1861"/>
    <w:rsid w:val="00CA4A64"/>
    <w:rsid w:val="00CA72EE"/>
    <w:rsid w:val="00CB4E99"/>
    <w:rsid w:val="00CB565B"/>
    <w:rsid w:val="00CC40A0"/>
    <w:rsid w:val="00CC619E"/>
    <w:rsid w:val="00CC77AB"/>
    <w:rsid w:val="00CD048E"/>
    <w:rsid w:val="00CD3B24"/>
    <w:rsid w:val="00CD5C9A"/>
    <w:rsid w:val="00CE274F"/>
    <w:rsid w:val="00CE59B9"/>
    <w:rsid w:val="00CE6678"/>
    <w:rsid w:val="00CE6C57"/>
    <w:rsid w:val="00CE6F79"/>
    <w:rsid w:val="00CF3499"/>
    <w:rsid w:val="00CF524F"/>
    <w:rsid w:val="00CF6F63"/>
    <w:rsid w:val="00CF73D2"/>
    <w:rsid w:val="00CF742E"/>
    <w:rsid w:val="00CF74E9"/>
    <w:rsid w:val="00D0054A"/>
    <w:rsid w:val="00D0691F"/>
    <w:rsid w:val="00D07095"/>
    <w:rsid w:val="00D138D3"/>
    <w:rsid w:val="00D139E5"/>
    <w:rsid w:val="00D17541"/>
    <w:rsid w:val="00D21661"/>
    <w:rsid w:val="00D23A6D"/>
    <w:rsid w:val="00D23B57"/>
    <w:rsid w:val="00D24F61"/>
    <w:rsid w:val="00D2663D"/>
    <w:rsid w:val="00D27059"/>
    <w:rsid w:val="00D27AD1"/>
    <w:rsid w:val="00D303A4"/>
    <w:rsid w:val="00D30870"/>
    <w:rsid w:val="00D36994"/>
    <w:rsid w:val="00D40AED"/>
    <w:rsid w:val="00D46BB0"/>
    <w:rsid w:val="00D569AB"/>
    <w:rsid w:val="00D6590A"/>
    <w:rsid w:val="00D65A42"/>
    <w:rsid w:val="00D70BC5"/>
    <w:rsid w:val="00D7597C"/>
    <w:rsid w:val="00D76B19"/>
    <w:rsid w:val="00D821C7"/>
    <w:rsid w:val="00D8312A"/>
    <w:rsid w:val="00D840A7"/>
    <w:rsid w:val="00D856A3"/>
    <w:rsid w:val="00D911BC"/>
    <w:rsid w:val="00D92717"/>
    <w:rsid w:val="00D95A83"/>
    <w:rsid w:val="00DA11E5"/>
    <w:rsid w:val="00DA44BA"/>
    <w:rsid w:val="00DA70A3"/>
    <w:rsid w:val="00DB17CF"/>
    <w:rsid w:val="00DB4106"/>
    <w:rsid w:val="00DB4B0E"/>
    <w:rsid w:val="00DB6852"/>
    <w:rsid w:val="00DC1A17"/>
    <w:rsid w:val="00DC3C8A"/>
    <w:rsid w:val="00DD105A"/>
    <w:rsid w:val="00DD1128"/>
    <w:rsid w:val="00DD3108"/>
    <w:rsid w:val="00DD31FA"/>
    <w:rsid w:val="00DE17ED"/>
    <w:rsid w:val="00DE2722"/>
    <w:rsid w:val="00DE6181"/>
    <w:rsid w:val="00DF49E1"/>
    <w:rsid w:val="00DF68E6"/>
    <w:rsid w:val="00DF77FD"/>
    <w:rsid w:val="00DF7BF3"/>
    <w:rsid w:val="00E00B9B"/>
    <w:rsid w:val="00E04A5C"/>
    <w:rsid w:val="00E11D68"/>
    <w:rsid w:val="00E20371"/>
    <w:rsid w:val="00E23C83"/>
    <w:rsid w:val="00E27C9A"/>
    <w:rsid w:val="00E304F0"/>
    <w:rsid w:val="00E31164"/>
    <w:rsid w:val="00E3390F"/>
    <w:rsid w:val="00E42FB0"/>
    <w:rsid w:val="00E43934"/>
    <w:rsid w:val="00E45665"/>
    <w:rsid w:val="00E457CC"/>
    <w:rsid w:val="00E45982"/>
    <w:rsid w:val="00E460DE"/>
    <w:rsid w:val="00E52ED9"/>
    <w:rsid w:val="00E55D50"/>
    <w:rsid w:val="00E57726"/>
    <w:rsid w:val="00E60FB1"/>
    <w:rsid w:val="00E64B94"/>
    <w:rsid w:val="00E80570"/>
    <w:rsid w:val="00E83E69"/>
    <w:rsid w:val="00E840B0"/>
    <w:rsid w:val="00E9229D"/>
    <w:rsid w:val="00E92EAC"/>
    <w:rsid w:val="00E94434"/>
    <w:rsid w:val="00E9451D"/>
    <w:rsid w:val="00E9573D"/>
    <w:rsid w:val="00E9783C"/>
    <w:rsid w:val="00EA113A"/>
    <w:rsid w:val="00EA7986"/>
    <w:rsid w:val="00EB15FB"/>
    <w:rsid w:val="00EB3142"/>
    <w:rsid w:val="00EB4DBF"/>
    <w:rsid w:val="00EC2E11"/>
    <w:rsid w:val="00ED111D"/>
    <w:rsid w:val="00ED2D48"/>
    <w:rsid w:val="00ED3594"/>
    <w:rsid w:val="00ED3E23"/>
    <w:rsid w:val="00ED6A6E"/>
    <w:rsid w:val="00EE3846"/>
    <w:rsid w:val="00EE5052"/>
    <w:rsid w:val="00EE6F58"/>
    <w:rsid w:val="00EF1562"/>
    <w:rsid w:val="00F01533"/>
    <w:rsid w:val="00F01869"/>
    <w:rsid w:val="00F1081C"/>
    <w:rsid w:val="00F12B44"/>
    <w:rsid w:val="00F1473E"/>
    <w:rsid w:val="00F16A60"/>
    <w:rsid w:val="00F20874"/>
    <w:rsid w:val="00F24F58"/>
    <w:rsid w:val="00F27053"/>
    <w:rsid w:val="00F27903"/>
    <w:rsid w:val="00F27E37"/>
    <w:rsid w:val="00F30684"/>
    <w:rsid w:val="00F31177"/>
    <w:rsid w:val="00F3358C"/>
    <w:rsid w:val="00F34C75"/>
    <w:rsid w:val="00F37DD7"/>
    <w:rsid w:val="00F4010A"/>
    <w:rsid w:val="00F42C44"/>
    <w:rsid w:val="00F46BD5"/>
    <w:rsid w:val="00F46D57"/>
    <w:rsid w:val="00F47EA7"/>
    <w:rsid w:val="00F529BE"/>
    <w:rsid w:val="00F55119"/>
    <w:rsid w:val="00F611C1"/>
    <w:rsid w:val="00F67231"/>
    <w:rsid w:val="00F70AC4"/>
    <w:rsid w:val="00F72229"/>
    <w:rsid w:val="00F770B4"/>
    <w:rsid w:val="00F7790E"/>
    <w:rsid w:val="00F91152"/>
    <w:rsid w:val="00F933ED"/>
    <w:rsid w:val="00F97622"/>
    <w:rsid w:val="00FA20F7"/>
    <w:rsid w:val="00FA3952"/>
    <w:rsid w:val="00FA3A7B"/>
    <w:rsid w:val="00FA5A5C"/>
    <w:rsid w:val="00FB2E79"/>
    <w:rsid w:val="00FB7043"/>
    <w:rsid w:val="00FC1EE3"/>
    <w:rsid w:val="00FC60B8"/>
    <w:rsid w:val="00FD0A30"/>
    <w:rsid w:val="00FD144E"/>
    <w:rsid w:val="00FD1AD2"/>
    <w:rsid w:val="00FD469F"/>
    <w:rsid w:val="00FD4891"/>
    <w:rsid w:val="00FF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68D023F"/>
  <w15:docId w15:val="{F1047FA5-3F82-421D-87AF-F0953149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37DD7"/>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19"/>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19"/>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19"/>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19"/>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19"/>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19"/>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19"/>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F27903"/>
    <w:pPr>
      <w:tabs>
        <w:tab w:val="center" w:pos="4535"/>
        <w:tab w:val="right" w:pos="9071"/>
      </w:tabs>
      <w:spacing w:before="0"/>
    </w:pPr>
  </w:style>
  <w:style w:type="character" w:customStyle="1" w:styleId="GlavaZnak">
    <w:name w:val="Glava Znak"/>
    <w:basedOn w:val="Privzetapisavaodstavka"/>
    <w:link w:val="Glava"/>
    <w:uiPriority w:val="99"/>
    <w:rsid w:val="00F27903"/>
    <w:rPr>
      <w:rFonts w:ascii="Times New Roman" w:hAnsi="Times New Roman" w:cs="Times New Roman"/>
      <w:sz w:val="24"/>
      <w:lang w:val="sl-SI"/>
    </w:rPr>
  </w:style>
  <w:style w:type="paragraph" w:styleId="Noga">
    <w:name w:val="footer"/>
    <w:basedOn w:val="Navaden"/>
    <w:link w:val="NogaZnak"/>
    <w:uiPriority w:val="99"/>
    <w:unhideWhenUsed/>
    <w:rsid w:val="00F27903"/>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F27903"/>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F27903"/>
    <w:pPr>
      <w:tabs>
        <w:tab w:val="center" w:pos="7285"/>
        <w:tab w:val="right" w:pos="14003"/>
      </w:tabs>
      <w:spacing w:before="0"/>
    </w:pPr>
  </w:style>
  <w:style w:type="paragraph" w:customStyle="1" w:styleId="FooterLandscape">
    <w:name w:val="FooterLandscape"/>
    <w:basedOn w:val="Navaden"/>
    <w:rsid w:val="00F27903"/>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F2790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F27903"/>
    <w:pPr>
      <w:spacing w:before="0"/>
      <w:jc w:val="right"/>
    </w:pPr>
    <w:rPr>
      <w:sz w:val="28"/>
    </w:rPr>
  </w:style>
  <w:style w:type="paragraph" w:customStyle="1" w:styleId="FooterSensitivity">
    <w:name w:val="Footer Sensitivity"/>
    <w:basedOn w:val="Navaden"/>
    <w:rsid w:val="00F2790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8"/>
      </w:numPr>
    </w:pPr>
  </w:style>
  <w:style w:type="paragraph" w:customStyle="1" w:styleId="NumPar2">
    <w:name w:val="NumPar 2"/>
    <w:basedOn w:val="Navaden"/>
    <w:next w:val="Text1"/>
    <w:pPr>
      <w:numPr>
        <w:ilvl w:val="1"/>
        <w:numId w:val="18"/>
      </w:numPr>
    </w:pPr>
  </w:style>
  <w:style w:type="paragraph" w:customStyle="1" w:styleId="NumPar3">
    <w:name w:val="NumPar 3"/>
    <w:basedOn w:val="Navaden"/>
    <w:next w:val="Text1"/>
    <w:pPr>
      <w:numPr>
        <w:ilvl w:val="2"/>
        <w:numId w:val="18"/>
      </w:numPr>
    </w:pPr>
  </w:style>
  <w:style w:type="paragraph" w:customStyle="1" w:styleId="NumPar4">
    <w:name w:val="NumPar 4"/>
    <w:basedOn w:val="Navaden"/>
    <w:next w:val="Text1"/>
    <w:pPr>
      <w:numPr>
        <w:ilvl w:val="3"/>
        <w:numId w:val="18"/>
      </w:numPr>
    </w:pPr>
  </w:style>
  <w:style w:type="paragraph" w:customStyle="1" w:styleId="NumPar5">
    <w:name w:val="NumPar 5"/>
    <w:basedOn w:val="Navaden"/>
    <w:next w:val="Text2"/>
    <w:pPr>
      <w:numPr>
        <w:ilvl w:val="4"/>
        <w:numId w:val="18"/>
      </w:numPr>
    </w:pPr>
  </w:style>
  <w:style w:type="paragraph" w:customStyle="1" w:styleId="NumPar6">
    <w:name w:val="NumPar 6"/>
    <w:basedOn w:val="Navaden"/>
    <w:next w:val="Text2"/>
    <w:pPr>
      <w:numPr>
        <w:ilvl w:val="5"/>
        <w:numId w:val="18"/>
      </w:numPr>
    </w:pPr>
  </w:style>
  <w:style w:type="paragraph" w:customStyle="1" w:styleId="NumPar7">
    <w:name w:val="NumPar 7"/>
    <w:basedOn w:val="Navaden"/>
    <w:next w:val="Text2"/>
    <w:pPr>
      <w:numPr>
        <w:ilvl w:val="6"/>
        <w:numId w:val="18"/>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20"/>
      </w:numPr>
    </w:pPr>
  </w:style>
  <w:style w:type="paragraph" w:customStyle="1" w:styleId="Point1number">
    <w:name w:val="Point 1 (number)"/>
    <w:basedOn w:val="Navaden"/>
    <w:pPr>
      <w:numPr>
        <w:ilvl w:val="2"/>
        <w:numId w:val="20"/>
      </w:numPr>
    </w:pPr>
  </w:style>
  <w:style w:type="paragraph" w:customStyle="1" w:styleId="Point2number">
    <w:name w:val="Point 2 (number)"/>
    <w:basedOn w:val="Navaden"/>
    <w:pPr>
      <w:numPr>
        <w:ilvl w:val="4"/>
        <w:numId w:val="20"/>
      </w:numPr>
    </w:pPr>
  </w:style>
  <w:style w:type="paragraph" w:customStyle="1" w:styleId="Point3number">
    <w:name w:val="Point 3 (number)"/>
    <w:basedOn w:val="Navaden"/>
    <w:pPr>
      <w:numPr>
        <w:ilvl w:val="6"/>
        <w:numId w:val="20"/>
      </w:numPr>
    </w:pPr>
  </w:style>
  <w:style w:type="paragraph" w:customStyle="1" w:styleId="Point0letter">
    <w:name w:val="Point 0 (letter)"/>
    <w:basedOn w:val="Navaden"/>
    <w:pPr>
      <w:numPr>
        <w:ilvl w:val="1"/>
        <w:numId w:val="20"/>
      </w:numPr>
    </w:pPr>
  </w:style>
  <w:style w:type="paragraph" w:customStyle="1" w:styleId="Point1letter">
    <w:name w:val="Point 1 (letter)"/>
    <w:basedOn w:val="Navaden"/>
    <w:pPr>
      <w:numPr>
        <w:ilvl w:val="3"/>
        <w:numId w:val="20"/>
      </w:numPr>
    </w:pPr>
  </w:style>
  <w:style w:type="paragraph" w:customStyle="1" w:styleId="Point2letter">
    <w:name w:val="Point 2 (letter)"/>
    <w:basedOn w:val="Navaden"/>
    <w:pPr>
      <w:numPr>
        <w:ilvl w:val="5"/>
        <w:numId w:val="20"/>
      </w:numPr>
    </w:pPr>
  </w:style>
  <w:style w:type="paragraph" w:customStyle="1" w:styleId="Point3letter">
    <w:name w:val="Point 3 (letter)"/>
    <w:basedOn w:val="Navaden"/>
    <w:pPr>
      <w:numPr>
        <w:ilvl w:val="7"/>
        <w:numId w:val="20"/>
      </w:numPr>
    </w:pPr>
  </w:style>
  <w:style w:type="paragraph" w:customStyle="1" w:styleId="Point4letter">
    <w:name w:val="Point 4 (letter)"/>
    <w:basedOn w:val="Navaden"/>
    <w:pPr>
      <w:numPr>
        <w:ilvl w:val="8"/>
        <w:numId w:val="20"/>
      </w:numPr>
    </w:pPr>
  </w:style>
  <w:style w:type="paragraph" w:customStyle="1" w:styleId="Bullet0">
    <w:name w:val="Bullet 0"/>
    <w:basedOn w:val="Navaden"/>
    <w:pPr>
      <w:numPr>
        <w:numId w:val="21"/>
      </w:numPr>
    </w:pPr>
  </w:style>
  <w:style w:type="paragraph" w:customStyle="1" w:styleId="Bullet1">
    <w:name w:val="Bullet 1"/>
    <w:basedOn w:val="Navaden"/>
    <w:pPr>
      <w:numPr>
        <w:numId w:val="22"/>
      </w:numPr>
    </w:pPr>
  </w:style>
  <w:style w:type="paragraph" w:customStyle="1" w:styleId="Bullet2">
    <w:name w:val="Bullet 2"/>
    <w:basedOn w:val="Navaden"/>
    <w:pPr>
      <w:numPr>
        <w:numId w:val="23"/>
      </w:numPr>
    </w:pPr>
  </w:style>
  <w:style w:type="paragraph" w:customStyle="1" w:styleId="Bullet3">
    <w:name w:val="Bullet 3"/>
    <w:basedOn w:val="Navaden"/>
    <w:pPr>
      <w:numPr>
        <w:numId w:val="24"/>
      </w:numPr>
    </w:pPr>
  </w:style>
  <w:style w:type="paragraph" w:customStyle="1" w:styleId="Bullet4">
    <w:name w:val="Bullet 4"/>
    <w:basedOn w:val="Navaden"/>
    <w:pPr>
      <w:numPr>
        <w:numId w:val="25"/>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6"/>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table" w:customStyle="1" w:styleId="Tabelamrea1">
    <w:name w:val="Tabela – mreža1"/>
    <w:basedOn w:val="Navadnatabela"/>
    <w:next w:val="Tabelamrea"/>
    <w:uiPriority w:val="59"/>
    <w:rsid w:val="00FD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729158452">
      <w:bodyDiv w:val="1"/>
      <w:marLeft w:val="0"/>
      <w:marRight w:val="0"/>
      <w:marTop w:val="0"/>
      <w:marBottom w:val="0"/>
      <w:divBdr>
        <w:top w:val="none" w:sz="0" w:space="0" w:color="auto"/>
        <w:left w:val="none" w:sz="0" w:space="0" w:color="auto"/>
        <w:bottom w:val="none" w:sz="0" w:space="0" w:color="auto"/>
        <w:right w:val="none" w:sz="0" w:space="0" w:color="auto"/>
      </w:divBdr>
    </w:div>
    <w:div w:id="890461663">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232349714">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 w:id="21042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SL/AUTO/?uri=celex:32023D02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regional_policy/whats-new/conferences/inform-network/inform-27052024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L/AUTO/?uri=celex:32023D020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AUTO/?uri=OJ:L:2019:135:TOC" TargetMode="External"/><Relationship Id="rId1" Type="http://schemas.openxmlformats.org/officeDocument/2006/relationships/hyperlink" Target="https://eur-lex.europa.eu/legal-content/SL/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3CD57-CD58-4958-B50E-1550973E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3.xml><?xml version="1.0" encoding="utf-8"?>
<ds:datastoreItem xmlns:ds="http://schemas.openxmlformats.org/officeDocument/2006/customXml" ds:itemID="{75356D46-FC06-4E2C-B7DB-6E99CB91049A}">
  <ds:schemaRefs>
    <ds:schemaRef ds:uri="5843c966-cb45-4885-93fc-2ce78a94204b"/>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ac131f03-315b-4cd8-8e3a-6189969fd4f0"/>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BA2B956-F4D0-47AB-96CA-A8DBBB72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1</TotalTime>
  <Pages>19</Pages>
  <Words>9782</Words>
  <Characters>55763</Characters>
  <Application>Microsoft Office Word</Application>
  <DocSecurity>0</DocSecurity>
  <Lines>464</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dc:description/>
  <cp:lastModifiedBy>Mirjam Senčar </cp:lastModifiedBy>
  <cp:revision>3</cp:revision>
  <cp:lastPrinted>2022-09-22T13:13:00Z</cp:lastPrinted>
  <dcterms:created xsi:type="dcterms:W3CDTF">2025-01-28T07:38:00Z</dcterms:created>
  <dcterms:modified xsi:type="dcterms:W3CDTF">2025-01-28T07:39:00Z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