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79B89" w14:textId="77777777" w:rsidR="00152894" w:rsidRPr="003A1616" w:rsidRDefault="008F15E7" w:rsidP="006A41E2">
      <w:pPr>
        <w:pStyle w:val="Annexetitre"/>
        <w:rPr>
          <w:noProof/>
        </w:rPr>
      </w:pPr>
      <w:r w:rsidRPr="003A1616">
        <w:rPr>
          <w:noProof/>
        </w:rPr>
        <w:t>L</w:t>
      </w:r>
      <w:r w:rsidR="00EA2959" w:rsidRPr="003A1616">
        <w:rPr>
          <w:noProof/>
        </w:rPr>
        <w:t xml:space="preserve">etno poročilo o smotrnosti Sklada za notranjo varnost iz </w:t>
      </w:r>
      <w:r w:rsidRPr="003A1616">
        <w:rPr>
          <w:noProof/>
        </w:rPr>
        <w:t>člena 30 Uredbe (EU) 2021/1149</w:t>
      </w:r>
    </w:p>
    <w:p w14:paraId="5FA682FA" w14:textId="77777777" w:rsidR="006A41E2" w:rsidRPr="003A1616" w:rsidRDefault="006A41E2" w:rsidP="006A41E2">
      <w:pPr>
        <w:pStyle w:val="ManualHeading1"/>
        <w:rPr>
          <w:noProof/>
        </w:rPr>
      </w:pPr>
      <w:r w:rsidRPr="003A1616">
        <w:rPr>
          <w:noProof/>
        </w:rPr>
        <w:t>OPREDELITEV</w:t>
      </w:r>
    </w:p>
    <w:tbl>
      <w:tblPr>
        <w:tblStyle w:val="Tabelamrea"/>
        <w:tblW w:w="9289" w:type="dxa"/>
        <w:tblLook w:val="04A0" w:firstRow="1" w:lastRow="0" w:firstColumn="1" w:lastColumn="0" w:noHBand="0" w:noVBand="1"/>
      </w:tblPr>
      <w:tblGrid>
        <w:gridCol w:w="4644"/>
        <w:gridCol w:w="4645"/>
      </w:tblGrid>
      <w:tr w:rsidR="00832BD0" w:rsidRPr="003A1616" w14:paraId="7671C329" w14:textId="77777777" w:rsidTr="00832BD0">
        <w:tc>
          <w:tcPr>
            <w:tcW w:w="4644" w:type="dxa"/>
          </w:tcPr>
          <w:p w14:paraId="11FB911B" w14:textId="77777777" w:rsidR="00832BD0" w:rsidRPr="003A1616" w:rsidRDefault="00832BD0" w:rsidP="00832BD0">
            <w:pPr>
              <w:pStyle w:val="Personnequisigne"/>
              <w:rPr>
                <w:noProof/>
              </w:rPr>
            </w:pPr>
            <w:r w:rsidRPr="003A1616">
              <w:rPr>
                <w:noProof/>
              </w:rPr>
              <w:t>CCI</w:t>
            </w:r>
          </w:p>
        </w:tc>
        <w:tc>
          <w:tcPr>
            <w:tcW w:w="4645" w:type="dxa"/>
          </w:tcPr>
          <w:p w14:paraId="7AFA7BF1" w14:textId="77777777" w:rsidR="00832BD0" w:rsidRPr="003A1616" w:rsidRDefault="00832BD0" w:rsidP="00832BD0">
            <w:pPr>
              <w:pStyle w:val="Personnequisigne"/>
              <w:rPr>
                <w:noProof/>
              </w:rPr>
            </w:pPr>
            <w:r w:rsidRPr="003A1616">
              <w:rPr>
                <w:noProof/>
              </w:rPr>
              <w:t>2021SI65ISPR001</w:t>
            </w:r>
          </w:p>
        </w:tc>
      </w:tr>
      <w:tr w:rsidR="00832BD0" w:rsidRPr="003A1616" w14:paraId="2591332E" w14:textId="77777777" w:rsidTr="00832BD0">
        <w:tc>
          <w:tcPr>
            <w:tcW w:w="4644" w:type="dxa"/>
          </w:tcPr>
          <w:p w14:paraId="0558EA6B" w14:textId="77777777" w:rsidR="00832BD0" w:rsidRPr="003A1616" w:rsidRDefault="00832BD0" w:rsidP="00832BD0">
            <w:pPr>
              <w:pStyle w:val="Personnequisigne"/>
              <w:rPr>
                <w:noProof/>
              </w:rPr>
            </w:pPr>
            <w:r w:rsidRPr="003A1616">
              <w:rPr>
                <w:noProof/>
              </w:rPr>
              <w:t>Naslov</w:t>
            </w:r>
          </w:p>
        </w:tc>
        <w:tc>
          <w:tcPr>
            <w:tcW w:w="4645" w:type="dxa"/>
          </w:tcPr>
          <w:p w14:paraId="3F25BB5A" w14:textId="77777777" w:rsidR="00832BD0" w:rsidRPr="003A1616" w:rsidRDefault="00832BD0" w:rsidP="00832BD0">
            <w:pPr>
              <w:pStyle w:val="Personnequisigne"/>
              <w:rPr>
                <w:noProof/>
              </w:rPr>
            </w:pPr>
            <w:r w:rsidRPr="003A1616">
              <w:rPr>
                <w:noProof/>
              </w:rPr>
              <w:t>Programme Slovenia-ISF</w:t>
            </w:r>
          </w:p>
        </w:tc>
      </w:tr>
      <w:tr w:rsidR="00832BD0" w:rsidRPr="003A1616" w14:paraId="2438DD9A" w14:textId="77777777" w:rsidTr="00832BD0">
        <w:tc>
          <w:tcPr>
            <w:tcW w:w="4644" w:type="dxa"/>
          </w:tcPr>
          <w:p w14:paraId="4E652A20" w14:textId="77777777" w:rsidR="00832BD0" w:rsidRPr="003A1616" w:rsidRDefault="00832BD0" w:rsidP="00832BD0">
            <w:pPr>
              <w:pStyle w:val="Personnequisigne"/>
              <w:rPr>
                <w:noProof/>
              </w:rPr>
            </w:pPr>
            <w:r w:rsidRPr="003A1616">
              <w:rPr>
                <w:noProof/>
              </w:rPr>
              <w:t>Različica</w:t>
            </w:r>
          </w:p>
        </w:tc>
        <w:tc>
          <w:tcPr>
            <w:tcW w:w="4645" w:type="dxa"/>
          </w:tcPr>
          <w:p w14:paraId="1A0DF33B" w14:textId="77777777" w:rsidR="00832BD0" w:rsidRPr="003A1616" w:rsidRDefault="00AA72B1" w:rsidP="00832BD0">
            <w:pPr>
              <w:pStyle w:val="Personnequisigne"/>
              <w:rPr>
                <w:noProof/>
              </w:rPr>
            </w:pPr>
            <w:r>
              <w:rPr>
                <w:noProof/>
              </w:rPr>
              <w:t>1</w:t>
            </w:r>
            <w:r w:rsidR="00832BD0" w:rsidRPr="003A1616">
              <w:rPr>
                <w:noProof/>
              </w:rPr>
              <w:t>.0</w:t>
            </w:r>
          </w:p>
        </w:tc>
      </w:tr>
      <w:tr w:rsidR="00832BD0" w:rsidRPr="003A1616" w14:paraId="60D33CC8" w14:textId="77777777" w:rsidTr="00832BD0">
        <w:tc>
          <w:tcPr>
            <w:tcW w:w="4644" w:type="dxa"/>
          </w:tcPr>
          <w:p w14:paraId="349A1524" w14:textId="77777777" w:rsidR="00832BD0" w:rsidRPr="003A1616" w:rsidRDefault="00832BD0" w:rsidP="00832BD0">
            <w:pPr>
              <w:pStyle w:val="Personnequisigne"/>
              <w:rPr>
                <w:noProof/>
              </w:rPr>
            </w:pPr>
            <w:r w:rsidRPr="003A1616">
              <w:rPr>
                <w:noProof/>
              </w:rPr>
              <w:t>Obračunsko leto</w:t>
            </w:r>
          </w:p>
        </w:tc>
        <w:tc>
          <w:tcPr>
            <w:tcW w:w="4645" w:type="dxa"/>
          </w:tcPr>
          <w:p w14:paraId="1629E8C3" w14:textId="77777777" w:rsidR="00832BD0" w:rsidRPr="003A1616" w:rsidRDefault="00AA72B1" w:rsidP="00832BD0">
            <w:pPr>
              <w:pStyle w:val="Personnequisigne"/>
              <w:rPr>
                <w:noProof/>
              </w:rPr>
            </w:pPr>
            <w:r>
              <w:rPr>
                <w:noProof/>
              </w:rPr>
              <w:t>1.7.2023-30.6.2024</w:t>
            </w:r>
          </w:p>
        </w:tc>
      </w:tr>
      <w:tr w:rsidR="00832BD0" w:rsidRPr="003A1616" w14:paraId="1A9EF019" w14:textId="77777777" w:rsidTr="00832BD0">
        <w:tc>
          <w:tcPr>
            <w:tcW w:w="4644" w:type="dxa"/>
          </w:tcPr>
          <w:p w14:paraId="22CFAA7C" w14:textId="77777777" w:rsidR="00832BD0" w:rsidRPr="003A1616" w:rsidRDefault="00832BD0" w:rsidP="00832BD0">
            <w:pPr>
              <w:pStyle w:val="Personnequisigne"/>
              <w:rPr>
                <w:noProof/>
              </w:rPr>
            </w:pPr>
            <w:r w:rsidRPr="003A1616">
              <w:rPr>
                <w:noProof/>
              </w:rPr>
              <w:t>Datum potrditve poročila s strani odbora za spremljanje</w:t>
            </w:r>
          </w:p>
        </w:tc>
        <w:tc>
          <w:tcPr>
            <w:tcW w:w="4645" w:type="dxa"/>
          </w:tcPr>
          <w:p w14:paraId="13CC2B1F" w14:textId="3B46A8C6" w:rsidR="00832BD0" w:rsidRPr="003A1616" w:rsidRDefault="007B38A8" w:rsidP="00832BD0">
            <w:pPr>
              <w:pStyle w:val="Personnequisigne"/>
              <w:rPr>
                <w:noProof/>
              </w:rPr>
            </w:pPr>
            <w:r>
              <w:rPr>
                <w:noProof/>
              </w:rPr>
              <w:t>23. 1. 2025</w:t>
            </w:r>
            <w:bookmarkStart w:id="0" w:name="_GoBack"/>
            <w:bookmarkEnd w:id="0"/>
          </w:p>
        </w:tc>
      </w:tr>
    </w:tbl>
    <w:p w14:paraId="5E6DAC86" w14:textId="77777777" w:rsidR="006A41E2" w:rsidRPr="003A1616" w:rsidRDefault="00C30ACF" w:rsidP="00C30ACF">
      <w:pPr>
        <w:pStyle w:val="ManualHeading1"/>
        <w:rPr>
          <w:noProof/>
        </w:rPr>
      </w:pPr>
      <w:r w:rsidRPr="003A1616">
        <w:t>1.</w:t>
      </w:r>
      <w:r w:rsidRPr="003A1616">
        <w:tab/>
      </w:r>
      <w:r w:rsidR="006A41E2" w:rsidRPr="003A1616">
        <w:rPr>
          <w:noProof/>
        </w:rPr>
        <w:t>Smotrnost</w:t>
      </w:r>
    </w:p>
    <w:p w14:paraId="3080686C" w14:textId="77777777" w:rsidR="006A41E2" w:rsidRPr="003A1616" w:rsidRDefault="00C30ACF" w:rsidP="00C30ACF">
      <w:pPr>
        <w:pStyle w:val="ManualHeading2"/>
        <w:rPr>
          <w:noProof/>
        </w:rPr>
      </w:pPr>
      <w:r w:rsidRPr="003A1616">
        <w:t>1.1.</w:t>
      </w:r>
      <w:r w:rsidRPr="003A1616">
        <w:tab/>
      </w:r>
      <w:r w:rsidR="006A41E2" w:rsidRPr="003A1616">
        <w:rPr>
          <w:noProof/>
        </w:rPr>
        <w:t>Napredek pri izvajanju – člen 30(2), točka (a), Uredbe (EU) 2021/1149</w:t>
      </w:r>
    </w:p>
    <w:p w14:paraId="4932C59C" w14:textId="77777777" w:rsidR="006A41E2" w:rsidRPr="003A1616" w:rsidRDefault="006A41E2" w:rsidP="006A41E2">
      <w:pPr>
        <w:rPr>
          <w:noProof/>
          <w:sz w:val="22"/>
        </w:rPr>
      </w:pPr>
      <w:r w:rsidRPr="003A1616">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14:paraId="3BD3CB5D" w14:textId="77777777" w:rsidR="006A41E2" w:rsidRPr="003A1616" w:rsidRDefault="006A41E2" w:rsidP="006A41E2">
      <w:pPr>
        <w:rPr>
          <w:noProof/>
          <w:sz w:val="22"/>
        </w:rPr>
      </w:pPr>
      <w:r w:rsidRPr="003A1616">
        <w:rPr>
          <w:noProof/>
          <w:sz w:val="22"/>
        </w:rPr>
        <w:t xml:space="preserve">V okviru vsakega specifičnega cilja bi morale biti informacije o napredku po možnosti strukturirane po izvedbenih ukrepih, okvirnih ukrepih in želenih rezultatih, opredeljenih v programu. </w:t>
      </w:r>
    </w:p>
    <w:p w14:paraId="472D7285" w14:textId="77777777" w:rsidR="006A41E2" w:rsidRPr="003A1616" w:rsidRDefault="001F7F00" w:rsidP="006A41E2">
      <w:pPr>
        <w:rPr>
          <w:noProof/>
          <w:sz w:val="22"/>
        </w:rPr>
      </w:pPr>
      <w:r w:rsidRPr="003A1616">
        <w:rPr>
          <w:noProof/>
          <w:sz w:val="22"/>
        </w:rPr>
        <w:t xml:space="preserve">Opišite tudi vse sprejete ukrepe in zadevne dejavnosti v zvezi z izvajanjem partnerstva v skladu s členom 8(2) Uredbe (EU) 2021/1060. </w:t>
      </w:r>
    </w:p>
    <w:tbl>
      <w:tblPr>
        <w:tblStyle w:val="Tabelamrea"/>
        <w:tblW w:w="0" w:type="auto"/>
        <w:tblLook w:val="04A0" w:firstRow="1" w:lastRow="0" w:firstColumn="1" w:lastColumn="0" w:noHBand="0" w:noVBand="1"/>
      </w:tblPr>
      <w:tblGrid>
        <w:gridCol w:w="9063"/>
      </w:tblGrid>
      <w:tr w:rsidR="006A41E2" w:rsidRPr="003A1616" w14:paraId="306194B8" w14:textId="77777777" w:rsidTr="00E45665">
        <w:tc>
          <w:tcPr>
            <w:tcW w:w="9289" w:type="dxa"/>
          </w:tcPr>
          <w:p w14:paraId="30EEE90B" w14:textId="0182D7FC" w:rsidR="000D1796" w:rsidRPr="004D756F" w:rsidRDefault="000D1796" w:rsidP="000D1796">
            <w:pPr>
              <w:pStyle w:val="Personnequisigne"/>
              <w:jc w:val="both"/>
              <w:rPr>
                <w:i w:val="0"/>
                <w:noProof/>
                <w:sz w:val="22"/>
              </w:rPr>
            </w:pPr>
            <w:r w:rsidRPr="004D756F">
              <w:rPr>
                <w:i w:val="0"/>
                <w:noProof/>
                <w:sz w:val="22"/>
              </w:rPr>
              <w:t xml:space="preserve">Program Sklada za notranjo varnost (program SNV) je bil potrjen 24. 11. 2022, zato je Slovenija v obračunskem obdobju poročanja, tj. od 1. 7. 2023 do 30. 6. 2024, že </w:t>
            </w:r>
            <w:r w:rsidR="00441E23">
              <w:rPr>
                <w:i w:val="0"/>
                <w:noProof/>
                <w:sz w:val="22"/>
              </w:rPr>
              <w:t>izvajala večino</w:t>
            </w:r>
            <w:r w:rsidRPr="004D756F">
              <w:rPr>
                <w:i w:val="0"/>
                <w:noProof/>
                <w:sz w:val="22"/>
              </w:rPr>
              <w:t xml:space="preserve"> aktivnosti v</w:t>
            </w:r>
            <w:r w:rsidR="00441E23">
              <w:rPr>
                <w:i w:val="0"/>
                <w:noProof/>
                <w:sz w:val="22"/>
              </w:rPr>
              <w:t xml:space="preserve"> zvezi s </w:t>
            </w:r>
            <w:r w:rsidRPr="004D756F">
              <w:rPr>
                <w:i w:val="0"/>
                <w:noProof/>
                <w:sz w:val="22"/>
              </w:rPr>
              <w:t>program</w:t>
            </w:r>
            <w:r w:rsidR="00441E23">
              <w:rPr>
                <w:i w:val="0"/>
                <w:noProof/>
                <w:sz w:val="22"/>
              </w:rPr>
              <w:t>om</w:t>
            </w:r>
            <w:r w:rsidRPr="004D756F">
              <w:rPr>
                <w:i w:val="0"/>
                <w:noProof/>
                <w:sz w:val="22"/>
              </w:rPr>
              <w:t xml:space="preserve"> SNV.</w:t>
            </w:r>
          </w:p>
          <w:p w14:paraId="586F20B7" w14:textId="77777777" w:rsidR="000D1796" w:rsidRDefault="000D1796" w:rsidP="000D1796">
            <w:pPr>
              <w:pStyle w:val="Personnequisigne"/>
              <w:jc w:val="both"/>
              <w:rPr>
                <w:i w:val="0"/>
                <w:sz w:val="22"/>
              </w:rPr>
            </w:pPr>
          </w:p>
          <w:p w14:paraId="3A46DE87" w14:textId="77777777" w:rsidR="000D1796" w:rsidRPr="00EA7099" w:rsidRDefault="000D1796" w:rsidP="000D1796">
            <w:pPr>
              <w:pStyle w:val="Personnequisigne"/>
              <w:jc w:val="both"/>
              <w:rPr>
                <w:i w:val="0"/>
                <w:sz w:val="22"/>
              </w:rPr>
            </w:pPr>
            <w:r w:rsidRPr="00EA7099">
              <w:rPr>
                <w:i w:val="0"/>
                <w:sz w:val="22"/>
              </w:rPr>
              <w:t>OU je vzpostavil informacijski sistem MIGRA III, preko katerega poteka izmenjava informacij med OU in upravičenci, t.j. oddaja prijav operacij, poročanje o izvajanju operacij (zahtevki za povračilo). IT sistem se redno nadgrajuje, posodablja glede na potrebe uporabnikov ter se odpravlja morebitne napake.</w:t>
            </w:r>
          </w:p>
          <w:p w14:paraId="4BD3B6E9" w14:textId="77777777" w:rsidR="000D1796" w:rsidRDefault="000D1796" w:rsidP="000D1796">
            <w:pPr>
              <w:pStyle w:val="Personnequisigne"/>
              <w:jc w:val="both"/>
            </w:pPr>
          </w:p>
          <w:p w14:paraId="141CE8A1" w14:textId="48022DFB" w:rsidR="000D1796" w:rsidRPr="004D756F" w:rsidRDefault="000D1796" w:rsidP="000D1796">
            <w:pPr>
              <w:pStyle w:val="Personnequisigne"/>
              <w:jc w:val="both"/>
              <w:rPr>
                <w:i w:val="0"/>
                <w:noProof/>
                <w:sz w:val="22"/>
              </w:rPr>
            </w:pPr>
            <w:r w:rsidRPr="004D756F">
              <w:rPr>
                <w:i w:val="0"/>
                <w:sz w:val="22"/>
              </w:rPr>
              <w:t>V obračunskem  obdobju je organ upravljanja (OU) dodeljeval fina</w:t>
            </w:r>
            <w:r w:rsidR="003C36A7">
              <w:rPr>
                <w:i w:val="0"/>
                <w:sz w:val="22"/>
              </w:rPr>
              <w:t>n</w:t>
            </w:r>
            <w:r w:rsidRPr="004D756F">
              <w:rPr>
                <w:i w:val="0"/>
                <w:sz w:val="22"/>
              </w:rPr>
              <w:t xml:space="preserve">čna sredstva na podlagi Akcijskega načrta za program SNV (Akcijski načrt SNV), ki ga je na zaprosilo upravičencev enkrat posodobil. </w:t>
            </w:r>
            <w:r w:rsidRPr="004D756F">
              <w:rPr>
                <w:i w:val="0"/>
                <w:noProof/>
                <w:sz w:val="22"/>
              </w:rPr>
              <w:t>Glede na akcijski načrt SNV je predvideno izvajanje 35 operacij (od tega 34 neposredne dodelitve in 1 javni razpis). V obdobju poročanja se je izvajalo 27 operacij neposredne dodelitve, ostale so bile ali v pripravi s strani upravičenca ali v fazi pregleda pri OU ali pa upravičenec prijave še ni oddal. Objavljena je bil javni razpis »</w:t>
            </w:r>
            <w:r w:rsidRPr="004D756F">
              <w:rPr>
                <w:noProof/>
                <w:sz w:val="22"/>
              </w:rPr>
              <w:t>Nadaljevanje zaščite žrtev trgovine z ljudmi ter programa njihove reintegracije</w:t>
            </w:r>
            <w:r w:rsidRPr="004D756F">
              <w:rPr>
                <w:i w:val="0"/>
                <w:noProof/>
                <w:sz w:val="22"/>
              </w:rPr>
              <w:t>« (09/23), kjer izvajalec ni bil izbran in je bil javni razpis ponovljen (05/24).</w:t>
            </w:r>
          </w:p>
          <w:p w14:paraId="3415361D" w14:textId="77777777" w:rsidR="000D1796" w:rsidRPr="004D756F" w:rsidRDefault="000D1796" w:rsidP="000D1796">
            <w:pPr>
              <w:pStyle w:val="Personnequisigne"/>
              <w:jc w:val="both"/>
              <w:rPr>
                <w:i w:val="0"/>
                <w:sz w:val="22"/>
              </w:rPr>
            </w:pPr>
          </w:p>
          <w:p w14:paraId="2CC9D745" w14:textId="77777777" w:rsidR="000D1796" w:rsidRPr="004D756F" w:rsidRDefault="000D1796" w:rsidP="000D1796">
            <w:pPr>
              <w:pStyle w:val="Brezrazmikov"/>
              <w:jc w:val="both"/>
              <w:rPr>
                <w:rFonts w:ascii="Times New Roman" w:hAnsi="Times New Roman" w:cs="Times New Roman"/>
              </w:rPr>
            </w:pPr>
            <w:r w:rsidRPr="004D756F">
              <w:rPr>
                <w:rFonts w:ascii="Times New Roman" w:hAnsi="Times New Roman" w:cs="Times New Roman"/>
                <w:shd w:val="clear" w:color="auto" w:fill="FFFFFF"/>
              </w:rPr>
              <w:t xml:space="preserve">V okviru </w:t>
            </w:r>
            <w:r w:rsidRPr="004F5B50">
              <w:rPr>
                <w:rFonts w:ascii="Times New Roman" w:hAnsi="Times New Roman" w:cs="Times New Roman"/>
                <w:b/>
                <w:shd w:val="clear" w:color="auto" w:fill="FFFFFF"/>
              </w:rPr>
              <w:t>Specifičnega cilja 1</w:t>
            </w:r>
            <w:r w:rsidRPr="004D756F">
              <w:rPr>
                <w:rFonts w:ascii="Times New Roman" w:hAnsi="Times New Roman" w:cs="Times New Roman"/>
                <w:shd w:val="clear" w:color="auto" w:fill="FFFFFF"/>
              </w:rPr>
              <w:t xml:space="preserve"> so se izvajale operacije (po izvedbenih ukrepih): </w:t>
            </w:r>
            <w:r w:rsidRPr="004D756F">
              <w:rPr>
                <w:rFonts w:ascii="Times New Roman" w:hAnsi="Times New Roman" w:cs="Times New Roman"/>
              </w:rPr>
              <w:t>Vz</w:t>
            </w:r>
            <w:r>
              <w:rPr>
                <w:rFonts w:ascii="Times New Roman" w:hAnsi="Times New Roman" w:cs="Times New Roman"/>
              </w:rPr>
              <w:t>drževanje in nadaljnji razvoj SI</w:t>
            </w:r>
            <w:r w:rsidRPr="004D756F">
              <w:rPr>
                <w:rFonts w:ascii="Times New Roman" w:hAnsi="Times New Roman" w:cs="Times New Roman"/>
              </w:rPr>
              <w:t xml:space="preserve"> sistema PNR; Povečanje nacionalnih zmogljivosti za zbiranje, analizo in izmenjavo podatkov DNK; Krepitev zmogljivosti za identifikacijo tarčnih analitov; Okrepitev mednarodnega sodelovanja proti spolnemu izkoriščanju mladoletnih oseb.</w:t>
            </w:r>
          </w:p>
          <w:p w14:paraId="565438A6" w14:textId="77777777" w:rsidR="000D1796" w:rsidRPr="004D756F" w:rsidRDefault="000D1796" w:rsidP="000D1796">
            <w:pPr>
              <w:pStyle w:val="Brezrazmikov"/>
              <w:jc w:val="both"/>
              <w:rPr>
                <w:rFonts w:ascii="Times New Roman" w:hAnsi="Times New Roman" w:cs="Times New Roman"/>
              </w:rPr>
            </w:pPr>
          </w:p>
          <w:p w14:paraId="780E1630" w14:textId="77777777" w:rsidR="000D1796" w:rsidRPr="004D756F" w:rsidRDefault="000D1796" w:rsidP="000D1796">
            <w:pPr>
              <w:pStyle w:val="Brezrazmikov"/>
              <w:jc w:val="both"/>
              <w:rPr>
                <w:rFonts w:ascii="Times New Roman" w:hAnsi="Times New Roman" w:cs="Times New Roman"/>
                <w:u w:val="single"/>
              </w:rPr>
            </w:pPr>
            <w:r w:rsidRPr="004D756F">
              <w:rPr>
                <w:rFonts w:ascii="Times New Roman" w:hAnsi="Times New Roman" w:cs="Times New Roman"/>
                <w:u w:val="single"/>
              </w:rPr>
              <w:t>Izvedbeni ukrep 1a:</w:t>
            </w:r>
          </w:p>
          <w:p w14:paraId="4F762021" w14:textId="77777777" w:rsidR="000D1796" w:rsidRPr="008109C1" w:rsidRDefault="000D1796" w:rsidP="000D1796">
            <w:pPr>
              <w:pStyle w:val="Brezrazmikov"/>
              <w:jc w:val="both"/>
              <w:rPr>
                <w:rFonts w:ascii="Times New Roman" w:hAnsi="Times New Roman" w:cs="Times New Roman"/>
                <w:color w:val="FF0000"/>
              </w:rPr>
            </w:pPr>
          </w:p>
          <w:p w14:paraId="01BB7306" w14:textId="77777777" w:rsidR="000D1796" w:rsidRPr="008109C1" w:rsidRDefault="000D1796" w:rsidP="000D1796">
            <w:pPr>
              <w:pStyle w:val="Brezrazmikov"/>
              <w:jc w:val="both"/>
              <w:rPr>
                <w:rFonts w:ascii="Times New Roman" w:hAnsi="Times New Roman" w:cs="Times New Roman"/>
                <w:shd w:val="clear" w:color="auto" w:fill="FFFFFF"/>
              </w:rPr>
            </w:pPr>
            <w:r w:rsidRPr="008109C1">
              <w:rPr>
                <w:rFonts w:ascii="Times New Roman" w:hAnsi="Times New Roman" w:cs="Times New Roman"/>
              </w:rPr>
              <w:t xml:space="preserve">Izveden je bil </w:t>
            </w:r>
            <w:r w:rsidRPr="008109C1">
              <w:rPr>
                <w:rFonts w:ascii="Times New Roman" w:hAnsi="Times New Roman" w:cs="Times New Roman"/>
                <w:shd w:val="clear" w:color="auto" w:fill="FFFFFF"/>
              </w:rPr>
              <w:t xml:space="preserve">prenos PNR aplikacije na novo platformo CEPIS (Centralni policijski informacijski sistem). Predstavnik </w:t>
            </w:r>
            <w:r>
              <w:rPr>
                <w:rFonts w:ascii="Times New Roman" w:hAnsi="Times New Roman" w:cs="Times New Roman"/>
                <w:shd w:val="clear" w:color="auto" w:fill="FFFFFF"/>
              </w:rPr>
              <w:t>Policije</w:t>
            </w:r>
            <w:r w:rsidRPr="008109C1">
              <w:rPr>
                <w:rFonts w:ascii="Times New Roman" w:hAnsi="Times New Roman" w:cs="Times New Roman"/>
                <w:shd w:val="clear" w:color="auto" w:fill="FFFFFF"/>
              </w:rPr>
              <w:t xml:space="preserve"> se je udeležil strokovnega srečanja kjer je bil obravnavan nadaljnji razvoj sistema PNR. </w:t>
            </w:r>
          </w:p>
          <w:p w14:paraId="0F386947" w14:textId="77777777" w:rsidR="000D1796" w:rsidRPr="008109C1" w:rsidRDefault="000D1796" w:rsidP="000D1796">
            <w:pPr>
              <w:pStyle w:val="Brezrazmikov"/>
              <w:jc w:val="both"/>
              <w:rPr>
                <w:rFonts w:ascii="Times New Roman" w:hAnsi="Times New Roman" w:cs="Times New Roman"/>
              </w:rPr>
            </w:pPr>
            <w:r w:rsidRPr="008109C1">
              <w:rPr>
                <w:rFonts w:ascii="Times New Roman" w:hAnsi="Times New Roman" w:cs="Times New Roman"/>
              </w:rPr>
              <w:t xml:space="preserve">Za krepitve mednarodnega sodelovanja v boju proti spolnemu izkoriščanju mladoletnikov so bile kupljene licence za testiranje predvidene centralne baze podatkov in predstavnika kriminalistične </w:t>
            </w:r>
            <w:r w:rsidRPr="008109C1">
              <w:rPr>
                <w:rFonts w:ascii="Times New Roman" w:hAnsi="Times New Roman" w:cs="Times New Roman"/>
              </w:rPr>
              <w:lastRenderedPageBreak/>
              <w:t xml:space="preserve">policije sta se udeležila </w:t>
            </w:r>
            <w:r w:rsidRPr="008109C1">
              <w:rPr>
                <w:rFonts w:ascii="Times New Roman" w:hAnsi="Times New Roman" w:cs="Times New Roman"/>
                <w:shd w:val="clear" w:color="auto" w:fill="FFFFFF"/>
              </w:rPr>
              <w:t xml:space="preserve">usposabljanja za kriminaliste, ki odkrivajo in preiskujejo spletne spolne zlorabe otrok. </w:t>
            </w:r>
          </w:p>
          <w:p w14:paraId="022B6FD6" w14:textId="77777777" w:rsidR="000D1796" w:rsidRDefault="000D1796" w:rsidP="000D1796">
            <w:pPr>
              <w:pStyle w:val="Brezrazmikov"/>
              <w:jc w:val="both"/>
              <w:rPr>
                <w:rFonts w:ascii="Times New Roman" w:hAnsi="Times New Roman" w:cs="Times New Roman"/>
                <w:shd w:val="clear" w:color="auto" w:fill="FFFFFF"/>
              </w:rPr>
            </w:pPr>
            <w:r w:rsidRPr="008109C1">
              <w:rPr>
                <w:rFonts w:ascii="Times New Roman" w:hAnsi="Times New Roman" w:cs="Times New Roman"/>
                <w:shd w:val="clear" w:color="auto" w:fill="FFFFFF"/>
              </w:rPr>
              <w:t xml:space="preserve">Z namenom posodobitev opreme za forenzične preiskave je bil nabavljen robota za avtomatsko izolacijo DNK. </w:t>
            </w:r>
          </w:p>
          <w:p w14:paraId="576E2135" w14:textId="77777777" w:rsidR="000D1796" w:rsidRDefault="000D1796" w:rsidP="000D1796">
            <w:pPr>
              <w:pStyle w:val="Brezrazmikov"/>
              <w:jc w:val="both"/>
              <w:rPr>
                <w:rFonts w:ascii="Times New Roman" w:hAnsi="Times New Roman" w:cs="Times New Roman"/>
                <w:shd w:val="clear" w:color="auto" w:fill="FFFFFF"/>
              </w:rPr>
            </w:pPr>
          </w:p>
          <w:p w14:paraId="1D9456A4" w14:textId="4BB84D1F" w:rsidR="00CD130C" w:rsidRPr="00026D45" w:rsidRDefault="000D1796" w:rsidP="00CD130C">
            <w:pPr>
              <w:pStyle w:val="Brezrazmikov"/>
              <w:jc w:val="both"/>
              <w:rPr>
                <w:rFonts w:ascii="Times New Roman" w:hAnsi="Times New Roman" w:cs="Times New Roman"/>
              </w:rPr>
            </w:pPr>
            <w:r>
              <w:rPr>
                <w:rFonts w:ascii="Times New Roman" w:hAnsi="Times New Roman" w:cs="Times New Roman"/>
                <w:shd w:val="clear" w:color="auto" w:fill="FFFFFF"/>
              </w:rPr>
              <w:t xml:space="preserve">V okviru predvidenih izvedbenih ukrepov s področja poenotenja pravnega reda Unije se še ne izvajajo aktivnosti za nadgradnjo sistema za izmenjavo </w:t>
            </w:r>
            <w:r w:rsidRPr="00CD130C">
              <w:rPr>
                <w:rFonts w:ascii="Times New Roman" w:hAnsi="Times New Roman" w:cs="Times New Roman"/>
                <w:shd w:val="clear" w:color="auto" w:fill="FFFFFF"/>
              </w:rPr>
              <w:t xml:space="preserve">Prüm podatkov. </w:t>
            </w:r>
            <w:r w:rsidR="00CD130C" w:rsidRPr="00CD130C">
              <w:rPr>
                <w:rFonts w:ascii="Times New Roman" w:hAnsi="Times New Roman" w:cs="Times New Roman"/>
                <w:shd w:val="clear" w:color="auto" w:fill="FFFFFF"/>
              </w:rPr>
              <w:t>Predstavniki Policije se udeležuje</w:t>
            </w:r>
            <w:r w:rsidR="00CD130C">
              <w:rPr>
                <w:rFonts w:ascii="Times New Roman" w:hAnsi="Times New Roman" w:cs="Times New Roman"/>
                <w:shd w:val="clear" w:color="auto" w:fill="FFFFFF"/>
              </w:rPr>
              <w:t>jo</w:t>
            </w:r>
            <w:r w:rsidR="00CD130C" w:rsidRPr="00CD130C">
              <w:rPr>
                <w:rFonts w:ascii="Times New Roman" w:hAnsi="Times New Roman" w:cs="Times New Roman"/>
                <w:shd w:val="clear" w:color="auto" w:fill="FFFFFF"/>
              </w:rPr>
              <w:t xml:space="preserve"> sestankov in spremlja</w:t>
            </w:r>
            <w:r w:rsidR="00CD130C">
              <w:rPr>
                <w:rFonts w:ascii="Times New Roman" w:hAnsi="Times New Roman" w:cs="Times New Roman"/>
                <w:shd w:val="clear" w:color="auto" w:fill="FFFFFF"/>
              </w:rPr>
              <w:t>jo</w:t>
            </w:r>
            <w:r w:rsidR="00CD130C" w:rsidRPr="00CD130C">
              <w:rPr>
                <w:rFonts w:ascii="Times New Roman" w:hAnsi="Times New Roman" w:cs="Times New Roman"/>
                <w:shd w:val="clear" w:color="auto" w:fill="FFFFFF"/>
              </w:rPr>
              <w:t xml:space="preserve"> razvoj ukrepov na ravni svetovalnih skupin in odborov EU, ki vključujej</w:t>
            </w:r>
            <w:r w:rsidR="003C36A7">
              <w:rPr>
                <w:rFonts w:ascii="Times New Roman" w:hAnsi="Times New Roman" w:cs="Times New Roman"/>
                <w:shd w:val="clear" w:color="auto" w:fill="FFFFFF"/>
              </w:rPr>
              <w:t>o razne vsebinske sklope znortraj</w:t>
            </w:r>
            <w:r w:rsidR="00CD130C" w:rsidRPr="00CD130C">
              <w:rPr>
                <w:rFonts w:ascii="Times New Roman" w:hAnsi="Times New Roman" w:cs="Times New Roman"/>
                <w:shd w:val="clear" w:color="auto" w:fill="FFFFFF"/>
              </w:rPr>
              <w:t xml:space="preserve"> PRÜM II. Postopek priprave podzakonskega akta o biometriji je v teku</w:t>
            </w:r>
            <w:r w:rsidR="00CD130C">
              <w:rPr>
                <w:rFonts w:ascii="Times New Roman" w:hAnsi="Times New Roman" w:cs="Times New Roman"/>
                <w:shd w:val="clear" w:color="auto" w:fill="FFFFFF"/>
              </w:rPr>
              <w:t>, v</w:t>
            </w:r>
            <w:r w:rsidR="00CD130C" w:rsidRPr="00CD130C">
              <w:rPr>
                <w:rFonts w:ascii="Times New Roman" w:hAnsi="Times New Roman" w:cs="Times New Roman"/>
                <w:shd w:val="clear" w:color="auto" w:fill="FFFFFF"/>
              </w:rPr>
              <w:t>endar je zaradi prenovitve predpisov Eurodac, Prüm II, API in Screening pravna podlaga ponovno v obravnavi.</w:t>
            </w:r>
          </w:p>
          <w:p w14:paraId="36FCDE80" w14:textId="597C5F60" w:rsidR="000D1796" w:rsidRPr="00112234" w:rsidRDefault="000D1796" w:rsidP="000D1796">
            <w:pPr>
              <w:pStyle w:val="Brezrazmikov"/>
              <w:jc w:val="both"/>
              <w:rPr>
                <w:rFonts w:ascii="Times New Roman" w:hAnsi="Times New Roman" w:cs="Times New Roman"/>
                <w:shd w:val="clear" w:color="auto" w:fill="FFFFFF"/>
              </w:rPr>
            </w:pPr>
          </w:p>
          <w:p w14:paraId="1DF0A2BA" w14:textId="77777777" w:rsidR="000D1796" w:rsidRDefault="000D1796" w:rsidP="000D1796">
            <w:pPr>
              <w:pStyle w:val="Brezrazmikov"/>
              <w:jc w:val="both"/>
              <w:rPr>
                <w:rFonts w:ascii="Times New Roman" w:hAnsi="Times New Roman" w:cs="Times New Roman"/>
                <w:color w:val="FF0000"/>
                <w:u w:val="single"/>
              </w:rPr>
            </w:pPr>
          </w:p>
          <w:p w14:paraId="339F8553" w14:textId="77777777" w:rsidR="000D1796" w:rsidRPr="00984F50" w:rsidRDefault="000D1796" w:rsidP="000D1796">
            <w:pPr>
              <w:pStyle w:val="Brezrazmikov"/>
              <w:jc w:val="both"/>
              <w:rPr>
                <w:rFonts w:ascii="Times New Roman" w:hAnsi="Times New Roman" w:cs="Times New Roman"/>
                <w:u w:val="single"/>
              </w:rPr>
            </w:pPr>
            <w:r w:rsidRPr="00984F50">
              <w:rPr>
                <w:rFonts w:ascii="Times New Roman" w:hAnsi="Times New Roman" w:cs="Times New Roman"/>
                <w:u w:val="single"/>
              </w:rPr>
              <w:t>Izvedbeni ukrep 1d:</w:t>
            </w:r>
          </w:p>
          <w:p w14:paraId="09CA8D22" w14:textId="77777777" w:rsidR="000D1796" w:rsidRDefault="000D1796" w:rsidP="000D1796">
            <w:pPr>
              <w:pStyle w:val="Brezrazmikov"/>
              <w:jc w:val="both"/>
              <w:rPr>
                <w:rFonts w:ascii="Times New Roman" w:hAnsi="Times New Roman" w:cs="Times New Roman"/>
                <w:color w:val="FF0000"/>
                <w:u w:val="single"/>
              </w:rPr>
            </w:pPr>
          </w:p>
          <w:p w14:paraId="3A950BDF" w14:textId="77777777" w:rsidR="000D1796" w:rsidRPr="00984F50" w:rsidRDefault="000D1796" w:rsidP="000D1796">
            <w:pPr>
              <w:pStyle w:val="Brezrazmikov"/>
              <w:jc w:val="both"/>
              <w:rPr>
                <w:rFonts w:ascii="Times New Roman" w:hAnsi="Times New Roman" w:cs="Times New Roman"/>
                <w:color w:val="FF0000"/>
                <w:u w:val="single"/>
              </w:rPr>
            </w:pPr>
            <w:r w:rsidRPr="00984F50">
              <w:rPr>
                <w:rFonts w:ascii="Times New Roman" w:hAnsi="Times New Roman" w:cs="Times New Roman"/>
              </w:rPr>
              <w:t>Izveden je bil nakup</w:t>
            </w:r>
            <w:r w:rsidRPr="00984F50">
              <w:rPr>
                <w:rFonts w:ascii="Times New Roman" w:hAnsi="Times New Roman" w:cs="Times New Roman"/>
                <w:shd w:val="clear" w:color="auto" w:fill="FFFFFF"/>
              </w:rPr>
              <w:t xml:space="preserve"> HPLC Q TOF instrumenta. </w:t>
            </w:r>
          </w:p>
          <w:p w14:paraId="02F53E89" w14:textId="77777777" w:rsidR="000D1796" w:rsidRPr="00984F50" w:rsidRDefault="000D1796" w:rsidP="000D1796">
            <w:pPr>
              <w:pStyle w:val="Brezrazmikov"/>
              <w:jc w:val="both"/>
              <w:rPr>
                <w:rFonts w:ascii="Times New Roman" w:hAnsi="Times New Roman" w:cs="Times New Roman"/>
                <w:color w:val="FF0000"/>
              </w:rPr>
            </w:pPr>
          </w:p>
          <w:p w14:paraId="156CBD0D" w14:textId="75B37F49" w:rsidR="000D1796" w:rsidRDefault="000D1796" w:rsidP="000D1796">
            <w:pPr>
              <w:pStyle w:val="Brezrazmikov"/>
              <w:jc w:val="both"/>
              <w:rPr>
                <w:rFonts w:ascii="Times New Roman" w:hAnsi="Times New Roman" w:cs="Times New Roman"/>
                <w:bCs/>
                <w:color w:val="000000"/>
              </w:rPr>
            </w:pPr>
            <w:r w:rsidRPr="00984F50">
              <w:rPr>
                <w:rFonts w:ascii="Times New Roman" w:hAnsi="Times New Roman" w:cs="Times New Roman"/>
              </w:rPr>
              <w:t xml:space="preserve">V okviru predvidenih izvedbenih aktivnosti na področju podpore nacionalnih ukrepov se izvajajo aktivnosti usmerjene v povečanje zmogljivosti in posodobitev podatkovnega in govornega omrežja Policije ter aktivnosti usmerjene v </w:t>
            </w:r>
            <w:r w:rsidRPr="00984F50">
              <w:rPr>
                <w:rFonts w:ascii="Times New Roman" w:hAnsi="Times New Roman" w:cs="Times New Roman"/>
                <w:bCs/>
                <w:color w:val="000000"/>
              </w:rPr>
              <w:t xml:space="preserve">posodobitev informacijske strojne in programske opreme Policije. </w:t>
            </w:r>
          </w:p>
          <w:p w14:paraId="4B9AFE82" w14:textId="5593FA0A" w:rsidR="00C43481" w:rsidRDefault="00C43481" w:rsidP="000D1796">
            <w:pPr>
              <w:pStyle w:val="Brezrazmikov"/>
              <w:jc w:val="both"/>
              <w:rPr>
                <w:rFonts w:ascii="Times New Roman" w:hAnsi="Times New Roman" w:cs="Times New Roman"/>
                <w:bCs/>
                <w:color w:val="000000"/>
              </w:rPr>
            </w:pPr>
          </w:p>
          <w:p w14:paraId="3C7DB777" w14:textId="77777777" w:rsidR="000D1796" w:rsidRPr="001C60A8" w:rsidRDefault="000D1796" w:rsidP="000D1796">
            <w:pPr>
              <w:rPr>
                <w:sz w:val="22"/>
              </w:rPr>
            </w:pPr>
            <w:r w:rsidRPr="001C60A8">
              <w:rPr>
                <w:sz w:val="22"/>
                <w:shd w:val="clear" w:color="auto" w:fill="FFFFFF"/>
              </w:rPr>
              <w:t xml:space="preserve">V okviru </w:t>
            </w:r>
            <w:r w:rsidRPr="004F5B50">
              <w:rPr>
                <w:b/>
                <w:sz w:val="22"/>
                <w:shd w:val="clear" w:color="auto" w:fill="FFFFFF"/>
              </w:rPr>
              <w:t>Specifičnega cilja 2</w:t>
            </w:r>
            <w:r w:rsidRPr="001C60A8">
              <w:rPr>
                <w:sz w:val="22"/>
                <w:shd w:val="clear" w:color="auto" w:fill="FFFFFF"/>
              </w:rPr>
              <w:t xml:space="preserve"> so se izvajale operacije (po izvedbenih ukrepih):  </w:t>
            </w:r>
            <w:r w:rsidRPr="001C60A8">
              <w:rPr>
                <w:sz w:val="22"/>
              </w:rPr>
              <w:t>Učinkovito izvajanje prikritih preiskovalnih ukrepov</w:t>
            </w:r>
            <w:r>
              <w:rPr>
                <w:sz w:val="22"/>
              </w:rPr>
              <w:t>;</w:t>
            </w:r>
            <w:r w:rsidRPr="001C60A8">
              <w:rPr>
                <w:sz w:val="22"/>
              </w:rPr>
              <w:t xml:space="preserve"> </w:t>
            </w:r>
            <w:r w:rsidRPr="001C60A8">
              <w:rPr>
                <w:sz w:val="22"/>
                <w:shd w:val="clear" w:color="auto" w:fill="FFFFFF"/>
              </w:rPr>
              <w:t>Okrepitev operati</w:t>
            </w:r>
            <w:r>
              <w:rPr>
                <w:sz w:val="22"/>
                <w:shd w:val="clear" w:color="auto" w:fill="FFFFFF"/>
              </w:rPr>
              <w:t>vnega sodelovanja držav članic EU in Zahodnim Balkanom</w:t>
            </w:r>
            <w:r>
              <w:rPr>
                <w:sz w:val="22"/>
              </w:rPr>
              <w:t xml:space="preserve">; </w:t>
            </w:r>
            <w:r w:rsidRPr="001C60A8">
              <w:rPr>
                <w:sz w:val="22"/>
              </w:rPr>
              <w:t>Sodelova</w:t>
            </w:r>
            <w:r>
              <w:rPr>
                <w:sz w:val="22"/>
              </w:rPr>
              <w:t>nje v različnih evropskih mrežah; O</w:t>
            </w:r>
            <w:r w:rsidRPr="001C60A8">
              <w:rPr>
                <w:sz w:val="22"/>
              </w:rPr>
              <w:t>krepitev kapacitet in izboljšanje usposobljenosti specializiranih služb</w:t>
            </w:r>
            <w:r>
              <w:rPr>
                <w:sz w:val="22"/>
              </w:rPr>
              <w:t xml:space="preserve">; </w:t>
            </w:r>
            <w:r w:rsidRPr="001C60A8">
              <w:rPr>
                <w:sz w:val="22"/>
                <w:shd w:val="clear" w:color="auto" w:fill="FFFFFF"/>
              </w:rPr>
              <w:t>Posodobitev in širitev centro</w:t>
            </w:r>
            <w:r>
              <w:rPr>
                <w:sz w:val="22"/>
                <w:shd w:val="clear" w:color="auto" w:fill="FFFFFF"/>
              </w:rPr>
              <w:t>v za mednarodno sodelovanje</w:t>
            </w:r>
            <w:r w:rsidRPr="001C60A8">
              <w:rPr>
                <w:sz w:val="22"/>
              </w:rPr>
              <w:t>.</w:t>
            </w:r>
          </w:p>
          <w:p w14:paraId="3DF426C6" w14:textId="77777777" w:rsidR="000D1796" w:rsidRPr="001C60A8" w:rsidRDefault="000D1796" w:rsidP="000D1796">
            <w:pPr>
              <w:pStyle w:val="Brezrazmikov"/>
              <w:jc w:val="both"/>
              <w:rPr>
                <w:rFonts w:ascii="Times New Roman" w:hAnsi="Times New Roman" w:cs="Times New Roman"/>
                <w:u w:val="single"/>
              </w:rPr>
            </w:pPr>
            <w:r w:rsidRPr="001C60A8">
              <w:rPr>
                <w:rFonts w:ascii="Times New Roman" w:hAnsi="Times New Roman" w:cs="Times New Roman"/>
                <w:u w:val="single"/>
              </w:rPr>
              <w:t>Izvedbeni ukrep 2a:</w:t>
            </w:r>
          </w:p>
          <w:p w14:paraId="5A804BE6" w14:textId="77777777" w:rsidR="000D1796" w:rsidRDefault="000D1796" w:rsidP="000D1796">
            <w:pPr>
              <w:rPr>
                <w:sz w:val="22"/>
                <w:shd w:val="clear" w:color="auto" w:fill="FFFFFF"/>
              </w:rPr>
            </w:pPr>
            <w:r>
              <w:rPr>
                <w:sz w:val="22"/>
              </w:rPr>
              <w:t xml:space="preserve">Z namenom </w:t>
            </w:r>
            <w:r w:rsidRPr="00496231">
              <w:rPr>
                <w:sz w:val="22"/>
              </w:rPr>
              <w:t xml:space="preserve">učinkovitega izvajanja prikritih preiskovalnih ukrepov je bil uspešno izveden </w:t>
            </w:r>
            <w:r w:rsidRPr="00496231">
              <w:rPr>
                <w:sz w:val="22"/>
                <w:shd w:val="clear" w:color="auto" w:fill="FFFFFF"/>
              </w:rPr>
              <w:t>nakup vozil za tajno delovanje in tajno opazovanje. Poleg tega so bili financirani tudi stroški najema tajnih lokacij, aktivnosti tajnega delovanja zoper člane organiziranih kriminalnih združb (vključno z navideznimi odkupi) in drugi stroški ki nastanejo pri tajnem delovanju (npr. nočitve, dnevnice).</w:t>
            </w:r>
            <w:r>
              <w:rPr>
                <w:sz w:val="22"/>
                <w:shd w:val="clear" w:color="auto" w:fill="FFFFFF"/>
              </w:rPr>
              <w:t xml:space="preserve"> </w:t>
            </w:r>
          </w:p>
          <w:p w14:paraId="06ECABD2" w14:textId="77777777" w:rsidR="000D1796" w:rsidRPr="00882C22" w:rsidRDefault="000D1796" w:rsidP="000D1796">
            <w:pPr>
              <w:rPr>
                <w:sz w:val="22"/>
              </w:rPr>
            </w:pPr>
            <w:r>
              <w:rPr>
                <w:sz w:val="22"/>
                <w:shd w:val="clear" w:color="auto" w:fill="FFFFFF"/>
              </w:rPr>
              <w:t>Z namenom krepitve operativnega sodelovanja z državami Zahodnega Balkana je bila financirana udeležba na operativnih in koordinacijskih sestankih ter delovnih posvetih z tujimi varnostnimi organi.</w:t>
            </w:r>
            <w:r w:rsidRPr="00882C22">
              <w:rPr>
                <w:sz w:val="22"/>
                <w:shd w:val="clear" w:color="auto" w:fill="FFFFFF"/>
              </w:rPr>
              <w:t xml:space="preserve"> Poleg tega je bilo za potrebe odkrivanja in preiskovanja organiziranih oblik čezmejne kriminalitete (zagotavljanje ustreznega dokaznega gradiva) omogočeno pisno in ustno prevajanje in tolmačenje.</w:t>
            </w:r>
          </w:p>
          <w:p w14:paraId="40885508" w14:textId="77777777" w:rsidR="000D1796" w:rsidRPr="004F5C62" w:rsidRDefault="000D1796" w:rsidP="000D1796">
            <w:pPr>
              <w:pStyle w:val="Brezrazmikov"/>
              <w:jc w:val="both"/>
              <w:rPr>
                <w:rFonts w:ascii="Times New Roman" w:hAnsi="Times New Roman" w:cs="Times New Roman"/>
                <w:u w:val="single"/>
              </w:rPr>
            </w:pPr>
            <w:r w:rsidRPr="004F5C62">
              <w:rPr>
                <w:rFonts w:ascii="Times New Roman" w:hAnsi="Times New Roman" w:cs="Times New Roman"/>
                <w:u w:val="single"/>
              </w:rPr>
              <w:t>Izvedbeni ukrep 2b:</w:t>
            </w:r>
          </w:p>
          <w:p w14:paraId="4932E128" w14:textId="334DDE73" w:rsidR="000D1796" w:rsidRPr="004F5C62" w:rsidRDefault="000D1796" w:rsidP="000D1796">
            <w:pPr>
              <w:rPr>
                <w:sz w:val="22"/>
              </w:rPr>
            </w:pPr>
            <w:r w:rsidRPr="004F5C62">
              <w:rPr>
                <w:sz w:val="22"/>
              </w:rPr>
              <w:t xml:space="preserve">Predstavniki Policije so sodelovali na sestankih in konferencah delovnih skupin ENFSI (npr. za digitalno sliko, preiskavo drog, orožje, sledi </w:t>
            </w:r>
            <w:r w:rsidR="00BD5F72">
              <w:rPr>
                <w:sz w:val="22"/>
              </w:rPr>
              <w:t>z rok strelca</w:t>
            </w:r>
            <w:r w:rsidRPr="004F5C62">
              <w:rPr>
                <w:sz w:val="22"/>
              </w:rPr>
              <w:t>), prav tako so bili prisotni na sestankih Upravnega odbora in letne skupščine ENFSI.</w:t>
            </w:r>
          </w:p>
          <w:p w14:paraId="3FF49FC9" w14:textId="77777777" w:rsidR="000D1796" w:rsidRPr="004F5C62" w:rsidRDefault="000D1796" w:rsidP="000D1796">
            <w:pPr>
              <w:pStyle w:val="Brezrazmikov"/>
              <w:jc w:val="both"/>
              <w:rPr>
                <w:rFonts w:ascii="Times New Roman" w:hAnsi="Times New Roman" w:cs="Times New Roman"/>
                <w:u w:val="single"/>
              </w:rPr>
            </w:pPr>
            <w:r w:rsidRPr="004F5C62">
              <w:rPr>
                <w:rFonts w:ascii="Times New Roman" w:hAnsi="Times New Roman" w:cs="Times New Roman"/>
                <w:u w:val="single"/>
              </w:rPr>
              <w:t>Izvedbeni ukrep 2c:</w:t>
            </w:r>
          </w:p>
          <w:p w14:paraId="26A2BD36" w14:textId="77777777" w:rsidR="000D1796" w:rsidRPr="004F5C62" w:rsidRDefault="000D1796" w:rsidP="000D1796">
            <w:pPr>
              <w:rPr>
                <w:sz w:val="22"/>
                <w:shd w:val="clear" w:color="auto" w:fill="FFFFFF"/>
              </w:rPr>
            </w:pPr>
            <w:r w:rsidRPr="004F5C62">
              <w:rPr>
                <w:sz w:val="22"/>
              </w:rPr>
              <w:t xml:space="preserve">Za aktivnosti </w:t>
            </w:r>
            <w:r w:rsidRPr="004F5C62">
              <w:rPr>
                <w:sz w:val="22"/>
                <w:shd w:val="clear" w:color="auto" w:fill="FFFFFF"/>
              </w:rPr>
              <w:t xml:space="preserve">krepitve kapacitet in izboljšanja usposobljenosti specializiranih služb so bila sredstva odobrena in upravičenec je pričel z aktivnostmi za nakup opreme. </w:t>
            </w:r>
          </w:p>
          <w:p w14:paraId="4C417644" w14:textId="77777777" w:rsidR="000D1796" w:rsidRPr="004F5C62" w:rsidRDefault="000D1796" w:rsidP="000D1796">
            <w:pPr>
              <w:rPr>
                <w:sz w:val="22"/>
              </w:rPr>
            </w:pPr>
            <w:r w:rsidRPr="004F5C62">
              <w:rPr>
                <w:sz w:val="22"/>
                <w:shd w:val="clear" w:color="auto" w:fill="FFFFFF"/>
              </w:rPr>
              <w:t xml:space="preserve">Na področju </w:t>
            </w:r>
            <w:r w:rsidRPr="004F5C62">
              <w:rPr>
                <w:bCs/>
                <w:sz w:val="22"/>
              </w:rPr>
              <w:t xml:space="preserve">posodobitev in širitev centrov za mednarodno policijsko sodelovanje je bila za </w:t>
            </w:r>
            <w:r w:rsidRPr="004F5C62">
              <w:rPr>
                <w:sz w:val="22"/>
                <w:shd w:val="clear" w:color="auto" w:fill="FFFFFF"/>
              </w:rPr>
              <w:t xml:space="preserve">centra CSVO Dolga vas in CPS Vrata Megvarje nabavljena oprema, ki je nadomestila že iztrošeno opremo, npr.: kuhinjska oprema, električni grelci, vzmetnice, ipd. </w:t>
            </w:r>
          </w:p>
          <w:p w14:paraId="0662EAA5" w14:textId="77777777" w:rsidR="000D1796" w:rsidRPr="003E21DB" w:rsidRDefault="000D1796" w:rsidP="000D1796">
            <w:pPr>
              <w:rPr>
                <w:color w:val="FF0000"/>
                <w:sz w:val="22"/>
              </w:rPr>
            </w:pPr>
          </w:p>
          <w:p w14:paraId="1BD06A8D" w14:textId="77777777" w:rsidR="000D1796" w:rsidRPr="004F5C62" w:rsidRDefault="000D1796" w:rsidP="000D1796">
            <w:pPr>
              <w:rPr>
                <w:sz w:val="22"/>
              </w:rPr>
            </w:pPr>
            <w:r w:rsidRPr="004F5C62">
              <w:rPr>
                <w:sz w:val="22"/>
                <w:shd w:val="clear" w:color="auto" w:fill="FFFFFF"/>
              </w:rPr>
              <w:t xml:space="preserve">V okviru </w:t>
            </w:r>
            <w:r w:rsidRPr="004F5B50">
              <w:rPr>
                <w:b/>
                <w:sz w:val="22"/>
                <w:shd w:val="clear" w:color="auto" w:fill="FFFFFF"/>
              </w:rPr>
              <w:t>Specifičnega cilja 3</w:t>
            </w:r>
            <w:r w:rsidRPr="004F5C62">
              <w:rPr>
                <w:sz w:val="22"/>
                <w:shd w:val="clear" w:color="auto" w:fill="FFFFFF"/>
              </w:rPr>
              <w:t xml:space="preserve"> so se izvajale operacije (po izvedbenih ukrepih):  </w:t>
            </w:r>
            <w:r w:rsidRPr="004F5C62">
              <w:rPr>
                <w:sz w:val="22"/>
              </w:rPr>
              <w:t xml:space="preserve">Izboljšanje kapacitet za preiskovanje gospodarske kriminalitete; Vzpostavitev nacionalnih kapacitet na področju okoljske kriminalitete; Učinkovita zaščita prič in žvižgačev; Usposabljanja za krepitev boja proti hudim in organiziranim oblikam kriminala in terorizma; Okrepitev ter nadgradnja sistemov za strateško </w:t>
            </w:r>
            <w:r w:rsidRPr="004F5C62">
              <w:rPr>
                <w:sz w:val="22"/>
              </w:rPr>
              <w:lastRenderedPageBreak/>
              <w:t>odločanje; Izboljšanje kapacitet na področju kibernetske kriminalitete in digitalne forenzike; Izvedba usposabljanj upravljavcev kritične infrastrukture.</w:t>
            </w:r>
          </w:p>
          <w:p w14:paraId="259455F3" w14:textId="77777777" w:rsidR="000D1796" w:rsidRPr="004F5C62" w:rsidRDefault="000D1796" w:rsidP="000D1796">
            <w:pPr>
              <w:pStyle w:val="Brezrazmikov"/>
              <w:jc w:val="both"/>
              <w:rPr>
                <w:rFonts w:ascii="Times New Roman" w:hAnsi="Times New Roman" w:cs="Times New Roman"/>
                <w:u w:val="single"/>
              </w:rPr>
            </w:pPr>
            <w:r w:rsidRPr="004F5C62">
              <w:rPr>
                <w:rFonts w:ascii="Times New Roman" w:hAnsi="Times New Roman" w:cs="Times New Roman"/>
                <w:u w:val="single"/>
              </w:rPr>
              <w:t>I</w:t>
            </w:r>
            <w:r>
              <w:rPr>
                <w:rFonts w:ascii="Times New Roman" w:hAnsi="Times New Roman" w:cs="Times New Roman"/>
                <w:u w:val="single"/>
              </w:rPr>
              <w:t>zvedbeni ukrep 3a</w:t>
            </w:r>
            <w:r w:rsidRPr="004F5C62">
              <w:rPr>
                <w:rFonts w:ascii="Times New Roman" w:hAnsi="Times New Roman" w:cs="Times New Roman"/>
                <w:u w:val="single"/>
              </w:rPr>
              <w:t>:</w:t>
            </w:r>
          </w:p>
          <w:p w14:paraId="46B223FE" w14:textId="77777777" w:rsidR="000D1796" w:rsidRPr="004B0791" w:rsidRDefault="000D1796" w:rsidP="000D1796">
            <w:pPr>
              <w:rPr>
                <w:sz w:val="22"/>
              </w:rPr>
            </w:pPr>
            <w:r>
              <w:rPr>
                <w:sz w:val="22"/>
              </w:rPr>
              <w:t xml:space="preserve">Predmet financiranja </w:t>
            </w:r>
            <w:r w:rsidRPr="00CA6C69">
              <w:rPr>
                <w:sz w:val="22"/>
              </w:rPr>
              <w:t xml:space="preserve">je bil oddaljen dostop do specializiranih </w:t>
            </w:r>
            <w:r>
              <w:rPr>
                <w:sz w:val="22"/>
              </w:rPr>
              <w:t xml:space="preserve">in strokovnih </w:t>
            </w:r>
            <w:r w:rsidRPr="00CA6C69">
              <w:rPr>
                <w:sz w:val="22"/>
              </w:rPr>
              <w:t xml:space="preserve">vsebin kot so zakonodaja, </w:t>
            </w:r>
            <w:r>
              <w:rPr>
                <w:sz w:val="22"/>
              </w:rPr>
              <w:t xml:space="preserve">strokovni članki, </w:t>
            </w:r>
            <w:r w:rsidRPr="00CA6C69">
              <w:rPr>
                <w:sz w:val="22"/>
              </w:rPr>
              <w:t>podatki o gospodarskih subjektih</w:t>
            </w:r>
            <w:r>
              <w:rPr>
                <w:sz w:val="22"/>
              </w:rPr>
              <w:t xml:space="preserve">, zbirke sodnih odločitev; </w:t>
            </w:r>
            <w:r w:rsidRPr="00CA6C69">
              <w:rPr>
                <w:sz w:val="22"/>
                <w:shd w:val="clear" w:color="auto" w:fill="FFFFFF"/>
              </w:rPr>
              <w:t>usposabljanj</w:t>
            </w:r>
            <w:r>
              <w:rPr>
                <w:sz w:val="22"/>
                <w:shd w:val="clear" w:color="auto" w:fill="FFFFFF"/>
              </w:rPr>
              <w:t>a</w:t>
            </w:r>
            <w:r w:rsidRPr="00CA6C69">
              <w:rPr>
                <w:sz w:val="22"/>
                <w:shd w:val="clear" w:color="auto" w:fill="FFFFFF"/>
              </w:rPr>
              <w:t xml:space="preserve"> in izobraževanj</w:t>
            </w:r>
            <w:r>
              <w:rPr>
                <w:sz w:val="22"/>
                <w:shd w:val="clear" w:color="auto" w:fill="FFFFFF"/>
              </w:rPr>
              <w:t>a</w:t>
            </w:r>
            <w:r w:rsidRPr="00CA6C69">
              <w:rPr>
                <w:sz w:val="22"/>
                <w:shd w:val="clear" w:color="auto" w:fill="FFFFFF"/>
              </w:rPr>
              <w:t xml:space="preserve"> s področja gospodarske kriminalitete, finančnih preisk</w:t>
            </w:r>
            <w:r>
              <w:rPr>
                <w:sz w:val="22"/>
                <w:shd w:val="clear" w:color="auto" w:fill="FFFFFF"/>
              </w:rPr>
              <w:t xml:space="preserve">av, pranja denarja in korupcije; udeležba </w:t>
            </w:r>
            <w:r w:rsidRPr="00D47B1F">
              <w:rPr>
                <w:sz w:val="22"/>
                <w:shd w:val="clear" w:color="auto" w:fill="FFFFFF"/>
              </w:rPr>
              <w:t xml:space="preserve">na strokovnih srečanjih, delavnicah, seminarjih, konferencah, izmenjavah in študijskih </w:t>
            </w:r>
            <w:r w:rsidRPr="004B0791">
              <w:rPr>
                <w:sz w:val="22"/>
                <w:shd w:val="clear" w:color="auto" w:fill="FFFFFF"/>
              </w:rPr>
              <w:t>obiskih. Organizirana sta bila tudi medresorski strokovni posvet in usposabljanje s področja okoljske kriminalitete. Z namenom izboljšanje kapacitet na področju kibernetike je bil izveden nakup 2 strežnikov, zmogljivejših računalnikov, Faradayevih vrečk in prenosnih baterij.</w:t>
            </w:r>
          </w:p>
          <w:p w14:paraId="3B1BA383" w14:textId="7E7BF037" w:rsidR="000D1796" w:rsidRDefault="000D1796" w:rsidP="000D1796">
            <w:pPr>
              <w:spacing w:before="100"/>
              <w:rPr>
                <w:bCs/>
                <w:color w:val="000000"/>
                <w:sz w:val="22"/>
              </w:rPr>
            </w:pPr>
            <w:r w:rsidRPr="004B0791">
              <w:rPr>
                <w:sz w:val="22"/>
              </w:rPr>
              <w:t>V okviru izvedbenih ukrepov usmerjeni</w:t>
            </w:r>
            <w:r w:rsidR="00BD5F72">
              <w:rPr>
                <w:sz w:val="22"/>
              </w:rPr>
              <w:t xml:space="preserve">h v povečanje usposobljenosti so se začeli izvajati postopki za izvedbo javnih naročil za izvedbo </w:t>
            </w:r>
            <w:r w:rsidRPr="004B0791">
              <w:rPr>
                <w:sz w:val="22"/>
              </w:rPr>
              <w:t xml:space="preserve">aktivnosti </w:t>
            </w:r>
            <w:r w:rsidRPr="004B0791">
              <w:rPr>
                <w:bCs/>
                <w:color w:val="000000"/>
                <w:sz w:val="22"/>
              </w:rPr>
              <w:t>obnove in nadgradnje učnih kapacitet Policijske akademije</w:t>
            </w:r>
            <w:r w:rsidR="00BD5F72">
              <w:rPr>
                <w:bCs/>
                <w:color w:val="000000"/>
                <w:sz w:val="22"/>
              </w:rPr>
              <w:t xml:space="preserve">. Aktivnosti za </w:t>
            </w:r>
            <w:r w:rsidRPr="004B0791">
              <w:rPr>
                <w:bCs/>
                <w:color w:val="000000"/>
                <w:sz w:val="22"/>
              </w:rPr>
              <w:t>obnove, nadgradnje in izboljšanja opremljenosti obstoječih vadbenih kapacitet za posebne policijske veš</w:t>
            </w:r>
            <w:r w:rsidR="00BD5F72">
              <w:rPr>
                <w:bCs/>
                <w:color w:val="000000"/>
                <w:sz w:val="22"/>
              </w:rPr>
              <w:t>čine in protiteroristično vadbo pa so načrtovane na prihodnja leta.</w:t>
            </w:r>
          </w:p>
          <w:p w14:paraId="32E8B225" w14:textId="77777777" w:rsidR="000D1796" w:rsidRPr="004F5C62" w:rsidRDefault="000D1796" w:rsidP="000D1796">
            <w:pPr>
              <w:pStyle w:val="Brezrazmikov"/>
              <w:jc w:val="both"/>
              <w:rPr>
                <w:rFonts w:ascii="Times New Roman" w:hAnsi="Times New Roman" w:cs="Times New Roman"/>
                <w:u w:val="single"/>
              </w:rPr>
            </w:pPr>
            <w:r w:rsidRPr="004F5C62">
              <w:rPr>
                <w:rFonts w:ascii="Times New Roman" w:hAnsi="Times New Roman" w:cs="Times New Roman"/>
                <w:u w:val="single"/>
              </w:rPr>
              <w:t>I</w:t>
            </w:r>
            <w:r>
              <w:rPr>
                <w:rFonts w:ascii="Times New Roman" w:hAnsi="Times New Roman" w:cs="Times New Roman"/>
                <w:u w:val="single"/>
              </w:rPr>
              <w:t>zvedbeni ukrep 3b</w:t>
            </w:r>
            <w:r w:rsidRPr="004F5C62">
              <w:rPr>
                <w:rFonts w:ascii="Times New Roman" w:hAnsi="Times New Roman" w:cs="Times New Roman"/>
                <w:u w:val="single"/>
              </w:rPr>
              <w:t>:</w:t>
            </w:r>
          </w:p>
          <w:p w14:paraId="24070FA8" w14:textId="77777777" w:rsidR="000D1796" w:rsidRPr="009C707F" w:rsidRDefault="000D1796" w:rsidP="000D1796">
            <w:pPr>
              <w:rPr>
                <w:sz w:val="22"/>
              </w:rPr>
            </w:pPr>
            <w:r w:rsidRPr="009C707F">
              <w:rPr>
                <w:sz w:val="22"/>
              </w:rPr>
              <w:t>Z namenom usposabljanja novo zaposlenih kriminalistov je bilo izvedeno praktično in teoretično usposabljanje t.i. kriminalistični tečaj. Organizirana so bila tudi usposabljanje za poglobitev znanja za uslužbence kriminalistične policije na področjih kot so prepovedane droge, tihotapstvo, varna vožnja, ciljno iskanje oseb. Na mednarodni ravni pa je bila financirana udeležba na strokovnem usposabljanju Europola v Haagu s področja SIENE in na temo analitičnih orodij in kapacitet ter servisa Europola.</w:t>
            </w:r>
          </w:p>
          <w:p w14:paraId="4BBFC5DC" w14:textId="1F9E80D5" w:rsidR="000D1796" w:rsidRPr="009C707F" w:rsidRDefault="000D1796" w:rsidP="000D1796">
            <w:pPr>
              <w:rPr>
                <w:sz w:val="22"/>
              </w:rPr>
            </w:pPr>
            <w:r w:rsidRPr="009C707F">
              <w:rPr>
                <w:sz w:val="22"/>
              </w:rPr>
              <w:t xml:space="preserve">V okviru izvedbenih ukrepov usmerjenih v oblikovanje sinergij, se ne izvajajo aktivnosti s področja preprečevanja radikalizacije in boj proti njej. </w:t>
            </w:r>
            <w:r w:rsidR="00916E91" w:rsidRPr="002B4947">
              <w:rPr>
                <w:sz w:val="22"/>
              </w:rPr>
              <w:t xml:space="preserve">Urad Vlade Republike Slovenije za oskrbo in integracijo migrantov je </w:t>
            </w:r>
            <w:r w:rsidR="00027D06" w:rsidRPr="002B4947">
              <w:rPr>
                <w:sz w:val="22"/>
              </w:rPr>
              <w:t xml:space="preserve">izvedel </w:t>
            </w:r>
            <w:r w:rsidR="00916E91" w:rsidRPr="002B4947">
              <w:rPr>
                <w:sz w:val="22"/>
              </w:rPr>
              <w:t xml:space="preserve">javno naročilo skladno z Zakonom o javnem naročanju, a je postopek padel. Postopek je bil ponovljen in teče faza izbor ponudnika. </w:t>
            </w:r>
            <w:r w:rsidR="00027D06" w:rsidRPr="002B4947">
              <w:rPr>
                <w:sz w:val="22"/>
              </w:rPr>
              <w:t>Načrtovan je začetek izvajanja v začetku 2025.</w:t>
            </w:r>
          </w:p>
          <w:p w14:paraId="2A21B20A" w14:textId="6ECC0FF6" w:rsidR="00052F71" w:rsidRPr="00052F71" w:rsidRDefault="00052F71" w:rsidP="00052F71">
            <w:pPr>
              <w:autoSpaceDE w:val="0"/>
              <w:autoSpaceDN w:val="0"/>
              <w:adjustRightInd w:val="0"/>
              <w:spacing w:after="0"/>
              <w:rPr>
                <w:color w:val="000000"/>
                <w:sz w:val="22"/>
              </w:rPr>
            </w:pPr>
            <w:r w:rsidRPr="00052F71">
              <w:rPr>
                <w:sz w:val="22"/>
              </w:rPr>
              <w:t xml:space="preserve">Policija je v okviru razvoja in izdelave aplikacije na področju preprečevanja radikalizacije za izdelavo ocene tveganja pri ljudeh, krajih in vsebini v zvezi z grožnjami za integracijo in nacionalno varnostjo, izvedla </w:t>
            </w:r>
            <w:r w:rsidRPr="00052F71">
              <w:rPr>
                <w:color w:val="000000"/>
                <w:sz w:val="22"/>
              </w:rPr>
              <w:t>analizo trga in ugotovila, da aplikacija na področju preprečevanja radikalizacije za izdelavo oceno tveganja ni v skladu s slovenskim pravnim redom, zato ni primerna za uporabo in kot taka ne predstavlja več prioritete za slovensko policijo.</w:t>
            </w:r>
          </w:p>
          <w:p w14:paraId="17165906" w14:textId="586BAED6" w:rsidR="000D1796" w:rsidRPr="009C707F" w:rsidRDefault="000D1796" w:rsidP="000D1796">
            <w:pPr>
              <w:spacing w:before="100"/>
              <w:rPr>
                <w:color w:val="000000"/>
                <w:sz w:val="22"/>
              </w:rPr>
            </w:pPr>
          </w:p>
          <w:p w14:paraId="4F61F553" w14:textId="77777777" w:rsidR="000D1796" w:rsidRPr="004F5C62" w:rsidRDefault="000D1796" w:rsidP="000D1796">
            <w:pPr>
              <w:pStyle w:val="Brezrazmikov"/>
              <w:jc w:val="both"/>
              <w:rPr>
                <w:rFonts w:ascii="Times New Roman" w:hAnsi="Times New Roman" w:cs="Times New Roman"/>
                <w:u w:val="single"/>
              </w:rPr>
            </w:pPr>
            <w:r w:rsidRPr="004F5C62">
              <w:rPr>
                <w:rFonts w:ascii="Times New Roman" w:hAnsi="Times New Roman" w:cs="Times New Roman"/>
                <w:u w:val="single"/>
              </w:rPr>
              <w:t>I</w:t>
            </w:r>
            <w:r>
              <w:rPr>
                <w:rFonts w:ascii="Times New Roman" w:hAnsi="Times New Roman" w:cs="Times New Roman"/>
                <w:u w:val="single"/>
              </w:rPr>
              <w:t>zvedbeni ukrep 3c</w:t>
            </w:r>
            <w:r w:rsidRPr="004F5C62">
              <w:rPr>
                <w:rFonts w:ascii="Times New Roman" w:hAnsi="Times New Roman" w:cs="Times New Roman"/>
                <w:u w:val="single"/>
              </w:rPr>
              <w:t>:</w:t>
            </w:r>
          </w:p>
          <w:p w14:paraId="7C0D4931" w14:textId="77777777" w:rsidR="000D1796" w:rsidRPr="0045468C" w:rsidRDefault="000D1796" w:rsidP="000D1796">
            <w:pPr>
              <w:rPr>
                <w:sz w:val="22"/>
              </w:rPr>
            </w:pPr>
            <w:r>
              <w:rPr>
                <w:sz w:val="22"/>
              </w:rPr>
              <w:t xml:space="preserve">Na področju zaščite žvižgačev in prič je bila financirana udeležba na strokovnih posvetih,  srečanjih in usposabljanjih, ki se vsebinsko dotikajo tega področja (npr.: psihologija, ETIAS, mednarodno sodelovanje) ter </w:t>
            </w:r>
            <w:r w:rsidRPr="0070055A">
              <w:rPr>
                <w:sz w:val="22"/>
                <w:shd w:val="clear" w:color="auto" w:fill="FFFFFF"/>
              </w:rPr>
              <w:t>nakup osebnega vozila, ki zagotavlja učinkovito izvajanje ukrepov za ogrožene osebe</w:t>
            </w:r>
            <w:r>
              <w:rPr>
                <w:sz w:val="22"/>
                <w:shd w:val="clear" w:color="auto" w:fill="FFFFFF"/>
              </w:rPr>
              <w:t>, ki so vključene v program</w:t>
            </w:r>
            <w:r w:rsidRPr="0070055A">
              <w:rPr>
                <w:sz w:val="22"/>
                <w:shd w:val="clear" w:color="auto" w:fill="FFFFFF"/>
              </w:rPr>
              <w:t xml:space="preserve"> zaščite prič.</w:t>
            </w:r>
          </w:p>
          <w:p w14:paraId="24BDC70D" w14:textId="77777777" w:rsidR="000D1796" w:rsidRPr="004233DC" w:rsidRDefault="000D1796" w:rsidP="000D1796">
            <w:pPr>
              <w:rPr>
                <w:sz w:val="22"/>
              </w:rPr>
            </w:pPr>
            <w:r>
              <w:rPr>
                <w:sz w:val="22"/>
              </w:rPr>
              <w:t xml:space="preserve">Zaradi zamika (ponovitev postopka za izbiro) </w:t>
            </w:r>
            <w:r w:rsidRPr="004233DC">
              <w:rPr>
                <w:sz w:val="22"/>
              </w:rPr>
              <w:t xml:space="preserve">se v obdobju poročanja se še niso izvajale aktivnosti usmerjene v zaščito žrtev trgovine z ljudmi. </w:t>
            </w:r>
          </w:p>
          <w:p w14:paraId="1F8A0714" w14:textId="77777777" w:rsidR="000D1796" w:rsidRPr="004F5C62" w:rsidRDefault="000D1796" w:rsidP="000D1796">
            <w:pPr>
              <w:pStyle w:val="Brezrazmikov"/>
              <w:jc w:val="both"/>
              <w:rPr>
                <w:rFonts w:ascii="Times New Roman" w:hAnsi="Times New Roman" w:cs="Times New Roman"/>
                <w:u w:val="single"/>
              </w:rPr>
            </w:pPr>
            <w:r w:rsidRPr="004F5C62">
              <w:rPr>
                <w:rFonts w:ascii="Times New Roman" w:hAnsi="Times New Roman" w:cs="Times New Roman"/>
                <w:u w:val="single"/>
              </w:rPr>
              <w:t>I</w:t>
            </w:r>
            <w:r>
              <w:rPr>
                <w:rFonts w:ascii="Times New Roman" w:hAnsi="Times New Roman" w:cs="Times New Roman"/>
                <w:u w:val="single"/>
              </w:rPr>
              <w:t>zvedbeni ukrep 3d</w:t>
            </w:r>
            <w:r w:rsidRPr="004F5C62">
              <w:rPr>
                <w:rFonts w:ascii="Times New Roman" w:hAnsi="Times New Roman" w:cs="Times New Roman"/>
                <w:u w:val="single"/>
              </w:rPr>
              <w:t>:</w:t>
            </w:r>
          </w:p>
          <w:p w14:paraId="0D3E5D71" w14:textId="77777777" w:rsidR="000D1796" w:rsidRPr="008A4885" w:rsidRDefault="000D1796" w:rsidP="000D1796">
            <w:pPr>
              <w:rPr>
                <w:sz w:val="22"/>
              </w:rPr>
            </w:pPr>
            <w:r w:rsidRPr="000B21D4">
              <w:rPr>
                <w:sz w:val="22"/>
                <w:shd w:val="clear" w:color="auto" w:fill="FFFFFF"/>
              </w:rPr>
              <w:t>Izvedena je bila ekstrakcija podatkov iz evidenc zaseženih predmetov ter transformacija podatkov (čiščenje podatkov, preoblikovanje podatkov) in optimizacija v ETL procesu kot tudi prenos podatkov v podatkovno skladišče (DWH). Proces ETL za ukrepe prepovedi približevanja, za odločbe o vračanju migrantov ipd. je bil tudi izboljšan. Poleg tega so bile pripravljene nadzorne plošče za statistična poročanja in procedure za prenos letnih poročil iz novega podatkovnega skladišča.</w:t>
            </w:r>
          </w:p>
          <w:p w14:paraId="2C935CFE" w14:textId="77777777" w:rsidR="000D1796" w:rsidRPr="004F5C62" w:rsidRDefault="000D1796" w:rsidP="000D1796">
            <w:pPr>
              <w:pStyle w:val="Brezrazmikov"/>
              <w:jc w:val="both"/>
              <w:rPr>
                <w:rFonts w:ascii="Times New Roman" w:hAnsi="Times New Roman" w:cs="Times New Roman"/>
                <w:u w:val="single"/>
              </w:rPr>
            </w:pPr>
            <w:r w:rsidRPr="004F5C62">
              <w:rPr>
                <w:rFonts w:ascii="Times New Roman" w:hAnsi="Times New Roman" w:cs="Times New Roman"/>
                <w:u w:val="single"/>
              </w:rPr>
              <w:t>I</w:t>
            </w:r>
            <w:r>
              <w:rPr>
                <w:rFonts w:ascii="Times New Roman" w:hAnsi="Times New Roman" w:cs="Times New Roman"/>
                <w:u w:val="single"/>
              </w:rPr>
              <w:t>zvedbeni ukrep 3e</w:t>
            </w:r>
            <w:r w:rsidRPr="004F5C62">
              <w:rPr>
                <w:rFonts w:ascii="Times New Roman" w:hAnsi="Times New Roman" w:cs="Times New Roman"/>
                <w:u w:val="single"/>
              </w:rPr>
              <w:t>:</w:t>
            </w:r>
          </w:p>
          <w:p w14:paraId="2C6344CE" w14:textId="77777777" w:rsidR="000D1796" w:rsidRPr="000B21D4" w:rsidRDefault="000D1796" w:rsidP="000D1796">
            <w:pPr>
              <w:rPr>
                <w:sz w:val="22"/>
              </w:rPr>
            </w:pPr>
            <w:r>
              <w:rPr>
                <w:sz w:val="22"/>
              </w:rPr>
              <w:t xml:space="preserve">Na področju kritične infrastrukture je bila izvedena projektna zaposlitev namenjena izvajanju koordinacije in upravljanja projekta ter aktivnosti obveščanja in prepoznavnosti, ki so bile usmerjene </w:t>
            </w:r>
            <w:r w:rsidRPr="00133868">
              <w:rPr>
                <w:sz w:val="22"/>
              </w:rPr>
              <w:t xml:space="preserve">v obveščanje zainteresirane javnosti o vsebinah iz področja kritične infrastrukture. Nadgradnja </w:t>
            </w:r>
            <w:r w:rsidRPr="00133868">
              <w:rPr>
                <w:sz w:val="22"/>
                <w:shd w:val="clear" w:color="auto" w:fill="FFFFFF"/>
              </w:rPr>
              <w:lastRenderedPageBreak/>
              <w:t xml:space="preserve">obstoječega programa usposabljanja za zaščito kritične infrastrukture </w:t>
            </w:r>
            <w:r w:rsidRPr="00133868">
              <w:rPr>
                <w:sz w:val="22"/>
              </w:rPr>
              <w:t xml:space="preserve">še ni bila izvedena, so bile pa izvedene pripravljalne aktivnosti (npr.: pregled trga potencialnih zunanjih izvajalcev). </w:t>
            </w:r>
          </w:p>
          <w:p w14:paraId="1C63813C" w14:textId="5ACC8871" w:rsidR="00FD3C01" w:rsidRPr="004F5B50" w:rsidRDefault="000D1796" w:rsidP="00F73988">
            <w:pPr>
              <w:rPr>
                <w:sz w:val="22"/>
              </w:rPr>
            </w:pPr>
            <w:r w:rsidRPr="000855A4">
              <w:rPr>
                <w:sz w:val="22"/>
              </w:rPr>
              <w:t>Druge aktivnosti na področju izvedbenega ukrepa zaščite kritične infrastrukture se ne izvajajo oziroma</w:t>
            </w:r>
            <w:r>
              <w:rPr>
                <w:sz w:val="22"/>
              </w:rPr>
              <w:t xml:space="preserve"> upravičenci še niso </w:t>
            </w:r>
            <w:r w:rsidR="00F73988">
              <w:rPr>
                <w:sz w:val="22"/>
              </w:rPr>
              <w:t xml:space="preserve">poročali. </w:t>
            </w:r>
            <w:r w:rsidR="00FB2140">
              <w:rPr>
                <w:sz w:val="22"/>
              </w:rPr>
              <w:t>Zaradi neuspelih ponovljenih razpisov za projektne zaposlitve pri ukrepu kartografske podpore akterjem kriznega upravljanja in vodenja na operativni ravni in ukrepu vzpostavitve geografske podpore a</w:t>
            </w:r>
            <w:r w:rsidR="00F73988">
              <w:rPr>
                <w:sz w:val="22"/>
              </w:rPr>
              <w:t>nalitični zmogljivosti v NCKU s</w:t>
            </w:r>
            <w:r w:rsidR="00FB2140">
              <w:rPr>
                <w:sz w:val="22"/>
              </w:rPr>
              <w:t xml:space="preserve">o bili primorani spremeniti dinamiko izvajanja </w:t>
            </w:r>
            <w:r w:rsidR="00F73988">
              <w:rPr>
                <w:sz w:val="22"/>
              </w:rPr>
              <w:t xml:space="preserve">aktivnosti. </w:t>
            </w:r>
            <w:r w:rsidR="00FB2140">
              <w:rPr>
                <w:sz w:val="22"/>
              </w:rPr>
              <w:t xml:space="preserve">Dodatno </w:t>
            </w:r>
            <w:r w:rsidR="00F73988">
              <w:rPr>
                <w:sz w:val="22"/>
              </w:rPr>
              <w:t xml:space="preserve">je bilo potrebno, </w:t>
            </w:r>
            <w:r w:rsidR="00FB2140">
              <w:rPr>
                <w:sz w:val="22"/>
              </w:rPr>
              <w:t xml:space="preserve">zaradi prenosa sredstev </w:t>
            </w:r>
            <w:r w:rsidR="00F73988">
              <w:rPr>
                <w:sz w:val="22"/>
              </w:rPr>
              <w:t>aktivnosti, ki se ne bodo izvedle,</w:t>
            </w:r>
            <w:r w:rsidR="00FB2140">
              <w:rPr>
                <w:sz w:val="22"/>
              </w:rPr>
              <w:t xml:space="preserve"> s področja nadgradnje informacijskega sistema klica v sili 112 in dograditve zmogljivosti obveščanja in alarmiranja prebivalstva preko mobilnih telefonov (zaradi nujnosti sta bila izvedena s proračunskimi sredstvi brez pomoči EU) uskladi</w:t>
            </w:r>
            <w:r w:rsidR="00F73988">
              <w:rPr>
                <w:sz w:val="22"/>
              </w:rPr>
              <w:t>ti</w:t>
            </w:r>
            <w:r w:rsidR="00FB2140">
              <w:rPr>
                <w:sz w:val="22"/>
              </w:rPr>
              <w:t xml:space="preserve"> vrednosti ostalih </w:t>
            </w:r>
            <w:r w:rsidR="00F73988">
              <w:rPr>
                <w:sz w:val="22"/>
              </w:rPr>
              <w:t>aktivnosti</w:t>
            </w:r>
            <w:r w:rsidR="00FB2140">
              <w:rPr>
                <w:sz w:val="22"/>
              </w:rPr>
              <w:t xml:space="preserve"> (</w:t>
            </w:r>
            <w:r w:rsidR="00F73988">
              <w:rPr>
                <w:sz w:val="22"/>
              </w:rPr>
              <w:t xml:space="preserve">po potrditvi nove verzije </w:t>
            </w:r>
            <w:r w:rsidR="00FB2140">
              <w:rPr>
                <w:sz w:val="22"/>
              </w:rPr>
              <w:t>programa SNV</w:t>
            </w:r>
            <w:r w:rsidR="00F73988">
              <w:rPr>
                <w:sz w:val="22"/>
              </w:rPr>
              <w:t xml:space="preserve">). </w:t>
            </w:r>
            <w:r w:rsidR="00FB2140">
              <w:rPr>
                <w:sz w:val="22"/>
              </w:rPr>
              <w:t xml:space="preserve">To je botrovalo tudi zapletom pri oblikovanju finančnega načrta, zaradi česar je pri ostalih aktivnosti </w:t>
            </w:r>
            <w:r w:rsidR="00F73988">
              <w:rPr>
                <w:sz w:val="22"/>
              </w:rPr>
              <w:t xml:space="preserve">tudi </w:t>
            </w:r>
            <w:r w:rsidR="00FB2140">
              <w:rPr>
                <w:sz w:val="22"/>
              </w:rPr>
              <w:t xml:space="preserve">prišlo do zamika izvajanja, ki pa </w:t>
            </w:r>
            <w:r w:rsidR="00F73988">
              <w:rPr>
                <w:sz w:val="22"/>
              </w:rPr>
              <w:t xml:space="preserve">sicer </w:t>
            </w:r>
            <w:r w:rsidR="00FB2140">
              <w:rPr>
                <w:sz w:val="22"/>
              </w:rPr>
              <w:t xml:space="preserve">ne ogroža izvedbe </w:t>
            </w:r>
            <w:r w:rsidR="00F73988">
              <w:rPr>
                <w:sz w:val="22"/>
              </w:rPr>
              <w:t>načrtovanih ciljev</w:t>
            </w:r>
            <w:r w:rsidR="00FB2140">
              <w:rPr>
                <w:sz w:val="22"/>
              </w:rPr>
              <w:t>.</w:t>
            </w:r>
          </w:p>
        </w:tc>
      </w:tr>
    </w:tbl>
    <w:p w14:paraId="2A9319FB" w14:textId="77777777" w:rsidR="006A41E2" w:rsidRPr="003A1616" w:rsidRDefault="00C30ACF" w:rsidP="00C30ACF">
      <w:pPr>
        <w:pStyle w:val="ManualHeading2"/>
        <w:rPr>
          <w:noProof/>
        </w:rPr>
      </w:pPr>
      <w:r w:rsidRPr="003A1616">
        <w:lastRenderedPageBreak/>
        <w:t>1.2.</w:t>
      </w:r>
      <w:r w:rsidRPr="003A1616">
        <w:tab/>
      </w:r>
      <w:r w:rsidR="006A41E2" w:rsidRPr="003A1616">
        <w:rPr>
          <w:noProof/>
        </w:rPr>
        <w:t>Vprašanja, ki vplivajo na smotrnost – člen 30(2), točka (b), Uredbe (EU) 2021/1149</w:t>
      </w:r>
    </w:p>
    <w:p w14:paraId="6858826E" w14:textId="77777777" w:rsidR="006A41E2" w:rsidRPr="003A1616" w:rsidRDefault="006A41E2" w:rsidP="006A41E2">
      <w:pPr>
        <w:rPr>
          <w:noProof/>
          <w:sz w:val="22"/>
        </w:rPr>
      </w:pPr>
      <w:r w:rsidRPr="003A1616">
        <w:rPr>
          <w:noProof/>
          <w:sz w:val="22"/>
        </w:rPr>
        <w:t xml:space="preserve">Za vsak specifični cilj opišite morebitna vprašanja, ki vplivajo na smotrnost programa med obračunskim letom, in morebitne ukrepe, sprejete za njihovo obravnavo. </w:t>
      </w:r>
    </w:p>
    <w:p w14:paraId="2690A468" w14:textId="77777777" w:rsidR="006A41E2" w:rsidRPr="003A1616" w:rsidRDefault="006A41E2" w:rsidP="006A41E2">
      <w:pPr>
        <w:rPr>
          <w:noProof/>
          <w:sz w:val="22"/>
        </w:rPr>
      </w:pPr>
      <w:r w:rsidRPr="003A1616">
        <w:rPr>
          <w:noProof/>
          <w:sz w:val="22"/>
        </w:rPr>
        <w:t>Kadar koli je to mogoče in ustrezno, razlikujte med vprašanji, povezanimi z:</w:t>
      </w:r>
    </w:p>
    <w:p w14:paraId="15FFF995" w14:textId="77777777" w:rsidR="006A41E2" w:rsidRPr="003A1616" w:rsidRDefault="006A41E2" w:rsidP="00912E10">
      <w:pPr>
        <w:pStyle w:val="Tiret0"/>
        <w:numPr>
          <w:ilvl w:val="0"/>
          <w:numId w:val="11"/>
        </w:numPr>
        <w:rPr>
          <w:noProof/>
          <w:sz w:val="22"/>
        </w:rPr>
      </w:pPr>
      <w:r w:rsidRPr="003A1616">
        <w:rPr>
          <w:noProof/>
          <w:sz w:val="22"/>
        </w:rPr>
        <w:t>nezadostnim poročanjem o dosežkih</w:t>
      </w:r>
      <w:r w:rsidRPr="003A1616">
        <w:rPr>
          <w:rStyle w:val="Sprotnaopomba-sklic"/>
          <w:noProof/>
          <w:sz w:val="22"/>
        </w:rPr>
        <w:footnoteReference w:id="2"/>
      </w:r>
      <w:r w:rsidR="00E9035B" w:rsidRPr="003A1616">
        <w:rPr>
          <w:noProof/>
        </w:rPr>
        <w:t>,</w:t>
      </w:r>
      <w:r w:rsidRPr="003A1616">
        <w:rPr>
          <w:noProof/>
          <w:sz w:val="22"/>
        </w:rPr>
        <w:t xml:space="preserve"> </w:t>
      </w:r>
    </w:p>
    <w:p w14:paraId="18168DC4" w14:textId="77777777" w:rsidR="006A41E2" w:rsidRPr="003A1616" w:rsidRDefault="006A41E2" w:rsidP="00912E10">
      <w:pPr>
        <w:pStyle w:val="Tiret0"/>
        <w:numPr>
          <w:ilvl w:val="0"/>
          <w:numId w:val="11"/>
        </w:numPr>
        <w:rPr>
          <w:noProof/>
          <w:sz w:val="22"/>
        </w:rPr>
      </w:pPr>
      <w:r w:rsidRPr="003A1616">
        <w:rPr>
          <w:noProof/>
          <w:sz w:val="22"/>
        </w:rPr>
        <w:t>določanjem ciljev</w:t>
      </w:r>
      <w:r w:rsidRPr="003A1616">
        <w:rPr>
          <w:rStyle w:val="Sprotnaopomba-sklic"/>
          <w:noProof/>
          <w:sz w:val="22"/>
        </w:rPr>
        <w:footnoteReference w:id="3"/>
      </w:r>
      <w:r w:rsidR="00E9035B" w:rsidRPr="003A1616">
        <w:rPr>
          <w:noProof/>
        </w:rPr>
        <w:t>,</w:t>
      </w:r>
      <w:r w:rsidRPr="003A1616">
        <w:rPr>
          <w:noProof/>
          <w:sz w:val="22"/>
        </w:rPr>
        <w:t xml:space="preserve"> </w:t>
      </w:r>
    </w:p>
    <w:p w14:paraId="34495A5E" w14:textId="77777777" w:rsidR="006A41E2" w:rsidRPr="003A1616" w:rsidRDefault="006A41E2" w:rsidP="00912E10">
      <w:pPr>
        <w:pStyle w:val="Tiret0"/>
        <w:numPr>
          <w:ilvl w:val="0"/>
          <w:numId w:val="11"/>
        </w:numPr>
        <w:rPr>
          <w:noProof/>
          <w:sz w:val="22"/>
        </w:rPr>
      </w:pPr>
      <w:r w:rsidRPr="003A1616">
        <w:rPr>
          <w:noProof/>
          <w:sz w:val="22"/>
        </w:rPr>
        <w:t>postopkovnimi zamudami in upravnimi zmogljivostmi</w:t>
      </w:r>
      <w:r w:rsidRPr="003A1616">
        <w:rPr>
          <w:rStyle w:val="Sprotnaopomba-sklic"/>
          <w:noProof/>
          <w:sz w:val="22"/>
        </w:rPr>
        <w:footnoteReference w:id="4"/>
      </w:r>
      <w:r w:rsidR="00E9035B" w:rsidRPr="003A1616">
        <w:rPr>
          <w:noProof/>
        </w:rPr>
        <w:t>,</w:t>
      </w:r>
      <w:r w:rsidRPr="003A1616">
        <w:rPr>
          <w:noProof/>
          <w:sz w:val="22"/>
        </w:rPr>
        <w:t xml:space="preserve"> </w:t>
      </w:r>
    </w:p>
    <w:p w14:paraId="7D1C8A88" w14:textId="77777777" w:rsidR="006A41E2" w:rsidRPr="003A1616" w:rsidRDefault="006A41E2" w:rsidP="00912E10">
      <w:pPr>
        <w:pStyle w:val="Tiret0"/>
        <w:numPr>
          <w:ilvl w:val="0"/>
          <w:numId w:val="11"/>
        </w:numPr>
        <w:rPr>
          <w:noProof/>
          <w:sz w:val="22"/>
        </w:rPr>
      </w:pPr>
      <w:r w:rsidRPr="003A1616">
        <w:rPr>
          <w:noProof/>
          <w:sz w:val="22"/>
        </w:rPr>
        <w:t>kontekstualnimi spremembami</w:t>
      </w:r>
      <w:r w:rsidRPr="003A1616">
        <w:rPr>
          <w:rStyle w:val="Sprotnaopomba-sklic"/>
          <w:noProof/>
          <w:sz w:val="22"/>
        </w:rPr>
        <w:footnoteReference w:id="5"/>
      </w:r>
      <w:r w:rsidR="00E9035B" w:rsidRPr="003A1616">
        <w:rPr>
          <w:noProof/>
        </w:rPr>
        <w:t>,</w:t>
      </w:r>
    </w:p>
    <w:p w14:paraId="4AFB8110" w14:textId="77777777" w:rsidR="006A41E2" w:rsidRPr="003A1616" w:rsidRDefault="006A41E2" w:rsidP="00912E10">
      <w:pPr>
        <w:pStyle w:val="Tiret0"/>
        <w:numPr>
          <w:ilvl w:val="0"/>
          <w:numId w:val="11"/>
        </w:numPr>
        <w:rPr>
          <w:noProof/>
          <w:sz w:val="22"/>
        </w:rPr>
      </w:pPr>
      <w:r w:rsidRPr="003A1616">
        <w:rPr>
          <w:noProof/>
          <w:sz w:val="22"/>
        </w:rPr>
        <w:t>zasnovo in/ali izvajanjem operacij</w:t>
      </w:r>
      <w:r w:rsidRPr="003A1616">
        <w:rPr>
          <w:rStyle w:val="Sprotnaopomba-sklic"/>
          <w:noProof/>
          <w:sz w:val="22"/>
        </w:rPr>
        <w:footnoteReference w:id="6"/>
      </w:r>
      <w:r w:rsidRPr="003A1616">
        <w:rPr>
          <w:noProof/>
          <w:sz w:val="22"/>
        </w:rPr>
        <w:t xml:space="preserve"> ter</w:t>
      </w:r>
    </w:p>
    <w:p w14:paraId="2D930DD1" w14:textId="77777777" w:rsidR="006A41E2" w:rsidRPr="003A1616" w:rsidRDefault="006A41E2" w:rsidP="00912E10">
      <w:pPr>
        <w:pStyle w:val="Tiret0"/>
        <w:numPr>
          <w:ilvl w:val="0"/>
          <w:numId w:val="11"/>
        </w:numPr>
        <w:rPr>
          <w:noProof/>
          <w:sz w:val="22"/>
        </w:rPr>
      </w:pPr>
      <w:r w:rsidRPr="003A1616">
        <w:rPr>
          <w:noProof/>
          <w:sz w:val="22"/>
        </w:rPr>
        <w:t xml:space="preserve">katero koli drugo zadevo. </w:t>
      </w:r>
    </w:p>
    <w:p w14:paraId="7D85DDF1" w14:textId="77777777" w:rsidR="000E45B7" w:rsidRPr="003A1616" w:rsidRDefault="000E45B7" w:rsidP="006D7F5F">
      <w:pPr>
        <w:rPr>
          <w:i/>
          <w:noProof/>
          <w:sz w:val="22"/>
        </w:rPr>
      </w:pPr>
      <w:r w:rsidRPr="003A1616">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14:paraId="13A070A6" w14:textId="77777777" w:rsidR="006A41E2" w:rsidRPr="003A1616" w:rsidRDefault="0060652B" w:rsidP="006A41E2">
      <w:pPr>
        <w:rPr>
          <w:noProof/>
          <w:sz w:val="22"/>
        </w:rPr>
      </w:pPr>
      <w:r w:rsidRPr="003A1616">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Pr>
      <w:tblGrid>
        <w:gridCol w:w="9063"/>
      </w:tblGrid>
      <w:tr w:rsidR="006A41E2" w:rsidRPr="003A1616" w14:paraId="6E7B363F" w14:textId="77777777" w:rsidTr="00E45665">
        <w:tc>
          <w:tcPr>
            <w:tcW w:w="9289" w:type="dxa"/>
          </w:tcPr>
          <w:p w14:paraId="132715B8" w14:textId="77777777" w:rsidR="000830EF" w:rsidRPr="000855A4" w:rsidRDefault="000830EF" w:rsidP="000830EF">
            <w:pPr>
              <w:pStyle w:val="Personnequisigne"/>
              <w:jc w:val="both"/>
              <w:rPr>
                <w:i w:val="0"/>
                <w:sz w:val="22"/>
              </w:rPr>
            </w:pPr>
            <w:r w:rsidRPr="000855A4">
              <w:rPr>
                <w:i w:val="0"/>
                <w:sz w:val="22"/>
              </w:rPr>
              <w:t>Zaradi poznejše potrditve programa SNV in posledično začetka izvajanja operacij pričakujemo, da bodo v nekaterih primerih zastavljeni cilji (2029) doseženi v nižjem obsegu oz. v drugih primerih v višjem obsegu. Razlog je, da so se nekatere aktivnosti izvedle z uporabo drugih virov financiranja ali pa se so se v tem času spremenile potrebe upravičenca. Novembra 2024 je bil potrjen spremenjen program SNV, kjer so razvidne prej omenjene vsebine kot tudi spremembe zaradi prenosa 5% iz programa IUMV. Menimo, da je sedaj doseganje zastavljenih ciljev bolj realno zastavljeno</w:t>
            </w:r>
            <w:r>
              <w:rPr>
                <w:i w:val="0"/>
                <w:sz w:val="22"/>
              </w:rPr>
              <w:t xml:space="preserve">. </w:t>
            </w:r>
          </w:p>
          <w:p w14:paraId="5D78E405" w14:textId="77777777" w:rsidR="000830EF" w:rsidRPr="000855A4" w:rsidRDefault="000830EF" w:rsidP="000830EF">
            <w:pPr>
              <w:pStyle w:val="Personnequisigne"/>
              <w:jc w:val="both"/>
              <w:rPr>
                <w:i w:val="0"/>
                <w:sz w:val="22"/>
              </w:rPr>
            </w:pPr>
          </w:p>
          <w:p w14:paraId="01D08C28" w14:textId="77C4172A" w:rsidR="000830EF" w:rsidRPr="000855A4" w:rsidRDefault="000830EF" w:rsidP="000830EF">
            <w:pPr>
              <w:pStyle w:val="Personnequisigne"/>
              <w:jc w:val="both"/>
              <w:rPr>
                <w:i w:val="0"/>
                <w:sz w:val="22"/>
              </w:rPr>
            </w:pPr>
            <w:r w:rsidRPr="000855A4">
              <w:rPr>
                <w:i w:val="0"/>
                <w:sz w:val="22"/>
              </w:rPr>
              <w:lastRenderedPageBreak/>
              <w:t>V splošnem velja, da med izvajanjem operacij prihaja do zamud, ker so upravičenci šele konec 2023 in v začetku 2024 pričeli z izvedbo nekaterih postopkov za izpeljavo javnih naročil (dobava blaga in storitve) in/ali s pripravo dokumentacije za pozive za javne razpise, zato bodo pogodbe podpisane šele konec 2024 ali v začetku 2025. Poleg tega pa se je do konca 2023 koristilo še neporabljena sredstva v okviru programa ISF-P 14-20.</w:t>
            </w:r>
          </w:p>
          <w:p w14:paraId="0712D3AA" w14:textId="77777777" w:rsidR="00BC4A4C" w:rsidRPr="000830EF" w:rsidRDefault="00BC4A4C" w:rsidP="00BC4A4C">
            <w:pPr>
              <w:pStyle w:val="Personnequisigne"/>
              <w:jc w:val="both"/>
              <w:rPr>
                <w:sz w:val="22"/>
              </w:rPr>
            </w:pPr>
          </w:p>
          <w:p w14:paraId="6748CA06" w14:textId="77777777" w:rsidR="008116E1" w:rsidRPr="0002060E" w:rsidRDefault="008116E1" w:rsidP="00E47AD1">
            <w:pPr>
              <w:pStyle w:val="Personnequisigne"/>
              <w:jc w:val="both"/>
              <w:rPr>
                <w:i w:val="0"/>
                <w:noProof/>
                <w:sz w:val="22"/>
              </w:rPr>
            </w:pPr>
            <w:r w:rsidRPr="000830EF">
              <w:rPr>
                <w:i w:val="0"/>
                <w:sz w:val="22"/>
              </w:rPr>
              <w:t xml:space="preserve">OU ne razpolaga z informacijami </w:t>
            </w:r>
            <w:r w:rsidRPr="000830EF">
              <w:rPr>
                <w:i w:val="0"/>
                <w:noProof/>
                <w:sz w:val="22"/>
              </w:rPr>
              <w:t xml:space="preserve">v zvezi s postopki za ugotavljanje kršitev na podlagi 258. člena Pogodbe o delovanju Evropske unije (PDEU), v povezavi z izvajanjem programa </w:t>
            </w:r>
            <w:r w:rsidR="00E47AD1" w:rsidRPr="000830EF">
              <w:rPr>
                <w:i w:val="0"/>
                <w:noProof/>
                <w:sz w:val="22"/>
              </w:rPr>
              <w:t>SNV</w:t>
            </w:r>
            <w:r w:rsidRPr="000830EF">
              <w:rPr>
                <w:i w:val="0"/>
                <w:noProof/>
                <w:sz w:val="22"/>
              </w:rPr>
              <w:t>.</w:t>
            </w:r>
          </w:p>
        </w:tc>
      </w:tr>
    </w:tbl>
    <w:p w14:paraId="07DD0893" w14:textId="77777777" w:rsidR="006A41E2" w:rsidRPr="003A1616" w:rsidRDefault="00C30ACF" w:rsidP="00C30ACF">
      <w:pPr>
        <w:pStyle w:val="ManualHeading2"/>
        <w:rPr>
          <w:noProof/>
        </w:rPr>
      </w:pPr>
      <w:r w:rsidRPr="003A1616">
        <w:lastRenderedPageBreak/>
        <w:t>1.3.</w:t>
      </w:r>
      <w:r w:rsidRPr="003A1616">
        <w:tab/>
      </w:r>
      <w:r w:rsidR="006A41E2" w:rsidRPr="003A1616">
        <w:rPr>
          <w:noProof/>
        </w:rPr>
        <w:t>Posebni blažilni ukrepi</w:t>
      </w:r>
    </w:p>
    <w:p w14:paraId="459EA247" w14:textId="77777777" w:rsidR="006A41E2" w:rsidRPr="003A1616" w:rsidRDefault="006A41E2" w:rsidP="006A41E2">
      <w:pPr>
        <w:rPr>
          <w:noProof/>
          <w:sz w:val="22"/>
        </w:rPr>
      </w:pPr>
      <w:r w:rsidRPr="003A1616">
        <w:rPr>
          <w:b/>
          <w:noProof/>
          <w:sz w:val="22"/>
        </w:rPr>
        <w:t>Če je ustrezno</w:t>
      </w:r>
      <w:r w:rsidRPr="003A1616">
        <w:rPr>
          <w:noProof/>
          <w:sz w:val="22"/>
        </w:rPr>
        <w:t xml:space="preserve">, na kratko opišite, kako so dejavnosti programa prispevale k ublažitvi učinkov vseh relevantnih in nenadnih kontekstualnih sprememb, ki so povzročile nepredvidene varnostne grožnje. Kadar koli je mogoče, navedite obseg sredstev, prerazporejenih v ta namen, ter s tem povezane dosežene učinke in rezultate. </w:t>
      </w:r>
    </w:p>
    <w:p w14:paraId="71C46471" w14:textId="77777777" w:rsidR="006A41E2" w:rsidRPr="003A1616" w:rsidRDefault="000E45B7" w:rsidP="006A41E2">
      <w:pPr>
        <w:rPr>
          <w:noProof/>
          <w:sz w:val="22"/>
        </w:rPr>
      </w:pPr>
      <w:r w:rsidRPr="003A1616">
        <w:rPr>
          <w:noProof/>
          <w:sz w:val="22"/>
        </w:rPr>
        <w:t>Posebno pozornost namenite dejavnostim, ki se izvajajo za ublažitev nepredvidenih varnostnih groženj in katerih dosežki morda ne bodo v celoti zajeti s skupnimi kazalniki učinka in rezultatov.</w:t>
      </w:r>
    </w:p>
    <w:tbl>
      <w:tblPr>
        <w:tblStyle w:val="Tabelamrea"/>
        <w:tblW w:w="0" w:type="auto"/>
        <w:tblLook w:val="04A0" w:firstRow="1" w:lastRow="0" w:firstColumn="1" w:lastColumn="0" w:noHBand="0" w:noVBand="1"/>
      </w:tblPr>
      <w:tblGrid>
        <w:gridCol w:w="9063"/>
      </w:tblGrid>
      <w:tr w:rsidR="006A41E2" w:rsidRPr="003A1616" w14:paraId="5296B072" w14:textId="77777777" w:rsidTr="00E45665">
        <w:tc>
          <w:tcPr>
            <w:tcW w:w="9289" w:type="dxa"/>
          </w:tcPr>
          <w:p w14:paraId="164E3D69" w14:textId="77777777" w:rsidR="006A41E2" w:rsidRPr="0002060E" w:rsidRDefault="0028797D" w:rsidP="00614B4A">
            <w:pPr>
              <w:pStyle w:val="Personnequisigne"/>
              <w:jc w:val="both"/>
              <w:rPr>
                <w:i w:val="0"/>
                <w:noProof/>
                <w:sz w:val="22"/>
              </w:rPr>
            </w:pPr>
            <w:r w:rsidRPr="002F67B6">
              <w:rPr>
                <w:i w:val="0"/>
                <w:noProof/>
                <w:sz w:val="22"/>
              </w:rPr>
              <w:t xml:space="preserve">Slovenija je v obračunskem obdobju poročanja </w:t>
            </w:r>
            <w:r>
              <w:rPr>
                <w:i w:val="0"/>
                <w:noProof/>
                <w:sz w:val="22"/>
              </w:rPr>
              <w:t>izvajanja</w:t>
            </w:r>
            <w:r w:rsidRPr="002F67B6">
              <w:rPr>
                <w:i w:val="0"/>
                <w:noProof/>
                <w:sz w:val="22"/>
              </w:rPr>
              <w:t xml:space="preserve"> akti</w:t>
            </w:r>
            <w:r>
              <w:rPr>
                <w:i w:val="0"/>
                <w:noProof/>
                <w:sz w:val="22"/>
              </w:rPr>
              <w:t>vnosti v zvezi s programom SNV</w:t>
            </w:r>
            <w:r w:rsidRPr="002F67B6">
              <w:rPr>
                <w:i w:val="0"/>
                <w:noProof/>
                <w:sz w:val="22"/>
              </w:rPr>
              <w:t xml:space="preserve">. Trenutne aktivnosti programa niso prispevale k ublažitvi učinkov morebitnih nenadnih sprememb migracijskega pritiska, ki so posledica kakršnega koli nepredvidenega poslabšanja socialno-ekonomskih ali političnih razmer v zadevnih tretjih državah. V ta namen niso bila prerazporejena sredstva.  </w:t>
            </w:r>
          </w:p>
        </w:tc>
      </w:tr>
    </w:tbl>
    <w:p w14:paraId="79FBF44E" w14:textId="77777777" w:rsidR="006A41E2" w:rsidRPr="003A1616" w:rsidRDefault="00C30ACF" w:rsidP="00C30ACF">
      <w:pPr>
        <w:pStyle w:val="ManualHeading2"/>
        <w:rPr>
          <w:noProof/>
        </w:rPr>
      </w:pPr>
      <w:r w:rsidRPr="003A1616">
        <w:t>1.4.</w:t>
      </w:r>
      <w:r w:rsidRPr="003A1616">
        <w:tab/>
      </w:r>
      <w:r w:rsidR="006A41E2" w:rsidRPr="003A1616">
        <w:rPr>
          <w:noProof/>
        </w:rPr>
        <w:t>Operativna podpora – člen 16(3) Uredbe (EU) 2021/1149</w:t>
      </w:r>
    </w:p>
    <w:p w14:paraId="51D84DF2" w14:textId="77777777" w:rsidR="006A41E2" w:rsidRPr="003A1616" w:rsidRDefault="00C62604" w:rsidP="006A41E2">
      <w:pPr>
        <w:rPr>
          <w:noProof/>
          <w:sz w:val="22"/>
        </w:rPr>
      </w:pPr>
      <w:r w:rsidRPr="003A1616">
        <w:rPr>
          <w:noProof/>
          <w:sz w:val="22"/>
        </w:rPr>
        <w:t>Če je bila med obračunskim letom uporabljena operativna podpora, opišite, kako je prispevala k doseganju ciljev Sklada</w:t>
      </w:r>
      <w:r w:rsidRPr="003A1616">
        <w:rPr>
          <w:rStyle w:val="Sprotnaopomba-sklic"/>
          <w:noProof/>
          <w:sz w:val="22"/>
        </w:rPr>
        <w:footnoteReference w:id="7"/>
      </w:r>
      <w:r w:rsidRPr="003A1616">
        <w:rPr>
          <w:noProof/>
        </w:rPr>
        <w:t>.</w:t>
      </w:r>
      <w:r w:rsidRPr="003A1616">
        <w:rPr>
          <w:noProof/>
          <w:sz w:val="22"/>
        </w:rPr>
        <w:t xml:space="preserve"> </w:t>
      </w:r>
    </w:p>
    <w:p w14:paraId="72330F42" w14:textId="77777777" w:rsidR="006A41E2" w:rsidRPr="003A1616" w:rsidRDefault="003A30A1" w:rsidP="006A41E2">
      <w:pPr>
        <w:rPr>
          <w:noProof/>
          <w:sz w:val="22"/>
        </w:rPr>
      </w:pPr>
      <w:r w:rsidRPr="003A1616">
        <w:rPr>
          <w:noProof/>
          <w:sz w:val="22"/>
        </w:rPr>
        <w:t>Če skupni kumulativni upravičeni stroški operativne podpore za operacije, izbrane za podporo, ob koncu obračunskega leta presegajo 20 % skupnih sredstev, dodeljenih programu, pojasnite razloge za to. Če obstaja tveganje, da bo prag do konca programskega obdobja presežen, opišite predvidene ukrepe za zmanjšanje tveganja.</w:t>
      </w:r>
    </w:p>
    <w:tbl>
      <w:tblPr>
        <w:tblStyle w:val="Tabelamrea"/>
        <w:tblW w:w="0" w:type="auto"/>
        <w:tblLook w:val="04A0" w:firstRow="1" w:lastRow="0" w:firstColumn="1" w:lastColumn="0" w:noHBand="0" w:noVBand="1"/>
      </w:tblPr>
      <w:tblGrid>
        <w:gridCol w:w="9063"/>
      </w:tblGrid>
      <w:tr w:rsidR="006A41E2" w:rsidRPr="003A1616" w14:paraId="633B8A7E" w14:textId="77777777" w:rsidTr="00E45665">
        <w:tc>
          <w:tcPr>
            <w:tcW w:w="9289" w:type="dxa"/>
          </w:tcPr>
          <w:p w14:paraId="2BDD48B8" w14:textId="77777777" w:rsidR="006A41E2" w:rsidRPr="003A1616" w:rsidRDefault="007A5907" w:rsidP="00321BDF">
            <w:pPr>
              <w:pStyle w:val="Personnequisigne"/>
              <w:jc w:val="both"/>
              <w:rPr>
                <w:i w:val="0"/>
                <w:noProof/>
                <w:sz w:val="22"/>
              </w:rPr>
            </w:pPr>
            <w:r w:rsidRPr="003A1616">
              <w:rPr>
                <w:i w:val="0"/>
                <w:noProof/>
                <w:sz w:val="22"/>
              </w:rPr>
              <w:t xml:space="preserve">Slovenija v obračunskem obdobju poročanja ni izvajala aktivnosti </w:t>
            </w:r>
            <w:r w:rsidR="00431B4C" w:rsidRPr="003A1616">
              <w:rPr>
                <w:i w:val="0"/>
                <w:noProof/>
                <w:sz w:val="22"/>
              </w:rPr>
              <w:t>operativne podpore v zvezi s programom SNV.</w:t>
            </w:r>
          </w:p>
        </w:tc>
      </w:tr>
    </w:tbl>
    <w:p w14:paraId="7E3CE0D5" w14:textId="77777777" w:rsidR="006A41E2" w:rsidRPr="003A1616" w:rsidRDefault="00C30ACF" w:rsidP="00C30ACF">
      <w:pPr>
        <w:pStyle w:val="ManualHeading2"/>
        <w:rPr>
          <w:noProof/>
        </w:rPr>
      </w:pPr>
      <w:r w:rsidRPr="003A1616">
        <w:t>1.5.</w:t>
      </w:r>
      <w:r w:rsidRPr="003A1616">
        <w:tab/>
      </w:r>
      <w:r w:rsidR="006A41E2" w:rsidRPr="003A1616">
        <w:rPr>
          <w:noProof/>
        </w:rPr>
        <w:t>Posebni ukrepi</w:t>
      </w:r>
      <w:r w:rsidR="006A41E2" w:rsidRPr="003A1616">
        <w:rPr>
          <w:rStyle w:val="Sprotnaopomba-sklic"/>
          <w:noProof/>
        </w:rPr>
        <w:footnoteReference w:id="8"/>
      </w:r>
      <w:r w:rsidR="006A41E2" w:rsidRPr="003A1616">
        <w:rPr>
          <w:noProof/>
        </w:rPr>
        <w:t xml:space="preserve"> </w:t>
      </w:r>
    </w:p>
    <w:p w14:paraId="008A3C26" w14:textId="77777777" w:rsidR="00EA1A2F" w:rsidRPr="003A1616" w:rsidRDefault="00EA1A2F" w:rsidP="00EA1A2F">
      <w:pPr>
        <w:rPr>
          <w:noProof/>
          <w:sz w:val="22"/>
        </w:rPr>
      </w:pPr>
      <w:r w:rsidRPr="003A1616">
        <w:rPr>
          <w:noProof/>
          <w:sz w:val="22"/>
        </w:rPr>
        <w:t>Opišite glavne dosežke vseh posebnih ukrepov, izvedenih med obračunskim letom, ter kako so ti ukrepi prispevali k doseganju ciljev programa in ustvarjanju dodane vrednosti Unije</w:t>
      </w:r>
      <w:r w:rsidRPr="003A1616">
        <w:rPr>
          <w:rStyle w:val="Sprotnaopomba-sklic"/>
          <w:noProof/>
        </w:rPr>
        <w:footnoteReference w:id="9"/>
      </w:r>
      <w:r w:rsidRPr="003A1616">
        <w:rPr>
          <w:noProof/>
          <w:sz w:val="22"/>
        </w:rPr>
        <w:t xml:space="preserve">. </w:t>
      </w:r>
    </w:p>
    <w:p w14:paraId="52323F84" w14:textId="77777777" w:rsidR="006A41E2" w:rsidRPr="003A1616" w:rsidRDefault="00EA1A2F" w:rsidP="00EA1A2F">
      <w:pPr>
        <w:rPr>
          <w:noProof/>
          <w:sz w:val="22"/>
        </w:rPr>
      </w:pPr>
      <w:r w:rsidRPr="003A1616">
        <w:rPr>
          <w:noProof/>
          <w:sz w:val="22"/>
        </w:rPr>
        <w:lastRenderedPageBreak/>
        <w:t>Opišite, kako so posamezni ukrepi napredovali, tako postopkovno</w:t>
      </w:r>
      <w:r w:rsidRPr="003A1616">
        <w:rPr>
          <w:rStyle w:val="Sprotnaopomba-sklic"/>
          <w:noProof/>
        </w:rPr>
        <w:footnoteReference w:id="10"/>
      </w:r>
      <w:r w:rsidRPr="003A1616">
        <w:rPr>
          <w:noProof/>
          <w:sz w:val="22"/>
        </w:rPr>
        <w:t xml:space="preserve"> kot operativno</w:t>
      </w:r>
      <w:r w:rsidRPr="003A1616">
        <w:rPr>
          <w:rStyle w:val="Sprotnaopomba-sklic"/>
          <w:noProof/>
        </w:rPr>
        <w:footnoteReference w:id="11"/>
      </w:r>
      <w:r w:rsidRPr="003A1616">
        <w:rPr>
          <w:noProof/>
          <w:sz w:val="22"/>
        </w:rPr>
        <w:t>, in izpostavite morebitna vprašanja, ki vplivajo na njihovo uspešnost, zlasti morebitno tveganje premajhne porabe.</w:t>
      </w:r>
    </w:p>
    <w:p w14:paraId="6CBB9041" w14:textId="77777777" w:rsidR="006A41E2" w:rsidRPr="003A1616" w:rsidRDefault="006A41E2" w:rsidP="006A41E2">
      <w:pPr>
        <w:rPr>
          <w:noProof/>
          <w:sz w:val="22"/>
        </w:rPr>
      </w:pPr>
      <w:r w:rsidRPr="003A1616">
        <w:rPr>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6A41E2" w:rsidRPr="003A1616" w14:paraId="4D78EBC7" w14:textId="77777777" w:rsidTr="00E45665">
        <w:tc>
          <w:tcPr>
            <w:tcW w:w="9289" w:type="dxa"/>
          </w:tcPr>
          <w:p w14:paraId="729A0918" w14:textId="5FC27173" w:rsidR="00227FE7" w:rsidRPr="003A1616" w:rsidRDefault="007A5907" w:rsidP="00227FE7">
            <w:pPr>
              <w:pStyle w:val="Personnequisigne"/>
              <w:jc w:val="both"/>
              <w:rPr>
                <w:i w:val="0"/>
                <w:noProof/>
                <w:sz w:val="22"/>
              </w:rPr>
            </w:pPr>
            <w:r w:rsidRPr="003A1616">
              <w:rPr>
                <w:i w:val="0"/>
                <w:noProof/>
                <w:sz w:val="22"/>
              </w:rPr>
              <w:t xml:space="preserve">Slovenija </w:t>
            </w:r>
            <w:r w:rsidR="00DC49C4" w:rsidRPr="003A1616">
              <w:rPr>
                <w:i w:val="0"/>
                <w:noProof/>
                <w:sz w:val="22"/>
              </w:rPr>
              <w:t xml:space="preserve">je </w:t>
            </w:r>
            <w:r w:rsidRPr="003A1616">
              <w:rPr>
                <w:i w:val="0"/>
                <w:noProof/>
                <w:sz w:val="22"/>
              </w:rPr>
              <w:t xml:space="preserve">v obračunskem obdobju poročanja </w:t>
            </w:r>
            <w:r w:rsidR="00B36705" w:rsidRPr="003A1616">
              <w:rPr>
                <w:i w:val="0"/>
                <w:noProof/>
                <w:sz w:val="22"/>
              </w:rPr>
              <w:t>sodelovala v evropski operativni</w:t>
            </w:r>
            <w:r w:rsidR="00DC49C4" w:rsidRPr="003A1616">
              <w:rPr>
                <w:i w:val="0"/>
                <w:noProof/>
                <w:sz w:val="22"/>
              </w:rPr>
              <w:t xml:space="preserve"> </w:t>
            </w:r>
            <w:r w:rsidR="00B36705" w:rsidRPr="003A1616">
              <w:rPr>
                <w:i w:val="0"/>
                <w:noProof/>
                <w:sz w:val="22"/>
              </w:rPr>
              <w:t>skupini</w:t>
            </w:r>
            <w:r w:rsidR="00DC49C4" w:rsidRPr="003A1616">
              <w:rPr>
                <w:i w:val="0"/>
                <w:noProof/>
                <w:sz w:val="22"/>
              </w:rPr>
              <w:t xml:space="preserve"> (EOT) v španski regiji Costa del Sol za odkrivanje in preiskovanje organiziranih kriminalnih združb in storilcev kaznivih - tarč visoke vrednosti (HVT), ki ogrožajo varnost in blaginjo EU</w:t>
            </w:r>
            <w:r w:rsidR="00227FE7" w:rsidRPr="003A1616">
              <w:rPr>
                <w:i w:val="0"/>
                <w:noProof/>
                <w:sz w:val="22"/>
              </w:rPr>
              <w:t>, v sklopu operacije odobrene na podlagi poziva</w:t>
            </w:r>
            <w:r w:rsidR="00227FE7" w:rsidRPr="003A1616">
              <w:t xml:space="preserve"> ISF/2022/SA/2.2.1 - poseben ukrep  -  EMPACT.</w:t>
            </w:r>
            <w:r w:rsidR="0045095F" w:rsidRPr="003A1616">
              <w:t xml:space="preserve"> </w:t>
            </w:r>
            <w:r w:rsidR="0045095F" w:rsidRPr="003A1616">
              <w:rPr>
                <w:i w:val="0"/>
                <w:noProof/>
                <w:sz w:val="22"/>
              </w:rPr>
              <w:t>G</w:t>
            </w:r>
            <w:r w:rsidR="00E51586" w:rsidRPr="003A1616">
              <w:rPr>
                <w:i w:val="0"/>
                <w:noProof/>
                <w:sz w:val="22"/>
              </w:rPr>
              <w:t>re za uspešno sodel</w:t>
            </w:r>
            <w:r w:rsidR="0045095F" w:rsidRPr="003A1616">
              <w:rPr>
                <w:i w:val="0"/>
                <w:noProof/>
                <w:sz w:val="22"/>
              </w:rPr>
              <w:t>ovanje, saj je d</w:t>
            </w:r>
            <w:r w:rsidR="00B36705" w:rsidRPr="003A1616">
              <w:rPr>
                <w:i w:val="0"/>
                <w:noProof/>
                <w:sz w:val="22"/>
              </w:rPr>
              <w:t>osežen</w:t>
            </w:r>
            <w:r w:rsidR="0045095F" w:rsidRPr="003A1616">
              <w:rPr>
                <w:i w:val="0"/>
                <w:noProof/>
                <w:sz w:val="22"/>
              </w:rPr>
              <w:t xml:space="preserve">a </w:t>
            </w:r>
            <w:r w:rsidR="00B36705" w:rsidRPr="003A1616">
              <w:rPr>
                <w:i w:val="0"/>
                <w:noProof/>
                <w:sz w:val="22"/>
              </w:rPr>
              <w:t>krepitev čezmejnega sodelovanja med pristojnimi organi za boj proti hudim in organiziranim oblikam kriminalitete, kar prispeva</w:t>
            </w:r>
            <w:r w:rsidR="00DC49C4" w:rsidRPr="003A1616">
              <w:rPr>
                <w:i w:val="0"/>
                <w:noProof/>
                <w:sz w:val="22"/>
              </w:rPr>
              <w:t xml:space="preserve"> k doseganju ciljev programa SNV in ustvarjanju dodane vrednosti Unije.</w:t>
            </w:r>
            <w:r w:rsidR="003021FB" w:rsidRPr="003A1616">
              <w:rPr>
                <w:i w:val="0"/>
                <w:noProof/>
                <w:sz w:val="22"/>
              </w:rPr>
              <w:t xml:space="preserve"> V obdobju poročanja upravičenec za naved</w:t>
            </w:r>
            <w:r w:rsidR="00DA15EE">
              <w:rPr>
                <w:i w:val="0"/>
                <w:noProof/>
                <w:sz w:val="22"/>
              </w:rPr>
              <w:t>e</w:t>
            </w:r>
            <w:r w:rsidR="003021FB" w:rsidRPr="003A1616">
              <w:rPr>
                <w:i w:val="0"/>
                <w:noProof/>
                <w:sz w:val="22"/>
              </w:rPr>
              <w:t>no operacijo, še ni zahteval povračila stroškov.</w:t>
            </w:r>
          </w:p>
          <w:p w14:paraId="1A5BC4BF" w14:textId="77777777" w:rsidR="00227FE7" w:rsidRPr="003A1616" w:rsidRDefault="00227FE7" w:rsidP="00227FE7">
            <w:pPr>
              <w:pStyle w:val="Personnequisigne"/>
              <w:jc w:val="both"/>
              <w:rPr>
                <w:i w:val="0"/>
                <w:noProof/>
                <w:sz w:val="22"/>
              </w:rPr>
            </w:pPr>
          </w:p>
          <w:p w14:paraId="4D97A3EF" w14:textId="0C2DC440" w:rsidR="006A41E2" w:rsidRPr="009054FD" w:rsidRDefault="00E51586" w:rsidP="00E51586">
            <w:pPr>
              <w:pStyle w:val="Personnequisigne"/>
              <w:jc w:val="both"/>
              <w:rPr>
                <w:i w:val="0"/>
                <w:sz w:val="22"/>
              </w:rPr>
            </w:pPr>
            <w:r w:rsidRPr="009054FD">
              <w:rPr>
                <w:i w:val="0"/>
                <w:sz w:val="22"/>
              </w:rPr>
              <w:t>V okviru projekta</w:t>
            </w:r>
            <w:r w:rsidR="0045095F" w:rsidRPr="009054FD">
              <w:rPr>
                <w:i w:val="0"/>
                <w:sz w:val="22"/>
              </w:rPr>
              <w:t xml:space="preserve"> je Slovenija</w:t>
            </w:r>
            <w:r w:rsidR="00227FE7" w:rsidRPr="009054FD">
              <w:rPr>
                <w:i w:val="0"/>
                <w:sz w:val="22"/>
              </w:rPr>
              <w:t xml:space="preserve"> kot sodelujoča država upravičena </w:t>
            </w:r>
            <w:r w:rsidR="00336B99" w:rsidRPr="009054FD">
              <w:rPr>
                <w:i w:val="0"/>
                <w:sz w:val="22"/>
              </w:rPr>
              <w:t xml:space="preserve">do 60.0000 EUR za 12 mesecev </w:t>
            </w:r>
            <w:r w:rsidR="00227FE7" w:rsidRPr="009054FD">
              <w:rPr>
                <w:i w:val="0"/>
                <w:sz w:val="22"/>
              </w:rPr>
              <w:t>za kritje</w:t>
            </w:r>
            <w:r w:rsidR="00336B99" w:rsidRPr="009054FD">
              <w:rPr>
                <w:i w:val="0"/>
                <w:sz w:val="22"/>
              </w:rPr>
              <w:t xml:space="preserve"> stroškov napotene osebe</w:t>
            </w:r>
            <w:r w:rsidR="00227FE7" w:rsidRPr="009054FD">
              <w:rPr>
                <w:i w:val="0"/>
                <w:sz w:val="22"/>
              </w:rPr>
              <w:t xml:space="preserve"> v EOT v Marbello – Španijo, kot je to določeno v dokumentu pristojnosti in nalog ter pravil delovanja skupine EOT</w:t>
            </w:r>
            <w:r w:rsidR="00336B99" w:rsidRPr="009054FD">
              <w:rPr>
                <w:i w:val="0"/>
                <w:sz w:val="22"/>
              </w:rPr>
              <w:t xml:space="preserve"> (TOR)</w:t>
            </w:r>
            <w:r w:rsidRPr="009054FD">
              <w:rPr>
                <w:i w:val="0"/>
                <w:sz w:val="22"/>
              </w:rPr>
              <w:t>,</w:t>
            </w:r>
            <w:r w:rsidR="00E47AD1" w:rsidRPr="009054FD">
              <w:rPr>
                <w:i w:val="0"/>
                <w:sz w:val="22"/>
              </w:rPr>
              <w:t xml:space="preserve"> </w:t>
            </w:r>
            <w:r w:rsidRPr="009054FD">
              <w:rPr>
                <w:i w:val="0"/>
                <w:sz w:val="22"/>
              </w:rPr>
              <w:t>a</w:t>
            </w:r>
            <w:r w:rsidR="00336B99" w:rsidRPr="009054FD">
              <w:rPr>
                <w:i w:val="0"/>
                <w:sz w:val="22"/>
              </w:rPr>
              <w:t xml:space="preserve"> ugotavljamo, da sredstva </w:t>
            </w:r>
            <w:r w:rsidRPr="009054FD">
              <w:rPr>
                <w:i w:val="0"/>
                <w:sz w:val="22"/>
              </w:rPr>
              <w:t xml:space="preserve">ne bodo </w:t>
            </w:r>
            <w:r w:rsidR="00336B99" w:rsidRPr="009054FD">
              <w:rPr>
                <w:i w:val="0"/>
                <w:sz w:val="22"/>
              </w:rPr>
              <w:t>v celoti porabljena.</w:t>
            </w:r>
            <w:r w:rsidR="00227FE7" w:rsidRPr="009054FD">
              <w:rPr>
                <w:i w:val="0"/>
                <w:sz w:val="22"/>
              </w:rPr>
              <w:t xml:space="preserve"> </w:t>
            </w:r>
            <w:r w:rsidR="0045095F" w:rsidRPr="009054FD">
              <w:rPr>
                <w:i w:val="0"/>
                <w:sz w:val="22"/>
              </w:rPr>
              <w:t xml:space="preserve">Ker so sredstva za posebni ukrep dodeljena neposredno Sloveniji, mora le-ta pri izvajanju operacije upoštevati nacionalno zakonodajo in </w:t>
            </w:r>
            <w:r w:rsidR="00227FE7" w:rsidRPr="009054FD">
              <w:rPr>
                <w:i w:val="0"/>
                <w:sz w:val="22"/>
              </w:rPr>
              <w:t>»Nacionalna pravila upravičenosti za črpanje sredstev programa Sklada za azil, migracije in vključevanje, programa Sklada za notranjo varnost ter programa Instrumenta za finančno podporo za upravljanje meja in vizumsko politiko v okviru Sklada za int</w:t>
            </w:r>
            <w:r w:rsidR="009D21C4">
              <w:rPr>
                <w:i w:val="0"/>
                <w:sz w:val="22"/>
              </w:rPr>
              <w:t>e</w:t>
            </w:r>
            <w:r w:rsidR="00227FE7" w:rsidRPr="009054FD">
              <w:rPr>
                <w:i w:val="0"/>
                <w:sz w:val="22"/>
              </w:rPr>
              <w:t>grirano upravljanje meja v programskem obdobju 2021-2027«.</w:t>
            </w:r>
            <w:r w:rsidR="00336B99" w:rsidRPr="009054FD">
              <w:rPr>
                <w:i w:val="0"/>
                <w:sz w:val="22"/>
              </w:rPr>
              <w:t xml:space="preserve"> </w:t>
            </w:r>
            <w:r w:rsidR="0045095F" w:rsidRPr="009054FD">
              <w:rPr>
                <w:i w:val="0"/>
                <w:sz w:val="22"/>
              </w:rPr>
              <w:t>Skladno s tem gre u</w:t>
            </w:r>
            <w:r w:rsidR="00BA71EA" w:rsidRPr="009054FD">
              <w:rPr>
                <w:i w:val="0"/>
                <w:sz w:val="22"/>
              </w:rPr>
              <w:t xml:space="preserve">gotoviti, da </w:t>
            </w:r>
            <w:r w:rsidR="00227FE7" w:rsidRPr="009054FD">
              <w:rPr>
                <w:i w:val="0"/>
                <w:sz w:val="22"/>
              </w:rPr>
              <w:t xml:space="preserve">nacionalni predpisi ne dajejo podlage za </w:t>
            </w:r>
            <w:r w:rsidRPr="009054FD">
              <w:rPr>
                <w:i w:val="0"/>
                <w:sz w:val="22"/>
              </w:rPr>
              <w:t>načrtovana</w:t>
            </w:r>
            <w:r w:rsidR="00227FE7" w:rsidRPr="009054FD">
              <w:rPr>
                <w:i w:val="0"/>
                <w:sz w:val="22"/>
              </w:rPr>
              <w:t xml:space="preserve"> izplačila stroškov v obliki pavšalnega povračila</w:t>
            </w:r>
            <w:r w:rsidR="00336B99" w:rsidRPr="009054FD">
              <w:rPr>
                <w:i w:val="0"/>
                <w:sz w:val="22"/>
              </w:rPr>
              <w:t xml:space="preserve"> (5</w:t>
            </w:r>
            <w:r w:rsidR="00E47AD1" w:rsidRPr="009054FD">
              <w:rPr>
                <w:i w:val="0"/>
                <w:sz w:val="22"/>
              </w:rPr>
              <w:t>.</w:t>
            </w:r>
            <w:r w:rsidR="00336B99" w:rsidRPr="009054FD">
              <w:rPr>
                <w:i w:val="0"/>
                <w:sz w:val="22"/>
              </w:rPr>
              <w:t xml:space="preserve">000 </w:t>
            </w:r>
            <w:r w:rsidRPr="009054FD">
              <w:rPr>
                <w:i w:val="0"/>
                <w:sz w:val="22"/>
              </w:rPr>
              <w:t>EUR</w:t>
            </w:r>
            <w:r w:rsidR="00336B99" w:rsidRPr="009054FD">
              <w:rPr>
                <w:i w:val="0"/>
                <w:sz w:val="22"/>
              </w:rPr>
              <w:t xml:space="preserve"> na mesec)</w:t>
            </w:r>
            <w:r w:rsidR="00227FE7" w:rsidRPr="009054FD">
              <w:rPr>
                <w:i w:val="0"/>
                <w:sz w:val="22"/>
              </w:rPr>
              <w:t>, ampak se dejanski stroški povrnejo zgo</w:t>
            </w:r>
            <w:r w:rsidRPr="009054FD">
              <w:rPr>
                <w:i w:val="0"/>
                <w:sz w:val="22"/>
              </w:rPr>
              <w:t xml:space="preserve">lj na podlagi ustreznih dokazil. </w:t>
            </w:r>
            <w:r w:rsidR="00BA71EA" w:rsidRPr="009054FD">
              <w:rPr>
                <w:i w:val="0"/>
                <w:sz w:val="22"/>
              </w:rPr>
              <w:t>To pomeni, da lahko pričakujemo, k</w:t>
            </w:r>
            <w:r w:rsidR="00336B99" w:rsidRPr="009054FD">
              <w:rPr>
                <w:i w:val="0"/>
                <w:sz w:val="22"/>
              </w:rPr>
              <w:t>ljub uspešno izvedeni operaciji in</w:t>
            </w:r>
            <w:r w:rsidR="00E47AD1" w:rsidRPr="009054FD">
              <w:rPr>
                <w:i w:val="0"/>
                <w:sz w:val="22"/>
              </w:rPr>
              <w:t xml:space="preserve"> doseženim ciljem</w:t>
            </w:r>
            <w:r w:rsidR="00BA71EA" w:rsidRPr="009054FD">
              <w:rPr>
                <w:i w:val="0"/>
                <w:sz w:val="22"/>
              </w:rPr>
              <w:t xml:space="preserve">, nižje </w:t>
            </w:r>
            <w:r w:rsidR="00336B99" w:rsidRPr="009054FD">
              <w:rPr>
                <w:i w:val="0"/>
                <w:sz w:val="22"/>
              </w:rPr>
              <w:t>povračilo stroškov.</w:t>
            </w:r>
          </w:p>
        </w:tc>
      </w:tr>
    </w:tbl>
    <w:p w14:paraId="32FA16F9" w14:textId="77777777" w:rsidR="006A41E2" w:rsidRPr="003A1616" w:rsidRDefault="00544E72" w:rsidP="00930AD9">
      <w:pPr>
        <w:rPr>
          <w:noProof/>
          <w:sz w:val="22"/>
        </w:rPr>
      </w:pPr>
      <w:r w:rsidRPr="003A1616">
        <w:rPr>
          <w:noProof/>
          <w:sz w:val="22"/>
        </w:rPr>
        <w:t>V spodnjo preglednico vpišite podrobnosti o vseh posebnih nacionalnih ukrepih, ki se izvajajo v okviru programa. Poročanje o posebnih nadnacionalnih ukrepih bi moralo biti skladno z izbrano možnostjo poročanja</w:t>
      </w:r>
      <w:r w:rsidRPr="003A1616">
        <w:rPr>
          <w:rStyle w:val="Sprotnaopomba-sklic"/>
          <w:noProof/>
          <w:sz w:val="22"/>
        </w:rPr>
        <w:footnoteReference w:id="12"/>
      </w:r>
      <w:r w:rsidRPr="003A1616">
        <w:rPr>
          <w:noProof/>
          <w:sz w:val="22"/>
        </w:rPr>
        <w:t xml:space="preserve">. </w:t>
      </w:r>
    </w:p>
    <w:tbl>
      <w:tblPr>
        <w:tblStyle w:val="Tabelamrea"/>
        <w:tblW w:w="9242" w:type="dxa"/>
        <w:tblLayout w:type="fixed"/>
        <w:tblCellMar>
          <w:left w:w="28" w:type="dxa"/>
          <w:right w:w="28" w:type="dxa"/>
        </w:tblCellMar>
        <w:tblLook w:val="04A0" w:firstRow="1" w:lastRow="0" w:firstColumn="1" w:lastColumn="0" w:noHBand="0" w:noVBand="1"/>
      </w:tblPr>
      <w:tblGrid>
        <w:gridCol w:w="704"/>
        <w:gridCol w:w="1167"/>
        <w:gridCol w:w="1243"/>
        <w:gridCol w:w="992"/>
        <w:gridCol w:w="992"/>
        <w:gridCol w:w="1134"/>
        <w:gridCol w:w="1397"/>
        <w:gridCol w:w="1613"/>
      </w:tblGrid>
      <w:tr w:rsidR="006A41E2" w:rsidRPr="003A1616" w14:paraId="0D6647D0" w14:textId="77777777" w:rsidTr="00321BDF">
        <w:trPr>
          <w:trHeight w:val="431"/>
        </w:trPr>
        <w:tc>
          <w:tcPr>
            <w:tcW w:w="704" w:type="dxa"/>
            <w:vMerge w:val="restart"/>
            <w:vAlign w:val="center"/>
          </w:tcPr>
          <w:p w14:paraId="3F501497" w14:textId="77777777" w:rsidR="006A41E2" w:rsidRPr="003A1616" w:rsidRDefault="006A41E2" w:rsidP="00E45665">
            <w:pPr>
              <w:pStyle w:val="Institutionquisigne"/>
              <w:spacing w:before="0"/>
              <w:jc w:val="center"/>
              <w:rPr>
                <w:i w:val="0"/>
                <w:noProof/>
                <w:sz w:val="20"/>
              </w:rPr>
            </w:pPr>
            <w:r w:rsidRPr="003A1616">
              <w:rPr>
                <w:i w:val="0"/>
                <w:noProof/>
                <w:sz w:val="20"/>
              </w:rPr>
              <w:t>Specifični cilj</w:t>
            </w:r>
          </w:p>
        </w:tc>
        <w:tc>
          <w:tcPr>
            <w:tcW w:w="1167" w:type="dxa"/>
            <w:vMerge w:val="restart"/>
            <w:vAlign w:val="center"/>
          </w:tcPr>
          <w:p w14:paraId="7E32BF4A" w14:textId="77777777" w:rsidR="006A41E2" w:rsidRPr="003A1616" w:rsidRDefault="006A41E2" w:rsidP="00E45665">
            <w:pPr>
              <w:pStyle w:val="Institutionquisigne"/>
              <w:spacing w:before="0"/>
              <w:jc w:val="center"/>
              <w:rPr>
                <w:i w:val="0"/>
                <w:noProof/>
                <w:sz w:val="20"/>
              </w:rPr>
            </w:pPr>
            <w:r w:rsidRPr="003A1616">
              <w:rPr>
                <w:i w:val="0"/>
                <w:noProof/>
                <w:sz w:val="20"/>
              </w:rPr>
              <w:t>Ime / referenčna številka ukrepa</w:t>
            </w:r>
          </w:p>
        </w:tc>
        <w:tc>
          <w:tcPr>
            <w:tcW w:w="1243" w:type="dxa"/>
            <w:vMerge w:val="restart"/>
            <w:vAlign w:val="center"/>
          </w:tcPr>
          <w:p w14:paraId="7BE1834C" w14:textId="77777777" w:rsidR="006A41E2" w:rsidRPr="003A1616" w:rsidRDefault="006A41E2" w:rsidP="00E45665">
            <w:pPr>
              <w:pStyle w:val="Institutionquisigne"/>
              <w:spacing w:before="0"/>
              <w:jc w:val="center"/>
              <w:rPr>
                <w:i w:val="0"/>
                <w:noProof/>
                <w:sz w:val="20"/>
              </w:rPr>
            </w:pPr>
            <w:r w:rsidRPr="003A1616">
              <w:rPr>
                <w:i w:val="0"/>
                <w:noProof/>
                <w:sz w:val="20"/>
              </w:rPr>
              <w:t>Upravičenec</w:t>
            </w:r>
          </w:p>
        </w:tc>
        <w:tc>
          <w:tcPr>
            <w:tcW w:w="992" w:type="dxa"/>
            <w:vMerge w:val="restart"/>
            <w:vAlign w:val="center"/>
          </w:tcPr>
          <w:p w14:paraId="1576FFE9" w14:textId="77777777" w:rsidR="006A41E2" w:rsidRPr="003A1616" w:rsidRDefault="006A41E2" w:rsidP="00E45665">
            <w:pPr>
              <w:pStyle w:val="Institutionquisigne"/>
              <w:spacing w:before="0"/>
              <w:jc w:val="center"/>
              <w:rPr>
                <w:i w:val="0"/>
                <w:noProof/>
                <w:sz w:val="20"/>
              </w:rPr>
            </w:pPr>
            <w:r w:rsidRPr="003A1616">
              <w:rPr>
                <w:i w:val="0"/>
                <w:noProof/>
                <w:sz w:val="20"/>
              </w:rPr>
              <w:t>Obdobje izvajanja</w:t>
            </w:r>
          </w:p>
        </w:tc>
        <w:tc>
          <w:tcPr>
            <w:tcW w:w="992" w:type="dxa"/>
            <w:vMerge w:val="restart"/>
            <w:vAlign w:val="center"/>
          </w:tcPr>
          <w:p w14:paraId="11444685" w14:textId="77777777" w:rsidR="006A41E2" w:rsidRPr="003A1616" w:rsidRDefault="006A41E2" w:rsidP="006A41E2">
            <w:pPr>
              <w:pStyle w:val="Institutionquisigne"/>
              <w:spacing w:before="0"/>
              <w:jc w:val="center"/>
              <w:rPr>
                <w:i w:val="0"/>
                <w:noProof/>
                <w:sz w:val="20"/>
              </w:rPr>
            </w:pPr>
            <w:r w:rsidRPr="003A1616">
              <w:rPr>
                <w:i w:val="0"/>
                <w:noProof/>
                <w:sz w:val="20"/>
              </w:rPr>
              <w:t>Upravičeni stroški</w:t>
            </w:r>
            <w:r w:rsidRPr="003A1616">
              <w:rPr>
                <w:rStyle w:val="Sprotnaopomba-sklic"/>
                <w:i w:val="0"/>
                <w:noProof/>
                <w:sz w:val="20"/>
              </w:rPr>
              <w:footnoteReference w:id="13"/>
            </w:r>
          </w:p>
        </w:tc>
        <w:tc>
          <w:tcPr>
            <w:tcW w:w="1134" w:type="dxa"/>
            <w:vMerge w:val="restart"/>
            <w:vAlign w:val="center"/>
          </w:tcPr>
          <w:p w14:paraId="03520AA0" w14:textId="77777777" w:rsidR="006A41E2" w:rsidRPr="003A1616" w:rsidRDefault="006A41E2" w:rsidP="006A41E2">
            <w:pPr>
              <w:pStyle w:val="Institutionquisigne"/>
              <w:spacing w:before="0"/>
              <w:jc w:val="center"/>
              <w:rPr>
                <w:i w:val="0"/>
                <w:noProof/>
                <w:sz w:val="20"/>
              </w:rPr>
            </w:pPr>
            <w:r w:rsidRPr="003A1616">
              <w:rPr>
                <w:i w:val="0"/>
                <w:noProof/>
                <w:sz w:val="20"/>
              </w:rPr>
              <w:t>Upravičeni izdatki</w:t>
            </w:r>
            <w:r w:rsidRPr="003A1616">
              <w:rPr>
                <w:rStyle w:val="Sprotnaopomba-sklic"/>
                <w:i w:val="0"/>
                <w:noProof/>
                <w:sz w:val="20"/>
                <w:szCs w:val="20"/>
              </w:rPr>
              <w:footnoteReference w:id="14"/>
            </w:r>
          </w:p>
        </w:tc>
        <w:tc>
          <w:tcPr>
            <w:tcW w:w="3010" w:type="dxa"/>
            <w:gridSpan w:val="2"/>
            <w:vAlign w:val="center"/>
          </w:tcPr>
          <w:p w14:paraId="7D6E5957" w14:textId="77777777" w:rsidR="006A41E2" w:rsidRPr="003A1616" w:rsidRDefault="006A41E2" w:rsidP="006A41E2">
            <w:pPr>
              <w:pStyle w:val="Institutionquisigne"/>
              <w:spacing w:before="0"/>
              <w:jc w:val="center"/>
              <w:rPr>
                <w:i w:val="0"/>
                <w:noProof/>
                <w:sz w:val="20"/>
              </w:rPr>
            </w:pPr>
            <w:r w:rsidRPr="003A1616">
              <w:rPr>
                <w:i w:val="0"/>
                <w:noProof/>
                <w:sz w:val="20"/>
              </w:rPr>
              <w:t>Napredek pri ustreznih skupnih kazalnikih in/ali kazalnikih za posamezne programe</w:t>
            </w:r>
            <w:r w:rsidRPr="003A1616">
              <w:rPr>
                <w:rStyle w:val="Sprotnaopomba-sklic"/>
                <w:i w:val="0"/>
                <w:noProof/>
                <w:sz w:val="20"/>
              </w:rPr>
              <w:footnoteReference w:id="15"/>
            </w:r>
          </w:p>
        </w:tc>
      </w:tr>
      <w:tr w:rsidR="006A41E2" w:rsidRPr="003A1616" w14:paraId="5E1F0E6F" w14:textId="77777777" w:rsidTr="00321BDF">
        <w:tc>
          <w:tcPr>
            <w:tcW w:w="704" w:type="dxa"/>
            <w:vMerge/>
            <w:vAlign w:val="center"/>
          </w:tcPr>
          <w:p w14:paraId="27DD9BA7" w14:textId="77777777" w:rsidR="006A41E2" w:rsidRPr="003A1616" w:rsidRDefault="006A41E2" w:rsidP="00E45665">
            <w:pPr>
              <w:pStyle w:val="Institutionquisigne"/>
              <w:spacing w:before="0"/>
              <w:jc w:val="center"/>
              <w:rPr>
                <w:i w:val="0"/>
                <w:noProof/>
                <w:sz w:val="22"/>
              </w:rPr>
            </w:pPr>
          </w:p>
        </w:tc>
        <w:tc>
          <w:tcPr>
            <w:tcW w:w="1167" w:type="dxa"/>
            <w:vMerge/>
            <w:vAlign w:val="center"/>
          </w:tcPr>
          <w:p w14:paraId="7BA92C22" w14:textId="77777777" w:rsidR="006A41E2" w:rsidRPr="003A1616" w:rsidRDefault="006A41E2" w:rsidP="00E45665">
            <w:pPr>
              <w:pStyle w:val="Institutionquisigne"/>
              <w:spacing w:before="0"/>
              <w:jc w:val="center"/>
              <w:rPr>
                <w:noProof/>
              </w:rPr>
            </w:pPr>
          </w:p>
        </w:tc>
        <w:tc>
          <w:tcPr>
            <w:tcW w:w="1243" w:type="dxa"/>
            <w:vMerge/>
            <w:vAlign w:val="center"/>
          </w:tcPr>
          <w:p w14:paraId="240F05B8" w14:textId="77777777" w:rsidR="006A41E2" w:rsidRPr="003A1616" w:rsidRDefault="006A41E2" w:rsidP="00E45665">
            <w:pPr>
              <w:pStyle w:val="Institutionquisigne"/>
              <w:spacing w:before="0"/>
              <w:jc w:val="center"/>
              <w:rPr>
                <w:noProof/>
              </w:rPr>
            </w:pPr>
          </w:p>
        </w:tc>
        <w:tc>
          <w:tcPr>
            <w:tcW w:w="992" w:type="dxa"/>
            <w:vMerge/>
            <w:vAlign w:val="center"/>
          </w:tcPr>
          <w:p w14:paraId="6F5B36F0" w14:textId="77777777" w:rsidR="006A41E2" w:rsidRPr="003A1616" w:rsidRDefault="006A41E2" w:rsidP="00E45665">
            <w:pPr>
              <w:pStyle w:val="Institutionquisigne"/>
              <w:spacing w:before="0"/>
              <w:jc w:val="center"/>
              <w:rPr>
                <w:noProof/>
              </w:rPr>
            </w:pPr>
          </w:p>
        </w:tc>
        <w:tc>
          <w:tcPr>
            <w:tcW w:w="992" w:type="dxa"/>
            <w:vMerge/>
            <w:vAlign w:val="center"/>
          </w:tcPr>
          <w:p w14:paraId="19577FE3" w14:textId="77777777" w:rsidR="006A41E2" w:rsidRPr="003A1616" w:rsidRDefault="006A41E2" w:rsidP="00E45665">
            <w:pPr>
              <w:pStyle w:val="Institutionquisigne"/>
              <w:spacing w:before="0"/>
              <w:jc w:val="center"/>
              <w:rPr>
                <w:noProof/>
              </w:rPr>
            </w:pPr>
          </w:p>
        </w:tc>
        <w:tc>
          <w:tcPr>
            <w:tcW w:w="1134" w:type="dxa"/>
            <w:vMerge/>
            <w:vAlign w:val="center"/>
          </w:tcPr>
          <w:p w14:paraId="4CD1F41E" w14:textId="77777777" w:rsidR="006A41E2" w:rsidRPr="003A1616" w:rsidRDefault="006A41E2" w:rsidP="00E45665">
            <w:pPr>
              <w:pStyle w:val="Institutionquisigne"/>
              <w:spacing w:before="0"/>
              <w:jc w:val="center"/>
              <w:rPr>
                <w:noProof/>
              </w:rPr>
            </w:pPr>
          </w:p>
        </w:tc>
        <w:tc>
          <w:tcPr>
            <w:tcW w:w="1397" w:type="dxa"/>
            <w:vAlign w:val="center"/>
          </w:tcPr>
          <w:p w14:paraId="2D8EF5C5" w14:textId="77777777" w:rsidR="006A41E2" w:rsidRPr="003A1616" w:rsidRDefault="006A41E2" w:rsidP="00E45665">
            <w:pPr>
              <w:pStyle w:val="Institutionquisigne"/>
              <w:spacing w:before="0"/>
              <w:jc w:val="center"/>
              <w:rPr>
                <w:i w:val="0"/>
                <w:noProof/>
                <w:sz w:val="20"/>
              </w:rPr>
            </w:pPr>
            <w:r w:rsidRPr="003A1616">
              <w:rPr>
                <w:i w:val="0"/>
                <w:noProof/>
                <w:sz w:val="20"/>
              </w:rPr>
              <w:t>kazalniki učinka</w:t>
            </w:r>
          </w:p>
        </w:tc>
        <w:tc>
          <w:tcPr>
            <w:tcW w:w="1613" w:type="dxa"/>
            <w:vAlign w:val="center"/>
          </w:tcPr>
          <w:p w14:paraId="60775C5C" w14:textId="77777777" w:rsidR="006A41E2" w:rsidRPr="003A1616" w:rsidRDefault="006A41E2" w:rsidP="00E45665">
            <w:pPr>
              <w:pStyle w:val="Institutionquisigne"/>
              <w:spacing w:before="0"/>
              <w:jc w:val="center"/>
              <w:rPr>
                <w:i w:val="0"/>
                <w:noProof/>
                <w:sz w:val="20"/>
              </w:rPr>
            </w:pPr>
            <w:r w:rsidRPr="003A1616">
              <w:rPr>
                <w:i w:val="0"/>
                <w:noProof/>
                <w:sz w:val="20"/>
              </w:rPr>
              <w:t>kazalniki rezultatov</w:t>
            </w:r>
          </w:p>
        </w:tc>
      </w:tr>
      <w:tr w:rsidR="006A41E2" w:rsidRPr="003A1616" w14:paraId="3F112A9E" w14:textId="77777777" w:rsidTr="00321BDF">
        <w:tc>
          <w:tcPr>
            <w:tcW w:w="704" w:type="dxa"/>
            <w:vAlign w:val="center"/>
          </w:tcPr>
          <w:p w14:paraId="6879B06F" w14:textId="77777777" w:rsidR="006A41E2" w:rsidRPr="0002060E" w:rsidRDefault="00C922CB" w:rsidP="00E45665">
            <w:pPr>
              <w:pStyle w:val="Institutionquisigne"/>
              <w:spacing w:before="0"/>
              <w:jc w:val="center"/>
              <w:rPr>
                <w:i w:val="0"/>
                <w:noProof/>
                <w:sz w:val="20"/>
                <w:szCs w:val="20"/>
              </w:rPr>
            </w:pPr>
            <w:r w:rsidRPr="0002060E">
              <w:rPr>
                <w:i w:val="0"/>
                <w:noProof/>
                <w:sz w:val="20"/>
                <w:szCs w:val="20"/>
              </w:rPr>
              <w:t>SO2</w:t>
            </w:r>
          </w:p>
        </w:tc>
        <w:tc>
          <w:tcPr>
            <w:tcW w:w="1167" w:type="dxa"/>
            <w:vAlign w:val="center"/>
          </w:tcPr>
          <w:p w14:paraId="1F7272AF" w14:textId="77777777" w:rsidR="006A41E2" w:rsidRPr="0002060E" w:rsidRDefault="00C922CB" w:rsidP="00E45665">
            <w:pPr>
              <w:pStyle w:val="Institutionquisigne"/>
              <w:spacing w:before="0"/>
              <w:jc w:val="center"/>
              <w:rPr>
                <w:i w:val="0"/>
                <w:noProof/>
                <w:sz w:val="20"/>
                <w:szCs w:val="20"/>
              </w:rPr>
            </w:pPr>
            <w:r w:rsidRPr="0002060E">
              <w:rPr>
                <w:i w:val="0"/>
                <w:noProof/>
                <w:sz w:val="20"/>
                <w:szCs w:val="20"/>
              </w:rPr>
              <w:t>ISF/2022/SA/2.2.1/012</w:t>
            </w:r>
          </w:p>
        </w:tc>
        <w:tc>
          <w:tcPr>
            <w:tcW w:w="1243" w:type="dxa"/>
          </w:tcPr>
          <w:p w14:paraId="04A66DAF" w14:textId="77777777" w:rsidR="006A41E2" w:rsidRPr="0002060E" w:rsidRDefault="00C922CB" w:rsidP="00E45665">
            <w:pPr>
              <w:pStyle w:val="Institutionquisigne"/>
              <w:spacing w:before="0"/>
              <w:jc w:val="center"/>
              <w:rPr>
                <w:i w:val="0"/>
                <w:noProof/>
                <w:sz w:val="20"/>
                <w:szCs w:val="20"/>
              </w:rPr>
            </w:pPr>
            <w:r w:rsidRPr="0002060E">
              <w:rPr>
                <w:i w:val="0"/>
                <w:noProof/>
                <w:sz w:val="20"/>
                <w:szCs w:val="20"/>
              </w:rPr>
              <w:t>Policija - Generalna policijska uprava - Uprava kriminalistične policije</w:t>
            </w:r>
          </w:p>
        </w:tc>
        <w:tc>
          <w:tcPr>
            <w:tcW w:w="992" w:type="dxa"/>
          </w:tcPr>
          <w:p w14:paraId="7FCA7856" w14:textId="77777777" w:rsidR="006A41E2" w:rsidRPr="0002060E" w:rsidRDefault="00C922CB" w:rsidP="00E45665">
            <w:pPr>
              <w:pStyle w:val="Institutionquisigne"/>
              <w:spacing w:before="0"/>
              <w:jc w:val="center"/>
              <w:rPr>
                <w:i w:val="0"/>
                <w:noProof/>
                <w:sz w:val="20"/>
                <w:szCs w:val="20"/>
              </w:rPr>
            </w:pPr>
            <w:r w:rsidRPr="0002060E">
              <w:rPr>
                <w:i w:val="0"/>
                <w:noProof/>
                <w:sz w:val="20"/>
                <w:szCs w:val="20"/>
              </w:rPr>
              <w:t>01/01/2023-</w:t>
            </w:r>
          </w:p>
          <w:p w14:paraId="15776A10" w14:textId="77777777" w:rsidR="00C922CB" w:rsidRPr="0002060E" w:rsidRDefault="00C922CB" w:rsidP="00C922CB">
            <w:pPr>
              <w:pStyle w:val="Personnequisigne"/>
              <w:rPr>
                <w:i w:val="0"/>
                <w:sz w:val="20"/>
                <w:szCs w:val="20"/>
              </w:rPr>
            </w:pPr>
            <w:r w:rsidRPr="0002060E">
              <w:rPr>
                <w:i w:val="0"/>
                <w:sz w:val="20"/>
                <w:szCs w:val="20"/>
              </w:rPr>
              <w:t>31/12/2024</w:t>
            </w:r>
          </w:p>
        </w:tc>
        <w:tc>
          <w:tcPr>
            <w:tcW w:w="992" w:type="dxa"/>
          </w:tcPr>
          <w:p w14:paraId="212CB42B" w14:textId="77777777" w:rsidR="006A41E2" w:rsidRPr="0002060E" w:rsidRDefault="00C922CB" w:rsidP="00E45665">
            <w:pPr>
              <w:pStyle w:val="Institutionquisigne"/>
              <w:spacing w:before="0"/>
              <w:jc w:val="center"/>
              <w:rPr>
                <w:i w:val="0"/>
                <w:noProof/>
                <w:sz w:val="20"/>
                <w:szCs w:val="20"/>
              </w:rPr>
            </w:pPr>
            <w:r w:rsidRPr="0002060E">
              <w:rPr>
                <w:i w:val="0"/>
                <w:noProof/>
                <w:sz w:val="20"/>
                <w:szCs w:val="20"/>
              </w:rPr>
              <w:t>0,00</w:t>
            </w:r>
          </w:p>
        </w:tc>
        <w:tc>
          <w:tcPr>
            <w:tcW w:w="1134" w:type="dxa"/>
          </w:tcPr>
          <w:p w14:paraId="4B088C9E" w14:textId="77777777" w:rsidR="006A41E2" w:rsidRPr="0002060E" w:rsidRDefault="00C922CB" w:rsidP="00E45665">
            <w:pPr>
              <w:pStyle w:val="Institutionquisigne"/>
              <w:spacing w:before="0"/>
              <w:jc w:val="center"/>
              <w:rPr>
                <w:i w:val="0"/>
                <w:noProof/>
                <w:sz w:val="20"/>
                <w:szCs w:val="20"/>
              </w:rPr>
            </w:pPr>
            <w:r w:rsidRPr="0002060E">
              <w:rPr>
                <w:i w:val="0"/>
                <w:noProof/>
                <w:sz w:val="20"/>
                <w:szCs w:val="20"/>
              </w:rPr>
              <w:t>0,00</w:t>
            </w:r>
          </w:p>
        </w:tc>
        <w:tc>
          <w:tcPr>
            <w:tcW w:w="1397" w:type="dxa"/>
          </w:tcPr>
          <w:p w14:paraId="22076FAD" w14:textId="77777777" w:rsidR="006A41E2" w:rsidRPr="0002060E" w:rsidRDefault="0006040C" w:rsidP="00E45665">
            <w:pPr>
              <w:pStyle w:val="Institutionquisigne"/>
              <w:spacing w:before="0"/>
              <w:jc w:val="center"/>
              <w:rPr>
                <w:i w:val="0"/>
                <w:noProof/>
                <w:sz w:val="20"/>
                <w:szCs w:val="20"/>
              </w:rPr>
            </w:pPr>
            <w:r w:rsidRPr="0002060E">
              <w:rPr>
                <w:i w:val="0"/>
                <w:noProof/>
                <w:sz w:val="20"/>
                <w:szCs w:val="20"/>
              </w:rPr>
              <w:t>/</w:t>
            </w:r>
          </w:p>
        </w:tc>
        <w:tc>
          <w:tcPr>
            <w:tcW w:w="1613" w:type="dxa"/>
          </w:tcPr>
          <w:p w14:paraId="1254175E" w14:textId="77777777" w:rsidR="006A41E2" w:rsidRPr="0002060E" w:rsidRDefault="0006040C" w:rsidP="00E45665">
            <w:pPr>
              <w:pStyle w:val="Institutionquisigne"/>
              <w:spacing w:before="0"/>
              <w:jc w:val="center"/>
              <w:rPr>
                <w:i w:val="0"/>
                <w:noProof/>
                <w:sz w:val="20"/>
                <w:szCs w:val="20"/>
              </w:rPr>
            </w:pPr>
            <w:r w:rsidRPr="0002060E">
              <w:rPr>
                <w:i w:val="0"/>
                <w:noProof/>
                <w:sz w:val="20"/>
                <w:szCs w:val="20"/>
              </w:rPr>
              <w:t>/</w:t>
            </w:r>
          </w:p>
        </w:tc>
      </w:tr>
    </w:tbl>
    <w:p w14:paraId="109CD574" w14:textId="77777777" w:rsidR="006A41E2" w:rsidRPr="003A1616" w:rsidRDefault="00C30ACF" w:rsidP="00C30ACF">
      <w:pPr>
        <w:pStyle w:val="ManualHeading2"/>
        <w:rPr>
          <w:noProof/>
        </w:rPr>
      </w:pPr>
      <w:r w:rsidRPr="003A1616">
        <w:t>1.6.</w:t>
      </w:r>
      <w:r w:rsidRPr="003A1616">
        <w:tab/>
      </w:r>
      <w:r w:rsidR="0001528B" w:rsidRPr="003A1616">
        <w:rPr>
          <w:noProof/>
        </w:rPr>
        <w:t>Skladnost s členom 13(7) Uredbe (EU) 2021/1149</w:t>
      </w:r>
    </w:p>
    <w:p w14:paraId="6BB585C0" w14:textId="77777777" w:rsidR="00E76930" w:rsidRPr="003A1616" w:rsidRDefault="00352119" w:rsidP="006A41E2">
      <w:pPr>
        <w:rPr>
          <w:noProof/>
          <w:sz w:val="22"/>
        </w:rPr>
      </w:pPr>
      <w:r w:rsidRPr="003A1616">
        <w:rPr>
          <w:noProof/>
          <w:sz w:val="22"/>
        </w:rPr>
        <w:t xml:space="preserve">Sporočite skupni kumulativni znesek nastalih in plačanih izdatkov za opremo, prevozna sredstva ali izgradnjo za varnost pomembnih zmogljivosti v skladu s členom 13(7) Uredbe (EU) 2021/1149 glede na podatke, ki se elektronsko shranjujejo v skladu s poljem 142 Priloge XVII k Uredbi (EU) 2021/1060. </w:t>
      </w:r>
    </w:p>
    <w:tbl>
      <w:tblPr>
        <w:tblStyle w:val="Tabelamrea"/>
        <w:tblW w:w="0" w:type="auto"/>
        <w:tblLook w:val="04A0" w:firstRow="1" w:lastRow="0" w:firstColumn="1" w:lastColumn="0" w:noHBand="0" w:noVBand="1"/>
      </w:tblPr>
      <w:tblGrid>
        <w:gridCol w:w="9063"/>
      </w:tblGrid>
      <w:tr w:rsidR="00352119" w:rsidRPr="003A1616" w14:paraId="7BD545A4" w14:textId="77777777" w:rsidTr="00586750">
        <w:tc>
          <w:tcPr>
            <w:tcW w:w="9289" w:type="dxa"/>
          </w:tcPr>
          <w:p w14:paraId="4CC8009D" w14:textId="3847C794" w:rsidR="00144C4C" w:rsidRDefault="00A71D38" w:rsidP="00A71D38">
            <w:pPr>
              <w:pStyle w:val="Personnequisigne"/>
              <w:jc w:val="both"/>
              <w:rPr>
                <w:i w:val="0"/>
                <w:sz w:val="22"/>
              </w:rPr>
            </w:pPr>
            <w:r w:rsidRPr="0002060E">
              <w:rPr>
                <w:i w:val="0"/>
                <w:sz w:val="22"/>
              </w:rPr>
              <w:t xml:space="preserve">V obdobju poročanja </w:t>
            </w:r>
            <w:r w:rsidR="009054FD">
              <w:rPr>
                <w:i w:val="0"/>
                <w:sz w:val="22"/>
              </w:rPr>
              <w:t xml:space="preserve">se je, v skladu </w:t>
            </w:r>
            <w:r w:rsidRPr="0002060E">
              <w:rPr>
                <w:i w:val="0"/>
                <w:sz w:val="22"/>
              </w:rPr>
              <w:t xml:space="preserve">z odločitvijo o podpori </w:t>
            </w:r>
            <w:r w:rsidR="009054FD">
              <w:rPr>
                <w:i w:val="0"/>
                <w:sz w:val="22"/>
              </w:rPr>
              <w:t>izvajalo 27</w:t>
            </w:r>
            <w:r w:rsidRPr="0002060E">
              <w:rPr>
                <w:i w:val="0"/>
                <w:sz w:val="22"/>
              </w:rPr>
              <w:t xml:space="preserve"> operacij iz programa SNV (neposredna dodelitev)</w:t>
            </w:r>
            <w:r w:rsidR="00F340CF">
              <w:rPr>
                <w:i w:val="0"/>
                <w:sz w:val="22"/>
              </w:rPr>
              <w:t xml:space="preserve"> v katerih je </w:t>
            </w:r>
            <w:r w:rsidR="00D019D3">
              <w:rPr>
                <w:i w:val="0"/>
                <w:sz w:val="22"/>
              </w:rPr>
              <w:t xml:space="preserve">znašal </w:t>
            </w:r>
            <w:r w:rsidR="00F340CF">
              <w:rPr>
                <w:i w:val="0"/>
                <w:sz w:val="22"/>
              </w:rPr>
              <w:t xml:space="preserve">znesek odobrenih sredstev za </w:t>
            </w:r>
            <w:r w:rsidR="00F340CF" w:rsidRPr="00F340CF">
              <w:rPr>
                <w:i w:val="0"/>
                <w:sz w:val="22"/>
              </w:rPr>
              <w:t>opremo</w:t>
            </w:r>
            <w:r w:rsidR="00D019D3">
              <w:rPr>
                <w:i w:val="0"/>
                <w:sz w:val="22"/>
              </w:rPr>
              <w:t xml:space="preserve"> (</w:t>
            </w:r>
            <w:r w:rsidR="00EF1278">
              <w:rPr>
                <w:i w:val="0"/>
                <w:sz w:val="22"/>
              </w:rPr>
              <w:t>4,1</w:t>
            </w:r>
            <w:r w:rsidR="00D019D3">
              <w:rPr>
                <w:i w:val="0"/>
                <w:sz w:val="22"/>
              </w:rPr>
              <w:t xml:space="preserve"> MIO EUR)</w:t>
            </w:r>
            <w:r w:rsidR="00F340CF" w:rsidRPr="00F340CF">
              <w:rPr>
                <w:i w:val="0"/>
                <w:sz w:val="22"/>
              </w:rPr>
              <w:t xml:space="preserve">, prevozna sredstva </w:t>
            </w:r>
            <w:r w:rsidR="00D019D3">
              <w:rPr>
                <w:i w:val="0"/>
                <w:sz w:val="22"/>
              </w:rPr>
              <w:t>(</w:t>
            </w:r>
            <w:r w:rsidR="00EF1278">
              <w:rPr>
                <w:i w:val="0"/>
                <w:sz w:val="22"/>
              </w:rPr>
              <w:t>2,9</w:t>
            </w:r>
            <w:r w:rsidR="00D019D3">
              <w:rPr>
                <w:i w:val="0"/>
                <w:sz w:val="22"/>
              </w:rPr>
              <w:t xml:space="preserve"> MIO EUR) in </w:t>
            </w:r>
            <w:r w:rsidR="00F340CF" w:rsidRPr="00F340CF">
              <w:rPr>
                <w:i w:val="0"/>
                <w:sz w:val="22"/>
              </w:rPr>
              <w:t>izgradnjo za varnost pomembnih zmogljivosti</w:t>
            </w:r>
            <w:r w:rsidR="00F340CF">
              <w:rPr>
                <w:i w:val="0"/>
                <w:sz w:val="22"/>
              </w:rPr>
              <w:t xml:space="preserve"> </w:t>
            </w:r>
            <w:r w:rsidR="00EF1278">
              <w:rPr>
                <w:i w:val="0"/>
                <w:sz w:val="22"/>
              </w:rPr>
              <w:t>(0,4</w:t>
            </w:r>
            <w:r w:rsidR="00D019D3">
              <w:rPr>
                <w:i w:val="0"/>
                <w:sz w:val="22"/>
              </w:rPr>
              <w:t xml:space="preserve"> MIO EUR). </w:t>
            </w:r>
          </w:p>
          <w:p w14:paraId="146E5888" w14:textId="77777777" w:rsidR="00144C4C" w:rsidRDefault="00144C4C" w:rsidP="00A71D38">
            <w:pPr>
              <w:pStyle w:val="Personnequisigne"/>
              <w:jc w:val="both"/>
              <w:rPr>
                <w:i w:val="0"/>
                <w:sz w:val="22"/>
              </w:rPr>
            </w:pPr>
          </w:p>
          <w:p w14:paraId="593B1C7A" w14:textId="48C8BC09" w:rsidR="009054FD" w:rsidRDefault="00D019D3" w:rsidP="00A71D38">
            <w:pPr>
              <w:pStyle w:val="Personnequisigne"/>
              <w:jc w:val="both"/>
              <w:rPr>
                <w:i w:val="0"/>
                <w:sz w:val="22"/>
              </w:rPr>
            </w:pPr>
            <w:r>
              <w:rPr>
                <w:i w:val="0"/>
                <w:sz w:val="22"/>
              </w:rPr>
              <w:t xml:space="preserve">Realizacija pa je bila sledeča: </w:t>
            </w:r>
            <w:r w:rsidR="00F12CD3">
              <w:rPr>
                <w:i w:val="0"/>
                <w:sz w:val="22"/>
              </w:rPr>
              <w:t>oprema</w:t>
            </w:r>
            <w:r>
              <w:rPr>
                <w:i w:val="0"/>
                <w:sz w:val="22"/>
              </w:rPr>
              <w:t xml:space="preserve"> (1,1 MIO EUR)</w:t>
            </w:r>
            <w:r w:rsidRPr="00F340CF">
              <w:rPr>
                <w:i w:val="0"/>
                <w:sz w:val="22"/>
              </w:rPr>
              <w:t xml:space="preserve">, prevozna sredstva </w:t>
            </w:r>
            <w:r>
              <w:rPr>
                <w:i w:val="0"/>
                <w:sz w:val="22"/>
              </w:rPr>
              <w:t xml:space="preserve">(0,04 MIO EUR) in </w:t>
            </w:r>
            <w:r w:rsidR="00F12CD3">
              <w:rPr>
                <w:i w:val="0"/>
                <w:sz w:val="22"/>
              </w:rPr>
              <w:t>izgradnjo za varnost pomembne</w:t>
            </w:r>
            <w:r w:rsidRPr="00F340CF">
              <w:rPr>
                <w:i w:val="0"/>
                <w:sz w:val="22"/>
              </w:rPr>
              <w:t xml:space="preserve"> zmogljivosti</w:t>
            </w:r>
            <w:r>
              <w:rPr>
                <w:i w:val="0"/>
                <w:sz w:val="22"/>
              </w:rPr>
              <w:t xml:space="preserve"> (0,0 MIO EUR).</w:t>
            </w:r>
          </w:p>
          <w:p w14:paraId="7952E2D7" w14:textId="77777777" w:rsidR="00352119" w:rsidRPr="0002060E" w:rsidRDefault="00352119" w:rsidP="00F340CF">
            <w:pPr>
              <w:pStyle w:val="Personnequisigne"/>
              <w:jc w:val="both"/>
              <w:rPr>
                <w:noProof/>
                <w:sz w:val="22"/>
              </w:rPr>
            </w:pPr>
          </w:p>
        </w:tc>
      </w:tr>
    </w:tbl>
    <w:p w14:paraId="3FDDA861" w14:textId="77777777" w:rsidR="006A41E2" w:rsidRPr="003A1616" w:rsidRDefault="00BB3C0E" w:rsidP="009E5C5D">
      <w:pPr>
        <w:rPr>
          <w:noProof/>
          <w:sz w:val="22"/>
        </w:rPr>
      </w:pPr>
      <w:r w:rsidRPr="003A1616">
        <w:rPr>
          <w:noProof/>
          <w:sz w:val="22"/>
        </w:rPr>
        <w:t xml:space="preserve">Potrdite, da skupni kumulativni upravičeni stroški operacij, izbranih za podporo za opremo, prevozna sredstva ali izgradnjo za varnost pomembnih zmogljivosti v skladu s členom 13(7) Uredbe (EU) 2021/1149, do konca obračunskega leta ne presegajo 35 % skupnih sredstev, dodeljenih programu, ali pojasnite razloge za to. Če obstaja tveganje, da bo prag do konca programskega obdobja presežen, opišite predvidene ukrepe za zmanjšanje tveganja ali ustrezno utemeljene razloge za preseganje praga. </w:t>
      </w:r>
    </w:p>
    <w:tbl>
      <w:tblPr>
        <w:tblStyle w:val="Tabelamrea"/>
        <w:tblW w:w="0" w:type="auto"/>
        <w:tblLook w:val="04A0" w:firstRow="1" w:lastRow="0" w:firstColumn="1" w:lastColumn="0" w:noHBand="0" w:noVBand="1"/>
      </w:tblPr>
      <w:tblGrid>
        <w:gridCol w:w="9063"/>
      </w:tblGrid>
      <w:tr w:rsidR="0002060E" w:rsidRPr="0002060E" w14:paraId="23F15088" w14:textId="77777777" w:rsidTr="00BA53A9">
        <w:trPr>
          <w:trHeight w:val="262"/>
        </w:trPr>
        <w:tc>
          <w:tcPr>
            <w:tcW w:w="9289" w:type="dxa"/>
          </w:tcPr>
          <w:p w14:paraId="35915832" w14:textId="77777777" w:rsidR="006A41E2" w:rsidRPr="0002060E" w:rsidRDefault="00AB2D96" w:rsidP="00BE2CFE">
            <w:pPr>
              <w:pStyle w:val="Personnequisigne"/>
              <w:jc w:val="both"/>
              <w:rPr>
                <w:i w:val="0"/>
                <w:noProof/>
              </w:rPr>
            </w:pPr>
            <w:r w:rsidRPr="0002060E">
              <w:rPr>
                <w:i w:val="0"/>
                <w:noProof/>
                <w:sz w:val="22"/>
              </w:rPr>
              <w:t xml:space="preserve">V informacijske sistemu MIGRA </w:t>
            </w:r>
            <w:r w:rsidR="00AA4553" w:rsidRPr="0002060E">
              <w:rPr>
                <w:i w:val="0"/>
                <w:noProof/>
                <w:sz w:val="22"/>
              </w:rPr>
              <w:t>III</w:t>
            </w:r>
            <w:r w:rsidRPr="0002060E">
              <w:rPr>
                <w:i w:val="0"/>
                <w:noProof/>
                <w:sz w:val="22"/>
              </w:rPr>
              <w:t xml:space="preserve"> se za program SNV z oddajo vsakega zahtevka za povračilo beleži stanje opreme, prevoznih sredstev</w:t>
            </w:r>
            <w:r w:rsidR="00BE2CFE" w:rsidRPr="0002060E">
              <w:rPr>
                <w:i w:val="0"/>
                <w:noProof/>
                <w:sz w:val="22"/>
              </w:rPr>
              <w:t xml:space="preserve"> ali sredstev za izgradnjo</w:t>
            </w:r>
            <w:r w:rsidRPr="0002060E">
              <w:rPr>
                <w:i w:val="0"/>
                <w:noProof/>
                <w:sz w:val="22"/>
              </w:rPr>
              <w:t xml:space="preserve"> za varnost pomembnih zmogljivosti</w:t>
            </w:r>
            <w:r w:rsidR="00BE2CFE" w:rsidRPr="0002060E">
              <w:rPr>
                <w:i w:val="0"/>
                <w:noProof/>
                <w:sz w:val="22"/>
              </w:rPr>
              <w:t>, zato bi bila</w:t>
            </w:r>
            <w:r w:rsidRPr="0002060E">
              <w:rPr>
                <w:i w:val="0"/>
                <w:noProof/>
                <w:sz w:val="22"/>
              </w:rPr>
              <w:t xml:space="preserve"> morebitna informacija o preseganju 35 % </w:t>
            </w:r>
            <w:r w:rsidR="00BE2CFE" w:rsidRPr="0002060E">
              <w:rPr>
                <w:i w:val="0"/>
                <w:noProof/>
                <w:sz w:val="22"/>
              </w:rPr>
              <w:t xml:space="preserve">praga </w:t>
            </w:r>
            <w:r w:rsidRPr="0002060E">
              <w:rPr>
                <w:i w:val="0"/>
                <w:noProof/>
                <w:sz w:val="22"/>
              </w:rPr>
              <w:t>takoj dostopna.</w:t>
            </w:r>
          </w:p>
        </w:tc>
      </w:tr>
    </w:tbl>
    <w:p w14:paraId="7BAB2720" w14:textId="77777777" w:rsidR="006A41E2" w:rsidRPr="0002060E" w:rsidRDefault="00C30ACF" w:rsidP="00C30ACF">
      <w:pPr>
        <w:pStyle w:val="ManualHeading2"/>
        <w:rPr>
          <w:noProof/>
        </w:rPr>
      </w:pPr>
      <w:r w:rsidRPr="0002060E">
        <w:t>1.7.</w:t>
      </w:r>
      <w:r w:rsidRPr="0002060E">
        <w:tab/>
      </w:r>
      <w:r w:rsidR="006A41E2" w:rsidRPr="0002060E">
        <w:rPr>
          <w:noProof/>
        </w:rPr>
        <w:t>Samo v letu 2024: nadaljevanje projektov – člen 34(4), točka (e), Uredbe (EU) 2021/1149</w:t>
      </w:r>
    </w:p>
    <w:p w14:paraId="7008FFE4" w14:textId="77777777" w:rsidR="006A41E2" w:rsidRPr="0002060E" w:rsidRDefault="0060652B" w:rsidP="006A41E2">
      <w:pPr>
        <w:rPr>
          <w:noProof/>
          <w:sz w:val="22"/>
        </w:rPr>
      </w:pPr>
      <w:r w:rsidRPr="0002060E">
        <w:rPr>
          <w:noProof/>
          <w:sz w:val="22"/>
        </w:rPr>
        <w:t>Poročajte o vseh projektih, ki so se nadaljevali po 1. januarju 2021 ter so bili izbrani in začeti na podlagi Uredbe (EU) št. 513/2014 Evropskega parlamenta in Sveta</w:t>
      </w:r>
      <w:r w:rsidRPr="0002060E">
        <w:rPr>
          <w:rStyle w:val="Sprotnaopomba-sklic"/>
          <w:noProof/>
          <w:sz w:val="22"/>
        </w:rPr>
        <w:footnoteReference w:id="16"/>
      </w:r>
      <w:r w:rsidRPr="0002060E">
        <w:rPr>
          <w:noProof/>
          <w:sz w:val="22"/>
        </w:rPr>
        <w:t>, v skladu z Uredbo (EU) št. 514/2014 Evropskega parlamenta in Sveta</w:t>
      </w:r>
      <w:r w:rsidRPr="0002060E">
        <w:rPr>
          <w:rStyle w:val="Sprotnaopomba-sklic"/>
          <w:noProof/>
          <w:sz w:val="22"/>
        </w:rPr>
        <w:footnoteReference w:id="17"/>
      </w:r>
      <w:r w:rsidRPr="0002060E">
        <w:rPr>
          <w:noProof/>
          <w:sz w:val="22"/>
        </w:rPr>
        <w:t>.</w:t>
      </w:r>
    </w:p>
    <w:tbl>
      <w:tblPr>
        <w:tblStyle w:val="Tabelamrea"/>
        <w:tblW w:w="0" w:type="auto"/>
        <w:tblLook w:val="04A0" w:firstRow="1" w:lastRow="0" w:firstColumn="1" w:lastColumn="0" w:noHBand="0" w:noVBand="1"/>
      </w:tblPr>
      <w:tblGrid>
        <w:gridCol w:w="9063"/>
      </w:tblGrid>
      <w:tr w:rsidR="0002060E" w:rsidRPr="0002060E" w14:paraId="568CEA2C" w14:textId="77777777" w:rsidTr="00E45665">
        <w:tc>
          <w:tcPr>
            <w:tcW w:w="9289" w:type="dxa"/>
          </w:tcPr>
          <w:p w14:paraId="244DC50B" w14:textId="77777777" w:rsidR="006A41E2" w:rsidRPr="0002060E" w:rsidRDefault="00EC39F5" w:rsidP="009E5C5D">
            <w:pPr>
              <w:pStyle w:val="Personnequisigne"/>
              <w:rPr>
                <w:noProof/>
              </w:rPr>
            </w:pPr>
            <w:r w:rsidRPr="0002060E">
              <w:rPr>
                <w:i w:val="0"/>
                <w:noProof/>
                <w:sz w:val="22"/>
              </w:rPr>
              <w:t xml:space="preserve">Slovenija v obračunskem obdobju v skladu z </w:t>
            </w:r>
            <w:r w:rsidR="006C3120" w:rsidRPr="0002060E">
              <w:rPr>
                <w:i w:val="0"/>
                <w:noProof/>
                <w:sz w:val="22"/>
              </w:rPr>
              <w:t>34(4) točko (e) Uredbe 2021/1149</w:t>
            </w:r>
            <w:r w:rsidRPr="0002060E">
              <w:rPr>
                <w:i w:val="0"/>
                <w:noProof/>
                <w:sz w:val="22"/>
              </w:rPr>
              <w:t>/EU ni nadaljevala s projekti iz preteklega programskega obdobja.</w:t>
            </w:r>
          </w:p>
        </w:tc>
      </w:tr>
    </w:tbl>
    <w:p w14:paraId="77007625" w14:textId="77777777" w:rsidR="006A41E2" w:rsidRPr="003A1616" w:rsidRDefault="00C30ACF" w:rsidP="00C30ACF">
      <w:pPr>
        <w:pStyle w:val="ManualHeading1"/>
        <w:rPr>
          <w:noProof/>
        </w:rPr>
      </w:pPr>
      <w:r w:rsidRPr="0002060E">
        <w:t>2.</w:t>
      </w:r>
      <w:r w:rsidRPr="003A1616">
        <w:tab/>
      </w:r>
      <w:r w:rsidR="006A41E2" w:rsidRPr="003A1616">
        <w:rPr>
          <w:noProof/>
        </w:rPr>
        <w:t xml:space="preserve">Dopolnjevanje </w:t>
      </w:r>
    </w:p>
    <w:p w14:paraId="67C15350" w14:textId="77777777" w:rsidR="006A41E2" w:rsidRPr="003A1616" w:rsidRDefault="00C30ACF" w:rsidP="00C30ACF">
      <w:pPr>
        <w:pStyle w:val="ManualHeading2"/>
        <w:rPr>
          <w:noProof/>
        </w:rPr>
      </w:pPr>
      <w:r w:rsidRPr="003A1616">
        <w:t>2.1.</w:t>
      </w:r>
      <w:r w:rsidRPr="003A1616">
        <w:tab/>
      </w:r>
      <w:r w:rsidR="006A41E2" w:rsidRPr="003A1616">
        <w:rPr>
          <w:noProof/>
        </w:rPr>
        <w:t>Dopolnjevanje z drugimi skladi Unije – člen 30(2), točka (c), Uredbe (EU) 2021/1149</w:t>
      </w:r>
    </w:p>
    <w:p w14:paraId="7EA61739" w14:textId="77777777" w:rsidR="004630E2" w:rsidRPr="00CF050C" w:rsidRDefault="0060652B" w:rsidP="006A41E2">
      <w:pPr>
        <w:rPr>
          <w:noProof/>
          <w:sz w:val="22"/>
        </w:rPr>
      </w:pPr>
      <w:r w:rsidRPr="00CF050C">
        <w:rPr>
          <w:noProof/>
          <w:sz w:val="22"/>
        </w:rPr>
        <w:t>Opišite dopolnjevanje in, če je ustrezno, sinergije med ukrepi, ki jih podpira Sklad, in podporo iz drugih skladov Unije na področju varnosti, kot so:</w:t>
      </w:r>
    </w:p>
    <w:p w14:paraId="44D5ECE1" w14:textId="77777777" w:rsidR="004630E2" w:rsidRPr="00CF050C" w:rsidRDefault="006A41E2" w:rsidP="00912E10">
      <w:pPr>
        <w:pStyle w:val="Tiret0"/>
        <w:numPr>
          <w:ilvl w:val="0"/>
          <w:numId w:val="9"/>
        </w:numPr>
        <w:rPr>
          <w:noProof/>
          <w:sz w:val="22"/>
        </w:rPr>
      </w:pPr>
      <w:r w:rsidRPr="00CF050C">
        <w:rPr>
          <w:noProof/>
          <w:sz w:val="22"/>
        </w:rPr>
        <w:t>Sklad za azil, migracije in vključevanje ter Sklad za integrirano upravljanje meja, vključno z Instrumentom za finančno podporo za upravljanje meja in vizumsko politiko ter instrumentom za finančno podporo za opremo za carinske kontrole</w:t>
      </w:r>
      <w:r w:rsidR="00E9035B" w:rsidRPr="00CF050C">
        <w:rPr>
          <w:noProof/>
          <w:sz w:val="22"/>
        </w:rPr>
        <w:t>,</w:t>
      </w:r>
    </w:p>
    <w:p w14:paraId="5DED414A" w14:textId="77777777" w:rsidR="004630E2" w:rsidRPr="00CF050C" w:rsidRDefault="006A41E2" w:rsidP="00912E10">
      <w:pPr>
        <w:pStyle w:val="Tiret0"/>
        <w:numPr>
          <w:ilvl w:val="0"/>
          <w:numId w:val="9"/>
        </w:numPr>
        <w:rPr>
          <w:noProof/>
          <w:sz w:val="22"/>
        </w:rPr>
      </w:pPr>
      <w:r w:rsidRPr="00CF050C">
        <w:rPr>
          <w:noProof/>
          <w:sz w:val="22"/>
        </w:rPr>
        <w:t>kohezijski skladi, zlasti Evropski sklad za regionalni razvoj (ESRR)</w:t>
      </w:r>
      <w:r w:rsidR="00E9035B" w:rsidRPr="00CF050C">
        <w:rPr>
          <w:noProof/>
          <w:sz w:val="22"/>
        </w:rPr>
        <w:t>,</w:t>
      </w:r>
    </w:p>
    <w:p w14:paraId="71EE8DA5" w14:textId="77777777" w:rsidR="004630E2" w:rsidRPr="00CF050C" w:rsidRDefault="006A41E2" w:rsidP="00912E10">
      <w:pPr>
        <w:pStyle w:val="Tiret0"/>
        <w:numPr>
          <w:ilvl w:val="0"/>
          <w:numId w:val="9"/>
        </w:numPr>
        <w:rPr>
          <w:noProof/>
          <w:sz w:val="22"/>
        </w:rPr>
      </w:pPr>
      <w:r w:rsidRPr="00CF050C">
        <w:rPr>
          <w:noProof/>
          <w:sz w:val="22"/>
        </w:rPr>
        <w:t>del programa Obzorje Evropa, ki se nanaša na raziskave na področju varnosti</w:t>
      </w:r>
      <w:r w:rsidR="00E9035B" w:rsidRPr="00CF050C">
        <w:rPr>
          <w:noProof/>
          <w:sz w:val="22"/>
        </w:rPr>
        <w:t>,</w:t>
      </w:r>
    </w:p>
    <w:p w14:paraId="67BCE402" w14:textId="77777777" w:rsidR="004630E2" w:rsidRPr="00CF050C" w:rsidRDefault="006A41E2" w:rsidP="00912E10">
      <w:pPr>
        <w:pStyle w:val="Tiret0"/>
        <w:numPr>
          <w:ilvl w:val="0"/>
          <w:numId w:val="9"/>
        </w:numPr>
        <w:rPr>
          <w:noProof/>
          <w:sz w:val="22"/>
        </w:rPr>
      </w:pPr>
      <w:r w:rsidRPr="00CF050C">
        <w:rPr>
          <w:noProof/>
          <w:sz w:val="22"/>
        </w:rPr>
        <w:t>program Državljani, enakost, pravice in vrednote ter program za pravosodje</w:t>
      </w:r>
      <w:r w:rsidR="00E9035B" w:rsidRPr="00CF050C">
        <w:rPr>
          <w:noProof/>
          <w:sz w:val="22"/>
        </w:rPr>
        <w:t>,</w:t>
      </w:r>
    </w:p>
    <w:p w14:paraId="5483FE50" w14:textId="77777777" w:rsidR="004630E2" w:rsidRPr="00CF050C" w:rsidRDefault="006A41E2" w:rsidP="00912E10">
      <w:pPr>
        <w:pStyle w:val="Tiret0"/>
        <w:numPr>
          <w:ilvl w:val="0"/>
          <w:numId w:val="9"/>
        </w:numPr>
        <w:rPr>
          <w:noProof/>
          <w:sz w:val="22"/>
        </w:rPr>
      </w:pPr>
      <w:r w:rsidRPr="00CF050C">
        <w:rPr>
          <w:noProof/>
          <w:sz w:val="22"/>
        </w:rPr>
        <w:t>program Digitalna Evropa</w:t>
      </w:r>
      <w:r w:rsidR="00E9035B" w:rsidRPr="00CF050C">
        <w:rPr>
          <w:noProof/>
          <w:sz w:val="22"/>
        </w:rPr>
        <w:t>,</w:t>
      </w:r>
    </w:p>
    <w:p w14:paraId="66C017E1" w14:textId="77777777" w:rsidR="004630E2" w:rsidRPr="00CF050C" w:rsidRDefault="006A41E2" w:rsidP="00912E10">
      <w:pPr>
        <w:pStyle w:val="Tiret0"/>
        <w:numPr>
          <w:ilvl w:val="0"/>
          <w:numId w:val="9"/>
        </w:numPr>
        <w:rPr>
          <w:noProof/>
          <w:sz w:val="22"/>
        </w:rPr>
      </w:pPr>
      <w:r w:rsidRPr="00CF050C">
        <w:rPr>
          <w:noProof/>
          <w:sz w:val="22"/>
        </w:rPr>
        <w:t>program InvestEU</w:t>
      </w:r>
      <w:r w:rsidR="00E9035B" w:rsidRPr="00CF050C">
        <w:rPr>
          <w:noProof/>
          <w:sz w:val="22"/>
        </w:rPr>
        <w:t>,</w:t>
      </w:r>
    </w:p>
    <w:p w14:paraId="72610440" w14:textId="77777777" w:rsidR="004630E2" w:rsidRPr="00CF050C" w:rsidRDefault="006A41E2" w:rsidP="00912E10">
      <w:pPr>
        <w:pStyle w:val="Tiret0"/>
        <w:numPr>
          <w:ilvl w:val="0"/>
          <w:numId w:val="9"/>
        </w:numPr>
        <w:rPr>
          <w:noProof/>
          <w:sz w:val="22"/>
        </w:rPr>
      </w:pPr>
      <w:r w:rsidRPr="00CF050C">
        <w:rPr>
          <w:noProof/>
          <w:sz w:val="22"/>
        </w:rPr>
        <w:t>Instrument za tehnično podporo</w:t>
      </w:r>
      <w:r w:rsidR="00E9035B" w:rsidRPr="00CF050C">
        <w:rPr>
          <w:noProof/>
          <w:sz w:val="22"/>
        </w:rPr>
        <w:t>,</w:t>
      </w:r>
    </w:p>
    <w:p w14:paraId="0EED1293" w14:textId="77777777" w:rsidR="004630E2" w:rsidRPr="00CF050C" w:rsidRDefault="006A41E2" w:rsidP="00912E10">
      <w:pPr>
        <w:pStyle w:val="Tiret0"/>
        <w:numPr>
          <w:ilvl w:val="0"/>
          <w:numId w:val="9"/>
        </w:numPr>
        <w:rPr>
          <w:noProof/>
          <w:sz w:val="22"/>
        </w:rPr>
      </w:pPr>
      <w:r w:rsidRPr="00CF050C">
        <w:rPr>
          <w:noProof/>
          <w:sz w:val="22"/>
        </w:rPr>
        <w:t>rezerva rescEU</w:t>
      </w:r>
      <w:r w:rsidR="00E9035B" w:rsidRPr="00CF050C">
        <w:rPr>
          <w:noProof/>
          <w:sz w:val="22"/>
        </w:rPr>
        <w:t>,</w:t>
      </w:r>
    </w:p>
    <w:p w14:paraId="37EE46AD" w14:textId="77777777" w:rsidR="004630E2" w:rsidRPr="00CF050C" w:rsidRDefault="004630E2" w:rsidP="00912E10">
      <w:pPr>
        <w:pStyle w:val="Tiret0"/>
        <w:numPr>
          <w:ilvl w:val="0"/>
          <w:numId w:val="9"/>
        </w:numPr>
        <w:rPr>
          <w:noProof/>
          <w:sz w:val="22"/>
        </w:rPr>
      </w:pPr>
      <w:r w:rsidRPr="00CF050C">
        <w:rPr>
          <w:noProof/>
          <w:sz w:val="22"/>
        </w:rPr>
        <w:t>Instrument za sosedstvo ter razvojno in mednarodno sodelovanje (NDICI) – Globalna Evropa in</w:t>
      </w:r>
    </w:p>
    <w:p w14:paraId="4B1A3A4E" w14:textId="77777777" w:rsidR="004630E2" w:rsidRPr="00CF050C" w:rsidRDefault="004630E2" w:rsidP="00912E10">
      <w:pPr>
        <w:pStyle w:val="Tiret0"/>
        <w:numPr>
          <w:ilvl w:val="0"/>
          <w:numId w:val="9"/>
        </w:numPr>
        <w:rPr>
          <w:noProof/>
          <w:sz w:val="22"/>
        </w:rPr>
      </w:pPr>
      <w:r w:rsidRPr="00CF050C">
        <w:rPr>
          <w:noProof/>
          <w:sz w:val="22"/>
        </w:rPr>
        <w:t xml:space="preserve">instrument za predpristopno pomoč (IPA). </w:t>
      </w:r>
    </w:p>
    <w:p w14:paraId="483BABE9" w14:textId="77777777" w:rsidR="006A41E2" w:rsidRPr="00CF050C" w:rsidRDefault="0060652B" w:rsidP="006A41E2">
      <w:pPr>
        <w:rPr>
          <w:noProof/>
          <w:sz w:val="22"/>
        </w:rPr>
      </w:pPr>
      <w:r w:rsidRPr="00CF050C">
        <w:rPr>
          <w:noProof/>
          <w:sz w:val="22"/>
        </w:rPr>
        <w:t>Posebno pozornost namenite:</w:t>
      </w:r>
    </w:p>
    <w:p w14:paraId="343EE0DD" w14:textId="77777777" w:rsidR="006A41E2" w:rsidRPr="00CF050C" w:rsidRDefault="007261C3" w:rsidP="00912E10">
      <w:pPr>
        <w:pStyle w:val="Tiret0"/>
        <w:numPr>
          <w:ilvl w:val="0"/>
          <w:numId w:val="12"/>
        </w:numPr>
        <w:rPr>
          <w:noProof/>
          <w:sz w:val="22"/>
        </w:rPr>
      </w:pPr>
      <w:r w:rsidRPr="00CF050C">
        <w:rPr>
          <w:noProof/>
          <w:sz w:val="22"/>
        </w:rPr>
        <w:t>dopolnjevanju z instrumenti Unije za zunanje financiranje za ukrepe, ki se izvajajo v tretjih državah ali v zvezi z njimi, s poudarkom na vidikih, ki so skladni z načeli in splošnimi cilji zunanje politike Unije, ter</w:t>
      </w:r>
    </w:p>
    <w:p w14:paraId="6B45423E" w14:textId="77777777" w:rsidR="006A41E2" w:rsidRPr="00CF050C" w:rsidRDefault="006A41E2" w:rsidP="00912E10">
      <w:pPr>
        <w:pStyle w:val="Tiret0"/>
        <w:numPr>
          <w:ilvl w:val="0"/>
          <w:numId w:val="12"/>
        </w:numPr>
        <w:rPr>
          <w:noProof/>
          <w:sz w:val="22"/>
        </w:rPr>
      </w:pPr>
      <w:r w:rsidRPr="00CF050C">
        <w:rPr>
          <w:noProof/>
          <w:sz w:val="22"/>
        </w:rPr>
        <w:t>uporabi omogočitvenih mehanizmov, kot so organizacijske in postopkovne ureditve, ki pomagajo doseči dopolnjevanje in, če je ustrezno, sinergije, ter morebitnim ukrepom, sprejetim za njihovo izboljšanje med obračunskim letom.</w:t>
      </w:r>
    </w:p>
    <w:p w14:paraId="5B0B3B0F" w14:textId="77777777" w:rsidR="00397A63" w:rsidRPr="00FC549D" w:rsidRDefault="00397A63" w:rsidP="00397A63">
      <w:pPr>
        <w:rPr>
          <w:noProof/>
          <w:sz w:val="22"/>
        </w:rPr>
      </w:pPr>
      <w:r w:rsidRPr="00FC549D">
        <w:rPr>
          <w:noProof/>
          <w:sz w:val="22"/>
        </w:rPr>
        <w:t>Če je ustrezno, opišite tudi:</w:t>
      </w:r>
    </w:p>
    <w:p w14:paraId="58E59613" w14:textId="77777777" w:rsidR="00397A63" w:rsidRPr="00FC549D" w:rsidRDefault="00397A63" w:rsidP="00397A63">
      <w:pPr>
        <w:pStyle w:val="Tiret0"/>
        <w:numPr>
          <w:ilvl w:val="0"/>
          <w:numId w:val="12"/>
        </w:numPr>
        <w:rPr>
          <w:noProof/>
          <w:sz w:val="22"/>
        </w:rPr>
      </w:pPr>
      <w:r w:rsidRPr="00FC549D">
        <w:rPr>
          <w:noProof/>
          <w:sz w:val="22"/>
        </w:rPr>
        <w:t>dopolnjevanje dejavnosti, ki se izvajajo z vidika krepitve medagencijskega sodelovanja</w:t>
      </w:r>
      <w:r w:rsidRPr="00FC549D">
        <w:rPr>
          <w:rStyle w:val="Sprotnaopomba-sklic"/>
          <w:noProof/>
          <w:sz w:val="22"/>
        </w:rPr>
        <w:footnoteReference w:id="18"/>
      </w:r>
      <w:r w:rsidR="00E9035B" w:rsidRPr="00FC549D">
        <w:rPr>
          <w:noProof/>
        </w:rPr>
        <w:t>,</w:t>
      </w:r>
    </w:p>
    <w:p w14:paraId="7ABB38C1" w14:textId="77777777" w:rsidR="00397A63" w:rsidRPr="00FC549D" w:rsidRDefault="00397A63" w:rsidP="00397A63">
      <w:pPr>
        <w:pStyle w:val="Tiret0"/>
        <w:numPr>
          <w:ilvl w:val="0"/>
          <w:numId w:val="12"/>
        </w:numPr>
        <w:rPr>
          <w:noProof/>
          <w:sz w:val="22"/>
        </w:rPr>
      </w:pPr>
      <w:r w:rsidRPr="00FC549D">
        <w:rPr>
          <w:noProof/>
          <w:sz w:val="22"/>
        </w:rPr>
        <w:t>sinergije v zvezi z varnostjo infrastrukture in javnih prostorov, kibernetsko varnostjo, zaščito žrtev in preprečevanjem radikalizacije.</w:t>
      </w:r>
    </w:p>
    <w:tbl>
      <w:tblPr>
        <w:tblStyle w:val="Tabelamrea"/>
        <w:tblW w:w="0" w:type="auto"/>
        <w:tblLook w:val="04A0" w:firstRow="1" w:lastRow="0" w:firstColumn="1" w:lastColumn="0" w:noHBand="0" w:noVBand="1"/>
      </w:tblPr>
      <w:tblGrid>
        <w:gridCol w:w="9063"/>
      </w:tblGrid>
      <w:tr w:rsidR="006A41E2" w:rsidRPr="003A1616" w14:paraId="7604A2E5" w14:textId="77777777" w:rsidTr="001A2CE3">
        <w:tc>
          <w:tcPr>
            <w:tcW w:w="9289" w:type="dxa"/>
          </w:tcPr>
          <w:p w14:paraId="07CFF110" w14:textId="12882C38" w:rsidR="001A2CE3" w:rsidRPr="001A2CE3" w:rsidRDefault="001A2CE3" w:rsidP="001A2CE3">
            <w:pPr>
              <w:pStyle w:val="Personnequisigne"/>
              <w:jc w:val="both"/>
              <w:rPr>
                <w:i w:val="0"/>
                <w:sz w:val="22"/>
              </w:rPr>
            </w:pPr>
            <w:r w:rsidRPr="001A2CE3">
              <w:rPr>
                <w:i w:val="0"/>
                <w:sz w:val="22"/>
              </w:rPr>
              <w:t xml:space="preserve">Slovenija je v obračunskem obdobju poročanja izvajala aktivnosti v zvezi z ukrepi programa </w:t>
            </w:r>
            <w:r>
              <w:rPr>
                <w:i w:val="0"/>
                <w:sz w:val="22"/>
              </w:rPr>
              <w:t>SNV</w:t>
            </w:r>
            <w:r w:rsidRPr="001A2CE3">
              <w:rPr>
                <w:i w:val="0"/>
                <w:sz w:val="22"/>
              </w:rPr>
              <w:t>, zato v nadaljevanju poročamo o aktivnostih v zvezi z zaznavo potencialnih dopolnjevanj in</w:t>
            </w:r>
            <w:r>
              <w:rPr>
                <w:i w:val="0"/>
                <w:sz w:val="22"/>
              </w:rPr>
              <w:t xml:space="preserve"> </w:t>
            </w:r>
            <w:r w:rsidRPr="001A2CE3">
              <w:rPr>
                <w:i w:val="0"/>
                <w:sz w:val="22"/>
              </w:rPr>
              <w:t>sinergije.</w:t>
            </w:r>
          </w:p>
          <w:p w14:paraId="4F5FB247" w14:textId="77777777" w:rsidR="001A2CE3" w:rsidRPr="001A2CE3" w:rsidRDefault="001A2CE3" w:rsidP="001A2CE3">
            <w:pPr>
              <w:pStyle w:val="Personnequisigne"/>
              <w:jc w:val="both"/>
              <w:rPr>
                <w:i w:val="0"/>
                <w:sz w:val="22"/>
              </w:rPr>
            </w:pPr>
          </w:p>
          <w:p w14:paraId="254721DD" w14:textId="77777777" w:rsidR="001A2CE3" w:rsidRPr="001A2CE3" w:rsidRDefault="001A2CE3" w:rsidP="001A2CE3">
            <w:pPr>
              <w:pStyle w:val="Personnequisigne"/>
              <w:jc w:val="both"/>
              <w:rPr>
                <w:i w:val="0"/>
                <w:sz w:val="22"/>
              </w:rPr>
            </w:pPr>
            <w:r w:rsidRPr="001A2CE3">
              <w:rPr>
                <w:i w:val="0"/>
                <w:sz w:val="22"/>
              </w:rPr>
              <w:t xml:space="preserve">V fazi izbora operacije OU ali posredniško telo preverja morebitno komplementarnost in v povezavi s tem morebitno dvojno financiranje. V navodilih za pripravo prijave operacije je OU opozoril na pomen komplementarnosti ter na obrazcu za oddajo prijave operacije pripravil posebno polje, v katero mora upravičenec navesti morebitno komplementarnost z drugimi viri financiranja. Zaznane so nekatere komplementarnosti, ki so opisane v nadaljevanju. V fazi izvajanja operacije (upravljalnih preverjanj) upravičenci ne poročajo o morebitnih komplementarnostih, zato bomo v naslednjem obdobju poročanja uredili, da se tako poročanje vzpostavi. </w:t>
            </w:r>
          </w:p>
          <w:p w14:paraId="34EAED7C" w14:textId="77777777" w:rsidR="001A2CE3" w:rsidRPr="001A2CE3" w:rsidRDefault="001A2CE3" w:rsidP="001A2CE3">
            <w:pPr>
              <w:pStyle w:val="Personnequisigne"/>
              <w:jc w:val="both"/>
              <w:rPr>
                <w:i w:val="0"/>
                <w:sz w:val="22"/>
              </w:rPr>
            </w:pPr>
          </w:p>
          <w:p w14:paraId="33A56B7D" w14:textId="77777777" w:rsidR="001A2CE3" w:rsidRPr="001A2CE3" w:rsidRDefault="001A2CE3" w:rsidP="001A2CE3">
            <w:pPr>
              <w:pStyle w:val="Personnequisigne"/>
              <w:jc w:val="both"/>
              <w:rPr>
                <w:i w:val="0"/>
                <w:sz w:val="22"/>
              </w:rPr>
            </w:pPr>
            <w:r w:rsidRPr="001A2CE3">
              <w:rPr>
                <w:i w:val="0"/>
                <w:sz w:val="22"/>
              </w:rPr>
              <w:t xml:space="preserve">Na sistemski ravni OU načrtuje tudi vzpostavitev sistema izmenjave podatkov na temo komplementarnosti tudi z drugimi organi upravljanja na državni ravni. Navezali smo stike s kontaktnimi točkami ter predstavniki mrež Evropske komisije v Sloveniji, kjer pričakujemo tudi uporabne informacije na temo komplementarnosti. </w:t>
            </w:r>
          </w:p>
          <w:p w14:paraId="6C197226" w14:textId="77777777" w:rsidR="001A2CE3" w:rsidRPr="001A2CE3" w:rsidRDefault="001A2CE3" w:rsidP="001A2CE3">
            <w:pPr>
              <w:pStyle w:val="Personnequisigne"/>
              <w:rPr>
                <w:i w:val="0"/>
                <w:sz w:val="22"/>
              </w:rPr>
            </w:pPr>
          </w:p>
          <w:p w14:paraId="66713548" w14:textId="3B48EF54" w:rsidR="001A2CE3" w:rsidRPr="001A2CE3" w:rsidRDefault="001A2CE3" w:rsidP="001A2CE3">
            <w:pPr>
              <w:pStyle w:val="Personnequisigne"/>
              <w:jc w:val="both"/>
              <w:rPr>
                <w:i w:val="0"/>
                <w:sz w:val="22"/>
              </w:rPr>
            </w:pPr>
            <w:r w:rsidRPr="001A2CE3">
              <w:rPr>
                <w:i w:val="0"/>
                <w:sz w:val="22"/>
              </w:rPr>
              <w:t>Operacije, ki se izvajajo, se dopolnjujejo kot sledi spodaj:</w:t>
            </w:r>
          </w:p>
          <w:p w14:paraId="2BD7F3B4" w14:textId="77777777" w:rsidR="001A2CE3" w:rsidRDefault="001A2CE3" w:rsidP="00C20EA8">
            <w:pPr>
              <w:pStyle w:val="Personnequisigne"/>
              <w:jc w:val="both"/>
              <w:rPr>
                <w:i w:val="0"/>
                <w:sz w:val="22"/>
              </w:rPr>
            </w:pPr>
          </w:p>
          <w:p w14:paraId="6F5018F8" w14:textId="1E472EB7" w:rsidR="00C20EA8" w:rsidRDefault="00762258" w:rsidP="00C20EA8">
            <w:pPr>
              <w:pStyle w:val="Personnequisigne"/>
              <w:jc w:val="both"/>
              <w:rPr>
                <w:i w:val="0"/>
                <w:sz w:val="22"/>
              </w:rPr>
            </w:pPr>
            <w:r w:rsidRPr="00762258">
              <w:rPr>
                <w:i w:val="0"/>
                <w:sz w:val="22"/>
              </w:rPr>
              <w:t xml:space="preserve">Operacije v okviru </w:t>
            </w:r>
            <w:r>
              <w:rPr>
                <w:i w:val="0"/>
                <w:sz w:val="22"/>
              </w:rPr>
              <w:t xml:space="preserve">programa kot so </w:t>
            </w:r>
            <w:r w:rsidRPr="00762258">
              <w:rPr>
                <w:i w:val="0"/>
                <w:sz w:val="22"/>
              </w:rPr>
              <w:t xml:space="preserve">Okrepitev operativnega sodelovanja z </w:t>
            </w:r>
            <w:r>
              <w:rPr>
                <w:i w:val="0"/>
                <w:sz w:val="22"/>
              </w:rPr>
              <w:t>državami članicami EU in Zahodnega</w:t>
            </w:r>
            <w:r w:rsidRPr="00762258">
              <w:rPr>
                <w:i w:val="0"/>
                <w:sz w:val="22"/>
              </w:rPr>
              <w:t xml:space="preserve"> Balkana pri preprečevanju, odkrivanju in preiskovanju hudih in organiziranih oblik kriminalitete</w:t>
            </w:r>
            <w:r>
              <w:rPr>
                <w:i w:val="0"/>
                <w:sz w:val="22"/>
              </w:rPr>
              <w:t>; U</w:t>
            </w:r>
            <w:r w:rsidRPr="00762258">
              <w:rPr>
                <w:i w:val="0"/>
                <w:sz w:val="22"/>
              </w:rPr>
              <w:t>činkovito izvajanje prikritih preiskovalnih ukrepov za preiskovanje hudih in organiziranih oblik kriminalitete</w:t>
            </w:r>
            <w:r>
              <w:rPr>
                <w:i w:val="0"/>
                <w:sz w:val="22"/>
              </w:rPr>
              <w:t xml:space="preserve">; </w:t>
            </w:r>
            <w:r w:rsidRPr="00762258">
              <w:rPr>
                <w:i w:val="0"/>
                <w:sz w:val="22"/>
              </w:rPr>
              <w:t>Usposabljanje za krepitev boja proti hudim in organiziranim oblika kriminala in terorizma</w:t>
            </w:r>
            <w:r>
              <w:rPr>
                <w:i w:val="0"/>
                <w:sz w:val="22"/>
              </w:rPr>
              <w:t xml:space="preserve">; </w:t>
            </w:r>
            <w:r w:rsidRPr="00762258">
              <w:rPr>
                <w:i w:val="0"/>
                <w:sz w:val="22"/>
              </w:rPr>
              <w:t>vključujejo tudi aktivnosti za učinkovito odkrivanje in preiskovanje čezmejnih kaznivih dejanj s področja ilegalnih migracij in so komplementarni oziroma dopolnjujejo Instrument za finančno podporo za upravljanje meja in vizumsko politiko v okviru Sklada za integrirano upravljanje meja in sicer ukrep v okviru prvega specifičnega cilja »Učinkovito evropsko integrirano upravljanje meja na zunanjih mejah, ki  so osredotočeni na preprečevanje nedovoljenih prehodov meja, nezakonitega priseljevanja in čezmejnih kaznivih dejanj«.</w:t>
            </w:r>
            <w:r w:rsidR="00C20EA8">
              <w:rPr>
                <w:i w:val="0"/>
                <w:sz w:val="22"/>
              </w:rPr>
              <w:t xml:space="preserve"> </w:t>
            </w:r>
          </w:p>
          <w:p w14:paraId="07E84DFD" w14:textId="023E2309" w:rsidR="00324387" w:rsidRPr="001B5FCC" w:rsidRDefault="0060199D" w:rsidP="00114605">
            <w:pPr>
              <w:pStyle w:val="Tiret0"/>
              <w:numPr>
                <w:ilvl w:val="0"/>
                <w:numId w:val="0"/>
              </w:numPr>
              <w:rPr>
                <w:b/>
                <w:noProof/>
                <w:sz w:val="22"/>
              </w:rPr>
            </w:pPr>
            <w:r w:rsidRPr="0060199D">
              <w:t>Zaznana je k</w:t>
            </w:r>
            <w:r w:rsidRPr="0060199D">
              <w:rPr>
                <w:noProof/>
                <w:sz w:val="22"/>
              </w:rPr>
              <w:t>omplementarnost</w:t>
            </w:r>
            <w:r w:rsidRPr="00026D45">
              <w:rPr>
                <w:noProof/>
                <w:sz w:val="22"/>
              </w:rPr>
              <w:t xml:space="preserve"> operacij SNV skozi katere </w:t>
            </w:r>
            <w:r>
              <w:rPr>
                <w:noProof/>
                <w:sz w:val="22"/>
              </w:rPr>
              <w:t>se razvija</w:t>
            </w:r>
            <w:r w:rsidRPr="00026D45">
              <w:rPr>
                <w:noProof/>
                <w:sz w:val="22"/>
              </w:rPr>
              <w:t xml:space="preserve"> aplikativne rešitve,</w:t>
            </w:r>
            <w:r>
              <w:rPr>
                <w:noProof/>
                <w:sz w:val="22"/>
              </w:rPr>
              <w:t xml:space="preserve"> posodablja</w:t>
            </w:r>
            <w:r w:rsidRPr="00026D45">
              <w:rPr>
                <w:noProof/>
                <w:sz w:val="22"/>
              </w:rPr>
              <w:t xml:space="preserve"> programsk</w:t>
            </w:r>
            <w:r>
              <w:rPr>
                <w:noProof/>
                <w:sz w:val="22"/>
              </w:rPr>
              <w:t>a oprema</w:t>
            </w:r>
            <w:r w:rsidRPr="00026D45">
              <w:rPr>
                <w:noProof/>
                <w:sz w:val="22"/>
              </w:rPr>
              <w:t xml:space="preserve"> in poveč</w:t>
            </w:r>
            <w:r>
              <w:rPr>
                <w:noProof/>
                <w:sz w:val="22"/>
              </w:rPr>
              <w:t>uje</w:t>
            </w:r>
            <w:r w:rsidRPr="00026D45">
              <w:rPr>
                <w:noProof/>
                <w:sz w:val="22"/>
              </w:rPr>
              <w:t xml:space="preserve"> zmogljivosti podatkovnega in govornega omrežja skozi sinergijo z razvojem, nadgradnjami in vzdrževanjem centralne </w:t>
            </w:r>
            <w:r>
              <w:rPr>
                <w:noProof/>
                <w:sz w:val="22"/>
              </w:rPr>
              <w:t>strežniške pla</w:t>
            </w:r>
            <w:r w:rsidRPr="00026D45">
              <w:rPr>
                <w:noProof/>
                <w:sz w:val="22"/>
              </w:rPr>
              <w:t xml:space="preserve">tforme CEPIS, ki se financira </w:t>
            </w:r>
            <w:r w:rsidRPr="0060199D">
              <w:rPr>
                <w:noProof/>
                <w:sz w:val="22"/>
              </w:rPr>
              <w:t>iz Načrta za okrevanje in odpornost NextGenerationEU.</w:t>
            </w:r>
          </w:p>
        </w:tc>
      </w:tr>
    </w:tbl>
    <w:p w14:paraId="2AEA300A" w14:textId="77777777" w:rsidR="008671BE" w:rsidRPr="003A1616" w:rsidRDefault="00C30ACF" w:rsidP="00C30ACF">
      <w:pPr>
        <w:pStyle w:val="ManualHeading2"/>
        <w:rPr>
          <w:noProof/>
        </w:rPr>
      </w:pPr>
      <w:r w:rsidRPr="003A1616">
        <w:t>2.2.</w:t>
      </w:r>
      <w:r w:rsidRPr="003A1616">
        <w:tab/>
      </w:r>
      <w:r w:rsidR="008671BE" w:rsidRPr="003A1616">
        <w:rPr>
          <w:noProof/>
        </w:rPr>
        <w:t xml:space="preserve">Večnamenska oprema in sistemi IKT – člen 5(4) Uredbe (EU) 2021/1149 </w:t>
      </w:r>
    </w:p>
    <w:p w14:paraId="7541CB6B" w14:textId="77777777" w:rsidR="008671BE" w:rsidRPr="003A1616" w:rsidRDefault="00621FCD" w:rsidP="008671BE">
      <w:pPr>
        <w:rPr>
          <w:noProof/>
          <w:sz w:val="22"/>
        </w:rPr>
      </w:pPr>
      <w:r w:rsidRPr="003A1616">
        <w:rPr>
          <w:noProof/>
          <w:sz w:val="22"/>
        </w:rPr>
        <w:t xml:space="preserve">Na kratko opišite ustrezne operacije, ki vključujejo opremo in sisteme IKT, nabavljene v okviru programa in delno uporabljene na dopolnilnem področju iz Uredbe (EU) 2021/1148 ter za doseganje ciljev Instrumenta za finančno podporo za upravljanje meja in vizumsko politiko. Navedite kraje, kjer so bili večnamenska oprema in sistemi IKT uporabljeni. </w:t>
      </w:r>
    </w:p>
    <w:p w14:paraId="7825B543" w14:textId="77777777" w:rsidR="008671BE" w:rsidRPr="003A1616" w:rsidRDefault="00DF1E54" w:rsidP="008671BE">
      <w:pPr>
        <w:rPr>
          <w:noProof/>
          <w:sz w:val="22"/>
        </w:rPr>
      </w:pPr>
      <w:r w:rsidRPr="003A1616">
        <w:rPr>
          <w:noProof/>
          <w:sz w:val="22"/>
        </w:rPr>
        <w:t xml:space="preserve">Za opremo navedite tudi informacije o obdobju njene uporabe na dopolnilnih področjih Instrumenta za finančno podporo za upravljanje meja in vizumsko politiko. </w:t>
      </w:r>
    </w:p>
    <w:tbl>
      <w:tblPr>
        <w:tblStyle w:val="Tabelamrea"/>
        <w:tblW w:w="0" w:type="auto"/>
        <w:tblLook w:val="04A0" w:firstRow="1" w:lastRow="0" w:firstColumn="1" w:lastColumn="0" w:noHBand="0" w:noVBand="1"/>
      </w:tblPr>
      <w:tblGrid>
        <w:gridCol w:w="9063"/>
      </w:tblGrid>
      <w:tr w:rsidR="008671BE" w:rsidRPr="003A1616" w14:paraId="1657D850" w14:textId="77777777" w:rsidTr="0059250C">
        <w:tc>
          <w:tcPr>
            <w:tcW w:w="9289" w:type="dxa"/>
          </w:tcPr>
          <w:p w14:paraId="59A7D309" w14:textId="4368B764" w:rsidR="00324387" w:rsidRPr="00324387" w:rsidRDefault="003252F1" w:rsidP="001B5FCC">
            <w:pPr>
              <w:pStyle w:val="Personnequisigne"/>
              <w:jc w:val="both"/>
              <w:rPr>
                <w:i w:val="0"/>
                <w:noProof/>
                <w:sz w:val="22"/>
              </w:rPr>
            </w:pPr>
            <w:r w:rsidRPr="003A1616">
              <w:rPr>
                <w:i w:val="0"/>
                <w:noProof/>
                <w:sz w:val="22"/>
              </w:rPr>
              <w:t xml:space="preserve">Slovenija </w:t>
            </w:r>
            <w:r w:rsidR="00336B99" w:rsidRPr="003A1616">
              <w:rPr>
                <w:i w:val="0"/>
                <w:noProof/>
                <w:sz w:val="22"/>
              </w:rPr>
              <w:t xml:space="preserve">je </w:t>
            </w:r>
            <w:r w:rsidRPr="003A1616">
              <w:rPr>
                <w:i w:val="0"/>
                <w:noProof/>
                <w:sz w:val="22"/>
              </w:rPr>
              <w:t xml:space="preserve">v obračunskem obdobju pričela z izvajanjem aktivnosti v zvezi z ukrepi programa SNV, </w:t>
            </w:r>
            <w:r w:rsidR="00324387">
              <w:rPr>
                <w:i w:val="0"/>
                <w:noProof/>
                <w:sz w:val="22"/>
              </w:rPr>
              <w:t xml:space="preserve">a vseeno </w:t>
            </w:r>
            <w:r w:rsidRPr="003A1616">
              <w:rPr>
                <w:i w:val="0"/>
                <w:noProof/>
                <w:sz w:val="22"/>
              </w:rPr>
              <w:t>ne moremo poročati o večnamenski op</w:t>
            </w:r>
            <w:r w:rsidR="001B5FCC">
              <w:rPr>
                <w:i w:val="0"/>
                <w:noProof/>
                <w:sz w:val="22"/>
              </w:rPr>
              <w:t>remi in sistemih IKT, ki bi bila nabavljena</w:t>
            </w:r>
            <w:r w:rsidRPr="003A1616">
              <w:rPr>
                <w:i w:val="0"/>
                <w:noProof/>
                <w:sz w:val="22"/>
              </w:rPr>
              <w:t xml:space="preserve"> s podporo programa SNV med obračunskim letom in uporabljeni za doseganje ciljev Instrumenta za finančno podporo za upravljanje meja in vizumsko politiko.</w:t>
            </w:r>
            <w:r w:rsidR="001B5FCC">
              <w:rPr>
                <w:i w:val="0"/>
                <w:noProof/>
                <w:sz w:val="22"/>
              </w:rPr>
              <w:t xml:space="preserve"> </w:t>
            </w:r>
          </w:p>
        </w:tc>
      </w:tr>
    </w:tbl>
    <w:p w14:paraId="431238F3" w14:textId="77777777" w:rsidR="006A41E2" w:rsidRPr="003A1616" w:rsidRDefault="00BC294D" w:rsidP="00BC294D">
      <w:pPr>
        <w:rPr>
          <w:noProof/>
          <w:sz w:val="22"/>
        </w:rPr>
      </w:pPr>
      <w:r w:rsidRPr="003A1616">
        <w:rPr>
          <w:noProof/>
          <w:sz w:val="22"/>
        </w:rPr>
        <w:t>Za informacijski sistem Unije, ki se financira na podlagi Uredbe (EU) 2021/1149 in služi tudi ciljem Uredbe (EU) 2021/1148 (večnamenski) ali dejavnostim, ki se zahtevajo v pravnem okviru EU za interoperabilnost</w:t>
      </w:r>
      <w:r w:rsidRPr="003A1616">
        <w:rPr>
          <w:rStyle w:val="Sprotnaopomba-sklic"/>
          <w:noProof/>
          <w:sz w:val="22"/>
        </w:rPr>
        <w:footnoteReference w:id="19"/>
      </w:r>
      <w:r w:rsidRPr="003A1616">
        <w:rPr>
          <w:noProof/>
          <w:sz w:val="22"/>
        </w:rPr>
        <w:t xml:space="preserve">, izpolnite spodnjo preglednico. </w:t>
      </w:r>
    </w:p>
    <w:tbl>
      <w:tblPr>
        <w:tblStyle w:val="Tabelamrea"/>
        <w:tblW w:w="9289" w:type="dxa"/>
        <w:tblLayout w:type="fixed"/>
        <w:tblCellMar>
          <w:left w:w="28" w:type="dxa"/>
          <w:right w:w="28" w:type="dxa"/>
        </w:tblCellMar>
        <w:tblLook w:val="04A0" w:firstRow="1" w:lastRow="0" w:firstColumn="1" w:lastColumn="0" w:noHBand="0" w:noVBand="1"/>
      </w:tblPr>
      <w:tblGrid>
        <w:gridCol w:w="879"/>
        <w:gridCol w:w="1072"/>
        <w:gridCol w:w="1338"/>
        <w:gridCol w:w="1275"/>
        <w:gridCol w:w="1134"/>
        <w:gridCol w:w="1214"/>
        <w:gridCol w:w="1134"/>
        <w:gridCol w:w="1243"/>
      </w:tblGrid>
      <w:tr w:rsidR="006A41E2" w:rsidRPr="003A1616" w14:paraId="4283FC2C" w14:textId="77777777" w:rsidTr="00AC4263">
        <w:trPr>
          <w:trHeight w:val="688"/>
        </w:trPr>
        <w:tc>
          <w:tcPr>
            <w:tcW w:w="879" w:type="dxa"/>
            <w:vAlign w:val="center"/>
          </w:tcPr>
          <w:p w14:paraId="2D1F8B7C" w14:textId="77777777" w:rsidR="006A41E2" w:rsidRPr="003A1616" w:rsidRDefault="006A41E2" w:rsidP="00E45665">
            <w:pPr>
              <w:pStyle w:val="Institutionquisigne"/>
              <w:spacing w:before="0"/>
              <w:jc w:val="center"/>
              <w:rPr>
                <w:i w:val="0"/>
                <w:noProof/>
                <w:sz w:val="20"/>
              </w:rPr>
            </w:pPr>
            <w:r w:rsidRPr="003A1616">
              <w:rPr>
                <w:i w:val="0"/>
                <w:noProof/>
                <w:sz w:val="20"/>
              </w:rPr>
              <w:t>Specifični cilj</w:t>
            </w:r>
          </w:p>
        </w:tc>
        <w:tc>
          <w:tcPr>
            <w:tcW w:w="1072" w:type="dxa"/>
            <w:vAlign w:val="center"/>
          </w:tcPr>
          <w:p w14:paraId="2E36D948" w14:textId="77777777" w:rsidR="006A41E2" w:rsidRPr="003A1616" w:rsidRDefault="006A41E2" w:rsidP="00E45665">
            <w:pPr>
              <w:pStyle w:val="Institutionquisigne"/>
              <w:spacing w:before="0"/>
              <w:jc w:val="center"/>
              <w:rPr>
                <w:i w:val="0"/>
                <w:noProof/>
                <w:sz w:val="20"/>
              </w:rPr>
            </w:pPr>
            <w:r w:rsidRPr="003A1616">
              <w:rPr>
                <w:i w:val="0"/>
                <w:noProof/>
                <w:sz w:val="20"/>
              </w:rPr>
              <w:t>Ime operacije</w:t>
            </w:r>
          </w:p>
        </w:tc>
        <w:tc>
          <w:tcPr>
            <w:tcW w:w="1338" w:type="dxa"/>
            <w:vAlign w:val="center"/>
          </w:tcPr>
          <w:p w14:paraId="093A72B4" w14:textId="77777777" w:rsidR="006A41E2" w:rsidRPr="003A1616" w:rsidRDefault="006A41E2" w:rsidP="00E45665">
            <w:pPr>
              <w:pStyle w:val="Institutionquisigne"/>
              <w:spacing w:before="0"/>
              <w:jc w:val="center"/>
              <w:rPr>
                <w:i w:val="0"/>
                <w:noProof/>
                <w:sz w:val="20"/>
              </w:rPr>
            </w:pPr>
            <w:r w:rsidRPr="003A1616">
              <w:rPr>
                <w:i w:val="0"/>
                <w:noProof/>
                <w:sz w:val="20"/>
              </w:rPr>
              <w:t>Upravičenec operacije</w:t>
            </w:r>
          </w:p>
        </w:tc>
        <w:tc>
          <w:tcPr>
            <w:tcW w:w="1275" w:type="dxa"/>
            <w:vAlign w:val="center"/>
          </w:tcPr>
          <w:p w14:paraId="224F2B2D" w14:textId="77777777" w:rsidR="006A41E2" w:rsidRPr="003A1616" w:rsidRDefault="006A41E2" w:rsidP="006A41E2">
            <w:pPr>
              <w:pStyle w:val="Institutionquisigne"/>
              <w:spacing w:before="0"/>
              <w:jc w:val="center"/>
              <w:rPr>
                <w:i w:val="0"/>
                <w:noProof/>
                <w:sz w:val="20"/>
              </w:rPr>
            </w:pPr>
            <w:r w:rsidRPr="003A1616">
              <w:rPr>
                <w:i w:val="0"/>
                <w:noProof/>
                <w:sz w:val="20"/>
              </w:rPr>
              <w:t>Cilj operacije</w:t>
            </w:r>
          </w:p>
        </w:tc>
        <w:tc>
          <w:tcPr>
            <w:tcW w:w="1134" w:type="dxa"/>
            <w:vAlign w:val="center"/>
          </w:tcPr>
          <w:p w14:paraId="52381146" w14:textId="77777777" w:rsidR="006A41E2" w:rsidRPr="003A1616" w:rsidRDefault="006A41E2" w:rsidP="00E45665">
            <w:pPr>
              <w:pStyle w:val="Institutionquisigne"/>
              <w:spacing w:before="0"/>
              <w:jc w:val="center"/>
              <w:rPr>
                <w:i w:val="0"/>
                <w:noProof/>
                <w:sz w:val="20"/>
              </w:rPr>
            </w:pPr>
            <w:r w:rsidRPr="003A1616">
              <w:rPr>
                <w:i w:val="0"/>
                <w:noProof/>
                <w:sz w:val="20"/>
              </w:rPr>
              <w:t>Obdobje izvajanja</w:t>
            </w:r>
          </w:p>
        </w:tc>
        <w:tc>
          <w:tcPr>
            <w:tcW w:w="1214" w:type="dxa"/>
            <w:vAlign w:val="center"/>
          </w:tcPr>
          <w:p w14:paraId="4BFB7F8C" w14:textId="77777777" w:rsidR="006A41E2" w:rsidRPr="003A1616" w:rsidRDefault="006A41E2" w:rsidP="00E45665">
            <w:pPr>
              <w:pStyle w:val="Institutionquisigne"/>
              <w:spacing w:before="0"/>
              <w:jc w:val="center"/>
              <w:rPr>
                <w:i w:val="0"/>
                <w:noProof/>
                <w:sz w:val="20"/>
              </w:rPr>
            </w:pPr>
            <w:r w:rsidRPr="003A1616">
              <w:rPr>
                <w:i w:val="0"/>
                <w:noProof/>
                <w:sz w:val="20"/>
              </w:rPr>
              <w:t>Stopnja sofinanciranja</w:t>
            </w:r>
          </w:p>
        </w:tc>
        <w:tc>
          <w:tcPr>
            <w:tcW w:w="1134" w:type="dxa"/>
            <w:vAlign w:val="center"/>
          </w:tcPr>
          <w:p w14:paraId="0A5904E4" w14:textId="77777777" w:rsidR="006A41E2" w:rsidRPr="003A1616" w:rsidRDefault="006A41E2" w:rsidP="00E45665">
            <w:pPr>
              <w:pStyle w:val="Institutionquisigne"/>
              <w:spacing w:before="0"/>
              <w:jc w:val="center"/>
              <w:rPr>
                <w:i w:val="0"/>
                <w:noProof/>
                <w:sz w:val="20"/>
              </w:rPr>
            </w:pPr>
            <w:r w:rsidRPr="003A1616">
              <w:rPr>
                <w:i w:val="0"/>
                <w:noProof/>
                <w:sz w:val="20"/>
              </w:rPr>
              <w:t>Upravičeni stroški</w:t>
            </w:r>
            <w:r w:rsidRPr="003A1616">
              <w:rPr>
                <w:rStyle w:val="Sprotnaopomba-sklic"/>
                <w:i w:val="0"/>
                <w:noProof/>
                <w:sz w:val="20"/>
              </w:rPr>
              <w:footnoteReference w:id="20"/>
            </w:r>
          </w:p>
        </w:tc>
        <w:tc>
          <w:tcPr>
            <w:tcW w:w="1243" w:type="dxa"/>
            <w:vAlign w:val="center"/>
          </w:tcPr>
          <w:p w14:paraId="141D48F1" w14:textId="77777777" w:rsidR="006A41E2" w:rsidRPr="003A1616" w:rsidRDefault="006A41E2" w:rsidP="00E45665">
            <w:pPr>
              <w:pStyle w:val="Institutionquisigne"/>
              <w:spacing w:before="0"/>
              <w:jc w:val="center"/>
              <w:rPr>
                <w:i w:val="0"/>
                <w:noProof/>
                <w:sz w:val="20"/>
              </w:rPr>
            </w:pPr>
            <w:r w:rsidRPr="003A1616">
              <w:rPr>
                <w:i w:val="0"/>
                <w:noProof/>
                <w:sz w:val="20"/>
              </w:rPr>
              <w:t>Upravičeni izdatki</w:t>
            </w:r>
            <w:r w:rsidRPr="003A1616">
              <w:rPr>
                <w:rStyle w:val="Sprotnaopomba-sklic"/>
                <w:i w:val="0"/>
                <w:noProof/>
                <w:sz w:val="20"/>
                <w:szCs w:val="20"/>
              </w:rPr>
              <w:footnoteReference w:id="21"/>
            </w:r>
          </w:p>
        </w:tc>
      </w:tr>
      <w:tr w:rsidR="006A41E2" w:rsidRPr="003A1616" w14:paraId="6E07A122" w14:textId="77777777" w:rsidTr="00AC4263">
        <w:trPr>
          <w:trHeight w:val="255"/>
        </w:trPr>
        <w:tc>
          <w:tcPr>
            <w:tcW w:w="879" w:type="dxa"/>
            <w:vAlign w:val="center"/>
          </w:tcPr>
          <w:p w14:paraId="5C6E0DC8" w14:textId="77777777" w:rsidR="006A41E2" w:rsidRPr="003A1616" w:rsidRDefault="00184CCF" w:rsidP="004217A7">
            <w:pPr>
              <w:pStyle w:val="Institutionquisigne"/>
              <w:spacing w:before="0"/>
              <w:jc w:val="center"/>
              <w:rPr>
                <w:i w:val="0"/>
                <w:noProof/>
                <w:sz w:val="22"/>
              </w:rPr>
            </w:pPr>
            <w:r w:rsidRPr="003A1616">
              <w:rPr>
                <w:i w:val="0"/>
                <w:noProof/>
                <w:sz w:val="22"/>
              </w:rPr>
              <w:t>/</w:t>
            </w:r>
          </w:p>
        </w:tc>
        <w:tc>
          <w:tcPr>
            <w:tcW w:w="1072" w:type="dxa"/>
            <w:vAlign w:val="center"/>
          </w:tcPr>
          <w:p w14:paraId="05139DC8" w14:textId="77777777" w:rsidR="006A41E2" w:rsidRPr="003A1616" w:rsidRDefault="00184CCF" w:rsidP="00E45665">
            <w:pPr>
              <w:pStyle w:val="Institutionquisigne"/>
              <w:spacing w:before="0"/>
              <w:jc w:val="center"/>
              <w:rPr>
                <w:noProof/>
              </w:rPr>
            </w:pPr>
            <w:r w:rsidRPr="003A1616">
              <w:rPr>
                <w:noProof/>
              </w:rPr>
              <w:t>/</w:t>
            </w:r>
          </w:p>
        </w:tc>
        <w:tc>
          <w:tcPr>
            <w:tcW w:w="1338" w:type="dxa"/>
          </w:tcPr>
          <w:p w14:paraId="5C98B940" w14:textId="77777777" w:rsidR="006A41E2" w:rsidRPr="003A1616" w:rsidRDefault="00184CCF" w:rsidP="00E45665">
            <w:pPr>
              <w:pStyle w:val="Institutionquisigne"/>
              <w:spacing w:before="0"/>
              <w:jc w:val="center"/>
              <w:rPr>
                <w:noProof/>
              </w:rPr>
            </w:pPr>
            <w:r w:rsidRPr="003A1616">
              <w:rPr>
                <w:noProof/>
              </w:rPr>
              <w:t>/</w:t>
            </w:r>
          </w:p>
        </w:tc>
        <w:tc>
          <w:tcPr>
            <w:tcW w:w="1275" w:type="dxa"/>
            <w:vAlign w:val="center"/>
          </w:tcPr>
          <w:p w14:paraId="6A07C3E9" w14:textId="77777777" w:rsidR="006A41E2" w:rsidRPr="003A1616" w:rsidRDefault="00184CCF" w:rsidP="00E45665">
            <w:pPr>
              <w:pStyle w:val="Institutionquisigne"/>
              <w:spacing w:before="0"/>
              <w:jc w:val="center"/>
              <w:rPr>
                <w:noProof/>
              </w:rPr>
            </w:pPr>
            <w:r w:rsidRPr="003A1616">
              <w:rPr>
                <w:noProof/>
              </w:rPr>
              <w:t>/</w:t>
            </w:r>
          </w:p>
        </w:tc>
        <w:tc>
          <w:tcPr>
            <w:tcW w:w="1134" w:type="dxa"/>
            <w:vAlign w:val="center"/>
          </w:tcPr>
          <w:p w14:paraId="46F39E8E" w14:textId="77777777" w:rsidR="006A41E2" w:rsidRPr="003A1616" w:rsidRDefault="00184CCF" w:rsidP="00E45665">
            <w:pPr>
              <w:pStyle w:val="Institutionquisigne"/>
              <w:spacing w:before="0"/>
              <w:jc w:val="center"/>
              <w:rPr>
                <w:noProof/>
              </w:rPr>
            </w:pPr>
            <w:r w:rsidRPr="003A1616">
              <w:rPr>
                <w:noProof/>
              </w:rPr>
              <w:t>/</w:t>
            </w:r>
          </w:p>
        </w:tc>
        <w:tc>
          <w:tcPr>
            <w:tcW w:w="1214" w:type="dxa"/>
          </w:tcPr>
          <w:p w14:paraId="0B16906B" w14:textId="77777777" w:rsidR="006A41E2" w:rsidRPr="003A1616" w:rsidRDefault="00184CCF" w:rsidP="00E45665">
            <w:pPr>
              <w:pStyle w:val="Institutionquisigne"/>
              <w:spacing w:before="0"/>
              <w:jc w:val="center"/>
              <w:rPr>
                <w:noProof/>
              </w:rPr>
            </w:pPr>
            <w:r w:rsidRPr="003A1616">
              <w:rPr>
                <w:noProof/>
              </w:rPr>
              <w:t>/</w:t>
            </w:r>
          </w:p>
        </w:tc>
        <w:tc>
          <w:tcPr>
            <w:tcW w:w="1134" w:type="dxa"/>
          </w:tcPr>
          <w:p w14:paraId="7BAF22BF" w14:textId="77777777" w:rsidR="006A41E2" w:rsidRPr="003A1616" w:rsidRDefault="00184CCF" w:rsidP="00E45665">
            <w:pPr>
              <w:pStyle w:val="Institutionquisigne"/>
              <w:spacing w:before="0"/>
              <w:jc w:val="center"/>
              <w:rPr>
                <w:noProof/>
              </w:rPr>
            </w:pPr>
            <w:r w:rsidRPr="003A1616">
              <w:rPr>
                <w:noProof/>
              </w:rPr>
              <w:t>/</w:t>
            </w:r>
          </w:p>
        </w:tc>
        <w:tc>
          <w:tcPr>
            <w:tcW w:w="1243" w:type="dxa"/>
          </w:tcPr>
          <w:p w14:paraId="08D4FD57" w14:textId="77777777" w:rsidR="006A41E2" w:rsidRPr="003A1616" w:rsidRDefault="00184CCF" w:rsidP="00E45665">
            <w:pPr>
              <w:pStyle w:val="Institutionquisigne"/>
              <w:spacing w:before="0"/>
              <w:jc w:val="center"/>
              <w:rPr>
                <w:noProof/>
              </w:rPr>
            </w:pPr>
            <w:r w:rsidRPr="003A1616">
              <w:rPr>
                <w:noProof/>
              </w:rPr>
              <w:t>/</w:t>
            </w:r>
          </w:p>
        </w:tc>
      </w:tr>
    </w:tbl>
    <w:p w14:paraId="35BD8DD6" w14:textId="77777777" w:rsidR="006A41E2" w:rsidRPr="003A1616" w:rsidRDefault="00C30ACF" w:rsidP="00C30ACF">
      <w:pPr>
        <w:pStyle w:val="ManualHeading1"/>
        <w:rPr>
          <w:noProof/>
        </w:rPr>
      </w:pPr>
      <w:r w:rsidRPr="003A1616">
        <w:t>3.</w:t>
      </w:r>
      <w:r w:rsidRPr="003A1616">
        <w:tab/>
      </w:r>
      <w:r w:rsidR="006A41E2" w:rsidRPr="003A1616">
        <w:rPr>
          <w:noProof/>
        </w:rPr>
        <w:t>Izvajanje pravnega reda Unije – člen 30(2), točka (d), Uredbe (EU) 2021/1149</w:t>
      </w:r>
    </w:p>
    <w:p w14:paraId="43F72794" w14:textId="77777777" w:rsidR="006A41E2" w:rsidRPr="003A1616" w:rsidRDefault="0060652B" w:rsidP="006A41E2">
      <w:pPr>
        <w:rPr>
          <w:noProof/>
          <w:sz w:val="22"/>
        </w:rPr>
      </w:pPr>
      <w:r w:rsidRPr="003A1616">
        <w:rPr>
          <w:noProof/>
          <w:sz w:val="22"/>
        </w:rPr>
        <w:t>Opišite, kako je program med obračunskim letom prispeval k izvajanju ustreznega pravnega reda Unije (prava Unije) o varnosti in izmenjavi ustreznih informacij ter k vsem ustreznim akcijskim načrtom.</w:t>
      </w:r>
    </w:p>
    <w:tbl>
      <w:tblPr>
        <w:tblStyle w:val="Tabelamrea"/>
        <w:tblW w:w="0" w:type="auto"/>
        <w:tblLook w:val="04A0" w:firstRow="1" w:lastRow="0" w:firstColumn="1" w:lastColumn="0" w:noHBand="0" w:noVBand="1"/>
      </w:tblPr>
      <w:tblGrid>
        <w:gridCol w:w="9063"/>
      </w:tblGrid>
      <w:tr w:rsidR="00826097" w:rsidRPr="003A1616" w14:paraId="7B5412D7" w14:textId="77777777" w:rsidTr="00E45665">
        <w:tc>
          <w:tcPr>
            <w:tcW w:w="9289" w:type="dxa"/>
          </w:tcPr>
          <w:p w14:paraId="7E9431DD" w14:textId="77777777" w:rsidR="00324620" w:rsidRPr="0002060E" w:rsidRDefault="00324620" w:rsidP="00324620">
            <w:pPr>
              <w:rPr>
                <w:noProof/>
                <w:sz w:val="22"/>
              </w:rPr>
            </w:pPr>
            <w:r w:rsidRPr="0002060E">
              <w:rPr>
                <w:noProof/>
                <w:sz w:val="22"/>
              </w:rPr>
              <w:t>Vse operacije v izvajanju dosledno sledijo določilom Pogodbe o delovanju EU, Listine EU o temeljnih pravicah, Konvencije o statusu beguncev s Protokolom iz leta 1967 in Konvencije o varstvu posameznikov glede na avtomatsko obdelavo osebnih podatkov.</w:t>
            </w:r>
          </w:p>
          <w:p w14:paraId="1649EB44" w14:textId="77777777" w:rsidR="00324620" w:rsidRPr="0002060E" w:rsidRDefault="00324620" w:rsidP="00324620">
            <w:pPr>
              <w:rPr>
                <w:noProof/>
                <w:sz w:val="22"/>
              </w:rPr>
            </w:pPr>
            <w:r w:rsidRPr="0002060E">
              <w:rPr>
                <w:noProof/>
                <w:sz w:val="22"/>
              </w:rPr>
              <w:t xml:space="preserve">V okviru </w:t>
            </w:r>
            <w:r w:rsidRPr="0002060E">
              <w:rPr>
                <w:b/>
                <w:noProof/>
                <w:sz w:val="22"/>
              </w:rPr>
              <w:t>Specifičnega cilja 1</w:t>
            </w:r>
            <w:r w:rsidRPr="0002060E">
              <w:rPr>
                <w:noProof/>
                <w:sz w:val="22"/>
              </w:rPr>
              <w:t xml:space="preserve"> </w:t>
            </w:r>
            <w:r>
              <w:rPr>
                <w:noProof/>
                <w:sz w:val="22"/>
              </w:rPr>
              <w:t>o</w:t>
            </w:r>
            <w:r w:rsidRPr="0002060E">
              <w:rPr>
                <w:noProof/>
                <w:sz w:val="22"/>
              </w:rPr>
              <w:t xml:space="preserve">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Prümska pogodba, Uredbe 182/2011/EU, Uredba 2016/679/EU, Uredba 2016/399/EU, Direktive 2016/681/EU, Direktive 2004/82/ES, Direktive 2011/93/EU, Okvirni sklep Sveta 2006/960/PNZ, Akcijski načrt in Strategija EU na področju drog za obdobje 2021–2025, Strategija EU za boj proti organiziranemu kriminalu za obdobje 2021–2025, Strategija EU za učinkovitejši boj proti spolni zlorabi otrok in Strategija EU za varnostno unijo.           </w:t>
            </w:r>
          </w:p>
          <w:p w14:paraId="2CD34C79" w14:textId="77777777" w:rsidR="00324620" w:rsidRPr="0002060E" w:rsidRDefault="00324620" w:rsidP="00324620">
            <w:pPr>
              <w:rPr>
                <w:noProof/>
                <w:sz w:val="22"/>
              </w:rPr>
            </w:pPr>
            <w:r w:rsidRPr="0002060E">
              <w:rPr>
                <w:noProof/>
                <w:sz w:val="22"/>
              </w:rPr>
              <w:t xml:space="preserve">V okviru </w:t>
            </w:r>
            <w:r w:rsidRPr="0002060E">
              <w:rPr>
                <w:b/>
                <w:noProof/>
                <w:sz w:val="22"/>
              </w:rPr>
              <w:t>Specifičnega cilja 2</w:t>
            </w:r>
            <w:r w:rsidRPr="0002060E">
              <w:rPr>
                <w:noProof/>
                <w:sz w:val="22"/>
              </w:rPr>
              <w:t xml:space="preserve"> </w:t>
            </w:r>
            <w:r>
              <w:rPr>
                <w:noProof/>
                <w:sz w:val="22"/>
              </w:rPr>
              <w:t>o</w:t>
            </w:r>
            <w:r w:rsidRPr="0002060E">
              <w:rPr>
                <w:noProof/>
                <w:sz w:val="22"/>
              </w:rPr>
              <w:t xml:space="preserve">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Sklepi Sveta o okrepitvi finančnih preiskav za boj proti hudim kaznivim dejanjem in organiziranemu kriminalu 8927/20, Okvirni sklep Sveta 2008/978/PNZ, Strategija EU za boj proti organiziranemu kriminalu za obdobje 2021–2025 in Strategija EU za varnostno unijo.           </w:t>
            </w:r>
          </w:p>
          <w:p w14:paraId="1A16E4CC" w14:textId="4C3A07D2" w:rsidR="006A41E2" w:rsidRPr="00A75D91" w:rsidRDefault="00324620" w:rsidP="00114770">
            <w:pPr>
              <w:rPr>
                <w:b/>
              </w:rPr>
            </w:pPr>
            <w:r w:rsidRPr="0002060E">
              <w:rPr>
                <w:noProof/>
                <w:sz w:val="22"/>
              </w:rPr>
              <w:t xml:space="preserve">V okviru </w:t>
            </w:r>
            <w:r w:rsidRPr="0002060E">
              <w:rPr>
                <w:b/>
                <w:noProof/>
                <w:sz w:val="22"/>
              </w:rPr>
              <w:t>Specifičnega cilja 3</w:t>
            </w:r>
            <w:r w:rsidRPr="0002060E">
              <w:rPr>
                <w:noProof/>
                <w:sz w:val="22"/>
              </w:rPr>
              <w:t xml:space="preserve"> </w:t>
            </w:r>
            <w:r>
              <w:rPr>
                <w:noProof/>
                <w:sz w:val="22"/>
              </w:rPr>
              <w:t>o</w:t>
            </w:r>
            <w:r w:rsidRPr="0002060E">
              <w:rPr>
                <w:noProof/>
                <w:sz w:val="22"/>
              </w:rPr>
              <w:t xml:space="preserve">peracije implementirajo določbe nacionalnega prava: Zakona o nalogah in pooblastilih policije (Uradni list RS, št. 15/13), Kazenskega zakonika (Uradni list RS, št. 50/12 in nadaljnje spremembe), Zakona o kazenskem postopku (Uradni list RS št. 176/21 in nadaljnje spremembe), Zakon o zaščiti prič (Uradni list RS, št. 81/06 in nadaljnje spremembe) in podrejenih aktov; ter določbe pravnega reda EU: Direktiva 2024/1203/EU, Direktiva 2013/40/EU, Okvirni sklep Sveta 2008/978/PNZ, Strategija EU za boj proti organiziranemu kriminalu za obdobje 2021–2025 in Strategija EU za varnostno unijo.           </w:t>
            </w:r>
          </w:p>
        </w:tc>
      </w:tr>
    </w:tbl>
    <w:p w14:paraId="6363ACCD" w14:textId="77777777" w:rsidR="006A41E2" w:rsidRPr="003A1616" w:rsidRDefault="00C30ACF" w:rsidP="00C30ACF">
      <w:pPr>
        <w:pStyle w:val="ManualHeading1"/>
        <w:rPr>
          <w:noProof/>
        </w:rPr>
      </w:pPr>
      <w:r w:rsidRPr="003A1616">
        <w:t>4.</w:t>
      </w:r>
      <w:r w:rsidRPr="003A1616">
        <w:tab/>
      </w:r>
      <w:r w:rsidR="006A41E2" w:rsidRPr="003A1616">
        <w:rPr>
          <w:noProof/>
        </w:rPr>
        <w:t>Komuniciranje in prepoznavnost – člen 30(2), točka (e), Uredbe (EU) 2021/1149</w:t>
      </w:r>
    </w:p>
    <w:p w14:paraId="01E9277E" w14:textId="77777777" w:rsidR="006A41E2" w:rsidRPr="003A1616" w:rsidRDefault="001B037F" w:rsidP="006A41E2">
      <w:pPr>
        <w:rPr>
          <w:noProof/>
          <w:sz w:val="22"/>
        </w:rPr>
      </w:pPr>
      <w:r w:rsidRPr="003A1616">
        <w:rPr>
          <w:noProof/>
          <w:sz w:val="22"/>
        </w:rPr>
        <w:t>Opišite, kako so se med obračunskim letom izvajali ukrepi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9063" w:type="dxa"/>
        <w:tblLook w:val="04A0" w:firstRow="1" w:lastRow="0" w:firstColumn="1" w:lastColumn="0" w:noHBand="0" w:noVBand="1"/>
      </w:tblPr>
      <w:tblGrid>
        <w:gridCol w:w="9063"/>
      </w:tblGrid>
      <w:tr w:rsidR="004C107A" w:rsidRPr="003A1616" w14:paraId="0E58EB76" w14:textId="77777777" w:rsidTr="004C107A">
        <w:tc>
          <w:tcPr>
            <w:tcW w:w="9063" w:type="dxa"/>
          </w:tcPr>
          <w:p w14:paraId="33DE2BAE" w14:textId="243B8C75" w:rsidR="004C107A" w:rsidRDefault="004C107A" w:rsidP="004C107A">
            <w:pPr>
              <w:pStyle w:val="Personnequisigne"/>
              <w:jc w:val="both"/>
              <w:rPr>
                <w:i w:val="0"/>
                <w:sz w:val="22"/>
              </w:rPr>
            </w:pPr>
            <w:r w:rsidRPr="002F67B6">
              <w:rPr>
                <w:i w:val="0"/>
                <w:noProof/>
                <w:sz w:val="22"/>
              </w:rPr>
              <w:t>Slovenija je v obračunskem obdobju poročanja pričela z izvajanjem aktivn</w:t>
            </w:r>
            <w:r>
              <w:rPr>
                <w:i w:val="0"/>
                <w:noProof/>
                <w:sz w:val="22"/>
              </w:rPr>
              <w:t>osti v zvezi z ukrepi programa SNV</w:t>
            </w:r>
            <w:r w:rsidRPr="002F67B6">
              <w:rPr>
                <w:i w:val="0"/>
                <w:noProof/>
                <w:sz w:val="22"/>
              </w:rPr>
              <w:t xml:space="preserve">, </w:t>
            </w:r>
            <w:r>
              <w:rPr>
                <w:i w:val="0"/>
                <w:noProof/>
                <w:sz w:val="22"/>
              </w:rPr>
              <w:t>zato</w:t>
            </w:r>
            <w:r w:rsidRPr="002F67B6">
              <w:rPr>
                <w:i w:val="0"/>
                <w:noProof/>
                <w:sz w:val="22"/>
              </w:rPr>
              <w:t xml:space="preserve"> lahko poročamo o napredku v zvezi s cilji, določenimi v komunikacijski strategiji</w:t>
            </w:r>
            <w:r>
              <w:rPr>
                <w:i w:val="0"/>
                <w:noProof/>
                <w:sz w:val="22"/>
              </w:rPr>
              <w:t xml:space="preserve">. </w:t>
            </w:r>
            <w:r w:rsidRPr="002F67B6">
              <w:rPr>
                <w:i w:val="0"/>
              </w:rPr>
              <w:t>Na področju</w:t>
            </w:r>
            <w:r w:rsidRPr="002F67B6">
              <w:rPr>
                <w:i w:val="0"/>
                <w:sz w:val="22"/>
              </w:rPr>
              <w:t xml:space="preserve"> prepoznavnosti, preglednosti in komuniciranja so pote</w:t>
            </w:r>
            <w:r>
              <w:rPr>
                <w:i w:val="0"/>
                <w:sz w:val="22"/>
              </w:rPr>
              <w:t>kale številne aktivnosti namenjene splošni, interni in zainteresirani javnosti za programe AMIF, SNV in IUMV.</w:t>
            </w:r>
          </w:p>
          <w:p w14:paraId="6D3E92A4" w14:textId="77777777" w:rsidR="004C107A" w:rsidRDefault="004C107A" w:rsidP="004C107A">
            <w:pPr>
              <w:pStyle w:val="Personnequisigne"/>
              <w:jc w:val="both"/>
              <w:rPr>
                <w:i w:val="0"/>
                <w:sz w:val="22"/>
              </w:rPr>
            </w:pPr>
          </w:p>
          <w:p w14:paraId="148C9504" w14:textId="77777777" w:rsidR="004C107A" w:rsidRPr="00D11FE3" w:rsidRDefault="004C107A" w:rsidP="004C107A">
            <w:pPr>
              <w:pStyle w:val="Personnequisigne"/>
              <w:jc w:val="both"/>
              <w:rPr>
                <w:i w:val="0"/>
                <w:sz w:val="22"/>
              </w:rPr>
            </w:pPr>
            <w:r w:rsidRPr="00D11FE3">
              <w:rPr>
                <w:i w:val="0"/>
                <w:sz w:val="22"/>
              </w:rPr>
              <w:t xml:space="preserve">Komunikacijske aktivnosti za interno javnost so potekale </w:t>
            </w:r>
            <w:r>
              <w:rPr>
                <w:i w:val="0"/>
                <w:sz w:val="22"/>
              </w:rPr>
              <w:t xml:space="preserve">predvsem </w:t>
            </w:r>
            <w:r w:rsidRPr="00D11FE3">
              <w:rPr>
                <w:i w:val="0"/>
                <w:sz w:val="22"/>
              </w:rPr>
              <w:t xml:space="preserve">v okviru poročanja </w:t>
            </w:r>
            <w:r>
              <w:rPr>
                <w:i w:val="0"/>
                <w:sz w:val="22"/>
              </w:rPr>
              <w:t>O</w:t>
            </w:r>
            <w:r w:rsidRPr="00D11FE3">
              <w:rPr>
                <w:i w:val="0"/>
                <w:sz w:val="22"/>
              </w:rPr>
              <w:t>dbor</w:t>
            </w:r>
            <w:r>
              <w:rPr>
                <w:i w:val="0"/>
                <w:sz w:val="22"/>
              </w:rPr>
              <w:t>u</w:t>
            </w:r>
            <w:r w:rsidRPr="00D11FE3">
              <w:rPr>
                <w:i w:val="0"/>
                <w:sz w:val="22"/>
              </w:rPr>
              <w:t xml:space="preserve"> za spremljanje, INFORM-SI, INFORM-EU, delavnic z</w:t>
            </w:r>
            <w:r>
              <w:rPr>
                <w:i w:val="0"/>
                <w:sz w:val="22"/>
              </w:rPr>
              <w:t>a upravičence</w:t>
            </w:r>
            <w:r w:rsidRPr="00D11FE3">
              <w:rPr>
                <w:i w:val="0"/>
                <w:sz w:val="22"/>
              </w:rPr>
              <w:t>, operativnih sestankov</w:t>
            </w:r>
            <w:r>
              <w:rPr>
                <w:i w:val="0"/>
                <w:sz w:val="22"/>
              </w:rPr>
              <w:t xml:space="preserve"> ter</w:t>
            </w:r>
            <w:r w:rsidRPr="00D11FE3">
              <w:rPr>
                <w:i w:val="0"/>
                <w:sz w:val="22"/>
              </w:rPr>
              <w:t xml:space="preserve"> preko </w:t>
            </w:r>
            <w:r>
              <w:rPr>
                <w:i w:val="0"/>
                <w:sz w:val="22"/>
              </w:rPr>
              <w:t>I</w:t>
            </w:r>
            <w:r w:rsidRPr="00D11FE3">
              <w:rPr>
                <w:i w:val="0"/>
                <w:sz w:val="22"/>
              </w:rPr>
              <w:t>ntraneta</w:t>
            </w:r>
            <w:r>
              <w:rPr>
                <w:i w:val="0"/>
                <w:sz w:val="22"/>
              </w:rPr>
              <w:t xml:space="preserve"> MNZ in </w:t>
            </w:r>
            <w:r w:rsidRPr="00D11FE3">
              <w:rPr>
                <w:i w:val="0"/>
                <w:sz w:val="22"/>
              </w:rPr>
              <w:t>Policije</w:t>
            </w:r>
            <w:r>
              <w:rPr>
                <w:i w:val="0"/>
                <w:sz w:val="22"/>
              </w:rPr>
              <w:t xml:space="preserve"> ter intraneta in depešnega sistema MZEZ</w:t>
            </w:r>
            <w:r w:rsidRPr="00D11FE3">
              <w:rPr>
                <w:i w:val="0"/>
                <w:sz w:val="22"/>
              </w:rPr>
              <w:t>. Ostale aktivnosti so namenjene splošni in zainteresirani javnosti.</w:t>
            </w:r>
          </w:p>
          <w:p w14:paraId="703D829B" w14:textId="77777777" w:rsidR="004C107A" w:rsidRPr="003D2118" w:rsidRDefault="004C107A" w:rsidP="004C107A">
            <w:pPr>
              <w:pStyle w:val="Personnequisigne"/>
              <w:jc w:val="both"/>
              <w:rPr>
                <w:sz w:val="22"/>
              </w:rPr>
            </w:pPr>
          </w:p>
          <w:p w14:paraId="02C87171" w14:textId="77777777" w:rsidR="004C107A" w:rsidRPr="00D42A18" w:rsidRDefault="004C107A" w:rsidP="004C107A">
            <w:pPr>
              <w:autoSpaceDE w:val="0"/>
              <w:autoSpaceDN w:val="0"/>
              <w:adjustRightInd w:val="0"/>
              <w:spacing w:after="0"/>
              <w:rPr>
                <w:sz w:val="22"/>
              </w:rPr>
            </w:pPr>
            <w:r w:rsidRPr="00D42A18">
              <w:rPr>
                <w:sz w:val="22"/>
              </w:rPr>
              <w:t xml:space="preserve">Splošne aktivnosti: </w:t>
            </w:r>
          </w:p>
          <w:p w14:paraId="5EB4BCB6" w14:textId="77777777" w:rsidR="004C107A" w:rsidRPr="00D42A18" w:rsidRDefault="004C107A" w:rsidP="004C107A">
            <w:pPr>
              <w:pStyle w:val="Odstavekseznama"/>
              <w:numPr>
                <w:ilvl w:val="0"/>
                <w:numId w:val="31"/>
              </w:numPr>
              <w:tabs>
                <w:tab w:val="left" w:pos="4252"/>
              </w:tabs>
              <w:autoSpaceDE w:val="0"/>
              <w:autoSpaceDN w:val="0"/>
              <w:adjustRightInd w:val="0"/>
              <w:spacing w:before="0" w:after="0"/>
              <w:rPr>
                <w:sz w:val="22"/>
              </w:rPr>
            </w:pPr>
            <w:r w:rsidRPr="00D42A18">
              <w:rPr>
                <w:sz w:val="22"/>
              </w:rPr>
              <w:t>Posodobitev Navodil organa upravljanja na področju zagotavljanja prepoznavnosti, preglednosti in komuniciranja evropske politike na področju notranjih zadev v programskem obdobju 2021–2027, št. 007-328/2023/2 z dne 5.6.2024.</w:t>
            </w:r>
          </w:p>
          <w:p w14:paraId="56B888F4" w14:textId="77777777" w:rsidR="004C107A" w:rsidRPr="00D42A18" w:rsidRDefault="004C107A" w:rsidP="004C107A">
            <w:pPr>
              <w:pStyle w:val="Personnequisigne"/>
              <w:numPr>
                <w:ilvl w:val="0"/>
                <w:numId w:val="31"/>
              </w:numPr>
              <w:jc w:val="both"/>
              <w:rPr>
                <w:i w:val="0"/>
                <w:noProof/>
                <w:sz w:val="22"/>
              </w:rPr>
            </w:pPr>
            <w:r w:rsidRPr="00D42A18">
              <w:rPr>
                <w:i w:val="0"/>
                <w:noProof/>
                <w:sz w:val="22"/>
              </w:rPr>
              <w:t xml:space="preserve">Vsi upravičenci so se v prijavi operacije zavezali k upoštevanju vseh zavez, ki jih določa Uredba 2021/1060/EU, o katerih bodo poročali OU v zahtevkih za povračilo. </w:t>
            </w:r>
          </w:p>
          <w:p w14:paraId="006AECA2" w14:textId="77777777" w:rsidR="004C107A" w:rsidRPr="00D42A18" w:rsidRDefault="004C107A" w:rsidP="004C107A">
            <w:pPr>
              <w:pStyle w:val="Odstavekseznama"/>
              <w:numPr>
                <w:ilvl w:val="0"/>
                <w:numId w:val="31"/>
              </w:numPr>
              <w:tabs>
                <w:tab w:val="left" w:pos="4252"/>
              </w:tabs>
              <w:autoSpaceDE w:val="0"/>
              <w:autoSpaceDN w:val="0"/>
              <w:adjustRightInd w:val="0"/>
              <w:spacing w:before="0" w:after="0"/>
              <w:rPr>
                <w:sz w:val="22"/>
              </w:rPr>
            </w:pPr>
            <w:r w:rsidRPr="00D42A18">
              <w:rPr>
                <w:sz w:val="22"/>
              </w:rPr>
              <w:t>Zagotovilo, da odločitve o podpori za financiranje operacije vključujejo dikcijo, da se EU podeli brezplačna, neizključna in nepreklicna licenca za rabo komunikacijskega gradiva ter morebitne pripadajoče predhodno obstoječe pravice.</w:t>
            </w:r>
          </w:p>
          <w:p w14:paraId="2104BD39" w14:textId="77777777" w:rsidR="004C107A" w:rsidRPr="00D42A18" w:rsidRDefault="004C107A" w:rsidP="004C107A">
            <w:pPr>
              <w:pStyle w:val="Odstavekseznama"/>
              <w:numPr>
                <w:ilvl w:val="0"/>
                <w:numId w:val="31"/>
              </w:numPr>
              <w:tabs>
                <w:tab w:val="left" w:pos="4252"/>
              </w:tabs>
              <w:autoSpaceDE w:val="0"/>
              <w:autoSpaceDN w:val="0"/>
              <w:adjustRightInd w:val="0"/>
              <w:spacing w:before="0" w:after="0"/>
              <w:rPr>
                <w:sz w:val="22"/>
              </w:rPr>
            </w:pPr>
            <w:r w:rsidRPr="00D42A18">
              <w:rPr>
                <w:sz w:val="22"/>
              </w:rPr>
              <w:t xml:space="preserve">Nudenje podpore upravičencem za pravilno izvajanje aktivnosti na področju prepoznavnosti, preglednosti in komuniciranja. OU je izvedel </w:t>
            </w:r>
            <w:r>
              <w:rPr>
                <w:sz w:val="22"/>
              </w:rPr>
              <w:t>pet</w:t>
            </w:r>
            <w:r w:rsidRPr="00871BD0">
              <w:rPr>
                <w:sz w:val="22"/>
              </w:rPr>
              <w:t xml:space="preserve"> delavnic za upravičence</w:t>
            </w:r>
            <w:r w:rsidRPr="00D42A18">
              <w:rPr>
                <w:sz w:val="22"/>
              </w:rPr>
              <w:t xml:space="preserve">, </w:t>
            </w:r>
            <w:r>
              <w:rPr>
                <w:sz w:val="22"/>
              </w:rPr>
              <w:t>od tega dve</w:t>
            </w:r>
            <w:r w:rsidRPr="00D42A18">
              <w:rPr>
                <w:sz w:val="22"/>
              </w:rPr>
              <w:t xml:space="preserve"> splošni za vse upravičence ter </w:t>
            </w:r>
            <w:r>
              <w:rPr>
                <w:sz w:val="22"/>
              </w:rPr>
              <w:t>tri</w:t>
            </w:r>
            <w:r w:rsidRPr="00D42A18">
              <w:rPr>
                <w:sz w:val="22"/>
              </w:rPr>
              <w:t xml:space="preserve"> specifične - </w:t>
            </w:r>
            <w:r>
              <w:rPr>
                <w:sz w:val="22"/>
              </w:rPr>
              <w:t>namenjene</w:t>
            </w:r>
            <w:r w:rsidRPr="00D42A18">
              <w:rPr>
                <w:sz w:val="22"/>
              </w:rPr>
              <w:t xml:space="preserve"> posamezni</w:t>
            </w:r>
            <w:r>
              <w:rPr>
                <w:sz w:val="22"/>
              </w:rPr>
              <w:t>m</w:t>
            </w:r>
            <w:r w:rsidRPr="00D42A18">
              <w:rPr>
                <w:sz w:val="22"/>
              </w:rPr>
              <w:t xml:space="preserve"> upravičencem. </w:t>
            </w:r>
            <w:r w:rsidRPr="00D42A18">
              <w:rPr>
                <w:bCs/>
                <w:sz w:val="22"/>
              </w:rPr>
              <w:t>Na delavnicah so bile predstavljene novosti in zahteve, ki jih določa Uredba 2021/1060/EU za izvajanje aktivnosti na področju prepoznavnosti, preglednosti in komuniciranja 2021-2027. Namen delavnic je bil upravičence opremiti s potrebnimi znanji in veščinami pri izvedbi komunikacijskih aktivnostih, prikazati</w:t>
            </w:r>
            <w:r>
              <w:rPr>
                <w:bCs/>
                <w:sz w:val="22"/>
              </w:rPr>
              <w:t xml:space="preserve"> praktične primere dobrih praks</w:t>
            </w:r>
            <w:r w:rsidRPr="00D42A18">
              <w:rPr>
                <w:bCs/>
                <w:sz w:val="22"/>
              </w:rPr>
              <w:t xml:space="preserve"> ter uporabo »Online generatorja«.</w:t>
            </w:r>
          </w:p>
          <w:p w14:paraId="4DDBFA4A" w14:textId="77777777" w:rsidR="004C107A" w:rsidRPr="003D2118" w:rsidRDefault="004C107A" w:rsidP="004C107A">
            <w:pPr>
              <w:autoSpaceDE w:val="0"/>
              <w:autoSpaceDN w:val="0"/>
              <w:adjustRightInd w:val="0"/>
              <w:spacing w:before="0" w:after="0"/>
              <w:rPr>
                <w:color w:val="FF0000"/>
                <w:sz w:val="22"/>
              </w:rPr>
            </w:pPr>
          </w:p>
          <w:p w14:paraId="0B1DD246" w14:textId="77777777" w:rsidR="004C107A" w:rsidRPr="005D500C" w:rsidRDefault="004C107A" w:rsidP="004C107A">
            <w:pPr>
              <w:autoSpaceDE w:val="0"/>
              <w:autoSpaceDN w:val="0"/>
              <w:adjustRightInd w:val="0"/>
              <w:spacing w:before="0" w:after="0"/>
              <w:rPr>
                <w:sz w:val="22"/>
              </w:rPr>
            </w:pPr>
            <w:r w:rsidRPr="005D500C">
              <w:rPr>
                <w:sz w:val="22"/>
              </w:rPr>
              <w:t>Sodelovanje v okviru</w:t>
            </w:r>
            <w:r>
              <w:rPr>
                <w:sz w:val="22"/>
              </w:rPr>
              <w:t xml:space="preserve"> mreže</w:t>
            </w:r>
            <w:r w:rsidRPr="005D500C">
              <w:rPr>
                <w:sz w:val="22"/>
              </w:rPr>
              <w:t xml:space="preserve"> INFORM EU in INFORM SI:  </w:t>
            </w:r>
          </w:p>
          <w:p w14:paraId="12187A16" w14:textId="77777777" w:rsidR="004C107A" w:rsidRPr="00D42A18" w:rsidRDefault="004C107A" w:rsidP="004C107A">
            <w:pPr>
              <w:pStyle w:val="Odstavekseznama"/>
              <w:numPr>
                <w:ilvl w:val="0"/>
                <w:numId w:val="31"/>
              </w:numPr>
              <w:tabs>
                <w:tab w:val="left" w:pos="4252"/>
              </w:tabs>
              <w:autoSpaceDE w:val="0"/>
              <w:autoSpaceDN w:val="0"/>
              <w:adjustRightInd w:val="0"/>
              <w:spacing w:before="0" w:after="0"/>
              <w:rPr>
                <w:sz w:val="22"/>
              </w:rPr>
            </w:pPr>
            <w:r>
              <w:rPr>
                <w:sz w:val="22"/>
              </w:rPr>
              <w:t>P</w:t>
            </w:r>
            <w:r w:rsidRPr="00D42A18">
              <w:rPr>
                <w:sz w:val="22"/>
              </w:rPr>
              <w:t>osoda</w:t>
            </w:r>
            <w:r>
              <w:rPr>
                <w:sz w:val="22"/>
              </w:rPr>
              <w:t>bljanje</w:t>
            </w:r>
            <w:r w:rsidRPr="00D42A18">
              <w:rPr>
                <w:sz w:val="22"/>
              </w:rPr>
              <w:t xml:space="preserve"> imenovanja komunikatork za </w:t>
            </w:r>
            <w:r>
              <w:rPr>
                <w:sz w:val="22"/>
              </w:rPr>
              <w:t xml:space="preserve">programe AMIF, SNV in IUMV, </w:t>
            </w:r>
            <w:r w:rsidRPr="00D42A18">
              <w:rPr>
                <w:sz w:val="22"/>
              </w:rPr>
              <w:t>pristojni</w:t>
            </w:r>
            <w:r>
              <w:rPr>
                <w:sz w:val="22"/>
              </w:rPr>
              <w:t>h</w:t>
            </w:r>
            <w:r w:rsidRPr="00D42A18">
              <w:rPr>
                <w:sz w:val="22"/>
              </w:rPr>
              <w:t xml:space="preserve"> za sodelovanje z nacionalnim koordinatorjem za komuniciranje skladov EU in Evropsko komisijo v skladu z 48. členom Uredbe 2021/1060/EU.</w:t>
            </w:r>
          </w:p>
          <w:p w14:paraId="50104960" w14:textId="77777777" w:rsidR="004C107A" w:rsidRDefault="004C107A" w:rsidP="004C107A">
            <w:pPr>
              <w:numPr>
                <w:ilvl w:val="0"/>
                <w:numId w:val="31"/>
              </w:numPr>
              <w:tabs>
                <w:tab w:val="left" w:pos="4252"/>
              </w:tabs>
              <w:spacing w:before="0" w:after="0" w:line="260" w:lineRule="exact"/>
              <w:rPr>
                <w:sz w:val="22"/>
              </w:rPr>
            </w:pPr>
            <w:r>
              <w:rPr>
                <w:sz w:val="22"/>
              </w:rPr>
              <w:t xml:space="preserve">Udeležba na </w:t>
            </w:r>
            <w:hyperlink r:id="rId11" w:history="1">
              <w:r>
                <w:rPr>
                  <w:sz w:val="22"/>
                </w:rPr>
                <w:t>6. plenarnem zasedanju</w:t>
              </w:r>
              <w:r w:rsidRPr="00CB11C3">
                <w:rPr>
                  <w:sz w:val="22"/>
                </w:rPr>
                <w:t xml:space="preserve"> INFORM-EU, Hannover, Nemčija, 27-29.5.2024, »Communicating achievements and results</w:t>
              </w:r>
            </w:hyperlink>
            <w:r w:rsidRPr="00CB11C3">
              <w:rPr>
                <w:sz w:val="22"/>
              </w:rPr>
              <w:t>«</w:t>
            </w:r>
            <w:r>
              <w:rPr>
                <w:sz w:val="22"/>
              </w:rPr>
              <w:t>.</w:t>
            </w:r>
          </w:p>
          <w:p w14:paraId="1BDBC83C" w14:textId="77777777" w:rsidR="004C107A" w:rsidRPr="005D500C" w:rsidRDefault="004C107A" w:rsidP="004C107A">
            <w:pPr>
              <w:numPr>
                <w:ilvl w:val="0"/>
                <w:numId w:val="31"/>
              </w:numPr>
              <w:tabs>
                <w:tab w:val="left" w:pos="4252"/>
              </w:tabs>
              <w:spacing w:before="0" w:after="0" w:line="260" w:lineRule="exact"/>
              <w:rPr>
                <w:sz w:val="22"/>
              </w:rPr>
            </w:pPr>
            <w:r>
              <w:rPr>
                <w:sz w:val="22"/>
              </w:rPr>
              <w:t>Udeležba na 7. plenarnem zasedanju</w:t>
            </w:r>
            <w:r w:rsidRPr="005D500C">
              <w:rPr>
                <w:sz w:val="22"/>
              </w:rPr>
              <w:t xml:space="preserve"> INFORM-SI</w:t>
            </w:r>
            <w:r>
              <w:rPr>
                <w:sz w:val="22"/>
              </w:rPr>
              <w:t>, ki je potekal aprila 2024.</w:t>
            </w:r>
          </w:p>
          <w:p w14:paraId="599D6FE6" w14:textId="77777777" w:rsidR="004C107A" w:rsidRDefault="004C107A" w:rsidP="004C107A">
            <w:pPr>
              <w:autoSpaceDE w:val="0"/>
              <w:autoSpaceDN w:val="0"/>
              <w:adjustRightInd w:val="0"/>
              <w:spacing w:before="0" w:after="0"/>
              <w:rPr>
                <w:sz w:val="22"/>
              </w:rPr>
            </w:pPr>
          </w:p>
          <w:p w14:paraId="07DABD0D" w14:textId="77777777" w:rsidR="004C107A" w:rsidRPr="00D42A18" w:rsidRDefault="004C107A" w:rsidP="004C107A">
            <w:pPr>
              <w:autoSpaceDE w:val="0"/>
              <w:autoSpaceDN w:val="0"/>
              <w:adjustRightInd w:val="0"/>
              <w:spacing w:before="0" w:after="0"/>
              <w:rPr>
                <w:sz w:val="22"/>
              </w:rPr>
            </w:pPr>
            <w:r w:rsidRPr="00D42A18">
              <w:rPr>
                <w:sz w:val="22"/>
              </w:rPr>
              <w:t>Odbor za spremljanje:</w:t>
            </w:r>
          </w:p>
          <w:p w14:paraId="6D933DD0" w14:textId="77777777" w:rsidR="004C107A" w:rsidRPr="00D42A18" w:rsidRDefault="004C107A" w:rsidP="004C107A">
            <w:pPr>
              <w:numPr>
                <w:ilvl w:val="0"/>
                <w:numId w:val="31"/>
              </w:numPr>
              <w:tabs>
                <w:tab w:val="left" w:pos="4252"/>
              </w:tabs>
              <w:spacing w:before="0" w:after="0" w:line="260" w:lineRule="exact"/>
              <w:rPr>
                <w:sz w:val="22"/>
              </w:rPr>
            </w:pPr>
            <w:r w:rsidRPr="00D42A18">
              <w:rPr>
                <w:sz w:val="22"/>
              </w:rPr>
              <w:t>Seznanitev Odbora za spremljanje o izvajanju strategije komuniciranja evropske politike na področju notranjih zadev v Republiki Sloveniji za programsko obdobje 2021-2027 ter ukrepov prepoznavnosti, preglednosti in komuniciranja.</w:t>
            </w:r>
          </w:p>
          <w:p w14:paraId="44B74734" w14:textId="77777777" w:rsidR="004C107A" w:rsidRPr="00D42A18" w:rsidRDefault="004C107A" w:rsidP="004C107A">
            <w:pPr>
              <w:autoSpaceDE w:val="0"/>
              <w:autoSpaceDN w:val="0"/>
              <w:adjustRightInd w:val="0"/>
              <w:spacing w:before="0" w:after="0"/>
              <w:rPr>
                <w:b/>
                <w:sz w:val="22"/>
              </w:rPr>
            </w:pPr>
          </w:p>
          <w:p w14:paraId="46336C6F" w14:textId="596C3950" w:rsidR="004C107A" w:rsidRDefault="004C107A" w:rsidP="004C107A">
            <w:pPr>
              <w:autoSpaceDE w:val="0"/>
              <w:autoSpaceDN w:val="0"/>
              <w:adjustRightInd w:val="0"/>
              <w:spacing w:before="0" w:after="0"/>
              <w:rPr>
                <w:sz w:val="22"/>
              </w:rPr>
            </w:pPr>
            <w:r w:rsidRPr="00F97708">
              <w:rPr>
                <w:sz w:val="22"/>
              </w:rPr>
              <w:t xml:space="preserve">Dogodki: </w:t>
            </w:r>
          </w:p>
          <w:p w14:paraId="18732D51" w14:textId="77777777" w:rsidR="004C107A" w:rsidRPr="005D500C" w:rsidRDefault="004C107A" w:rsidP="004C107A">
            <w:pPr>
              <w:pStyle w:val="Odstavekseznama"/>
              <w:numPr>
                <w:ilvl w:val="0"/>
                <w:numId w:val="31"/>
              </w:numPr>
              <w:tabs>
                <w:tab w:val="left" w:pos="4252"/>
              </w:tabs>
              <w:autoSpaceDE w:val="0"/>
              <w:autoSpaceDN w:val="0"/>
              <w:adjustRightInd w:val="0"/>
              <w:spacing w:before="0" w:after="0"/>
              <w:rPr>
                <w:bCs/>
                <w:sz w:val="22"/>
              </w:rPr>
            </w:pPr>
            <w:r w:rsidRPr="005D500C">
              <w:rPr>
                <w:bCs/>
                <w:sz w:val="22"/>
              </w:rPr>
              <w:t xml:space="preserve">V okviru promocijske akcije »EU projekt, moj projekt« je </w:t>
            </w:r>
            <w:r>
              <w:rPr>
                <w:bCs/>
                <w:sz w:val="22"/>
              </w:rPr>
              <w:t xml:space="preserve">bilo </w:t>
            </w:r>
            <w:r w:rsidRPr="005D500C">
              <w:rPr>
                <w:bCs/>
                <w:sz w:val="22"/>
              </w:rPr>
              <w:t>na ravni Slovenije izbranih 20 projektov</w:t>
            </w:r>
            <w:r>
              <w:rPr>
                <w:bCs/>
                <w:sz w:val="22"/>
              </w:rPr>
              <w:t>,</w:t>
            </w:r>
            <w:r w:rsidRPr="005D500C">
              <w:rPr>
                <w:bCs/>
                <w:sz w:val="22"/>
              </w:rPr>
              <w:t xml:space="preserve"> </w:t>
            </w:r>
            <w:r>
              <w:rPr>
                <w:bCs/>
                <w:sz w:val="22"/>
              </w:rPr>
              <w:t>(so)</w:t>
            </w:r>
            <w:r w:rsidRPr="005D500C">
              <w:rPr>
                <w:bCs/>
                <w:sz w:val="22"/>
              </w:rPr>
              <w:t>financiranih iz EU sredstev. Na ravni programov AMIF, SNV in IUMV so tekle priprave na predstavitev 3 projektov</w:t>
            </w:r>
            <w:r>
              <w:rPr>
                <w:bCs/>
                <w:sz w:val="22"/>
              </w:rPr>
              <w:t>,</w:t>
            </w:r>
            <w:r w:rsidRPr="005D500C">
              <w:rPr>
                <w:bCs/>
                <w:sz w:val="22"/>
              </w:rPr>
              <w:t xml:space="preserve"> sofinanciranih z EU sredstvi</w:t>
            </w:r>
            <w:r>
              <w:rPr>
                <w:bCs/>
                <w:sz w:val="22"/>
              </w:rPr>
              <w:t xml:space="preserve"> </w:t>
            </w:r>
            <w:r>
              <w:rPr>
                <w:sz w:val="22"/>
              </w:rPr>
              <w:t xml:space="preserve">programov </w:t>
            </w:r>
            <w:r w:rsidRPr="003D2118">
              <w:rPr>
                <w:sz w:val="22"/>
              </w:rPr>
              <w:t>AMIF, SNV in IUMV</w:t>
            </w:r>
            <w:r w:rsidRPr="005D500C">
              <w:rPr>
                <w:bCs/>
                <w:sz w:val="22"/>
              </w:rPr>
              <w:t xml:space="preserve"> (</w:t>
            </w:r>
            <w:r>
              <w:rPr>
                <w:bCs/>
                <w:sz w:val="22"/>
              </w:rPr>
              <w:t>organizacija dogodka, promocije</w:t>
            </w:r>
            <w:r w:rsidRPr="005D500C">
              <w:rPr>
                <w:bCs/>
                <w:sz w:val="22"/>
              </w:rPr>
              <w:t xml:space="preserve"> preko </w:t>
            </w:r>
            <w:r>
              <w:rPr>
                <w:bCs/>
                <w:sz w:val="22"/>
              </w:rPr>
              <w:t xml:space="preserve">tiskanih medijev, </w:t>
            </w:r>
            <w:r w:rsidRPr="005D500C">
              <w:rPr>
                <w:bCs/>
                <w:sz w:val="22"/>
              </w:rPr>
              <w:t>spletnih strani</w:t>
            </w:r>
            <w:r>
              <w:rPr>
                <w:bCs/>
                <w:sz w:val="22"/>
              </w:rPr>
              <w:t xml:space="preserve">, </w:t>
            </w:r>
            <w:r w:rsidRPr="005D500C">
              <w:rPr>
                <w:bCs/>
                <w:sz w:val="22"/>
              </w:rPr>
              <w:t>družbeni</w:t>
            </w:r>
            <w:r>
              <w:rPr>
                <w:bCs/>
                <w:sz w:val="22"/>
              </w:rPr>
              <w:t>h omrežij, radijskih in tv oglasov</w:t>
            </w:r>
            <w:r w:rsidRPr="005D500C">
              <w:rPr>
                <w:bCs/>
                <w:sz w:val="22"/>
              </w:rPr>
              <w:t>):</w:t>
            </w:r>
          </w:p>
          <w:p w14:paraId="159E3766" w14:textId="77777777" w:rsidR="004C107A" w:rsidRPr="00F97708" w:rsidRDefault="004C107A" w:rsidP="004C107A">
            <w:pPr>
              <w:pStyle w:val="Odstavekseznama"/>
              <w:numPr>
                <w:ilvl w:val="1"/>
                <w:numId w:val="34"/>
              </w:numPr>
              <w:tabs>
                <w:tab w:val="left" w:pos="4252"/>
              </w:tabs>
              <w:autoSpaceDE w:val="0"/>
              <w:autoSpaceDN w:val="0"/>
              <w:adjustRightInd w:val="0"/>
              <w:spacing w:before="0" w:after="0"/>
              <w:rPr>
                <w:sz w:val="22"/>
              </w:rPr>
            </w:pPr>
            <w:r>
              <w:rPr>
                <w:sz w:val="22"/>
              </w:rPr>
              <w:t>O</w:t>
            </w:r>
            <w:r w:rsidRPr="00F97708">
              <w:rPr>
                <w:sz w:val="22"/>
              </w:rPr>
              <w:t>krepitev opreme nacionalnega forenzičnega laboratorija (ISF), 6.</w:t>
            </w:r>
            <w:r>
              <w:rPr>
                <w:sz w:val="22"/>
              </w:rPr>
              <w:t xml:space="preserve"> </w:t>
            </w:r>
            <w:r w:rsidRPr="00F97708">
              <w:rPr>
                <w:sz w:val="22"/>
              </w:rPr>
              <w:t>11.</w:t>
            </w:r>
            <w:r>
              <w:rPr>
                <w:sz w:val="22"/>
              </w:rPr>
              <w:t xml:space="preserve"> </w:t>
            </w:r>
            <w:r w:rsidRPr="00F97708">
              <w:rPr>
                <w:sz w:val="22"/>
              </w:rPr>
              <w:t>2024 v Ljubljani</w:t>
            </w:r>
          </w:p>
          <w:p w14:paraId="71BFF5A8" w14:textId="77777777" w:rsidR="004C107A" w:rsidRPr="00F97708" w:rsidRDefault="004C107A" w:rsidP="004C107A">
            <w:pPr>
              <w:pStyle w:val="Odstavekseznama"/>
              <w:numPr>
                <w:ilvl w:val="1"/>
                <w:numId w:val="34"/>
              </w:numPr>
              <w:tabs>
                <w:tab w:val="left" w:pos="4252"/>
              </w:tabs>
              <w:autoSpaceDE w:val="0"/>
              <w:autoSpaceDN w:val="0"/>
              <w:adjustRightInd w:val="0"/>
              <w:spacing w:before="0" w:after="0"/>
              <w:rPr>
                <w:sz w:val="22"/>
              </w:rPr>
            </w:pPr>
            <w:r>
              <w:rPr>
                <w:sz w:val="22"/>
              </w:rPr>
              <w:t>O</w:t>
            </w:r>
            <w:r w:rsidRPr="00F97708">
              <w:rPr>
                <w:sz w:val="22"/>
              </w:rPr>
              <w:t>krepitev opreme specialne enote policije (ISF), 15.</w:t>
            </w:r>
            <w:r>
              <w:rPr>
                <w:sz w:val="22"/>
              </w:rPr>
              <w:t xml:space="preserve"> </w:t>
            </w:r>
            <w:r w:rsidRPr="00F97708">
              <w:rPr>
                <w:sz w:val="22"/>
              </w:rPr>
              <w:t>9.</w:t>
            </w:r>
            <w:r>
              <w:rPr>
                <w:sz w:val="22"/>
              </w:rPr>
              <w:t xml:space="preserve"> </w:t>
            </w:r>
            <w:r w:rsidRPr="00F97708">
              <w:rPr>
                <w:sz w:val="22"/>
              </w:rPr>
              <w:t>2024 v Postojni</w:t>
            </w:r>
          </w:p>
          <w:p w14:paraId="6C40114F" w14:textId="77777777" w:rsidR="004C107A" w:rsidRPr="00BE65E9" w:rsidRDefault="004C107A" w:rsidP="004C107A">
            <w:pPr>
              <w:pStyle w:val="Odstavekseznama"/>
              <w:numPr>
                <w:ilvl w:val="1"/>
                <w:numId w:val="34"/>
              </w:numPr>
              <w:tabs>
                <w:tab w:val="left" w:pos="4252"/>
              </w:tabs>
              <w:autoSpaceDE w:val="0"/>
              <w:autoSpaceDN w:val="0"/>
              <w:adjustRightInd w:val="0"/>
              <w:spacing w:before="0" w:after="0"/>
              <w:rPr>
                <w:sz w:val="22"/>
              </w:rPr>
            </w:pPr>
            <w:r>
              <w:rPr>
                <w:sz w:val="22"/>
              </w:rPr>
              <w:t>N</w:t>
            </w:r>
            <w:r w:rsidRPr="00F97708">
              <w:rPr>
                <w:sz w:val="22"/>
              </w:rPr>
              <w:t>astanitev in oskrba otrok brez spremstva (AMIF), 7.</w:t>
            </w:r>
            <w:r>
              <w:rPr>
                <w:sz w:val="22"/>
              </w:rPr>
              <w:t xml:space="preserve"> </w:t>
            </w:r>
            <w:r w:rsidRPr="00F97708">
              <w:rPr>
                <w:sz w:val="22"/>
              </w:rPr>
              <w:t>9.</w:t>
            </w:r>
            <w:r>
              <w:rPr>
                <w:sz w:val="22"/>
              </w:rPr>
              <w:t xml:space="preserve"> </w:t>
            </w:r>
            <w:r w:rsidRPr="00F97708">
              <w:rPr>
                <w:sz w:val="22"/>
              </w:rPr>
              <w:t>2024 v Postojni</w:t>
            </w:r>
          </w:p>
          <w:p w14:paraId="70E4F776" w14:textId="77777777" w:rsidR="004C107A" w:rsidRPr="00BE65E9" w:rsidRDefault="004C107A" w:rsidP="004C107A">
            <w:pPr>
              <w:pStyle w:val="Odstavekseznama"/>
              <w:numPr>
                <w:ilvl w:val="0"/>
                <w:numId w:val="31"/>
              </w:numPr>
              <w:tabs>
                <w:tab w:val="left" w:pos="4252"/>
              </w:tabs>
              <w:autoSpaceDE w:val="0"/>
              <w:autoSpaceDN w:val="0"/>
              <w:adjustRightInd w:val="0"/>
              <w:spacing w:before="0" w:after="0"/>
              <w:rPr>
                <w:sz w:val="22"/>
              </w:rPr>
            </w:pPr>
            <w:r w:rsidRPr="00BE65E9">
              <w:rPr>
                <w:sz w:val="22"/>
              </w:rPr>
              <w:t>Za promocijo možnosti, ki jih ponujajo EU skladi</w:t>
            </w:r>
            <w:r>
              <w:rPr>
                <w:sz w:val="22"/>
              </w:rPr>
              <w:t>,</w:t>
            </w:r>
            <w:r w:rsidRPr="00BE65E9">
              <w:rPr>
                <w:sz w:val="22"/>
              </w:rPr>
              <w:t xml:space="preserve"> je potekalo šest Potujočih pisarn. V obdobju poročanja so potekale priprave, saj so bil</w:t>
            </w:r>
            <w:r>
              <w:rPr>
                <w:sz w:val="22"/>
              </w:rPr>
              <w:t>e</w:t>
            </w:r>
            <w:r w:rsidRPr="00BE65E9">
              <w:rPr>
                <w:sz w:val="22"/>
              </w:rPr>
              <w:t xml:space="preserve"> kar v okviru treh predstavljene možnosti za financiranje iz </w:t>
            </w:r>
            <w:r w:rsidRPr="00BE65E9">
              <w:rPr>
                <w:bCs/>
                <w:sz w:val="22"/>
              </w:rPr>
              <w:t>programov AMIF, SNV in IUMV.</w:t>
            </w:r>
          </w:p>
          <w:p w14:paraId="1AF65C23" w14:textId="77777777" w:rsidR="004C107A" w:rsidRDefault="004C107A" w:rsidP="004C107A">
            <w:pPr>
              <w:autoSpaceDE w:val="0"/>
              <w:autoSpaceDN w:val="0"/>
              <w:adjustRightInd w:val="0"/>
              <w:spacing w:before="0" w:after="0"/>
              <w:rPr>
                <w:sz w:val="22"/>
              </w:rPr>
            </w:pPr>
          </w:p>
          <w:p w14:paraId="78395E56" w14:textId="77777777" w:rsidR="004C107A" w:rsidRPr="00D42A18" w:rsidRDefault="004C107A" w:rsidP="004C107A">
            <w:pPr>
              <w:autoSpaceDE w:val="0"/>
              <w:autoSpaceDN w:val="0"/>
              <w:adjustRightInd w:val="0"/>
              <w:spacing w:before="0" w:after="0"/>
              <w:rPr>
                <w:sz w:val="22"/>
              </w:rPr>
            </w:pPr>
            <w:r>
              <w:rPr>
                <w:sz w:val="22"/>
              </w:rPr>
              <w:t>S</w:t>
            </w:r>
            <w:r w:rsidRPr="00D42A18">
              <w:rPr>
                <w:sz w:val="22"/>
              </w:rPr>
              <w:t>pletna stran:</w:t>
            </w:r>
          </w:p>
          <w:p w14:paraId="4BE50F37" w14:textId="60D17EE1" w:rsidR="004C107A" w:rsidRPr="00D42A18" w:rsidRDefault="004C107A" w:rsidP="004C107A">
            <w:pPr>
              <w:pStyle w:val="Personnequisigne"/>
              <w:numPr>
                <w:ilvl w:val="0"/>
                <w:numId w:val="31"/>
              </w:numPr>
              <w:jc w:val="both"/>
              <w:rPr>
                <w:i w:val="0"/>
                <w:noProof/>
                <w:sz w:val="22"/>
              </w:rPr>
            </w:pPr>
            <w:r w:rsidRPr="00D42A18">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w:t>
            </w:r>
            <w:r>
              <w:rPr>
                <w:i w:val="0"/>
                <w:noProof/>
                <w:sz w:val="22"/>
              </w:rPr>
              <w:t xml:space="preserve"> skladi s področja notranjih zadev.</w:t>
            </w:r>
            <w:r w:rsidRPr="00D42A18">
              <w:rPr>
                <w:i w:val="0"/>
                <w:noProof/>
                <w:sz w:val="22"/>
              </w:rPr>
              <w:t xml:space="preserve"> Enotni spletni portal bo vključeval obveznosti iz točke (b) 46. člena ter iz prvega odstavka 49. člena Uredbe 2021/1060/EU.</w:t>
            </w:r>
          </w:p>
          <w:p w14:paraId="2D858221" w14:textId="77777777" w:rsidR="004C107A" w:rsidRPr="003D2118" w:rsidRDefault="004C107A" w:rsidP="004C107A">
            <w:pPr>
              <w:autoSpaceDE w:val="0"/>
              <w:autoSpaceDN w:val="0"/>
              <w:adjustRightInd w:val="0"/>
              <w:spacing w:before="0" w:after="0"/>
              <w:rPr>
                <w:color w:val="FF0000"/>
                <w:sz w:val="22"/>
              </w:rPr>
            </w:pPr>
          </w:p>
          <w:p w14:paraId="75DDFAF6" w14:textId="77777777" w:rsidR="004C107A" w:rsidRPr="003D2118" w:rsidRDefault="004C107A" w:rsidP="004C107A">
            <w:pPr>
              <w:autoSpaceDE w:val="0"/>
              <w:autoSpaceDN w:val="0"/>
              <w:adjustRightInd w:val="0"/>
              <w:spacing w:before="0" w:after="0"/>
              <w:rPr>
                <w:sz w:val="22"/>
              </w:rPr>
            </w:pPr>
            <w:r w:rsidRPr="003D2118">
              <w:rPr>
                <w:sz w:val="22"/>
              </w:rPr>
              <w:t>Socialna omrežja:</w:t>
            </w:r>
          </w:p>
          <w:p w14:paraId="5FF19A70" w14:textId="77777777" w:rsidR="004C107A" w:rsidRDefault="004C107A" w:rsidP="004C107A">
            <w:pPr>
              <w:pStyle w:val="Odstavekseznama"/>
              <w:numPr>
                <w:ilvl w:val="0"/>
                <w:numId w:val="31"/>
              </w:numPr>
              <w:tabs>
                <w:tab w:val="left" w:pos="4252"/>
              </w:tabs>
              <w:autoSpaceDE w:val="0"/>
              <w:autoSpaceDN w:val="0"/>
              <w:adjustRightInd w:val="0"/>
              <w:spacing w:before="0" w:after="0"/>
              <w:rPr>
                <w:sz w:val="22"/>
              </w:rPr>
            </w:pPr>
            <w:r>
              <w:rPr>
                <w:sz w:val="22"/>
              </w:rPr>
              <w:t>Splošne a</w:t>
            </w:r>
            <w:r w:rsidRPr="003D2118">
              <w:rPr>
                <w:sz w:val="22"/>
              </w:rPr>
              <w:t xml:space="preserve">ktivnostih </w:t>
            </w:r>
            <w:r>
              <w:rPr>
                <w:sz w:val="22"/>
              </w:rPr>
              <w:t xml:space="preserve">OU </w:t>
            </w:r>
            <w:r w:rsidRPr="003D2118">
              <w:rPr>
                <w:sz w:val="22"/>
              </w:rPr>
              <w:t xml:space="preserve">za prepoznavnost </w:t>
            </w:r>
            <w:r>
              <w:rPr>
                <w:sz w:val="22"/>
              </w:rPr>
              <w:t xml:space="preserve">vsebin in operacij, (so)financiranih iz programov </w:t>
            </w:r>
            <w:r w:rsidRPr="003D2118">
              <w:rPr>
                <w:sz w:val="22"/>
              </w:rPr>
              <w:t xml:space="preserve">AMIF, SNV in IUMV </w:t>
            </w:r>
            <w:r>
              <w:rPr>
                <w:sz w:val="22"/>
              </w:rPr>
              <w:t xml:space="preserve">so se izvajale </w:t>
            </w:r>
            <w:r w:rsidRPr="003D2118">
              <w:rPr>
                <w:sz w:val="22"/>
              </w:rPr>
              <w:t xml:space="preserve">na Intranetu MNZ in družbenih omrežjih MNZ FB, Policija FB, </w:t>
            </w:r>
            <w:r>
              <w:rPr>
                <w:sz w:val="22"/>
              </w:rPr>
              <w:t>evropska sredstva FN, evropska sredstva Linkedin.</w:t>
            </w:r>
          </w:p>
          <w:p w14:paraId="52BEAA41" w14:textId="77777777" w:rsidR="004C107A" w:rsidRDefault="004C107A" w:rsidP="004C107A">
            <w:pPr>
              <w:pStyle w:val="Odstavekseznama"/>
              <w:numPr>
                <w:ilvl w:val="0"/>
                <w:numId w:val="31"/>
              </w:numPr>
              <w:tabs>
                <w:tab w:val="left" w:pos="4252"/>
              </w:tabs>
              <w:autoSpaceDE w:val="0"/>
              <w:autoSpaceDN w:val="0"/>
              <w:adjustRightInd w:val="0"/>
              <w:spacing w:before="0" w:after="0"/>
              <w:rPr>
                <w:sz w:val="22"/>
              </w:rPr>
            </w:pPr>
            <w:r>
              <w:rPr>
                <w:sz w:val="22"/>
              </w:rPr>
              <w:t>O</w:t>
            </w:r>
            <w:r w:rsidRPr="003D2118">
              <w:rPr>
                <w:sz w:val="22"/>
              </w:rPr>
              <w:t>bjava javnih razpisov v mesečniku Vizija kohezija</w:t>
            </w:r>
            <w:r>
              <w:rPr>
                <w:sz w:val="22"/>
              </w:rPr>
              <w:t>, poleg objav na straneh upravičencev.</w:t>
            </w:r>
          </w:p>
          <w:p w14:paraId="77966B35" w14:textId="77777777" w:rsidR="004C107A" w:rsidRPr="003D2118" w:rsidRDefault="004C107A" w:rsidP="004C107A">
            <w:pPr>
              <w:pStyle w:val="Odstavekseznama"/>
              <w:numPr>
                <w:ilvl w:val="0"/>
                <w:numId w:val="31"/>
              </w:numPr>
              <w:tabs>
                <w:tab w:val="left" w:pos="4252"/>
              </w:tabs>
              <w:autoSpaceDE w:val="0"/>
              <w:autoSpaceDN w:val="0"/>
              <w:adjustRightInd w:val="0"/>
              <w:spacing w:before="0" w:after="0"/>
              <w:rPr>
                <w:sz w:val="22"/>
              </w:rPr>
            </w:pPr>
            <w:r>
              <w:rPr>
                <w:sz w:val="22"/>
              </w:rPr>
              <w:t xml:space="preserve">Aktivnosti promocije operacij, (so)financiranih iz programov </w:t>
            </w:r>
            <w:r w:rsidRPr="003D2118">
              <w:rPr>
                <w:sz w:val="22"/>
              </w:rPr>
              <w:t xml:space="preserve">AMIF, SNV in IUMV </w:t>
            </w:r>
            <w:r>
              <w:rPr>
                <w:sz w:val="22"/>
              </w:rPr>
              <w:t>na spletnih straneh in družbenih omrežjih upravičencev.</w:t>
            </w:r>
          </w:p>
          <w:p w14:paraId="609BCA29" w14:textId="77777777" w:rsidR="004C107A" w:rsidRPr="003D2118" w:rsidRDefault="004C107A" w:rsidP="004C107A">
            <w:pPr>
              <w:pStyle w:val="Odstavekseznama"/>
              <w:numPr>
                <w:ilvl w:val="0"/>
                <w:numId w:val="31"/>
              </w:numPr>
              <w:tabs>
                <w:tab w:val="left" w:pos="4252"/>
              </w:tabs>
              <w:autoSpaceDE w:val="0"/>
              <w:autoSpaceDN w:val="0"/>
              <w:adjustRightInd w:val="0"/>
              <w:spacing w:before="0" w:after="0"/>
              <w:rPr>
                <w:sz w:val="22"/>
              </w:rPr>
            </w:pPr>
            <w:r>
              <w:rPr>
                <w:sz w:val="22"/>
              </w:rPr>
              <w:t>Vz</w:t>
            </w:r>
            <w:r w:rsidRPr="003D2118">
              <w:rPr>
                <w:sz w:val="22"/>
              </w:rPr>
              <w:t>postavitev in uporaba ključnikov #AMIF, #SNV, #ISF, #BMVI, #IUMV, #evropskasredstva, @evropskasredstva, EUSecurity, EUMigration.</w:t>
            </w:r>
          </w:p>
          <w:p w14:paraId="27DF89BB" w14:textId="7FB1DD31" w:rsidR="004C107A" w:rsidRPr="004C107A" w:rsidRDefault="004C107A" w:rsidP="004C107A">
            <w:pPr>
              <w:pStyle w:val="Odstavekseznama"/>
              <w:numPr>
                <w:ilvl w:val="0"/>
                <w:numId w:val="31"/>
              </w:numPr>
              <w:tabs>
                <w:tab w:val="left" w:pos="4252"/>
              </w:tabs>
              <w:autoSpaceDE w:val="0"/>
              <w:autoSpaceDN w:val="0"/>
              <w:adjustRightInd w:val="0"/>
              <w:spacing w:before="0" w:after="0"/>
              <w:rPr>
                <w:sz w:val="22"/>
              </w:rPr>
            </w:pPr>
            <w:r w:rsidRPr="003D2118">
              <w:rPr>
                <w:sz w:val="22"/>
              </w:rPr>
              <w:t>Dobre zgodbe projektov: posneti 3 videi in na družbenih omrežjih objavljen 1 video posnetek – operativni prikaz delovanja merilca CO2 na terenu.</w:t>
            </w:r>
          </w:p>
          <w:p w14:paraId="5C8090A6" w14:textId="77777777" w:rsidR="004C107A" w:rsidRPr="0002060E" w:rsidRDefault="004C107A" w:rsidP="00114770">
            <w:pPr>
              <w:autoSpaceDE w:val="0"/>
              <w:autoSpaceDN w:val="0"/>
              <w:adjustRightInd w:val="0"/>
              <w:spacing w:before="0" w:after="0"/>
              <w:rPr>
                <w:sz w:val="22"/>
              </w:rPr>
            </w:pPr>
          </w:p>
        </w:tc>
      </w:tr>
    </w:tbl>
    <w:p w14:paraId="044DB44F" w14:textId="77777777" w:rsidR="006A41E2" w:rsidRPr="003A1616" w:rsidRDefault="001B037F" w:rsidP="006A41E2">
      <w:pPr>
        <w:rPr>
          <w:noProof/>
          <w:sz w:val="22"/>
        </w:rPr>
      </w:pPr>
      <w:r w:rsidRPr="003A1616">
        <w:rPr>
          <w:noProof/>
          <w:sz w:val="22"/>
        </w:rPr>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6A41E2" w:rsidRPr="003A1616" w14:paraId="236B59FF" w14:textId="77777777" w:rsidTr="00E45665">
        <w:tc>
          <w:tcPr>
            <w:tcW w:w="9289" w:type="dxa"/>
          </w:tcPr>
          <w:p w14:paraId="340AF525" w14:textId="77777777" w:rsidR="006A41E2" w:rsidRPr="0002060E" w:rsidRDefault="00114770" w:rsidP="00C63931">
            <w:pPr>
              <w:pStyle w:val="Personnequisigne"/>
              <w:jc w:val="both"/>
              <w:rPr>
                <w:i w:val="0"/>
                <w:noProof/>
                <w:sz w:val="22"/>
              </w:rPr>
            </w:pPr>
            <w:r w:rsidRPr="0002060E">
              <w:rPr>
                <w:i w:val="0"/>
                <w:noProof/>
                <w:sz w:val="22"/>
              </w:rPr>
              <w:t>https://evropskasredstva.si</w:t>
            </w:r>
          </w:p>
        </w:tc>
      </w:tr>
    </w:tbl>
    <w:p w14:paraId="68683F09" w14:textId="77777777" w:rsidR="006A41E2" w:rsidRPr="003A1616" w:rsidRDefault="00C30ACF" w:rsidP="00C30ACF">
      <w:pPr>
        <w:pStyle w:val="ManualHeading1"/>
        <w:rPr>
          <w:bCs/>
          <w:noProof/>
        </w:rPr>
      </w:pPr>
      <w:r w:rsidRPr="003A1616">
        <w:t>5.</w:t>
      </w:r>
      <w:r w:rsidRPr="003A1616">
        <w:tab/>
      </w:r>
      <w:r w:rsidR="006A41E2" w:rsidRPr="003A1616">
        <w:rPr>
          <w:noProof/>
        </w:rPr>
        <w:t>Omogočitveni pogoji in horizontalna načela</w:t>
      </w:r>
    </w:p>
    <w:p w14:paraId="02472D57" w14:textId="77777777" w:rsidR="006A41E2" w:rsidRPr="003A1616" w:rsidRDefault="00C30ACF" w:rsidP="00C30ACF">
      <w:pPr>
        <w:pStyle w:val="ManualHeading2"/>
        <w:rPr>
          <w:noProof/>
        </w:rPr>
      </w:pPr>
      <w:r w:rsidRPr="003A1616">
        <w:t>5.1.</w:t>
      </w:r>
      <w:r w:rsidRPr="003A1616">
        <w:tab/>
      </w:r>
      <w:r w:rsidR="006A41E2" w:rsidRPr="003A1616">
        <w:rPr>
          <w:noProof/>
        </w:rPr>
        <w:t xml:space="preserve">Omogočitveni pogoji – člen 30(2), točka (f), Uredbe (EU) 2021/1149 </w:t>
      </w:r>
    </w:p>
    <w:p w14:paraId="7FA319C0" w14:textId="77777777" w:rsidR="006A41E2" w:rsidRPr="003A1616" w:rsidRDefault="001B037F" w:rsidP="006A41E2">
      <w:pPr>
        <w:rPr>
          <w:noProof/>
          <w:sz w:val="22"/>
        </w:rPr>
      </w:pPr>
      <w:r w:rsidRPr="003A1616">
        <w:rPr>
          <w:noProof/>
          <w:sz w:val="22"/>
        </w:rPr>
        <w:t>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w:t>
      </w:r>
    </w:p>
    <w:tbl>
      <w:tblPr>
        <w:tblStyle w:val="Tabelamrea"/>
        <w:tblW w:w="0" w:type="auto"/>
        <w:tblLook w:val="04A0" w:firstRow="1" w:lastRow="0" w:firstColumn="1" w:lastColumn="0" w:noHBand="0" w:noVBand="1"/>
      </w:tblPr>
      <w:tblGrid>
        <w:gridCol w:w="9063"/>
      </w:tblGrid>
      <w:tr w:rsidR="006A41E2" w:rsidRPr="003A1616" w14:paraId="4A37AB03" w14:textId="77777777" w:rsidTr="00E45665">
        <w:tc>
          <w:tcPr>
            <w:tcW w:w="9289" w:type="dxa"/>
          </w:tcPr>
          <w:p w14:paraId="2E45A170" w14:textId="77777777" w:rsidR="00683889" w:rsidRPr="007B6E22" w:rsidRDefault="00683889" w:rsidP="00683889">
            <w:pPr>
              <w:spacing w:before="0" w:after="160" w:line="259" w:lineRule="auto"/>
              <w:rPr>
                <w:sz w:val="22"/>
              </w:rPr>
            </w:pPr>
            <w:r w:rsidRPr="007B6E22">
              <w:rPr>
                <w:sz w:val="22"/>
              </w:rPr>
              <w:t>V obračunskem obdobju smo nadaljevali z izvajanjem aktivnosti, ki so bile usmerjene v vzpostavitev učinkovitega sistema za izpolnjevanje in uporabo omogočitvenih pogojev v nadaljnjih fazah izvajanja programa, in sicer:</w:t>
            </w:r>
          </w:p>
          <w:p w14:paraId="404F1915" w14:textId="77777777" w:rsidR="00683889" w:rsidRPr="0089697F" w:rsidRDefault="00683889" w:rsidP="00683889">
            <w:pPr>
              <w:pStyle w:val="Odstavekseznama"/>
              <w:numPr>
                <w:ilvl w:val="0"/>
                <w:numId w:val="36"/>
              </w:numPr>
              <w:spacing w:before="0" w:after="160" w:line="259" w:lineRule="auto"/>
              <w:rPr>
                <w:sz w:val="22"/>
              </w:rPr>
            </w:pPr>
            <w:r w:rsidRPr="007B6E22">
              <w:rPr>
                <w:sz w:val="22"/>
              </w:rPr>
              <w:t>Pripravili smo Postopkovnik za izvajanje Horizontalnih omogočitvenih pogojev. Postopkovnik smo predstavili upravičencem na skupni delavnici. Z vsebino postopkovnika smo na internem sestanku seznanili tudi zaposlene. Postopkovnik je zainteresirani javnosti dostopen tudi na podstraneh spletnega mesta evrospkasredstva.si, ki se nanašajo na program</w:t>
            </w:r>
            <w:r>
              <w:rPr>
                <w:sz w:val="22"/>
              </w:rPr>
              <w:t>e</w:t>
            </w:r>
            <w:r w:rsidRPr="007B6E22">
              <w:rPr>
                <w:sz w:val="22"/>
              </w:rPr>
              <w:t xml:space="preserve"> sklad</w:t>
            </w:r>
            <w:r>
              <w:rPr>
                <w:sz w:val="22"/>
              </w:rPr>
              <w:t>ov s področja notranjih zadev</w:t>
            </w:r>
            <w:r w:rsidRPr="007B6E22">
              <w:rPr>
                <w:sz w:val="22"/>
              </w:rPr>
              <w:t>.</w:t>
            </w:r>
          </w:p>
          <w:p w14:paraId="35821AD6" w14:textId="77777777" w:rsidR="00683889" w:rsidRPr="007B6E22" w:rsidRDefault="00683889" w:rsidP="00683889">
            <w:pPr>
              <w:pStyle w:val="Odstavekseznama"/>
              <w:numPr>
                <w:ilvl w:val="0"/>
                <w:numId w:val="36"/>
              </w:numPr>
              <w:spacing w:before="0" w:after="160" w:line="259" w:lineRule="auto"/>
              <w:rPr>
                <w:sz w:val="22"/>
              </w:rPr>
            </w:pPr>
            <w:r w:rsidRPr="007B6E22">
              <w:rPr>
                <w:sz w:val="22"/>
              </w:rPr>
              <w:t>S sklepom ministra je bila imenovana oseba, ki je pristojna za področje horizontalnih omogočitvenih pogojev.</w:t>
            </w:r>
          </w:p>
          <w:p w14:paraId="5B4C6646" w14:textId="77777777" w:rsidR="00683889" w:rsidRPr="007B6E22" w:rsidRDefault="00683889" w:rsidP="00683889">
            <w:pPr>
              <w:pStyle w:val="Odstavekseznama"/>
              <w:numPr>
                <w:ilvl w:val="0"/>
                <w:numId w:val="36"/>
              </w:numPr>
              <w:spacing w:before="0" w:after="160" w:line="259" w:lineRule="auto"/>
              <w:rPr>
                <w:sz w:val="22"/>
              </w:rPr>
            </w:pPr>
            <w:r w:rsidRPr="007B6E22">
              <w:rPr>
                <w:sz w:val="22"/>
              </w:rPr>
              <w:t xml:space="preserve">Pravila </w:t>
            </w:r>
            <w:r>
              <w:rPr>
                <w:sz w:val="22"/>
              </w:rPr>
              <w:t xml:space="preserve">upravičenosti </w:t>
            </w:r>
            <w:r w:rsidRPr="007B6E22">
              <w:rPr>
                <w:sz w:val="22"/>
              </w:rPr>
              <w:t>za črpanje sredstev, Navodila za izvajanje upravljalnih preverjanj in besedilo vsakokratne odločitve o podpori, smo dopolnili z vsebinami, ki se nanašajo na horizontalne om</w:t>
            </w:r>
            <w:r>
              <w:rPr>
                <w:sz w:val="22"/>
              </w:rPr>
              <w:t>o</w:t>
            </w:r>
            <w:r w:rsidRPr="007B6E22">
              <w:rPr>
                <w:sz w:val="22"/>
              </w:rPr>
              <w:t>gočitvene pogoje. Tako smo vzpostavili trdno pravno podlago, ki nam v primeru morebitnih kršitev s strani upravičencev, omogoča izvajanje korektivnih ukrepov in nudi ustrezno podlago za pravno varstvo.</w:t>
            </w:r>
          </w:p>
          <w:p w14:paraId="1CFC5FCD" w14:textId="452FED64" w:rsidR="00683889" w:rsidRPr="0089697F" w:rsidRDefault="00683889" w:rsidP="00683889">
            <w:pPr>
              <w:pStyle w:val="Odstavekseznama"/>
              <w:numPr>
                <w:ilvl w:val="0"/>
                <w:numId w:val="36"/>
              </w:numPr>
              <w:spacing w:before="0" w:after="160" w:line="259" w:lineRule="auto"/>
              <w:rPr>
                <w:sz w:val="22"/>
              </w:rPr>
            </w:pPr>
            <w:r w:rsidRPr="007B6E22">
              <w:rPr>
                <w:sz w:val="22"/>
              </w:rPr>
              <w:t>Pripravili smo obrazec za prijavo kršitev Listine EU o temeljnih pravicah in Konvencije o pravicah invalidov, ki je zainteresirani javnosti dostopen na podstraneh spletnega mesta evrospkasredstva.si, ki se nanašajo na program</w:t>
            </w:r>
            <w:r>
              <w:rPr>
                <w:sz w:val="22"/>
              </w:rPr>
              <w:t>e</w:t>
            </w:r>
            <w:r w:rsidRPr="007B6E22">
              <w:rPr>
                <w:sz w:val="22"/>
              </w:rPr>
              <w:t xml:space="preserve"> sklad</w:t>
            </w:r>
            <w:r>
              <w:rPr>
                <w:sz w:val="22"/>
              </w:rPr>
              <w:t>ov s področja notranjih zadev</w:t>
            </w:r>
            <w:r w:rsidRPr="007B6E22">
              <w:rPr>
                <w:sz w:val="22"/>
              </w:rPr>
              <w:t>.</w:t>
            </w:r>
          </w:p>
          <w:p w14:paraId="24475AD8" w14:textId="77777777" w:rsidR="00683889" w:rsidRDefault="00683889" w:rsidP="00683889">
            <w:pPr>
              <w:pStyle w:val="Odstavekseznama"/>
              <w:numPr>
                <w:ilvl w:val="0"/>
                <w:numId w:val="36"/>
              </w:numPr>
              <w:spacing w:before="0" w:after="160" w:line="259" w:lineRule="auto"/>
              <w:rPr>
                <w:sz w:val="22"/>
              </w:rPr>
            </w:pPr>
            <w:r w:rsidRPr="007B6E22">
              <w:rPr>
                <w:sz w:val="22"/>
              </w:rPr>
              <w:t xml:space="preserve">Preverjanje skladnosti z Listino EU o temeljnih pravicah ter Konvencijo o pravicah invalidov, smo vključili v kontrolo prijave operacij ter kontrolo zahtevkov za povračilo/izplačilo. Tovrstna kontrola nam omogoča, da operacije, pri katerih obstajajo dejavniki tveganja še pred izvajanjem izločimo oz. jih vsebinsko ustrezno korigiramo (preventiva) ali da zaznamo in ustrezno korigiramo ravnanja upravičenca v fazi izvajanja operacije. Veseli nas, da indicev, ki bi kazali na morebitne kršitve Listine ali Konvencije, nismo zaznali. </w:t>
            </w:r>
          </w:p>
          <w:p w14:paraId="3E43CDB7" w14:textId="43BC2795" w:rsidR="007D1ECB" w:rsidRPr="00683889" w:rsidRDefault="00683889" w:rsidP="00683889">
            <w:pPr>
              <w:pStyle w:val="Odstavekseznama"/>
              <w:numPr>
                <w:ilvl w:val="0"/>
                <w:numId w:val="36"/>
              </w:numPr>
              <w:spacing w:before="0" w:after="160" w:line="259" w:lineRule="auto"/>
              <w:rPr>
                <w:sz w:val="22"/>
              </w:rPr>
            </w:pPr>
            <w:r w:rsidRPr="00683889">
              <w:rPr>
                <w:sz w:val="22"/>
              </w:rPr>
              <w:t>Postali smo del posvetovalnega telesa ministrstva za integracijo načela enakosti spolov. To nam omogoča, da na področju enakosti spolov aktivno sodelujemo pri oblikovanju politik in izvajanju aktivnosti znotraj ministrstva in da imamo dostop do dodatnih izobraževalnih vsebin.</w:t>
            </w:r>
          </w:p>
        </w:tc>
      </w:tr>
    </w:tbl>
    <w:p w14:paraId="54A88182" w14:textId="77777777" w:rsidR="006A41E2" w:rsidRPr="003A1616" w:rsidRDefault="00C30ACF" w:rsidP="00C30ACF">
      <w:pPr>
        <w:pStyle w:val="ManualHeading2"/>
        <w:rPr>
          <w:noProof/>
        </w:rPr>
      </w:pPr>
      <w:r w:rsidRPr="003A1616">
        <w:t>5.2.</w:t>
      </w:r>
      <w:r w:rsidRPr="003A1616">
        <w:tab/>
      </w:r>
      <w:r w:rsidR="0001528B" w:rsidRPr="003A1616">
        <w:rPr>
          <w:noProof/>
        </w:rPr>
        <w:t>Skladnost s horizontalnimi načeli – člen 9 Uredbe (EU) 2021/1060</w:t>
      </w:r>
    </w:p>
    <w:p w14:paraId="5F7D35E3" w14:textId="77777777" w:rsidR="006A41E2" w:rsidRPr="003A1616" w:rsidRDefault="001B037F" w:rsidP="006A41E2">
      <w:pPr>
        <w:rPr>
          <w:noProof/>
          <w:sz w:val="22"/>
        </w:rPr>
      </w:pPr>
      <w:r w:rsidRPr="003A1616">
        <w:rPr>
          <w:noProof/>
          <w:sz w:val="22"/>
        </w:rPr>
        <w:t>Opišite, kako ste med obračunskim letom zagotovili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6A41E2" w:rsidRPr="003A1616" w14:paraId="6F7060CD" w14:textId="77777777" w:rsidTr="00E45665">
        <w:tc>
          <w:tcPr>
            <w:tcW w:w="9289" w:type="dxa"/>
          </w:tcPr>
          <w:p w14:paraId="460AC7ED" w14:textId="77777777" w:rsidR="00683889" w:rsidRPr="007B6E22" w:rsidRDefault="00683889" w:rsidP="00683889">
            <w:pPr>
              <w:spacing w:before="0" w:after="160" w:line="259" w:lineRule="auto"/>
              <w:rPr>
                <w:sz w:val="22"/>
              </w:rPr>
            </w:pPr>
            <w:r w:rsidRPr="007B6E22">
              <w:rPr>
                <w:sz w:val="22"/>
              </w:rPr>
              <w:t>V obračunskem obdobju smo nadaljevali z izvajanjem aktivnosti, ki so bile usmerjene v vzpostavitev učinkovitega sistema za izpolnjevanje in uporabo omogočitvenih pogojev v nadaljnjih fazah izvajanja programa, in sicer:</w:t>
            </w:r>
          </w:p>
          <w:p w14:paraId="26A4A438" w14:textId="77777777" w:rsidR="00683889" w:rsidRPr="0089697F" w:rsidRDefault="00683889" w:rsidP="00683889">
            <w:pPr>
              <w:pStyle w:val="Odstavekseznama"/>
              <w:numPr>
                <w:ilvl w:val="0"/>
                <w:numId w:val="36"/>
              </w:numPr>
              <w:spacing w:before="0" w:after="160" w:line="259" w:lineRule="auto"/>
              <w:rPr>
                <w:sz w:val="22"/>
              </w:rPr>
            </w:pPr>
            <w:r w:rsidRPr="007B6E22">
              <w:rPr>
                <w:sz w:val="22"/>
              </w:rPr>
              <w:t>Pripravili smo Postopkovnik za izvajanje Horizontalnih omogočitvenih pogojev. Postopkovnik smo predstavili upravičencem na skupni delavnici. Z vsebino postopkovnika smo na internem sestanku seznanili tudi zaposlene. Postopkovnik je zainteresirani javnosti dostopen tudi na podstraneh spletnega mesta evrospkasredstva.si, ki se nanašajo na program</w:t>
            </w:r>
            <w:r>
              <w:rPr>
                <w:sz w:val="22"/>
              </w:rPr>
              <w:t>e</w:t>
            </w:r>
            <w:r w:rsidRPr="007B6E22">
              <w:rPr>
                <w:sz w:val="22"/>
              </w:rPr>
              <w:t xml:space="preserve"> sklad</w:t>
            </w:r>
            <w:r>
              <w:rPr>
                <w:sz w:val="22"/>
              </w:rPr>
              <w:t>ov s področja notranjih zadev</w:t>
            </w:r>
            <w:r w:rsidRPr="007B6E22">
              <w:rPr>
                <w:sz w:val="22"/>
              </w:rPr>
              <w:t>.</w:t>
            </w:r>
          </w:p>
          <w:p w14:paraId="153CB903" w14:textId="77777777" w:rsidR="00683889" w:rsidRPr="007B6E22" w:rsidRDefault="00683889" w:rsidP="00683889">
            <w:pPr>
              <w:pStyle w:val="Odstavekseznama"/>
              <w:numPr>
                <w:ilvl w:val="0"/>
                <w:numId w:val="36"/>
              </w:numPr>
              <w:spacing w:before="0" w:after="160" w:line="259" w:lineRule="auto"/>
              <w:rPr>
                <w:sz w:val="22"/>
              </w:rPr>
            </w:pPr>
            <w:r w:rsidRPr="007B6E22">
              <w:rPr>
                <w:sz w:val="22"/>
              </w:rPr>
              <w:t>S sklepom ministra je bila imenovana oseba, ki je pristojna za področje horizontalnih omogočitvenih pogojev.</w:t>
            </w:r>
          </w:p>
          <w:p w14:paraId="55925233" w14:textId="77777777" w:rsidR="00683889" w:rsidRPr="007B6E22" w:rsidRDefault="00683889" w:rsidP="00683889">
            <w:pPr>
              <w:pStyle w:val="Odstavekseznama"/>
              <w:numPr>
                <w:ilvl w:val="0"/>
                <w:numId w:val="36"/>
              </w:numPr>
              <w:spacing w:before="0" w:after="160" w:line="259" w:lineRule="auto"/>
              <w:rPr>
                <w:sz w:val="22"/>
              </w:rPr>
            </w:pPr>
            <w:r w:rsidRPr="007B6E22">
              <w:rPr>
                <w:sz w:val="22"/>
              </w:rPr>
              <w:t xml:space="preserve">Pravila </w:t>
            </w:r>
            <w:r>
              <w:rPr>
                <w:sz w:val="22"/>
              </w:rPr>
              <w:t xml:space="preserve">upravičenosti </w:t>
            </w:r>
            <w:r w:rsidRPr="007B6E22">
              <w:rPr>
                <w:sz w:val="22"/>
              </w:rPr>
              <w:t>za črpanje sredstev, Navodila za izvajanje upravljalnih preverjanj in besedilo vsakokratne odločitve o podpori, smo dopolnili z vsebinami, ki se nanašajo na horizontalne om</w:t>
            </w:r>
            <w:r>
              <w:rPr>
                <w:sz w:val="22"/>
              </w:rPr>
              <w:t>o</w:t>
            </w:r>
            <w:r w:rsidRPr="007B6E22">
              <w:rPr>
                <w:sz w:val="22"/>
              </w:rPr>
              <w:t>gočitvene pogoje. Tako smo vzpostavili trdno pravno podlago, ki nam v primeru morebitnih kršitev s strani upravičencev, omogoča izvajanje korektivnih ukrepov in nudi ustrezno podlago za pravno varstvo.</w:t>
            </w:r>
          </w:p>
          <w:p w14:paraId="69684B83" w14:textId="140428C1" w:rsidR="00683889" w:rsidRPr="0089697F" w:rsidRDefault="00683889" w:rsidP="00683889">
            <w:pPr>
              <w:pStyle w:val="Odstavekseznama"/>
              <w:numPr>
                <w:ilvl w:val="0"/>
                <w:numId w:val="36"/>
              </w:numPr>
              <w:spacing w:before="0" w:after="160" w:line="259" w:lineRule="auto"/>
              <w:rPr>
                <w:sz w:val="22"/>
              </w:rPr>
            </w:pPr>
            <w:r w:rsidRPr="007B6E22">
              <w:rPr>
                <w:sz w:val="22"/>
              </w:rPr>
              <w:t>Pripravili smo obrazec za prijavo kršitev Listine EU o temeljnih pravicah in Konvencije o pravicah invalidov, ki je zainteresirani javnosti dostopen na podstraneh spletnega mesta evrospkasredstva.si, ki se nanašajo na program</w:t>
            </w:r>
            <w:r>
              <w:rPr>
                <w:sz w:val="22"/>
              </w:rPr>
              <w:t>e</w:t>
            </w:r>
            <w:r w:rsidRPr="007B6E22">
              <w:rPr>
                <w:sz w:val="22"/>
              </w:rPr>
              <w:t xml:space="preserve"> sklad</w:t>
            </w:r>
            <w:r>
              <w:rPr>
                <w:sz w:val="22"/>
              </w:rPr>
              <w:t>ov s področja notranjih zadev</w:t>
            </w:r>
            <w:r w:rsidRPr="007B6E22">
              <w:rPr>
                <w:sz w:val="22"/>
              </w:rPr>
              <w:t>.</w:t>
            </w:r>
          </w:p>
          <w:p w14:paraId="6125CA63" w14:textId="02FF556E" w:rsidR="00683889" w:rsidRDefault="00683889" w:rsidP="00683889">
            <w:pPr>
              <w:pStyle w:val="Odstavekseznama"/>
              <w:numPr>
                <w:ilvl w:val="0"/>
                <w:numId w:val="36"/>
              </w:numPr>
              <w:spacing w:before="0" w:after="160" w:line="259" w:lineRule="auto"/>
              <w:rPr>
                <w:sz w:val="22"/>
              </w:rPr>
            </w:pPr>
            <w:r w:rsidRPr="007B6E22">
              <w:rPr>
                <w:sz w:val="22"/>
              </w:rPr>
              <w:t xml:space="preserve">Preverjanje skladnosti z Listino EU o temeljnih pravicah ter Konvencijo o pravicah invalidov, smo vključili v kontrolo prijave operacij ter kontrolo zahtevkov za povračilo/izplačilo. Tovrstna kontrola nam omogoča, da operacije, pri katerih obstajajo dejavniki tveganja še pred izvajanjem izločimo oz. jih vsebinsko ustrezno korigiramo (preventiva) ali da zaznamo in ustrezno korigiramo ravnanja upravičenca v fazi izvajanja operacije. Veseli nas, da indicev, ki bi kazali na morebitne kršitve Listine ali Konvencije, nismo zaznali. </w:t>
            </w:r>
          </w:p>
          <w:p w14:paraId="0747FAE2" w14:textId="7FAF8688" w:rsidR="007D1ECB" w:rsidRPr="00683889" w:rsidRDefault="00683889" w:rsidP="00683889">
            <w:pPr>
              <w:pStyle w:val="Odstavekseznama"/>
              <w:numPr>
                <w:ilvl w:val="0"/>
                <w:numId w:val="36"/>
              </w:numPr>
              <w:spacing w:before="0" w:after="160" w:line="259" w:lineRule="auto"/>
              <w:rPr>
                <w:sz w:val="22"/>
              </w:rPr>
            </w:pPr>
            <w:r w:rsidRPr="00683889">
              <w:rPr>
                <w:sz w:val="22"/>
              </w:rPr>
              <w:t>Postali smo del posvetovalnega telesa ministrstva za integracijo načela enakosti spolov. To nam omogoča, da na področju enakosti spolov aktivno sodelujemo pri oblikovanju politik in izvajanju aktivnosti znotraj ministrstva in da imamo dostop do dodatnih izobraževalnih vsebin.</w:t>
            </w:r>
          </w:p>
        </w:tc>
      </w:tr>
    </w:tbl>
    <w:p w14:paraId="453E9B39" w14:textId="77777777" w:rsidR="006A41E2" w:rsidRPr="003A1616" w:rsidRDefault="00C30ACF" w:rsidP="00C30ACF">
      <w:pPr>
        <w:pStyle w:val="ManualHeading1"/>
        <w:rPr>
          <w:noProof/>
        </w:rPr>
      </w:pPr>
      <w:r w:rsidRPr="003A1616">
        <w:t>6.</w:t>
      </w:r>
      <w:r w:rsidRPr="003A1616">
        <w:tab/>
      </w:r>
      <w:r w:rsidR="006A41E2" w:rsidRPr="003A1616">
        <w:rPr>
          <w:noProof/>
        </w:rPr>
        <w:t>Projekti v tretjih državah ali v zvezi z njimi – člen 30(2), točka (g), Uredbe (EU) 2021/1149</w:t>
      </w:r>
    </w:p>
    <w:p w14:paraId="0DD5B233" w14:textId="77777777" w:rsidR="006A41E2" w:rsidRPr="003A1616" w:rsidRDefault="001B037F" w:rsidP="006A41E2">
      <w:pPr>
        <w:rPr>
          <w:noProof/>
          <w:sz w:val="22"/>
        </w:rPr>
      </w:pPr>
      <w:r w:rsidRPr="003A1616">
        <w:rPr>
          <w:noProof/>
          <w:sz w:val="22"/>
        </w:rPr>
        <w:t xml:space="preserve">Opišite vse ukrepe, ki se med obračunskim letom izvajajo v tretjih državah ali v zvezi z njimi, in kako ti ukrepi ustvarjajo dodano vrednost Unije pri doseganju ciljev, ki jih je določil Sklad. Navedite imena zadevnih tretjih držav. Če je ustrezno, navedite posvetovanja s Komisijo, ki so potekala pred odobritvijo projekta (člen 13(11) Uredbe (EU) 2021/1149). </w:t>
      </w:r>
    </w:p>
    <w:tbl>
      <w:tblPr>
        <w:tblStyle w:val="Tabelamrea"/>
        <w:tblW w:w="0" w:type="auto"/>
        <w:tblLook w:val="04A0" w:firstRow="1" w:lastRow="0" w:firstColumn="1" w:lastColumn="0" w:noHBand="0" w:noVBand="1"/>
      </w:tblPr>
      <w:tblGrid>
        <w:gridCol w:w="9063"/>
      </w:tblGrid>
      <w:tr w:rsidR="006A41E2" w:rsidRPr="003A1616" w14:paraId="68AD6FC3" w14:textId="77777777" w:rsidTr="00E45665">
        <w:tc>
          <w:tcPr>
            <w:tcW w:w="9289" w:type="dxa"/>
          </w:tcPr>
          <w:p w14:paraId="5A2215DC" w14:textId="77777777" w:rsidR="006A41E2" w:rsidRPr="003A1616" w:rsidRDefault="00F64323" w:rsidP="00F64323">
            <w:pPr>
              <w:pStyle w:val="Personnequisigne"/>
              <w:jc w:val="both"/>
              <w:rPr>
                <w:noProof/>
              </w:rPr>
            </w:pPr>
            <w:r w:rsidRPr="003A1616">
              <w:rPr>
                <w:i w:val="0"/>
                <w:noProof/>
                <w:sz w:val="22"/>
              </w:rPr>
              <w:t>Slovenija v tem obračunskem obdobju ni izvajala ukrepov ali operacij v tretjih državah ali v zvezi z njimi.</w:t>
            </w:r>
          </w:p>
        </w:tc>
      </w:tr>
    </w:tbl>
    <w:p w14:paraId="60A579AF" w14:textId="77777777" w:rsidR="006A41E2" w:rsidRPr="003A1616" w:rsidRDefault="00C30ACF" w:rsidP="00C30ACF">
      <w:pPr>
        <w:pStyle w:val="ManualHeading1"/>
        <w:rPr>
          <w:noProof/>
        </w:rPr>
      </w:pPr>
      <w:r w:rsidRPr="003A1616">
        <w:t>7.</w:t>
      </w:r>
      <w:r w:rsidRPr="003A1616">
        <w:tab/>
      </w:r>
      <w:r w:rsidR="006A41E2" w:rsidRPr="003A1616">
        <w:rPr>
          <w:noProof/>
        </w:rPr>
        <w:t>Povzetek – člen 30(2) Uredbe (EU) 2021/1149</w:t>
      </w:r>
    </w:p>
    <w:p w14:paraId="473A135A" w14:textId="77777777" w:rsidR="006A41E2" w:rsidRPr="003A1616" w:rsidRDefault="00093D5B" w:rsidP="006A41E2">
      <w:pPr>
        <w:rPr>
          <w:noProof/>
          <w:sz w:val="22"/>
        </w:rPr>
      </w:pPr>
      <w:r w:rsidRPr="003A1616">
        <w:rPr>
          <w:noProof/>
          <w:sz w:val="22"/>
        </w:rPr>
        <w:t xml:space="preserve">Predložite povzetek oddelkov 1 do 6, ki bo preveden in javno dostopen. </w:t>
      </w:r>
    </w:p>
    <w:p w14:paraId="1A05494D" w14:textId="77777777" w:rsidR="006A41E2" w:rsidRPr="003A1616" w:rsidRDefault="006A41E2" w:rsidP="006A41E2">
      <w:pPr>
        <w:rPr>
          <w:noProof/>
          <w:sz w:val="22"/>
        </w:rPr>
      </w:pPr>
      <w:r w:rsidRPr="003A1616">
        <w:rPr>
          <w:noProof/>
          <w:sz w:val="22"/>
        </w:rPr>
        <w:t xml:space="preserve">Povzetek mora zajemati vsaj vse točke iz člena 30(2) in bi moral biti po možnosti strukturiran po teh točkah. </w:t>
      </w:r>
    </w:p>
    <w:p w14:paraId="57D9CE23" w14:textId="77777777" w:rsidR="006A41E2" w:rsidRPr="003A1616" w:rsidRDefault="006A41E2" w:rsidP="008A19C4">
      <w:pPr>
        <w:rPr>
          <w:noProof/>
          <w:sz w:val="22"/>
        </w:rPr>
      </w:pPr>
      <w:r w:rsidRPr="003A1616">
        <w:rPr>
          <w:noProof/>
          <w:sz w:val="22"/>
        </w:rPr>
        <w:t xml:space="preserve">Spodbuja se uporaba alinej, krepkega besedila ali informativnih razdelkov, da lahko zainteresirani deležniki zlahka prepoznajo glavne dosežke programa in glavna vprašanja, ki vplivajo na njegovo smotrnost. </w:t>
      </w:r>
    </w:p>
    <w:tbl>
      <w:tblPr>
        <w:tblStyle w:val="Tabelamrea"/>
        <w:tblW w:w="0" w:type="auto"/>
        <w:tblLook w:val="04A0" w:firstRow="1" w:lastRow="0" w:firstColumn="1" w:lastColumn="0" w:noHBand="0" w:noVBand="1"/>
      </w:tblPr>
      <w:tblGrid>
        <w:gridCol w:w="9063"/>
      </w:tblGrid>
      <w:tr w:rsidR="009057F2" w:rsidRPr="009057F2" w14:paraId="3196ED77" w14:textId="77777777" w:rsidTr="00E45665">
        <w:tc>
          <w:tcPr>
            <w:tcW w:w="9289" w:type="dxa"/>
          </w:tcPr>
          <w:p w14:paraId="7255E37A" w14:textId="69D68F69" w:rsidR="007B05EF" w:rsidRPr="00683889" w:rsidRDefault="007B05EF" w:rsidP="007B05EF">
            <w:pPr>
              <w:pStyle w:val="Personnequisigne"/>
              <w:jc w:val="both"/>
              <w:rPr>
                <w:i w:val="0"/>
                <w:sz w:val="22"/>
              </w:rPr>
            </w:pPr>
            <w:r w:rsidRPr="00683889">
              <w:rPr>
                <w:b/>
                <w:i w:val="0"/>
                <w:sz w:val="22"/>
              </w:rPr>
              <w:t xml:space="preserve">1. </w:t>
            </w:r>
            <w:r w:rsidR="009057F2" w:rsidRPr="00683889">
              <w:rPr>
                <w:b/>
                <w:i w:val="0"/>
                <w:sz w:val="22"/>
              </w:rPr>
              <w:t>Smotrnost</w:t>
            </w:r>
            <w:r w:rsidR="009057F2" w:rsidRPr="00683889">
              <w:rPr>
                <w:i w:val="0"/>
                <w:sz w:val="22"/>
              </w:rPr>
              <w:t xml:space="preserve">: </w:t>
            </w:r>
          </w:p>
          <w:p w14:paraId="4F683A39" w14:textId="77777777" w:rsidR="00841C14" w:rsidRDefault="00841C14" w:rsidP="00841C14">
            <w:r>
              <w:t>Program Sklada za notranjo varnost (program SNV) je bil potrjen 24. 11. 2022, zato je Slovenija v obračunskem obdobju poročanja, tj. od 1. 7. 2023 do 30. 6. 2024, že izvajala večino aktivnosti v zvezi s programom SNV.</w:t>
            </w:r>
          </w:p>
          <w:p w14:paraId="6C8E787E" w14:textId="77777777" w:rsidR="00841C14" w:rsidRDefault="00841C14" w:rsidP="00841C14"/>
          <w:p w14:paraId="30B1672C" w14:textId="77777777" w:rsidR="00841C14" w:rsidRDefault="00841C14" w:rsidP="00841C14">
            <w:r>
              <w:t>OU je vzpostavil informacijski sistem MIGRA III, preko katerega poteka izmenjava informacij med OU in upravičenci, t.j. oddaja prijav operacij, poročanje o izvajanju operacij (zahtevki za povračilo). IT sistem se redno nadgrajuje, posodablja glede na potrebe uporabnikov ter se odpravlja morebitne napake.</w:t>
            </w:r>
          </w:p>
          <w:p w14:paraId="20CFBDF5" w14:textId="77777777" w:rsidR="00841C14" w:rsidRDefault="00841C14" w:rsidP="00841C14"/>
          <w:p w14:paraId="5CB7119B" w14:textId="77777777" w:rsidR="00841C14" w:rsidRDefault="00841C14" w:rsidP="00841C14">
            <w:r>
              <w:t>V obračunskem  obdobju je organ upravljanja (OU) dodeljeval finančna sredstva na podlagi Akcijskega načrta za program SNV (Akcijski načrt SNV), ki ga je na zaprosilo upravičencev enkrat posodobil. Glede na akcijski načrt SNV je predvideno izvajanje 35 operacij (od tega 34 neposredne dodelitve in 1 javni razpis). V obdobju poročanja se je izvajalo 27 operacij neposredne dodelitve, ostale so bile ali v pripravi s strani upravičenca ali v fazi pregleda pri OU ali pa upravičenec prijave še ni oddal. Objavljena je bil javni razpis »Nadaljevanje zaščite žrtev trgovine z ljudmi ter programa njihove reintegracije« (09/23), kjer izvajalec ni bil izbran in je bil javni razpis ponovljen (05/24).</w:t>
            </w:r>
          </w:p>
          <w:p w14:paraId="762B4A96" w14:textId="77777777" w:rsidR="00841C14" w:rsidRDefault="00841C14" w:rsidP="00841C14"/>
          <w:p w14:paraId="75D9502E" w14:textId="77777777" w:rsidR="00841C14" w:rsidRDefault="00841C14" w:rsidP="00841C14">
            <w:r>
              <w:t>V okviru Specifičnega cilja 1 so se izvajale operacije po izvedbenih ukrepih.</w:t>
            </w:r>
          </w:p>
          <w:p w14:paraId="2CE5DFEF" w14:textId="77777777" w:rsidR="00841C14" w:rsidRDefault="00841C14" w:rsidP="00841C14">
            <w:r w:rsidRPr="00B70866">
              <w:rPr>
                <w:u w:val="single"/>
              </w:rPr>
              <w:t>Izvedbeni ukrep 1a</w:t>
            </w:r>
            <w:r>
              <w:t xml:space="preserve">: Izveden je bil prenos PNR aplikacije na novo platformo CEPIS (Centralni policijski informacijski sistem). Predstavnik Policije se je udeležil strokovnega srečanja kjer je bil obravnavan nadaljnji razvoj sistema PNR. </w:t>
            </w:r>
          </w:p>
          <w:p w14:paraId="09CCAAF8" w14:textId="77777777" w:rsidR="00841C14" w:rsidRDefault="00841C14" w:rsidP="00841C14">
            <w:r>
              <w:t xml:space="preserve">Za krepitve mednarodnega sodelovanja v boju proti spolnemu izkoriščanju mladoletnikov so bile kupljene licence za testiranje predvidene centralne baze podatkov in predstavnika kriminalistične policije sta se udeležila usposabljanja za kriminaliste, ki odkrivajo in preiskujejo spletne spolne zlorabe otrok. </w:t>
            </w:r>
          </w:p>
          <w:p w14:paraId="0BC7A917" w14:textId="77777777" w:rsidR="00841C14" w:rsidRDefault="00841C14" w:rsidP="00841C14">
            <w:r>
              <w:t xml:space="preserve">Z namenom posodobitev opreme za forenzične preiskave je bil nabavljen robota za avtomatsko izolacijo DNK. </w:t>
            </w:r>
          </w:p>
          <w:p w14:paraId="05AE854A" w14:textId="77777777" w:rsidR="00841C14" w:rsidRDefault="00841C14" w:rsidP="00841C14">
            <w:r>
              <w:t>V okviru predvidenih izvedbenih ukrepov s področja poenotenja pravnega reda Unije se še ne izvajajo aktivnosti za nadgradnjo sistema za izmenjavo Prüm podatkov. Predstavniki Policije se udeležujejo sestankov in spremljajo razvoj ukrepov na ravni svetovalnih skupin in odborov EU, ki vključujejo razne vsebinske sklope znotraj PRÜM II. Postopek priprave podzakonskega akta o biometriji je v teku, vendar je zaradi prenovitve predpisov Eurodac, Prüm II, API in Screening pravna podlaga ponovno v obravnavi.</w:t>
            </w:r>
          </w:p>
          <w:p w14:paraId="133C28A0" w14:textId="77777777" w:rsidR="00841C14" w:rsidRDefault="00841C14" w:rsidP="00841C14">
            <w:r w:rsidRPr="00B70866">
              <w:rPr>
                <w:u w:val="single"/>
              </w:rPr>
              <w:t>Izvedbeni ukrep 1d</w:t>
            </w:r>
            <w:r>
              <w:t xml:space="preserve">:  Izveden je bil nakup HPLC Q TOF instrumenta.  V okviru predvidenih izvedbenih aktivnosti na področju podpore nacionalnih ukrepov se izvajajo aktivnosti usmerjene v povečanje zmogljivosti in posodobitev podatkovnega in govornega omrežja Policije ter aktivnosti usmerjene v posodobitev informacijske strojne in programske opreme Policije. </w:t>
            </w:r>
          </w:p>
          <w:p w14:paraId="05EF3335" w14:textId="77777777" w:rsidR="00841C14" w:rsidRDefault="00841C14" w:rsidP="00841C14"/>
          <w:p w14:paraId="448C2AC1" w14:textId="77777777" w:rsidR="00841C14" w:rsidRDefault="00841C14" w:rsidP="00841C14">
            <w:r>
              <w:t>V okviru Specifičnega cilja 2 so se izvajale operacije po izvedbenih ukrepih.</w:t>
            </w:r>
          </w:p>
          <w:p w14:paraId="521D911E" w14:textId="636E998F" w:rsidR="00841C14" w:rsidRDefault="00841C14" w:rsidP="00841C14">
            <w:r>
              <w:t xml:space="preserve"> </w:t>
            </w:r>
            <w:r w:rsidRPr="00B70866">
              <w:rPr>
                <w:u w:val="single"/>
              </w:rPr>
              <w:t>Izvedbeni ukrep 2a</w:t>
            </w:r>
            <w:r>
              <w:t xml:space="preserve">: Z namenom učinkovitega izvajanja prikritih preiskovalnih ukrepov je bil uspešno izveden nakup vozil za tajno delovanje in tajno opazovanje. Poleg tega so bili financirani tudi stroški najema tajnih lokacij, aktivnosti tajnega delovanja zoper člane organiziranih kriminalnih združb (vključno z navideznimi odkupi) in drugi stroški ki nastanejo pri tajnem delovanju (npr. nočitve, dnevnice). </w:t>
            </w:r>
          </w:p>
          <w:p w14:paraId="53551B9E" w14:textId="77777777" w:rsidR="00841C14" w:rsidRDefault="00841C14" w:rsidP="00841C14">
            <w:r>
              <w:t>Z namenom krepitve operativnega sodelovanja z državami Zahodnega Balkana je bila financirana udeležba na operativnih in koordinacijskih sestankih ter delovnih posvetih z tujimi varnostnimi organi. Poleg tega je bilo za potrebe odkrivanja in preiskovanja organiziranih oblik čezmejne kriminalitete (zagotavljanje ustreznega dokaznega gradiva) omogočeno pisno in ustno prevajanje in tolmačenje.</w:t>
            </w:r>
          </w:p>
          <w:p w14:paraId="03114F93" w14:textId="77777777" w:rsidR="00841C14" w:rsidRDefault="00841C14" w:rsidP="00841C14">
            <w:r w:rsidRPr="00B70866">
              <w:rPr>
                <w:u w:val="single"/>
              </w:rPr>
              <w:t>Izvedbeni ukrep 2b</w:t>
            </w:r>
            <w:r>
              <w:t>: Predstavniki Policije so sodelovali na sestankih in konferencah delovnih skupin ENFSI (npr. za digitalno sliko, preiskavo drog, orožje, sledi z rok strelca), prav tako so bili prisotni na sestankih Upravnega odbora in letne skupščine ENFSI.</w:t>
            </w:r>
          </w:p>
          <w:p w14:paraId="4A265F57" w14:textId="77777777" w:rsidR="00841C14" w:rsidRDefault="00841C14" w:rsidP="00841C14">
            <w:r w:rsidRPr="00B70866">
              <w:rPr>
                <w:u w:val="single"/>
              </w:rPr>
              <w:t>Izvedbeni ukrep 2c</w:t>
            </w:r>
            <w:r>
              <w:t xml:space="preserve">: Za aktivnosti krepitve kapacitet in izboljšanja usposobljenosti specializiranih služb so bila sredstva odobrena in upravičenec je pričel z aktivnostmi za nakup opreme. </w:t>
            </w:r>
          </w:p>
          <w:p w14:paraId="3D247B81" w14:textId="77777777" w:rsidR="00841C14" w:rsidRDefault="00841C14" w:rsidP="00841C14">
            <w:r>
              <w:t xml:space="preserve">Na področju posodobitev in širitev centrov za mednarodno policijsko sodelovanje je bila za centra CSVO Dolga vas in CPS Vrata Megvarje nabavljena oprema, ki je nadomestila že iztrošeno opremo, npr.: kuhinjska oprema, električni grelci, vzmetnice, ipd. </w:t>
            </w:r>
          </w:p>
          <w:p w14:paraId="3BA2C7C0" w14:textId="77777777" w:rsidR="00841C14" w:rsidRDefault="00841C14" w:rsidP="00841C14">
            <w:r>
              <w:t>V okviru Specifičnega cilja 3 so se izvajale operacije po izvedbenih ukrepih.</w:t>
            </w:r>
          </w:p>
          <w:p w14:paraId="6ED5D9F4" w14:textId="05F21D7D" w:rsidR="00841C14" w:rsidRDefault="00841C14" w:rsidP="00841C14">
            <w:r w:rsidRPr="00B70866">
              <w:rPr>
                <w:u w:val="single"/>
              </w:rPr>
              <w:t>Izvedbeni ukrep 3a</w:t>
            </w:r>
            <w:r>
              <w:t>: Predmet financiranja je bil oddaljen dostop do specializiranih in strokovnih vsebin kot so zakonodaja, strokovni članki, podatki o gospodarskih subjektih, zbirke sodnih odločitev; usposabljanja in izobraževanja s področja gospodarske kriminalitete, finančnih preiskav, pranja denarja in korupcije; udeležba na strokovnih srečanjih, delavnicah, seminarjih, konferencah, izmenjavah in študijskih obiskih. Organizirana sta bila tudi medresorski strokovni posvet in usposabljanje s področja okoljske kriminalitete. Z namenom izboljšanje kapacitet na področju kibernetike je bil izveden nakup 2 strežnikov, zmogljivejših računalnikov, Faradayevih vrečk in prenosnih baterij.</w:t>
            </w:r>
          </w:p>
          <w:p w14:paraId="1D17513D" w14:textId="77777777" w:rsidR="00841C14" w:rsidRDefault="00841C14" w:rsidP="00841C14">
            <w:r>
              <w:t>V okviru izvedbenih ukrepov usmerjenih v povečanje usposobljenosti so se začeli izvajati postopki za izvedbo javnih naročil za izvedbo aktivnosti obnove in nadgradnje učnih kapacitet Policijske akademije. Aktivnosti za obnove, nadgradnje in izboljšanja opremljenosti obstoječih vadbenih kapacitet za posebne policijske veščine in protiteroristično vadbo pa so načrtovane na prihodnja leta.</w:t>
            </w:r>
          </w:p>
          <w:p w14:paraId="229464B5" w14:textId="77777777" w:rsidR="00841C14" w:rsidRDefault="00841C14" w:rsidP="00841C14">
            <w:r w:rsidRPr="00B70866">
              <w:rPr>
                <w:u w:val="single"/>
              </w:rPr>
              <w:t>Izvedbeni ukrep 3b</w:t>
            </w:r>
            <w:r>
              <w:t>: Z namenom usposabljanja novo zaposlenih kriminalistov je bilo izvedeno praktično in teoretično usposabljanje t.i. kriminalistični tečaj. Organizirana so bila tudi usposabljanje za poglobitev znanja za uslužbence kriminalistične policije na področjih kot so prepovedane droge, tihotapstvo, varna vožnja, ciljno iskanje oseb. Na mednarodni ravni pa je bila financirana udeležba na strokovnem usposabljanju Europola v Haagu s področja SIENE in na temo analitičnih orodij in kapacitet ter servisa Europola.</w:t>
            </w:r>
          </w:p>
          <w:p w14:paraId="31E83B89" w14:textId="77777777" w:rsidR="00841C14" w:rsidRDefault="00841C14" w:rsidP="00841C14">
            <w:r>
              <w:t>V okviru izvedbenih ukrepov usmerjenih v oblikovanje sinergij, se ne izvajajo aktivnosti s področja preprečevanja radikalizacije in boj proti njej. Urad Vlade Republike Slovenije za oskrbo in integracijo migrantov je izvedel javno naročilo skladno z Zakonom o javnem naročanju, a je postopek padel. Postopek je bil ponovljen in teče faza izbor ponudnika. Načrtovan je začetek izvajanja v začetku 2025.</w:t>
            </w:r>
          </w:p>
          <w:p w14:paraId="3540D10F" w14:textId="77777777" w:rsidR="00841C14" w:rsidRDefault="00841C14" w:rsidP="00841C14">
            <w:r>
              <w:t>Policija je v okviru razvoja in izdelave aplikacije na področju preprečevanja radikalizacije za izdelavo ocene tveganja pri ljudeh, krajih in vsebini v zvezi z grožnjami za integracijo in nacionalno varnostjo, izvedla analizo trga in ugotovila, da aplikacija na področju preprečevanja radikalizacije za izdelavo oceno tveganja ni v skladu s slovenskim pravnim redom, zato ni primerna za uporabo in kot taka ne predstavlja več prioritete za slovensko policijo.</w:t>
            </w:r>
          </w:p>
          <w:p w14:paraId="12A10192" w14:textId="77777777" w:rsidR="00841C14" w:rsidRDefault="00841C14" w:rsidP="00841C14">
            <w:r w:rsidRPr="00B70866">
              <w:rPr>
                <w:u w:val="single"/>
              </w:rPr>
              <w:t>Izvedbeni ukrep 3c</w:t>
            </w:r>
            <w:r>
              <w:t>: Na področju zaščite žvižgačev in prič je bila financirana udeležba na strokovnih posvetih,  srečanjih in usposabljanjih, ki se vsebinsko dotikajo tega področja (npr.: psihologija, ETIAS, mednarodno sodelovanje) ter nakup osebnega vozila, ki zagotavlja učinkovito izvajanje ukrepov za ogrožene osebe, ki so vključene v program zaščite prič.</w:t>
            </w:r>
          </w:p>
          <w:p w14:paraId="45C5FEB4" w14:textId="77777777" w:rsidR="00841C14" w:rsidRDefault="00841C14" w:rsidP="00841C14">
            <w:r>
              <w:t xml:space="preserve">Zaradi zamika (ponovitev postopka za izbiro) se v obdobju poročanja se še niso izvajale aktivnosti usmerjene v zaščito žrtev trgovine z ljudmi. </w:t>
            </w:r>
          </w:p>
          <w:p w14:paraId="57C90FDD" w14:textId="77777777" w:rsidR="00841C14" w:rsidRDefault="00841C14" w:rsidP="00841C14">
            <w:r w:rsidRPr="00B70866">
              <w:rPr>
                <w:u w:val="single"/>
              </w:rPr>
              <w:t>Izvedbeni ukrep 3d</w:t>
            </w:r>
            <w:r>
              <w:t>: Izvedena je bila ekstrakcija podatkov iz evidenc zaseženih predmetov ter transformacija podatkov (čiščenje podatkov, preoblikovanje podatkov) in optimizacija v ETL procesu kot tudi prenos podatkov v podatkovno skladišče (DWH). Proces ETL za ukrepe prepovedi približevanja, za odločbe o vračanju migrantov ipd. je bil tudi izboljšan. Poleg tega so bile pripravljene nadzorne plošče za statistična poročanja in procedure za prenos letnih poročil iz novega podatkovnega skladišča.</w:t>
            </w:r>
          </w:p>
          <w:p w14:paraId="57726E45" w14:textId="77777777" w:rsidR="00841C14" w:rsidRDefault="00841C14" w:rsidP="00841C14">
            <w:r w:rsidRPr="00B70866">
              <w:rPr>
                <w:u w:val="single"/>
              </w:rPr>
              <w:t>Izvedbeni ukrep 3e</w:t>
            </w:r>
            <w:r>
              <w:t xml:space="preserve">: Na področju kritične infrastrukture je bila izvedena projektna zaposlitev namenjena izvajanju koordinacije in upravljanja projekta ter aktivnosti obveščanja in prepoznavnosti, ki so bile usmerjene v obveščanje zainteresirane javnosti o vsebinah iz področja kritične infrastrukture. Nadgradnja obstoječega programa usposabljanja za zaščito kritične infrastrukture še ni bila izvedena, so bile pa izvedene pripravljalne aktivnosti (npr.: pregled trga potencialnih zunanjih izvajalcev). </w:t>
            </w:r>
          </w:p>
          <w:p w14:paraId="5BFD36DD" w14:textId="77777777" w:rsidR="00841C14" w:rsidRDefault="00841C14" w:rsidP="00841C14">
            <w:r>
              <w:t>Druge aktivnosti na področju izvedbenega ukrepa zaščite kritične infrastrukture se ne izvajajo oziroma upravičenci še niso poročali. Zaradi neuspelih ponovljenih razpisov za projektne zaposlitve pri ukrepu kartografske podpore akterjem kriznega upravljanja in vodenja na operativni ravni in ukrepu vzpostavitve geografske podpore analitični zmogljivosti v NCKU so bili primorani spremeniti dinamiko izvajanja aktivnosti. Dodatno je bilo potrebno, zaradi prenosa sredstev aktivnosti, ki se ne bodo izvedle, s področja nadgradnje informacijskega sistema klica v sili 112 in dograditve zmogljivosti obveščanja in alarmiranja prebivalstva preko mobilnih telefonov (zaradi nujnosti sta bila izvedena s proračunskimi sredstvi brez pomoči EU) uskladiti vrednosti ostalih aktivnosti (po potrditvi nove verzije programa SNV). To je botrovalo tudi zapletom pri oblikovanju finančnega načrta, zaradi česar je pri ostalih aktivnosti tudi prišlo do zamika izvajanja, ki pa sicer ne ogroža izvedbe načrtovanih ciljev.</w:t>
            </w:r>
          </w:p>
          <w:p w14:paraId="45072F45" w14:textId="2B4CC3EA" w:rsidR="00841C14" w:rsidRDefault="00841C14" w:rsidP="00841C14">
            <w:r>
              <w:t xml:space="preserve">Zaradi poznejše potrditve programa SNV in posledično začetka izvajanja operacij pričakujemo, da bodo v nekaterih primerih zastavljeni cilji (2029) doseženi v nižjem obsegu oz. v drugih primerih v višjem obsegu. Razlog je, da so se nekatere aktivnosti izvedle z uporabo drugih virov financiranja ali pa se so se v tem času spremenile potrebe upravičenca. Novembra 2024 je bil potrjen spremenjen program SNV, kjer so razvidne prej omenjene vsebine kot tudi spremembe zaradi prenosa 5% iz programa IUMV. Menimo, da je sedaj doseganje zastavljenih ciljev bolj realno zastavljeno. </w:t>
            </w:r>
          </w:p>
          <w:p w14:paraId="72DF864C" w14:textId="7214D4B9" w:rsidR="00841C14" w:rsidRDefault="00841C14" w:rsidP="00841C14">
            <w:r>
              <w:t>V splošnem velja, da med izvajanjem operacij prihaja do zamud, ker so upravičenci šele konec 2023 in v začetku 2024 pričeli z izvedbo nekaterih postopkov za izpeljavo javnih naročil (dobava blaga in storitve) in/ali s pripravo dokumentacije za pozive za javne razpise, zato bodo pogodbe podpisane šele konec 2024 ali v začetku 2025. Poleg tega pa se je do konca 2023 koristilo še neporabljena sredstva v okviru programa ISF-P 14-20.</w:t>
            </w:r>
          </w:p>
          <w:p w14:paraId="04301377" w14:textId="77777777" w:rsidR="00841C14" w:rsidRDefault="00841C14" w:rsidP="00841C14">
            <w:r>
              <w:t>Slovenija v obračunskem obdobju poročanja ni izvajala aktivnosti operativne podpore v zvezi s programom SNV.</w:t>
            </w:r>
          </w:p>
          <w:p w14:paraId="43676777" w14:textId="77777777" w:rsidR="00841C14" w:rsidRDefault="00841C14" w:rsidP="00841C14">
            <w:r>
              <w:t>Slovenija je v obračunskem obdobju poročanja sodelovala v evropski operativni skupini (EOT) v španski regiji Costa del Sol za odkrivanje in preiskovanje organiziranih kriminalnih združb in storilcev kaznivih - tarč visoke vrednosti (HVT), ki ogrožajo varnost in blaginjo EU, v sklopu operacije odobrene na podlagi poziva ISF/2022/SA/2.2.1 - poseben ukrep  -  EMPACT. Gre za uspešno sodelovanje, saj je dosežena krepitev čezmejnega sodelovanja med pristojnimi organi za boj proti hudim in organiziranim oblikam kriminalitete, kar prispeva k doseganju ciljev programa SNV in ustvarjanju dodane vrednosti Unije. V obdobju poročanja upravičenec za navedeno operacijo, še ni zahteval povračila stroškov.</w:t>
            </w:r>
          </w:p>
          <w:p w14:paraId="6BFFDF1F" w14:textId="77777777" w:rsidR="00841C14" w:rsidRDefault="00841C14" w:rsidP="00683889">
            <w:pPr>
              <w:pStyle w:val="Tiret0"/>
              <w:numPr>
                <w:ilvl w:val="0"/>
                <w:numId w:val="0"/>
              </w:numPr>
              <w:rPr>
                <w:b/>
                <w:noProof/>
                <w:sz w:val="22"/>
              </w:rPr>
            </w:pPr>
          </w:p>
          <w:p w14:paraId="36B5AB16" w14:textId="4309DA13" w:rsidR="00683889" w:rsidRDefault="009057F2" w:rsidP="00683889">
            <w:pPr>
              <w:pStyle w:val="Tiret0"/>
              <w:numPr>
                <w:ilvl w:val="0"/>
                <w:numId w:val="0"/>
              </w:numPr>
              <w:rPr>
                <w:sz w:val="22"/>
              </w:rPr>
            </w:pPr>
            <w:r w:rsidRPr="00877F16">
              <w:rPr>
                <w:b/>
                <w:noProof/>
                <w:sz w:val="22"/>
              </w:rPr>
              <w:t>2. Dopolnjevanja:</w:t>
            </w:r>
            <w:r w:rsidRPr="00877F16">
              <w:rPr>
                <w:noProof/>
                <w:sz w:val="22"/>
              </w:rPr>
              <w:t xml:space="preserve"> </w:t>
            </w:r>
            <w:r w:rsidR="00683889" w:rsidRPr="007903DC">
              <w:rPr>
                <w:sz w:val="22"/>
              </w:rPr>
              <w:t>Slovenija je v obračunskem obdobju poročanja izvajala aktivnost</w:t>
            </w:r>
            <w:r w:rsidR="00683889">
              <w:rPr>
                <w:sz w:val="22"/>
              </w:rPr>
              <w:t>i v zvezi z ukrepi programa SNV</w:t>
            </w:r>
            <w:r w:rsidR="00683889" w:rsidRPr="007903DC">
              <w:rPr>
                <w:sz w:val="22"/>
              </w:rPr>
              <w:t xml:space="preserve">, zato v nadaljevanju poročamo o aktivnostih v zvezi z zaznavo potencialnih dopolnjevanj in sinergije. Komplementarnost se preverja v fazi izbora operacije, vzpostavili bomo tudi preverjanje v fazi izvajanja operacije (upravljalnih preverjanj) ter na sistemski ravni. OU načrtuje tudi vzpostavitev sistema izmenjave podatkov na temo komplementarnosti tudi z drugimi organi upravljanja na državni ravni. Navezali smo stike s kontaktnimi točkami ter predstavniki mrež Evropske komisije v Sloveniji, kjer pričakujemo tudi uporabne informacije na temo komplementarnosti. </w:t>
            </w:r>
          </w:p>
          <w:p w14:paraId="6E76623F" w14:textId="77777777" w:rsidR="001A2CE3" w:rsidRDefault="001A2CE3" w:rsidP="001A2CE3">
            <w:pPr>
              <w:pStyle w:val="Personnequisigne"/>
              <w:jc w:val="both"/>
              <w:rPr>
                <w:i w:val="0"/>
                <w:sz w:val="22"/>
              </w:rPr>
            </w:pPr>
            <w:r w:rsidRPr="00762258">
              <w:rPr>
                <w:i w:val="0"/>
                <w:sz w:val="22"/>
              </w:rPr>
              <w:t xml:space="preserve">Operacije v okviru </w:t>
            </w:r>
            <w:r>
              <w:rPr>
                <w:i w:val="0"/>
                <w:sz w:val="22"/>
              </w:rPr>
              <w:t xml:space="preserve">programa kot so </w:t>
            </w:r>
            <w:r w:rsidRPr="00762258">
              <w:rPr>
                <w:i w:val="0"/>
                <w:sz w:val="22"/>
              </w:rPr>
              <w:t xml:space="preserve">Okrepitev operativnega sodelovanja z </w:t>
            </w:r>
            <w:r>
              <w:rPr>
                <w:i w:val="0"/>
                <w:sz w:val="22"/>
              </w:rPr>
              <w:t>državami članicami EU in Zahodnega</w:t>
            </w:r>
            <w:r w:rsidRPr="00762258">
              <w:rPr>
                <w:i w:val="0"/>
                <w:sz w:val="22"/>
              </w:rPr>
              <w:t xml:space="preserve"> Balkana pri preprečevanju, odkrivanju in preiskovanju hudih in organiziranih oblik kriminalitete</w:t>
            </w:r>
            <w:r>
              <w:rPr>
                <w:i w:val="0"/>
                <w:sz w:val="22"/>
              </w:rPr>
              <w:t>; U</w:t>
            </w:r>
            <w:r w:rsidRPr="00762258">
              <w:rPr>
                <w:i w:val="0"/>
                <w:sz w:val="22"/>
              </w:rPr>
              <w:t>činkovito izvajanje prikritih preiskovalnih ukrepov za preiskovanje hudih in organiziranih oblik kriminalitete</w:t>
            </w:r>
            <w:r>
              <w:rPr>
                <w:i w:val="0"/>
                <w:sz w:val="22"/>
              </w:rPr>
              <w:t xml:space="preserve">; </w:t>
            </w:r>
            <w:r w:rsidRPr="00762258">
              <w:rPr>
                <w:i w:val="0"/>
                <w:sz w:val="22"/>
              </w:rPr>
              <w:t>Usposabljanje za krepitev boja proti hudim in organiziranim oblika kriminala in terorizma</w:t>
            </w:r>
            <w:r>
              <w:rPr>
                <w:i w:val="0"/>
                <w:sz w:val="22"/>
              </w:rPr>
              <w:t xml:space="preserve">; </w:t>
            </w:r>
            <w:r w:rsidRPr="00762258">
              <w:rPr>
                <w:i w:val="0"/>
                <w:sz w:val="22"/>
              </w:rPr>
              <w:t>vključujejo tudi aktivnosti za učinkovito odkrivanje in preiskovanje čezmejnih kaznivih dejanj s področja ilegalnih migracij in so komplementarni oziroma dopolnjujejo Instrument za finančno podporo za upravljanje meja in vizumsko politiko v okviru Sklada za integrirano upravljanje meja in sicer ukrep v okviru prvega specifičnega cilja »Učinkovito evropsko integrirano upravljanje meja na zunanjih mejah, ki  so osredotočeni na preprečevanje nedovoljenih prehodov meja, nezakonitega priseljevanja in čezmejnih kaznivih dejanj«.</w:t>
            </w:r>
            <w:r>
              <w:rPr>
                <w:i w:val="0"/>
                <w:sz w:val="22"/>
              </w:rPr>
              <w:t xml:space="preserve"> </w:t>
            </w:r>
          </w:p>
          <w:p w14:paraId="6C66FFB3" w14:textId="4EA40D7C" w:rsidR="001A2CE3" w:rsidRPr="008D2090" w:rsidRDefault="001A2CE3" w:rsidP="001A2CE3">
            <w:pPr>
              <w:pStyle w:val="Tiret0"/>
              <w:numPr>
                <w:ilvl w:val="0"/>
                <w:numId w:val="0"/>
              </w:numPr>
              <w:rPr>
                <w:sz w:val="22"/>
              </w:rPr>
            </w:pPr>
            <w:r w:rsidRPr="0060199D">
              <w:t>Zaznana je k</w:t>
            </w:r>
            <w:r w:rsidRPr="0060199D">
              <w:rPr>
                <w:noProof/>
                <w:sz w:val="22"/>
              </w:rPr>
              <w:t>omplementarnost</w:t>
            </w:r>
            <w:r w:rsidRPr="00026D45">
              <w:rPr>
                <w:noProof/>
                <w:sz w:val="22"/>
              </w:rPr>
              <w:t xml:space="preserve"> operacij SNV skozi katere </w:t>
            </w:r>
            <w:r>
              <w:rPr>
                <w:noProof/>
                <w:sz w:val="22"/>
              </w:rPr>
              <w:t>se razvija</w:t>
            </w:r>
            <w:r w:rsidRPr="00026D45">
              <w:rPr>
                <w:noProof/>
                <w:sz w:val="22"/>
              </w:rPr>
              <w:t xml:space="preserve"> aplikativne rešitve,</w:t>
            </w:r>
            <w:r>
              <w:rPr>
                <w:noProof/>
                <w:sz w:val="22"/>
              </w:rPr>
              <w:t xml:space="preserve"> posodablja</w:t>
            </w:r>
            <w:r w:rsidRPr="00026D45">
              <w:rPr>
                <w:noProof/>
                <w:sz w:val="22"/>
              </w:rPr>
              <w:t xml:space="preserve"> programsk</w:t>
            </w:r>
            <w:r>
              <w:rPr>
                <w:noProof/>
                <w:sz w:val="22"/>
              </w:rPr>
              <w:t>a oprema</w:t>
            </w:r>
            <w:r w:rsidRPr="00026D45">
              <w:rPr>
                <w:noProof/>
                <w:sz w:val="22"/>
              </w:rPr>
              <w:t xml:space="preserve"> in poveč</w:t>
            </w:r>
            <w:r>
              <w:rPr>
                <w:noProof/>
                <w:sz w:val="22"/>
              </w:rPr>
              <w:t>uje</w:t>
            </w:r>
            <w:r w:rsidRPr="00026D45">
              <w:rPr>
                <w:noProof/>
                <w:sz w:val="22"/>
              </w:rPr>
              <w:t xml:space="preserve"> zmogljivosti podatkovnega in govornega omrežja skozi sinergijo z razvojem, nadgradnjami in vzdrževanjem centralne </w:t>
            </w:r>
            <w:r>
              <w:rPr>
                <w:noProof/>
                <w:sz w:val="22"/>
              </w:rPr>
              <w:t>strežniške pla</w:t>
            </w:r>
            <w:r w:rsidRPr="00026D45">
              <w:rPr>
                <w:noProof/>
                <w:sz w:val="22"/>
              </w:rPr>
              <w:t xml:space="preserve">tforme CEPIS, ki se financira </w:t>
            </w:r>
            <w:r w:rsidRPr="0060199D">
              <w:rPr>
                <w:noProof/>
                <w:sz w:val="22"/>
              </w:rPr>
              <w:t>iz Načrta za okrevanje in odpornost NextGenerationEU.</w:t>
            </w:r>
          </w:p>
          <w:p w14:paraId="5368F3F3" w14:textId="08853F43" w:rsidR="000213B5" w:rsidRPr="0002060E" w:rsidRDefault="009057F2" w:rsidP="000213B5">
            <w:pPr>
              <w:rPr>
                <w:noProof/>
                <w:sz w:val="22"/>
              </w:rPr>
            </w:pPr>
            <w:r w:rsidRPr="000213B5">
              <w:rPr>
                <w:b/>
                <w:noProof/>
                <w:sz w:val="22"/>
              </w:rPr>
              <w:t>3. Izvajanje pravnega reda Unije</w:t>
            </w:r>
            <w:r w:rsidRPr="000213B5">
              <w:rPr>
                <w:noProof/>
                <w:sz w:val="22"/>
              </w:rPr>
              <w:t xml:space="preserve">: </w:t>
            </w:r>
            <w:r w:rsidR="000213B5" w:rsidRPr="0002060E">
              <w:rPr>
                <w:noProof/>
                <w:sz w:val="22"/>
              </w:rPr>
              <w:t>Vse operacije</w:t>
            </w:r>
            <w:r w:rsidR="00C67E05">
              <w:rPr>
                <w:noProof/>
                <w:sz w:val="22"/>
              </w:rPr>
              <w:t>, ki se izvaja</w:t>
            </w:r>
            <w:r w:rsidR="000213B5">
              <w:rPr>
                <w:noProof/>
                <w:sz w:val="22"/>
              </w:rPr>
              <w:t>jo</w:t>
            </w:r>
            <w:r w:rsidR="000213B5" w:rsidRPr="0002060E">
              <w:rPr>
                <w:noProof/>
                <w:sz w:val="22"/>
              </w:rPr>
              <w:t xml:space="preserve"> dosledno sledijo določilom Pogodbe o delovanju EU, Listine EU o temeljnih pravicah, Konvencije o statusu beguncev s Protokolom iz leta 1967 in Konvencije o varstvu posameznikov glede na avtomatsko obdelavo osebnih podatkov.</w:t>
            </w:r>
          </w:p>
          <w:p w14:paraId="7C63809F" w14:textId="77777777" w:rsidR="000213B5" w:rsidRPr="0002060E" w:rsidRDefault="000213B5" w:rsidP="000213B5">
            <w:pPr>
              <w:rPr>
                <w:noProof/>
                <w:sz w:val="22"/>
              </w:rPr>
            </w:pPr>
            <w:r w:rsidRPr="0002060E">
              <w:rPr>
                <w:noProof/>
                <w:sz w:val="22"/>
              </w:rPr>
              <w:t xml:space="preserve">V okviru </w:t>
            </w:r>
            <w:r w:rsidRPr="0002060E">
              <w:rPr>
                <w:b/>
                <w:noProof/>
                <w:sz w:val="22"/>
              </w:rPr>
              <w:t>Specifičnega cilja 1</w:t>
            </w:r>
            <w:r w:rsidRPr="0002060E">
              <w:rPr>
                <w:noProof/>
                <w:sz w:val="22"/>
              </w:rPr>
              <w:t xml:space="preserve"> </w:t>
            </w:r>
            <w:r>
              <w:rPr>
                <w:noProof/>
                <w:sz w:val="22"/>
              </w:rPr>
              <w:t>o</w:t>
            </w:r>
            <w:r w:rsidRPr="0002060E">
              <w:rPr>
                <w:noProof/>
                <w:sz w:val="22"/>
              </w:rPr>
              <w:t xml:space="preserve">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Prümska pogodba, Uredbe 182/2011/EU, Uredba 2016/679/EU, Uredba 2016/399/EU, Direktive 2016/681/EU, Direktive 2004/82/ES, Direktive 2011/93/EU, Okvirni sklep Sveta 2006/960/PNZ, Akcijski načrt in Strategija EU na področju drog za obdobje 2021–2025, Strategija EU za boj proti organiziranemu kriminalu za obdobje 2021–2025, Strategija EU za učinkovitejši boj proti spolni zlorabi otrok in Strategija EU za varnostno unijo.           </w:t>
            </w:r>
          </w:p>
          <w:p w14:paraId="104A61AE" w14:textId="77777777" w:rsidR="000213B5" w:rsidRPr="0002060E" w:rsidRDefault="000213B5" w:rsidP="000213B5">
            <w:pPr>
              <w:rPr>
                <w:noProof/>
                <w:sz w:val="22"/>
              </w:rPr>
            </w:pPr>
            <w:r w:rsidRPr="0002060E">
              <w:rPr>
                <w:noProof/>
                <w:sz w:val="22"/>
              </w:rPr>
              <w:t xml:space="preserve">V okviru </w:t>
            </w:r>
            <w:r w:rsidRPr="0002060E">
              <w:rPr>
                <w:b/>
                <w:noProof/>
                <w:sz w:val="22"/>
              </w:rPr>
              <w:t>Specifičnega cilja 2</w:t>
            </w:r>
            <w:r w:rsidRPr="0002060E">
              <w:rPr>
                <w:noProof/>
                <w:sz w:val="22"/>
              </w:rPr>
              <w:t xml:space="preserve"> </w:t>
            </w:r>
            <w:r>
              <w:rPr>
                <w:noProof/>
                <w:sz w:val="22"/>
              </w:rPr>
              <w:t>o</w:t>
            </w:r>
            <w:r w:rsidRPr="0002060E">
              <w:rPr>
                <w:noProof/>
                <w:sz w:val="22"/>
              </w:rPr>
              <w:t xml:space="preserve">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Sklepi Sveta o okrepitvi finančnih preiskav za boj proti hudim kaznivim dejanjem in organiziranemu kriminalu 8927/20, Okvirni sklep Sveta 2008/978/PNZ, Strategija EU za boj proti organiziranemu kriminalu za obdobje 2021–2025 in Strategija EU za varnostno unijo.           </w:t>
            </w:r>
          </w:p>
          <w:p w14:paraId="109204E4" w14:textId="77777777" w:rsidR="009057F2" w:rsidRPr="00324387" w:rsidRDefault="000213B5" w:rsidP="00AD27EF">
            <w:pPr>
              <w:rPr>
                <w:rFonts w:cs="Arial"/>
                <w:i/>
                <w:color w:val="FF0000"/>
                <w:sz w:val="22"/>
              </w:rPr>
            </w:pPr>
            <w:r w:rsidRPr="0002060E">
              <w:rPr>
                <w:noProof/>
                <w:sz w:val="22"/>
              </w:rPr>
              <w:t xml:space="preserve">V okviru </w:t>
            </w:r>
            <w:r w:rsidRPr="0002060E">
              <w:rPr>
                <w:b/>
                <w:noProof/>
                <w:sz w:val="22"/>
              </w:rPr>
              <w:t>Specifičnega cilja 3</w:t>
            </w:r>
            <w:r w:rsidRPr="0002060E">
              <w:rPr>
                <w:noProof/>
                <w:sz w:val="22"/>
              </w:rPr>
              <w:t xml:space="preserve"> </w:t>
            </w:r>
            <w:r>
              <w:rPr>
                <w:noProof/>
                <w:sz w:val="22"/>
              </w:rPr>
              <w:t>o</w:t>
            </w:r>
            <w:r w:rsidRPr="0002060E">
              <w:rPr>
                <w:noProof/>
                <w:sz w:val="22"/>
              </w:rPr>
              <w:t>peracije implementirajo določbe nacionalnega prava: Zakona o nalogah in pooblastilih policije (Uradni list RS, št. 15/13), Kazenskega zakonika (Uradni list RS, št. 50/12 in nadaljnje spremembe), Zakona o kazenskem postopku (Uradni list RS št. 176/21 in nadaljnje spremembe), Zakon o zaščiti prič (Uradni list RS, št. 81/06 in nadaljnje spremembe) in podrejenih aktov; ter določbe pravnega reda EU: Direktiva 2024/1203/EU, Direktiva 2013/40/EU, Okvirni sklep Sveta 2008/978/PNZ, Strategija EU za boj proti organiziranemu kriminalu za obdobje 2021–2025 in Strategija EU za varnostno unijo</w:t>
            </w:r>
            <w:r>
              <w:rPr>
                <w:rFonts w:cs="Arial"/>
                <w:i/>
                <w:color w:val="FF0000"/>
                <w:sz w:val="22"/>
              </w:rPr>
              <w:t>.</w:t>
            </w:r>
          </w:p>
          <w:p w14:paraId="4CD2468A" w14:textId="77777777" w:rsidR="009057F2" w:rsidRPr="00324387" w:rsidRDefault="009057F2" w:rsidP="009057F2">
            <w:pPr>
              <w:pStyle w:val="Personnequisigne"/>
              <w:jc w:val="both"/>
              <w:rPr>
                <w:b/>
                <w:i w:val="0"/>
                <w:noProof/>
                <w:color w:val="FF0000"/>
                <w:sz w:val="22"/>
              </w:rPr>
            </w:pPr>
          </w:p>
          <w:p w14:paraId="0BD5E784" w14:textId="77777777" w:rsidR="00683889" w:rsidRDefault="009057F2" w:rsidP="00683889">
            <w:pPr>
              <w:pStyle w:val="Personnequisigne"/>
              <w:jc w:val="both"/>
              <w:rPr>
                <w:i w:val="0"/>
                <w:sz w:val="22"/>
              </w:rPr>
            </w:pPr>
            <w:r w:rsidRPr="00324387">
              <w:rPr>
                <w:b/>
                <w:i w:val="0"/>
                <w:noProof/>
                <w:sz w:val="22"/>
              </w:rPr>
              <w:t>4. Komuniciranje in prepoznavnost</w:t>
            </w:r>
            <w:r w:rsidRPr="00324387">
              <w:rPr>
                <w:i w:val="0"/>
                <w:noProof/>
                <w:sz w:val="22"/>
              </w:rPr>
              <w:t xml:space="preserve">: </w:t>
            </w:r>
            <w:r w:rsidR="00683889" w:rsidRPr="002F67B6">
              <w:rPr>
                <w:i w:val="0"/>
                <w:noProof/>
                <w:sz w:val="22"/>
              </w:rPr>
              <w:t xml:space="preserve">Slovenija je v obračunskem obdobju poročanja </w:t>
            </w:r>
            <w:r w:rsidR="00683889">
              <w:rPr>
                <w:i w:val="0"/>
                <w:noProof/>
                <w:sz w:val="22"/>
              </w:rPr>
              <w:t>n</w:t>
            </w:r>
            <w:r w:rsidR="00683889" w:rsidRPr="002F67B6">
              <w:rPr>
                <w:i w:val="0"/>
              </w:rPr>
              <w:t>a področju</w:t>
            </w:r>
            <w:r w:rsidR="00683889" w:rsidRPr="002F67B6">
              <w:rPr>
                <w:i w:val="0"/>
                <w:sz w:val="22"/>
              </w:rPr>
              <w:t xml:space="preserve"> prepoznavnosti, preglednosti in komuniciranja </w:t>
            </w:r>
            <w:r w:rsidR="00683889">
              <w:rPr>
                <w:i w:val="0"/>
                <w:sz w:val="22"/>
              </w:rPr>
              <w:t>izvajala številne aktivnosti namenjene splošni, interni in zainteresirani javnosti za programe AMIF, SNV in IUMV.</w:t>
            </w:r>
          </w:p>
          <w:p w14:paraId="281F5AD1" w14:textId="77777777" w:rsidR="00683889" w:rsidRDefault="00683889" w:rsidP="00683889">
            <w:pPr>
              <w:pStyle w:val="Personnequisigne"/>
              <w:jc w:val="both"/>
              <w:rPr>
                <w:i w:val="0"/>
                <w:sz w:val="22"/>
              </w:rPr>
            </w:pPr>
          </w:p>
          <w:p w14:paraId="55EBCFAD" w14:textId="77777777" w:rsidR="00683889" w:rsidRPr="00D11FE3" w:rsidRDefault="00683889" w:rsidP="00683889">
            <w:pPr>
              <w:pStyle w:val="Personnequisigne"/>
              <w:jc w:val="both"/>
              <w:rPr>
                <w:i w:val="0"/>
                <w:sz w:val="22"/>
              </w:rPr>
            </w:pPr>
            <w:r w:rsidRPr="00D11FE3">
              <w:rPr>
                <w:i w:val="0"/>
                <w:sz w:val="22"/>
              </w:rPr>
              <w:t xml:space="preserve">Komunikacijske aktivnosti za interno javnost so potekale </w:t>
            </w:r>
            <w:r>
              <w:rPr>
                <w:i w:val="0"/>
                <w:sz w:val="22"/>
              </w:rPr>
              <w:t xml:space="preserve">predvsem </w:t>
            </w:r>
            <w:r w:rsidRPr="00D11FE3">
              <w:rPr>
                <w:i w:val="0"/>
                <w:sz w:val="22"/>
              </w:rPr>
              <w:t xml:space="preserve">v okviru poročanja </w:t>
            </w:r>
            <w:r>
              <w:rPr>
                <w:i w:val="0"/>
                <w:sz w:val="22"/>
              </w:rPr>
              <w:t>O</w:t>
            </w:r>
            <w:r w:rsidRPr="00D11FE3">
              <w:rPr>
                <w:i w:val="0"/>
                <w:sz w:val="22"/>
              </w:rPr>
              <w:t>dbor</w:t>
            </w:r>
            <w:r>
              <w:rPr>
                <w:i w:val="0"/>
                <w:sz w:val="22"/>
              </w:rPr>
              <w:t>u</w:t>
            </w:r>
            <w:r w:rsidRPr="00D11FE3">
              <w:rPr>
                <w:i w:val="0"/>
                <w:sz w:val="22"/>
              </w:rPr>
              <w:t xml:space="preserve"> za spremljanje, INFORM-SI, INFORM-EU, delavnic z</w:t>
            </w:r>
            <w:r>
              <w:rPr>
                <w:i w:val="0"/>
                <w:sz w:val="22"/>
              </w:rPr>
              <w:t>a upravičence</w:t>
            </w:r>
            <w:r w:rsidRPr="00D11FE3">
              <w:rPr>
                <w:i w:val="0"/>
                <w:sz w:val="22"/>
              </w:rPr>
              <w:t>, operativnih sestankov</w:t>
            </w:r>
            <w:r>
              <w:rPr>
                <w:i w:val="0"/>
                <w:sz w:val="22"/>
              </w:rPr>
              <w:t xml:space="preserve"> ter</w:t>
            </w:r>
            <w:r w:rsidRPr="00D11FE3">
              <w:rPr>
                <w:i w:val="0"/>
                <w:sz w:val="22"/>
              </w:rPr>
              <w:t xml:space="preserve"> preko </w:t>
            </w:r>
            <w:r>
              <w:rPr>
                <w:i w:val="0"/>
                <w:sz w:val="22"/>
              </w:rPr>
              <w:t>I</w:t>
            </w:r>
            <w:r w:rsidRPr="00D11FE3">
              <w:rPr>
                <w:i w:val="0"/>
                <w:sz w:val="22"/>
              </w:rPr>
              <w:t>ntraneta</w:t>
            </w:r>
            <w:r>
              <w:rPr>
                <w:i w:val="0"/>
                <w:sz w:val="22"/>
              </w:rPr>
              <w:t xml:space="preserve"> MNZ in </w:t>
            </w:r>
            <w:r w:rsidRPr="00D11FE3">
              <w:rPr>
                <w:i w:val="0"/>
                <w:sz w:val="22"/>
              </w:rPr>
              <w:t>Policije. Ostale aktivnosti so namenjene splošni in zainteresirani javnosti.</w:t>
            </w:r>
          </w:p>
          <w:p w14:paraId="528B1230" w14:textId="77777777" w:rsidR="00683889" w:rsidRPr="003D2118" w:rsidRDefault="00683889" w:rsidP="00683889">
            <w:pPr>
              <w:pStyle w:val="Personnequisigne"/>
              <w:jc w:val="both"/>
              <w:rPr>
                <w:sz w:val="22"/>
              </w:rPr>
            </w:pPr>
          </w:p>
          <w:p w14:paraId="3C459C52" w14:textId="77777777" w:rsidR="00683889" w:rsidRPr="00400A09" w:rsidRDefault="00683889" w:rsidP="00683889">
            <w:pPr>
              <w:autoSpaceDE w:val="0"/>
              <w:autoSpaceDN w:val="0"/>
              <w:adjustRightInd w:val="0"/>
              <w:spacing w:after="0"/>
              <w:rPr>
                <w:i/>
                <w:noProof/>
                <w:sz w:val="22"/>
              </w:rPr>
            </w:pPr>
            <w:r>
              <w:rPr>
                <w:sz w:val="22"/>
              </w:rPr>
              <w:t xml:space="preserve">Posodobljena so bila </w:t>
            </w:r>
            <w:r w:rsidRPr="00D42A18">
              <w:rPr>
                <w:sz w:val="22"/>
              </w:rPr>
              <w:t>Navodil</w:t>
            </w:r>
            <w:r>
              <w:rPr>
                <w:sz w:val="22"/>
              </w:rPr>
              <w:t xml:space="preserve">a za zagotavljanje </w:t>
            </w:r>
            <w:r w:rsidRPr="00D42A18">
              <w:rPr>
                <w:sz w:val="22"/>
              </w:rPr>
              <w:t>prepoznavnosti, preglednosti in komuniciranja evropske politike na področju notranjih zadev v programskem obdobju 2021–2027</w:t>
            </w:r>
            <w:r>
              <w:rPr>
                <w:sz w:val="22"/>
              </w:rPr>
              <w:t>. Nudena je bila podporo</w:t>
            </w:r>
            <w:r w:rsidRPr="00400A09">
              <w:rPr>
                <w:sz w:val="22"/>
              </w:rPr>
              <w:t xml:space="preserve"> upravičencem za pravilno izvajanje aktivnosti na področju prepoznavnosti</w:t>
            </w:r>
            <w:r>
              <w:rPr>
                <w:sz w:val="22"/>
              </w:rPr>
              <w:t xml:space="preserve">, preglednosti in komuniciranja, za kar je OU izvedel </w:t>
            </w:r>
            <w:r w:rsidRPr="00400A09">
              <w:rPr>
                <w:sz w:val="22"/>
              </w:rPr>
              <w:t>pet</w:t>
            </w:r>
            <w:r>
              <w:rPr>
                <w:sz w:val="22"/>
              </w:rPr>
              <w:t xml:space="preserve"> delavnic, kjer so </w:t>
            </w:r>
            <w:r>
              <w:rPr>
                <w:bCs/>
                <w:sz w:val="22"/>
              </w:rPr>
              <w:t xml:space="preserve">bile predstavljene novosti, </w:t>
            </w:r>
            <w:r w:rsidRPr="00400A09">
              <w:rPr>
                <w:bCs/>
                <w:sz w:val="22"/>
              </w:rPr>
              <w:t>zahteve</w:t>
            </w:r>
            <w:r>
              <w:rPr>
                <w:bCs/>
                <w:sz w:val="22"/>
              </w:rPr>
              <w:t>, primeri dobrih praks in uporaba</w:t>
            </w:r>
            <w:r w:rsidRPr="00400A09">
              <w:rPr>
                <w:bCs/>
                <w:sz w:val="22"/>
              </w:rPr>
              <w:t xml:space="preserve"> »Online generatorja«.</w:t>
            </w:r>
          </w:p>
          <w:p w14:paraId="558ACA4F" w14:textId="77777777" w:rsidR="00683889" w:rsidRPr="003D2118" w:rsidRDefault="00683889" w:rsidP="00683889">
            <w:pPr>
              <w:autoSpaceDE w:val="0"/>
              <w:autoSpaceDN w:val="0"/>
              <w:adjustRightInd w:val="0"/>
              <w:spacing w:before="0" w:after="0"/>
              <w:rPr>
                <w:color w:val="FF0000"/>
                <w:sz w:val="22"/>
              </w:rPr>
            </w:pPr>
          </w:p>
          <w:p w14:paraId="48800E58" w14:textId="77777777" w:rsidR="00683889" w:rsidRPr="00D42A18" w:rsidRDefault="00683889" w:rsidP="00683889">
            <w:pPr>
              <w:autoSpaceDE w:val="0"/>
              <w:autoSpaceDN w:val="0"/>
              <w:adjustRightInd w:val="0"/>
              <w:spacing w:before="0" w:after="0"/>
              <w:rPr>
                <w:sz w:val="22"/>
              </w:rPr>
            </w:pPr>
            <w:r>
              <w:rPr>
                <w:sz w:val="22"/>
              </w:rPr>
              <w:t xml:space="preserve">Potekalo je sodelovanje </w:t>
            </w:r>
            <w:r w:rsidRPr="005D500C">
              <w:rPr>
                <w:sz w:val="22"/>
              </w:rPr>
              <w:t>v okviru</w:t>
            </w:r>
            <w:r>
              <w:rPr>
                <w:sz w:val="22"/>
              </w:rPr>
              <w:t xml:space="preserve"> mreže</w:t>
            </w:r>
            <w:r w:rsidRPr="005D500C">
              <w:rPr>
                <w:sz w:val="22"/>
              </w:rPr>
              <w:t xml:space="preserve"> INFORM EU in INFORM SI</w:t>
            </w:r>
            <w:r>
              <w:rPr>
                <w:sz w:val="22"/>
              </w:rPr>
              <w:t xml:space="preserve"> ter s</w:t>
            </w:r>
            <w:r w:rsidRPr="00D42A18">
              <w:rPr>
                <w:sz w:val="22"/>
              </w:rPr>
              <w:t>eznanitev Odbora za spremljanje o izvajanju strategije komuniciranja evropske politike na področju notranjih zadev v Republiki Sloveniji za programsko obdobje 2021-2027 ter ukrepov prepoznavnosti, preglednosti in komuniciranja.</w:t>
            </w:r>
          </w:p>
          <w:p w14:paraId="73B3110B" w14:textId="77777777" w:rsidR="00683889" w:rsidRPr="00D42A18" w:rsidRDefault="00683889" w:rsidP="00683889">
            <w:pPr>
              <w:autoSpaceDE w:val="0"/>
              <w:autoSpaceDN w:val="0"/>
              <w:adjustRightInd w:val="0"/>
              <w:spacing w:before="0" w:after="0"/>
              <w:rPr>
                <w:b/>
                <w:sz w:val="22"/>
              </w:rPr>
            </w:pPr>
          </w:p>
          <w:p w14:paraId="37A1D359" w14:textId="77777777" w:rsidR="00683889" w:rsidRPr="00F97708" w:rsidRDefault="00683889" w:rsidP="00683889">
            <w:pPr>
              <w:tabs>
                <w:tab w:val="left" w:pos="4252"/>
              </w:tabs>
              <w:autoSpaceDE w:val="0"/>
              <w:autoSpaceDN w:val="0"/>
              <w:adjustRightInd w:val="0"/>
              <w:spacing w:before="0" w:after="0"/>
              <w:rPr>
                <w:sz w:val="22"/>
              </w:rPr>
            </w:pPr>
            <w:r w:rsidRPr="00400A09">
              <w:rPr>
                <w:bCs/>
                <w:sz w:val="22"/>
              </w:rPr>
              <w:t>V okviru promocijske akcije »EU projekt, moj projekt«, ki je na ravni Slovenije izbranih 20 projektov</w:t>
            </w:r>
            <w:r>
              <w:rPr>
                <w:bCs/>
                <w:sz w:val="22"/>
              </w:rPr>
              <w:t>,</w:t>
            </w:r>
            <w:r w:rsidRPr="00400A09">
              <w:rPr>
                <w:bCs/>
                <w:sz w:val="22"/>
              </w:rPr>
              <w:t xml:space="preserve"> </w:t>
            </w:r>
            <w:r>
              <w:rPr>
                <w:bCs/>
                <w:sz w:val="22"/>
              </w:rPr>
              <w:t>(so)</w:t>
            </w:r>
            <w:r w:rsidRPr="00400A09">
              <w:rPr>
                <w:bCs/>
                <w:sz w:val="22"/>
              </w:rPr>
              <w:t>financiranih iz EU sredstev. Na ravni programov AMIF, SNV in IUMV so tekle priprave na predstavitev 3 projektov</w:t>
            </w:r>
            <w:r>
              <w:rPr>
                <w:bCs/>
                <w:sz w:val="22"/>
              </w:rPr>
              <w:t>,</w:t>
            </w:r>
            <w:r w:rsidRPr="00400A09">
              <w:rPr>
                <w:bCs/>
                <w:sz w:val="22"/>
              </w:rPr>
              <w:t xml:space="preserve"> sofinanciranih z EU sredstvi </w:t>
            </w:r>
            <w:r w:rsidRPr="00400A09">
              <w:rPr>
                <w:sz w:val="22"/>
              </w:rPr>
              <w:t>programov AMIF, SNV in IUMV</w:t>
            </w:r>
            <w:r w:rsidRPr="00400A09">
              <w:rPr>
                <w:bCs/>
                <w:sz w:val="22"/>
              </w:rPr>
              <w:t xml:space="preserve"> (organizacija dogodka, promocije preko tiskanih medijev, spletnih strani, družbenih omrežij, radijski in tv oglasov</w:t>
            </w:r>
            <w:r>
              <w:rPr>
                <w:bCs/>
                <w:sz w:val="22"/>
              </w:rPr>
              <w:t>.</w:t>
            </w:r>
          </w:p>
          <w:p w14:paraId="5635DD04" w14:textId="77777777" w:rsidR="00683889" w:rsidRPr="003D2118" w:rsidRDefault="00683889" w:rsidP="00683889">
            <w:pPr>
              <w:pStyle w:val="Odstavekseznama"/>
              <w:tabs>
                <w:tab w:val="left" w:pos="4252"/>
              </w:tabs>
              <w:autoSpaceDE w:val="0"/>
              <w:autoSpaceDN w:val="0"/>
              <w:adjustRightInd w:val="0"/>
              <w:spacing w:before="0" w:after="0"/>
              <w:ind w:left="709" w:hanging="5"/>
              <w:rPr>
                <w:color w:val="000000"/>
                <w:sz w:val="22"/>
              </w:rPr>
            </w:pPr>
          </w:p>
          <w:p w14:paraId="62687512" w14:textId="01A19BA5" w:rsidR="00324387" w:rsidRDefault="00683889" w:rsidP="00683889">
            <w:pPr>
              <w:tabs>
                <w:tab w:val="left" w:pos="4252"/>
              </w:tabs>
              <w:autoSpaceDE w:val="0"/>
              <w:autoSpaceDN w:val="0"/>
              <w:adjustRightInd w:val="0"/>
              <w:spacing w:before="0" w:after="0"/>
              <w:rPr>
                <w:bCs/>
                <w:sz w:val="22"/>
              </w:rPr>
            </w:pPr>
            <w:r w:rsidRPr="00400A09">
              <w:rPr>
                <w:sz w:val="22"/>
              </w:rPr>
              <w:t xml:space="preserve">Za promocijo možnosti, ki jih ponujajo EU skladi je potekalo šest Potujočih pisarn. V obdobju poročanja so potekale priprave, saj so bili kar v okviru treh predstavljene možnosti za </w:t>
            </w:r>
            <w:r>
              <w:rPr>
                <w:sz w:val="22"/>
              </w:rPr>
              <w:t>(so)</w:t>
            </w:r>
            <w:r w:rsidRPr="00400A09">
              <w:rPr>
                <w:sz w:val="22"/>
              </w:rPr>
              <w:t xml:space="preserve">financiranje iz </w:t>
            </w:r>
            <w:r w:rsidRPr="00400A09">
              <w:rPr>
                <w:bCs/>
                <w:sz w:val="22"/>
              </w:rPr>
              <w:t>programov AMIF, SNV in IUMV.</w:t>
            </w:r>
          </w:p>
          <w:p w14:paraId="2FDCBF61" w14:textId="77777777" w:rsidR="0075603E" w:rsidRDefault="0075603E" w:rsidP="00683889">
            <w:pPr>
              <w:tabs>
                <w:tab w:val="left" w:pos="4252"/>
              </w:tabs>
              <w:autoSpaceDE w:val="0"/>
              <w:autoSpaceDN w:val="0"/>
              <w:adjustRightInd w:val="0"/>
              <w:spacing w:before="0" w:after="0"/>
              <w:rPr>
                <w:bCs/>
                <w:sz w:val="22"/>
              </w:rPr>
            </w:pPr>
          </w:p>
          <w:p w14:paraId="78E5C7A2" w14:textId="0E00546F" w:rsidR="00683889" w:rsidRPr="00D42A18" w:rsidRDefault="00683889" w:rsidP="00683889">
            <w:pPr>
              <w:pStyle w:val="Personnequisigne"/>
              <w:jc w:val="both"/>
              <w:rPr>
                <w:i w:val="0"/>
                <w:noProof/>
                <w:sz w:val="22"/>
              </w:rPr>
            </w:pPr>
            <w:r w:rsidRPr="00D42A18">
              <w:rPr>
                <w:i w:val="0"/>
                <w:noProof/>
                <w:sz w:val="22"/>
              </w:rPr>
              <w:t xml:space="preserve">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Skladom za </w:t>
            </w:r>
            <w:r w:rsidR="0075603E">
              <w:rPr>
                <w:i w:val="0"/>
                <w:noProof/>
                <w:sz w:val="22"/>
              </w:rPr>
              <w:t>notranjo varnost</w:t>
            </w:r>
            <w:r w:rsidRPr="00D42A18">
              <w:rPr>
                <w:i w:val="0"/>
                <w:noProof/>
                <w:sz w:val="22"/>
              </w:rPr>
              <w:t>. Enotni spletni portal bo vključeval obveznosti iz točke (b) 46. člena ter iz prvega odstavka 49. člena Uredbe 2021/1060/EU.</w:t>
            </w:r>
          </w:p>
          <w:p w14:paraId="22289C19" w14:textId="77777777" w:rsidR="00683889" w:rsidRPr="003D2118" w:rsidRDefault="00683889" w:rsidP="00683889">
            <w:pPr>
              <w:autoSpaceDE w:val="0"/>
              <w:autoSpaceDN w:val="0"/>
              <w:adjustRightInd w:val="0"/>
              <w:spacing w:before="0" w:after="0"/>
              <w:rPr>
                <w:color w:val="FF0000"/>
                <w:sz w:val="22"/>
              </w:rPr>
            </w:pPr>
          </w:p>
          <w:p w14:paraId="0AF92382" w14:textId="77777777" w:rsidR="00683889" w:rsidRPr="00CE274F" w:rsidRDefault="00683889" w:rsidP="00683889">
            <w:pPr>
              <w:tabs>
                <w:tab w:val="left" w:pos="4252"/>
              </w:tabs>
              <w:autoSpaceDE w:val="0"/>
              <w:autoSpaceDN w:val="0"/>
              <w:adjustRightInd w:val="0"/>
              <w:spacing w:before="0" w:after="0"/>
              <w:rPr>
                <w:sz w:val="22"/>
              </w:rPr>
            </w:pPr>
            <w:r w:rsidRPr="00400A09">
              <w:rPr>
                <w:sz w:val="22"/>
              </w:rPr>
              <w:t>Splošne aktivnostih za prepoznavnost vsebin in operacij</w:t>
            </w:r>
            <w:r>
              <w:rPr>
                <w:sz w:val="22"/>
              </w:rPr>
              <w:t>,</w:t>
            </w:r>
            <w:r w:rsidRPr="00400A09">
              <w:rPr>
                <w:sz w:val="22"/>
              </w:rPr>
              <w:t xml:space="preserve"> </w:t>
            </w:r>
            <w:r>
              <w:rPr>
                <w:sz w:val="22"/>
              </w:rPr>
              <w:t>(so)</w:t>
            </w:r>
            <w:r w:rsidRPr="00400A09">
              <w:rPr>
                <w:sz w:val="22"/>
              </w:rPr>
              <w:t>financiranih iz programov AMIF, SNV in IUMV so se izvajale na družbenih omrežjih MNZ FB, Policija FB, evropska sredstva FN, evropska sredstva Linkedin.</w:t>
            </w:r>
            <w:r>
              <w:rPr>
                <w:sz w:val="22"/>
              </w:rPr>
              <w:t xml:space="preserve"> Potekale so a</w:t>
            </w:r>
            <w:r w:rsidRPr="00CE274F">
              <w:rPr>
                <w:sz w:val="22"/>
              </w:rPr>
              <w:t>ktivnosti promocije operacij</w:t>
            </w:r>
            <w:r>
              <w:rPr>
                <w:sz w:val="22"/>
              </w:rPr>
              <w:t>,</w:t>
            </w:r>
            <w:r w:rsidRPr="00CE274F">
              <w:rPr>
                <w:sz w:val="22"/>
              </w:rPr>
              <w:t xml:space="preserve"> </w:t>
            </w:r>
            <w:r>
              <w:rPr>
                <w:sz w:val="22"/>
              </w:rPr>
              <w:t>(so)</w:t>
            </w:r>
            <w:r w:rsidRPr="00CE274F">
              <w:rPr>
                <w:sz w:val="22"/>
              </w:rPr>
              <w:t>financiranih iz programov programov AMIF, SNV in IUMV na spletnih straneh in družbenih omrežjih upravičencev</w:t>
            </w:r>
            <w:r>
              <w:rPr>
                <w:sz w:val="22"/>
              </w:rPr>
              <w:t xml:space="preserve"> ter dogodkih posameznih upravičencev</w:t>
            </w:r>
            <w:r w:rsidRPr="00CE274F">
              <w:rPr>
                <w:sz w:val="22"/>
              </w:rPr>
              <w:t>.</w:t>
            </w:r>
          </w:p>
          <w:p w14:paraId="5C600FED" w14:textId="77777777" w:rsidR="009057F2" w:rsidRPr="00324387" w:rsidRDefault="009057F2" w:rsidP="009057F2">
            <w:pPr>
              <w:pStyle w:val="Personnequisigne"/>
              <w:jc w:val="both"/>
              <w:rPr>
                <w:b/>
                <w:i w:val="0"/>
                <w:noProof/>
                <w:color w:val="FF0000"/>
                <w:sz w:val="22"/>
              </w:rPr>
            </w:pPr>
          </w:p>
          <w:p w14:paraId="6C4FCF83" w14:textId="77777777" w:rsidR="009057F2" w:rsidRPr="00324387" w:rsidRDefault="009057F2" w:rsidP="009057F2">
            <w:pPr>
              <w:pStyle w:val="Personnequisigne"/>
              <w:jc w:val="both"/>
              <w:rPr>
                <w:i w:val="0"/>
                <w:noProof/>
                <w:color w:val="FF0000"/>
                <w:sz w:val="22"/>
              </w:rPr>
            </w:pPr>
            <w:r w:rsidRPr="00324387">
              <w:rPr>
                <w:b/>
                <w:i w:val="0"/>
                <w:noProof/>
                <w:sz w:val="22"/>
              </w:rPr>
              <w:t>5. Omogočitveni pogoji</w:t>
            </w:r>
            <w:r w:rsidRPr="00324387">
              <w:rPr>
                <w:i w:val="0"/>
                <w:noProof/>
                <w:sz w:val="22"/>
              </w:rPr>
              <w:t xml:space="preserve">: </w:t>
            </w:r>
            <w:r w:rsidR="00324387" w:rsidRPr="00324387">
              <w:rPr>
                <w:i w:val="0"/>
                <w:noProof/>
                <w:sz w:val="22"/>
              </w:rPr>
              <w:t xml:space="preserve">Slovenija v </w:t>
            </w:r>
            <w:r w:rsidR="00324387" w:rsidRPr="00324387">
              <w:rPr>
                <w:i w:val="0"/>
                <w:sz w:val="22"/>
              </w:rPr>
              <w:t xml:space="preserve">luči učinkovite implementacije horizontalnih omogočitvenih pogojev »Dejanska uporaba in izvajanje Listine o temeljnih pravicah« ter »Izvajanje in uporaba Konvencije združenih narodov o pravicah invalidov v skladu s Sklepom Sveta 2010/48/ES« sledi zastavljenim aktivnostim v programu IUMV za izpolnjevanje in uporabo omogočitvenih pogojev v vseh fazah </w:t>
            </w:r>
            <w:r w:rsidR="00324387" w:rsidRPr="00324387">
              <w:rPr>
                <w:i w:val="0"/>
              </w:rPr>
              <w:t>izvajanja programa.</w:t>
            </w:r>
            <w:r w:rsidRPr="00324387">
              <w:rPr>
                <w:i w:val="0"/>
                <w:color w:val="FF0000"/>
                <w:sz w:val="22"/>
              </w:rPr>
              <w:tab/>
            </w:r>
          </w:p>
          <w:p w14:paraId="4CD8BB51" w14:textId="77777777" w:rsidR="006A41E2" w:rsidRPr="00995D05" w:rsidRDefault="009057F2" w:rsidP="00995D05">
            <w:pPr>
              <w:rPr>
                <w:sz w:val="22"/>
              </w:rPr>
            </w:pPr>
            <w:r w:rsidRPr="00324387">
              <w:rPr>
                <w:b/>
                <w:noProof/>
                <w:sz w:val="22"/>
              </w:rPr>
              <w:t>6. Projekti v tretjih državah</w:t>
            </w:r>
            <w:r w:rsidRPr="00324387">
              <w:rPr>
                <w:noProof/>
                <w:sz w:val="22"/>
              </w:rPr>
              <w:t>: Slovenija v tem obračunskem obdobju ni izvajala ukrepov ali operacij v tretjih državah ali v zvezi z njimi.</w:t>
            </w:r>
          </w:p>
        </w:tc>
      </w:tr>
    </w:tbl>
    <w:p w14:paraId="0620BC4F" w14:textId="77777777" w:rsidR="006A41E2" w:rsidRPr="002E3DC3" w:rsidRDefault="006A41E2" w:rsidP="006A41E2">
      <w:pPr>
        <w:rPr>
          <w:noProof/>
        </w:rPr>
      </w:pPr>
    </w:p>
    <w:sectPr w:rsidR="006A41E2" w:rsidRPr="002E3DC3" w:rsidSect="00FF51AC">
      <w:footerReference w:type="default" r:id="rId12"/>
      <w:footerReference w:type="first" r:id="rId13"/>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65E4" w14:textId="77777777" w:rsidR="00144C4C" w:rsidRDefault="00144C4C" w:rsidP="00555224">
      <w:pPr>
        <w:spacing w:before="0" w:after="0"/>
      </w:pPr>
      <w:r>
        <w:separator/>
      </w:r>
    </w:p>
  </w:endnote>
  <w:endnote w:type="continuationSeparator" w:id="0">
    <w:p w14:paraId="1EEAC3DE" w14:textId="77777777" w:rsidR="00144C4C" w:rsidRDefault="00144C4C" w:rsidP="00555224">
      <w:pPr>
        <w:spacing w:before="0" w:after="0"/>
      </w:pPr>
      <w:r>
        <w:continuationSeparator/>
      </w:r>
    </w:p>
  </w:endnote>
  <w:endnote w:type="continuationNotice" w:id="1">
    <w:p w14:paraId="63D6052C" w14:textId="77777777" w:rsidR="00144C4C" w:rsidRDefault="00144C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38A9" w14:textId="783BC487" w:rsidR="00144C4C" w:rsidRPr="00FF51AC" w:rsidRDefault="00144C4C" w:rsidP="00FF51AC">
    <w:pPr>
      <w:pStyle w:val="Noga"/>
      <w:rPr>
        <w:rFonts w:ascii="Arial" w:hAnsi="Arial" w:cs="Arial"/>
        <w:b/>
        <w:sz w:val="48"/>
      </w:rPr>
    </w:pPr>
    <w:r w:rsidRPr="00FF51AC">
      <w:rPr>
        <w:rFonts w:ascii="Arial" w:hAnsi="Arial" w:cs="Arial"/>
        <w:b/>
        <w:sz w:val="48"/>
      </w:rPr>
      <w:t>SL</w:t>
    </w:r>
    <w:r w:rsidRPr="00FF51AC">
      <w:rPr>
        <w:rFonts w:ascii="Arial" w:hAnsi="Arial" w:cs="Arial"/>
        <w:b/>
        <w:sz w:val="48"/>
      </w:rPr>
      <w:tab/>
    </w:r>
    <w:r>
      <w:fldChar w:fldCharType="begin"/>
    </w:r>
    <w:r>
      <w:instrText xml:space="preserve"> PAGE  \* MERGEFORMAT </w:instrText>
    </w:r>
    <w:r>
      <w:fldChar w:fldCharType="separate"/>
    </w:r>
    <w:r w:rsidR="009E6BDE">
      <w:rPr>
        <w:noProof/>
      </w:rPr>
      <w:t>4</w:t>
    </w:r>
    <w:r>
      <w:fldChar w:fldCharType="end"/>
    </w:r>
    <w:r>
      <w:tab/>
    </w:r>
    <w:r w:rsidRPr="00FF51AC">
      <w:tab/>
    </w:r>
    <w:r w:rsidRPr="00FF51AC">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9AFA8" w14:textId="77777777" w:rsidR="00144C4C" w:rsidRPr="00FF51AC" w:rsidRDefault="00144C4C" w:rsidP="00FF51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CA5CE" w14:textId="77777777" w:rsidR="00144C4C" w:rsidRDefault="00144C4C" w:rsidP="00555224">
      <w:pPr>
        <w:spacing w:before="0" w:after="0"/>
      </w:pPr>
      <w:r>
        <w:separator/>
      </w:r>
    </w:p>
  </w:footnote>
  <w:footnote w:type="continuationSeparator" w:id="0">
    <w:p w14:paraId="551FC948" w14:textId="77777777" w:rsidR="00144C4C" w:rsidRDefault="00144C4C" w:rsidP="00555224">
      <w:pPr>
        <w:spacing w:before="0" w:after="0"/>
      </w:pPr>
      <w:r>
        <w:continuationSeparator/>
      </w:r>
    </w:p>
  </w:footnote>
  <w:footnote w:type="continuationNotice" w:id="1">
    <w:p w14:paraId="3B65F883" w14:textId="77777777" w:rsidR="00144C4C" w:rsidRDefault="00144C4C">
      <w:pPr>
        <w:spacing w:before="0" w:after="0"/>
      </w:pPr>
    </w:p>
  </w:footnote>
  <w:footnote w:id="2">
    <w:p w14:paraId="42598A5E" w14:textId="77777777" w:rsidR="00144C4C" w:rsidRPr="006A41E2" w:rsidRDefault="00144C4C">
      <w:pPr>
        <w:pStyle w:val="Sprotnaopomba-besedilo"/>
        <w:rPr>
          <w:sz w:val="18"/>
        </w:rPr>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14:paraId="001DFFB6" w14:textId="77777777" w:rsidR="00144C4C" w:rsidRPr="006A41E2" w:rsidRDefault="00144C4C">
      <w:pPr>
        <w:pStyle w:val="Sprotnaopomba-besedilo"/>
        <w:rPr>
          <w:sz w:val="18"/>
        </w:rPr>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14:paraId="19E78824" w14:textId="77777777" w:rsidR="00144C4C" w:rsidRPr="006A41E2" w:rsidRDefault="00144C4C">
      <w:pPr>
        <w:pStyle w:val="Sprotnaopomba-besedilo"/>
        <w:rPr>
          <w:sz w:val="18"/>
        </w:rPr>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14:paraId="625E8832" w14:textId="77777777" w:rsidR="00144C4C" w:rsidRPr="006A41E2" w:rsidRDefault="00144C4C">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14:paraId="5F9BDA6F" w14:textId="77777777" w:rsidR="00144C4C" w:rsidRPr="006A41E2" w:rsidRDefault="00144C4C">
      <w:pPr>
        <w:pStyle w:val="Sprotnaopomba-besedilo"/>
      </w:pPr>
      <w:r>
        <w:rPr>
          <w:rStyle w:val="Sprotnaopomba-sklic"/>
        </w:rPr>
        <w:footnoteRef/>
      </w:r>
      <w:r>
        <w:tab/>
      </w:r>
      <w:r>
        <w:rPr>
          <w:sz w:val="18"/>
        </w:rPr>
        <w:t>Na primer težave v zvezi s področjem uporabe ukrepa (npr. merila za upravičenost), majhno zanimanje upravičencev ali udeležencev, kakršno koli odstopanje pri izvajanju ukrepa itd.</w:t>
      </w:r>
    </w:p>
  </w:footnote>
  <w:footnote w:id="7">
    <w:p w14:paraId="7917B26E" w14:textId="77777777" w:rsidR="00144C4C" w:rsidRPr="00BC54D3" w:rsidRDefault="00144C4C">
      <w:pPr>
        <w:pStyle w:val="Sprotnaopomba-besedilo"/>
        <w:rPr>
          <w:sz w:val="18"/>
          <w:szCs w:val="18"/>
        </w:rPr>
      </w:pPr>
      <w:r>
        <w:rPr>
          <w:rStyle w:val="Sprotnaopomba-sklic"/>
        </w:rPr>
        <w:footnoteRef/>
      </w:r>
      <w:r>
        <w:tab/>
      </w:r>
      <w:r>
        <w:rPr>
          <w:sz w:val="18"/>
        </w:rPr>
        <w:t>Če je to ustrezno za ta namen, navedite priporočila iz mehanizmov za nadzor kakovosti in ocenjevanje, kot so: (i) schengenski ocenjevalni in spremljevalni mehanizem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 ali (ii) drugi mehanizmi za nadzor kakovosti in ocenjevanje, kot je ustrezno.</w:t>
      </w:r>
    </w:p>
  </w:footnote>
  <w:footnote w:id="8">
    <w:p w14:paraId="1D252B8F" w14:textId="77777777" w:rsidR="00144C4C" w:rsidRPr="006A41E2" w:rsidRDefault="00144C4C">
      <w:pPr>
        <w:pStyle w:val="Sprotnaopomba-besedilo"/>
        <w:rPr>
          <w:sz w:val="18"/>
        </w:rPr>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(Ares (2022)1060102).</w:t>
      </w:r>
    </w:p>
  </w:footnote>
  <w:footnote w:id="9">
    <w:p w14:paraId="3604E1B2" w14:textId="77777777" w:rsidR="00144C4C" w:rsidRPr="007027D4" w:rsidRDefault="00144C4C" w:rsidP="00EA1A2F">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14:paraId="74532DD9" w14:textId="77777777" w:rsidR="00144C4C" w:rsidRPr="007027D4" w:rsidRDefault="00144C4C" w:rsidP="00EA1A2F">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14:paraId="3612C2E9" w14:textId="77777777" w:rsidR="00144C4C" w:rsidRPr="007027D4" w:rsidRDefault="00144C4C" w:rsidP="00EA1A2F">
      <w:pPr>
        <w:pStyle w:val="Sprotnaopomba-besedilo"/>
      </w:pPr>
      <w:r>
        <w:rPr>
          <w:rStyle w:val="Sprotnaopomba-sklic"/>
        </w:rPr>
        <w:footnoteRef/>
      </w:r>
      <w:r>
        <w:tab/>
      </w:r>
      <w:r>
        <w:rPr>
          <w:sz w:val="18"/>
        </w:rPr>
        <w:t>Na primer v smislu dosežkov, učinkov, rezultatov itd.</w:t>
      </w:r>
    </w:p>
  </w:footnote>
  <w:footnote w:id="12">
    <w:p w14:paraId="08CC3FD6" w14:textId="77777777" w:rsidR="00144C4C" w:rsidRPr="006A41E2" w:rsidRDefault="00144C4C">
      <w:pPr>
        <w:pStyle w:val="Sprotnaopomba-besedilo"/>
      </w:pPr>
      <w:r>
        <w:rPr>
          <w:rStyle w:val="Sprotnaopomba-sklic"/>
        </w:rPr>
        <w:footnoteRef/>
      </w:r>
      <w:r>
        <w:tab/>
      </w:r>
      <w:r>
        <w:rPr>
          <w:sz w:val="18"/>
        </w:rPr>
        <w:t>Kot je navedeno v obvestilu Komisije z dne 14. februarja 2022 (Ares (2022)1060102).</w:t>
      </w:r>
    </w:p>
  </w:footnote>
  <w:footnote w:id="13">
    <w:p w14:paraId="1EB9AA65" w14:textId="77777777" w:rsidR="00144C4C" w:rsidRPr="006A41E2" w:rsidRDefault="00144C4C">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14:paraId="53CA9A44" w14:textId="77777777" w:rsidR="00144C4C" w:rsidRPr="006A41E2" w:rsidRDefault="00144C4C">
      <w:pPr>
        <w:pStyle w:val="Sprotnaopomba-besedilo"/>
        <w:rPr>
          <w:sz w:val="18"/>
        </w:rPr>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15">
    <w:p w14:paraId="1E8CF7AD" w14:textId="77777777" w:rsidR="00144C4C" w:rsidRPr="006A41E2" w:rsidRDefault="00144C4C">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14:paraId="21065A94" w14:textId="77777777" w:rsidR="00144C4C" w:rsidRPr="002229DC" w:rsidRDefault="00144C4C">
      <w:pPr>
        <w:pStyle w:val="Sprotnaopomba-besedilo"/>
      </w:pPr>
      <w:r>
        <w:rPr>
          <w:rStyle w:val="Sprotnaopomba-sklic"/>
        </w:rPr>
        <w:footnoteRef/>
      </w:r>
      <w:r>
        <w:tab/>
      </w:r>
      <w:r>
        <w:rPr>
          <w:color w:val="333333"/>
          <w:sz w:val="18"/>
          <w:shd w:val="clear" w:color="auto" w:fill="FFFFFF"/>
        </w:rPr>
        <w:t xml:space="preserve">Uredba (EU) št. 513/2014 Evropskega parlamenta in Sveta z dne 16. aprila 2014 o vzpostavitvi instrumenta za finančno podporo na področju policijskega sodelovanja, preprečevanja kriminala in boja proti njemu ter obvladovanja kriz v okviru Sklada za notranjo varnost in o razveljavitvi Sklepa Sveta 2007/125/PNZ (UL L 150, </w:t>
      </w:r>
      <w:r>
        <w:rPr>
          <w:sz w:val="18"/>
        </w:rPr>
        <w:t>20.5.2014, str. 93).</w:t>
      </w:r>
    </w:p>
  </w:footnote>
  <w:footnote w:id="17">
    <w:p w14:paraId="0BCD921F" w14:textId="77777777" w:rsidR="00144C4C" w:rsidRPr="00717D45" w:rsidRDefault="00144C4C" w:rsidP="0059250C">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p w14:paraId="686B6522" w14:textId="77777777" w:rsidR="00144C4C" w:rsidRPr="00DC1E6A" w:rsidRDefault="00144C4C">
      <w:pPr>
        <w:pStyle w:val="Sprotnaopomba-besedilo"/>
      </w:pPr>
    </w:p>
  </w:footnote>
  <w:footnote w:id="18">
    <w:p w14:paraId="7B13BA31" w14:textId="77777777" w:rsidR="00144C4C" w:rsidRPr="007027D4" w:rsidRDefault="00144C4C" w:rsidP="00397A63">
      <w:pPr>
        <w:pStyle w:val="Sprotnaopomba-besedilo"/>
      </w:pPr>
      <w:r>
        <w:rPr>
          <w:rStyle w:val="Sprotnaopomba-sklic"/>
        </w:rPr>
        <w:footnoteRef/>
      </w:r>
      <w:r>
        <w:tab/>
      </w:r>
      <w:r>
        <w:rPr>
          <w:sz w:val="18"/>
        </w:rPr>
        <w:t>Kot je sodelovanje na ravni Unije med državami članicami ter med državami članicami in ustreznimi organi, uradi in agencijami Unije ter sodelovanje na nacionalni ravni med pristojnimi organi v vsaki državi članici.</w:t>
      </w:r>
    </w:p>
  </w:footnote>
  <w:footnote w:id="19">
    <w:p w14:paraId="3EDAD8C5" w14:textId="77777777" w:rsidR="00144C4C" w:rsidRPr="00DF7BF3" w:rsidRDefault="00144C4C" w:rsidP="001B7FE6">
      <w:pPr>
        <w:pStyle w:val="Sprotnaopomba-besedilo"/>
        <w:rPr>
          <w:sz w:val="18"/>
        </w:rPr>
      </w:pPr>
      <w:r>
        <w:rPr>
          <w:rStyle w:val="Sprotnaopomba-sklic"/>
        </w:rPr>
        <w:footnoteRef/>
      </w:r>
      <w:r>
        <w:tab/>
      </w:r>
      <w:r>
        <w:rPr>
          <w:sz w:val="18"/>
        </w:rPr>
        <w:t>Uredba (EU) 2019/817 Evropskega parlamenta in Sveta z dne 20. maja 2019 o vzpostavitvi okvira za interoperabilnost informacijskih sistemov EU na področju meja in vizumov ter spremembi uredb (ES) št. 767/2008, (EU) 2016/399, (EU) 2017/2226, (EU) 2018/1240, (EU) 2018/1726 in (EU) 2018/1861 Evropskega parlamenta in Sveta ter Odločbe Sveta 2004/512/ES in Sklepa Sveta 2008/633/PNZ (</w:t>
      </w:r>
      <w:hyperlink r:id="rId1" w:history="1">
        <w:r>
          <w:rPr>
            <w:sz w:val="18"/>
          </w:rPr>
          <w:t>UL L 135, 22.5.2019, str. 27</w:t>
        </w:r>
      </w:hyperlink>
      <w:r>
        <w:rPr>
          <w:sz w:val="18"/>
        </w:rPr>
        <w:t>).</w:t>
      </w:r>
    </w:p>
    <w:p w14:paraId="6CBAD7DA" w14:textId="77777777" w:rsidR="00144C4C" w:rsidRPr="001B7FE6" w:rsidRDefault="00144C4C" w:rsidP="001B7FE6">
      <w:pPr>
        <w:pStyle w:val="Sprotnaopomba-besedilo"/>
        <w:ind w:firstLine="0"/>
      </w:pPr>
      <w:r>
        <w:rPr>
          <w:sz w:val="18"/>
        </w:rPr>
        <w:t>Uredba (EU) 2019/818 Evropskega parlamenta in Sveta z dne 20. maja 2019 o vzpostavitvi okvira za interoperabilnost informacijskih sistemov EU na področju policijskega in pravosodnega sodelovanja, azila ter migracij in spremembi uredb (EU) 2018/1726, (EU) 2018/1862 ter (EU) 2019/816 (</w:t>
      </w:r>
      <w:hyperlink r:id="rId2" w:history="1">
        <w:r>
          <w:rPr>
            <w:sz w:val="18"/>
          </w:rPr>
          <w:t>UL L 135, 22.5.2019, str. 85</w:t>
        </w:r>
      </w:hyperlink>
      <w:r>
        <w:rPr>
          <w:sz w:val="18"/>
        </w:rPr>
        <w:t>).</w:t>
      </w:r>
    </w:p>
  </w:footnote>
  <w:footnote w:id="20">
    <w:p w14:paraId="56F7C1AD" w14:textId="77777777" w:rsidR="00144C4C" w:rsidRPr="006A41E2" w:rsidRDefault="00144C4C" w:rsidP="006A41E2">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21">
    <w:p w14:paraId="79CDF0DF" w14:textId="77777777" w:rsidR="00144C4C" w:rsidRPr="006A41E2" w:rsidRDefault="00144C4C" w:rsidP="006A41E2">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00F275A9"/>
    <w:multiLevelType w:val="hybridMultilevel"/>
    <w:tmpl w:val="11F42BD6"/>
    <w:lvl w:ilvl="0" w:tplc="A886ADC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A0C1C4F"/>
    <w:multiLevelType w:val="hybridMultilevel"/>
    <w:tmpl w:val="355217B4"/>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6F7111"/>
    <w:multiLevelType w:val="hybridMultilevel"/>
    <w:tmpl w:val="E72AB59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2FB97DF2"/>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0F7DEC"/>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6A1FCA"/>
    <w:multiLevelType w:val="hybridMultilevel"/>
    <w:tmpl w:val="76FE7978"/>
    <w:lvl w:ilvl="0" w:tplc="E340A59C">
      <w:numFmt w:val="bullet"/>
      <w:lvlText w:val="-"/>
      <w:lvlJc w:val="left"/>
      <w:pPr>
        <w:ind w:left="720" w:hanging="360"/>
      </w:pPr>
      <w:rPr>
        <w:rFonts w:ascii="Arial" w:eastAsiaTheme="minorHAnsi" w:hAnsi="Arial" w:cs="Arial" w:hint="default"/>
        <w:color w:val="auto"/>
        <w:sz w:val="22"/>
      </w:rPr>
    </w:lvl>
    <w:lvl w:ilvl="1" w:tplc="0424000D">
      <w:start w:val="1"/>
      <w:numFmt w:val="bullet"/>
      <w:lvlText w:val=""/>
      <w:lvlJc w:val="left"/>
      <w:pPr>
        <w:ind w:left="1440" w:hanging="360"/>
      </w:pPr>
      <w:rPr>
        <w:rFonts w:ascii="Wingdings" w:hAnsi="Wingdings"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2D50A78"/>
    <w:multiLevelType w:val="hybridMultilevel"/>
    <w:tmpl w:val="AEBC166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B971ADF"/>
    <w:multiLevelType w:val="hybridMultilevel"/>
    <w:tmpl w:val="336C2DC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7"/>
    <w:lvlOverride w:ilvl="0">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num>
  <w:num w:numId="12">
    <w:abstractNumId w:val="27"/>
    <w:lvlOverride w:ilvl="0">
      <w:startOverride w:val="1"/>
    </w:lvlOverride>
  </w:num>
  <w:num w:numId="13">
    <w:abstractNumId w:val="27"/>
  </w:num>
  <w:num w:numId="14">
    <w:abstractNumId w:val="19"/>
  </w:num>
  <w:num w:numId="15">
    <w:abstractNumId w:val="29"/>
  </w:num>
  <w:num w:numId="16">
    <w:abstractNumId w:val="15"/>
  </w:num>
  <w:num w:numId="17">
    <w:abstractNumId w:val="20"/>
  </w:num>
  <w:num w:numId="18">
    <w:abstractNumId w:val="21"/>
  </w:num>
  <w:num w:numId="19">
    <w:abstractNumId w:val="11"/>
  </w:num>
  <w:num w:numId="20">
    <w:abstractNumId w:val="28"/>
  </w:num>
  <w:num w:numId="21">
    <w:abstractNumId w:val="10"/>
  </w:num>
  <w:num w:numId="22">
    <w:abstractNumId w:val="22"/>
  </w:num>
  <w:num w:numId="23">
    <w:abstractNumId w:val="25"/>
  </w:num>
  <w:num w:numId="24">
    <w:abstractNumId w:val="26"/>
  </w:num>
  <w:num w:numId="25">
    <w:abstractNumId w:val="14"/>
  </w:num>
  <w:num w:numId="26">
    <w:abstractNumId w:val="24"/>
  </w:num>
  <w:num w:numId="27">
    <w:abstractNumId w:val="31"/>
  </w:num>
  <w:num w:numId="28">
    <w:abstractNumId w:val="17"/>
  </w:num>
  <w:num w:numId="29">
    <w:abstractNumId w:val="16"/>
  </w:num>
  <w:num w:numId="30">
    <w:abstractNumId w:val="12"/>
  </w:num>
  <w:num w:numId="31">
    <w:abstractNumId w:val="9"/>
  </w:num>
  <w:num w:numId="32">
    <w:abstractNumId w:val="23"/>
  </w:num>
  <w:num w:numId="33">
    <w:abstractNumId w:val="13"/>
  </w:num>
  <w:num w:numId="34">
    <w:abstractNumId w:val="18"/>
  </w:num>
  <w:num w:numId="35">
    <w:abstractNumId w:val="27"/>
  </w:num>
  <w:num w:numId="36">
    <w:abstractNumId w:val="30"/>
  </w:num>
  <w:num w:numId="3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ttachedTemplate r:id="rId1"/>
  <w:defaultTabStop w:val="720"/>
  <w:hyphenationZone w:val="425"/>
  <w:characterSpacingControl w:val="doNotCompress"/>
  <w:hdrShapeDefaults>
    <o:shapedefaults v:ext="edit" spidmax="2662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7 08:32: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4E7F4CB9-02D7-408F-9D94-BF029F1A7B59"/>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notranjo varnost za programsko obdobje 2021\u8211?2027 v skladu z Uredbo (EU) 2021/1149"/>
    <w:docVar w:name="LW_OBJETACTEPRINCIPAL.CP" w:val="o določitvi predloge za letna poročila o smotrnosti Sklada za notranjo varnost za programsko obdobje 2021–2027 v skladu z Uredbo (EU) 2021/1149"/>
    <w:docVar w:name="LW_PART_NBR" w:val="1"/>
    <w:docVar w:name="LW_PART_NBR_TOTAL" w:val="1"/>
    <w:docVar w:name="LW_REF.INST.NEW" w:val="C"/>
    <w:docVar w:name="LW_REF.INST.NEW_ADOPTED" w:val="final"/>
    <w:docVar w:name="LW_REF.INST.NEW_TEXT" w:val="(2023)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133CF"/>
    <w:rsid w:val="00014F7C"/>
    <w:rsid w:val="0001528B"/>
    <w:rsid w:val="0002060E"/>
    <w:rsid w:val="000213B5"/>
    <w:rsid w:val="00022517"/>
    <w:rsid w:val="00027D06"/>
    <w:rsid w:val="00040782"/>
    <w:rsid w:val="00046462"/>
    <w:rsid w:val="0005122B"/>
    <w:rsid w:val="00052F71"/>
    <w:rsid w:val="00053829"/>
    <w:rsid w:val="0006040C"/>
    <w:rsid w:val="00070021"/>
    <w:rsid w:val="00075EDB"/>
    <w:rsid w:val="00081CCF"/>
    <w:rsid w:val="000830EF"/>
    <w:rsid w:val="00083808"/>
    <w:rsid w:val="000855A4"/>
    <w:rsid w:val="00085A16"/>
    <w:rsid w:val="00085D54"/>
    <w:rsid w:val="00086CDA"/>
    <w:rsid w:val="00087573"/>
    <w:rsid w:val="000903CC"/>
    <w:rsid w:val="00093D5B"/>
    <w:rsid w:val="000A05A3"/>
    <w:rsid w:val="000A0779"/>
    <w:rsid w:val="000A1C8F"/>
    <w:rsid w:val="000B21D4"/>
    <w:rsid w:val="000B6475"/>
    <w:rsid w:val="000C122F"/>
    <w:rsid w:val="000C4CC6"/>
    <w:rsid w:val="000C7F85"/>
    <w:rsid w:val="000D1693"/>
    <w:rsid w:val="000D1796"/>
    <w:rsid w:val="000D3230"/>
    <w:rsid w:val="000D44D0"/>
    <w:rsid w:val="000D5E2F"/>
    <w:rsid w:val="000E45B7"/>
    <w:rsid w:val="000F1C58"/>
    <w:rsid w:val="00101769"/>
    <w:rsid w:val="00104E34"/>
    <w:rsid w:val="0011011B"/>
    <w:rsid w:val="00111D07"/>
    <w:rsid w:val="00112234"/>
    <w:rsid w:val="00114605"/>
    <w:rsid w:val="00114770"/>
    <w:rsid w:val="0011744D"/>
    <w:rsid w:val="00121042"/>
    <w:rsid w:val="00122018"/>
    <w:rsid w:val="00133868"/>
    <w:rsid w:val="00133AC2"/>
    <w:rsid w:val="00141E24"/>
    <w:rsid w:val="00144C4C"/>
    <w:rsid w:val="00152894"/>
    <w:rsid w:val="00153209"/>
    <w:rsid w:val="0015448D"/>
    <w:rsid w:val="00154541"/>
    <w:rsid w:val="0016130D"/>
    <w:rsid w:val="0016189A"/>
    <w:rsid w:val="00161A30"/>
    <w:rsid w:val="0016289A"/>
    <w:rsid w:val="001668BA"/>
    <w:rsid w:val="00173637"/>
    <w:rsid w:val="0017755A"/>
    <w:rsid w:val="00181A3F"/>
    <w:rsid w:val="00182E37"/>
    <w:rsid w:val="0018473B"/>
    <w:rsid w:val="00184CCF"/>
    <w:rsid w:val="0019152D"/>
    <w:rsid w:val="001A1F71"/>
    <w:rsid w:val="001A292A"/>
    <w:rsid w:val="001A2CE3"/>
    <w:rsid w:val="001A4BD7"/>
    <w:rsid w:val="001B037F"/>
    <w:rsid w:val="001B5FCC"/>
    <w:rsid w:val="001B7C91"/>
    <w:rsid w:val="001B7FE6"/>
    <w:rsid w:val="001C0807"/>
    <w:rsid w:val="001C3B12"/>
    <w:rsid w:val="001C41E9"/>
    <w:rsid w:val="001C4994"/>
    <w:rsid w:val="001C60A8"/>
    <w:rsid w:val="001C7802"/>
    <w:rsid w:val="001D175D"/>
    <w:rsid w:val="001D2E88"/>
    <w:rsid w:val="001E0672"/>
    <w:rsid w:val="001E1588"/>
    <w:rsid w:val="001E3E4B"/>
    <w:rsid w:val="001E6380"/>
    <w:rsid w:val="001E63B6"/>
    <w:rsid w:val="001F71DC"/>
    <w:rsid w:val="001F7F00"/>
    <w:rsid w:val="00200C0C"/>
    <w:rsid w:val="00202C38"/>
    <w:rsid w:val="00213BC9"/>
    <w:rsid w:val="00216D79"/>
    <w:rsid w:val="002229DC"/>
    <w:rsid w:val="00227FE7"/>
    <w:rsid w:val="00231338"/>
    <w:rsid w:val="00231B94"/>
    <w:rsid w:val="00244632"/>
    <w:rsid w:val="00244A46"/>
    <w:rsid w:val="0024526D"/>
    <w:rsid w:val="00246967"/>
    <w:rsid w:val="00251735"/>
    <w:rsid w:val="00254824"/>
    <w:rsid w:val="00260785"/>
    <w:rsid w:val="00267706"/>
    <w:rsid w:val="00275BA0"/>
    <w:rsid w:val="00277AF0"/>
    <w:rsid w:val="00277F78"/>
    <w:rsid w:val="00284373"/>
    <w:rsid w:val="00284D38"/>
    <w:rsid w:val="0028797D"/>
    <w:rsid w:val="00296314"/>
    <w:rsid w:val="002A48C2"/>
    <w:rsid w:val="002A4FD7"/>
    <w:rsid w:val="002A585F"/>
    <w:rsid w:val="002A6B7D"/>
    <w:rsid w:val="002A6CBE"/>
    <w:rsid w:val="002B4947"/>
    <w:rsid w:val="002C3726"/>
    <w:rsid w:val="002C3EC6"/>
    <w:rsid w:val="002C4A46"/>
    <w:rsid w:val="002C4C72"/>
    <w:rsid w:val="002C60F2"/>
    <w:rsid w:val="002D100D"/>
    <w:rsid w:val="002E13C5"/>
    <w:rsid w:val="002E2230"/>
    <w:rsid w:val="002E355D"/>
    <w:rsid w:val="002E3DC3"/>
    <w:rsid w:val="002F1935"/>
    <w:rsid w:val="002F2E39"/>
    <w:rsid w:val="002F5106"/>
    <w:rsid w:val="002F6FFF"/>
    <w:rsid w:val="003003B7"/>
    <w:rsid w:val="003021FB"/>
    <w:rsid w:val="00305958"/>
    <w:rsid w:val="00307299"/>
    <w:rsid w:val="00310023"/>
    <w:rsid w:val="00321BDF"/>
    <w:rsid w:val="0032373D"/>
    <w:rsid w:val="00323AA1"/>
    <w:rsid w:val="00324387"/>
    <w:rsid w:val="00324620"/>
    <w:rsid w:val="003252F1"/>
    <w:rsid w:val="00327883"/>
    <w:rsid w:val="00330177"/>
    <w:rsid w:val="00332A4B"/>
    <w:rsid w:val="003344FC"/>
    <w:rsid w:val="00336B99"/>
    <w:rsid w:val="003471A8"/>
    <w:rsid w:val="00347EE8"/>
    <w:rsid w:val="003500C4"/>
    <w:rsid w:val="0035085A"/>
    <w:rsid w:val="00351C18"/>
    <w:rsid w:val="00352119"/>
    <w:rsid w:val="0035484F"/>
    <w:rsid w:val="00363E48"/>
    <w:rsid w:val="003651F7"/>
    <w:rsid w:val="0037290B"/>
    <w:rsid w:val="003821DC"/>
    <w:rsid w:val="003923CA"/>
    <w:rsid w:val="003945F3"/>
    <w:rsid w:val="00397A63"/>
    <w:rsid w:val="003A0351"/>
    <w:rsid w:val="003A1616"/>
    <w:rsid w:val="003A2644"/>
    <w:rsid w:val="003A30A1"/>
    <w:rsid w:val="003A6A89"/>
    <w:rsid w:val="003B03C5"/>
    <w:rsid w:val="003B159D"/>
    <w:rsid w:val="003B217D"/>
    <w:rsid w:val="003B616F"/>
    <w:rsid w:val="003C36A7"/>
    <w:rsid w:val="003D38C3"/>
    <w:rsid w:val="003D7A01"/>
    <w:rsid w:val="003E0192"/>
    <w:rsid w:val="003E21DB"/>
    <w:rsid w:val="003E338B"/>
    <w:rsid w:val="003E36B0"/>
    <w:rsid w:val="003E4922"/>
    <w:rsid w:val="003E49B2"/>
    <w:rsid w:val="003E7D66"/>
    <w:rsid w:val="003E7F9C"/>
    <w:rsid w:val="003F695F"/>
    <w:rsid w:val="00405D43"/>
    <w:rsid w:val="00405FF7"/>
    <w:rsid w:val="00410DEC"/>
    <w:rsid w:val="004119DA"/>
    <w:rsid w:val="0041224B"/>
    <w:rsid w:val="0041450D"/>
    <w:rsid w:val="004200F4"/>
    <w:rsid w:val="004217A7"/>
    <w:rsid w:val="004233DC"/>
    <w:rsid w:val="00425B0B"/>
    <w:rsid w:val="00431B4C"/>
    <w:rsid w:val="00434335"/>
    <w:rsid w:val="00437336"/>
    <w:rsid w:val="00441E23"/>
    <w:rsid w:val="0044327D"/>
    <w:rsid w:val="00445094"/>
    <w:rsid w:val="00445F00"/>
    <w:rsid w:val="00446133"/>
    <w:rsid w:val="00446442"/>
    <w:rsid w:val="0045095F"/>
    <w:rsid w:val="0045468C"/>
    <w:rsid w:val="004630E2"/>
    <w:rsid w:val="004708BF"/>
    <w:rsid w:val="00475780"/>
    <w:rsid w:val="00475B8F"/>
    <w:rsid w:val="00481574"/>
    <w:rsid w:val="00490445"/>
    <w:rsid w:val="00496231"/>
    <w:rsid w:val="0049785B"/>
    <w:rsid w:val="004A30F9"/>
    <w:rsid w:val="004B0791"/>
    <w:rsid w:val="004B3C06"/>
    <w:rsid w:val="004B6B88"/>
    <w:rsid w:val="004C0697"/>
    <w:rsid w:val="004C107A"/>
    <w:rsid w:val="004C3F46"/>
    <w:rsid w:val="004C4869"/>
    <w:rsid w:val="004D43D9"/>
    <w:rsid w:val="004D6609"/>
    <w:rsid w:val="004D756F"/>
    <w:rsid w:val="004E137F"/>
    <w:rsid w:val="004F00F8"/>
    <w:rsid w:val="004F1E95"/>
    <w:rsid w:val="004F5B50"/>
    <w:rsid w:val="004F5C62"/>
    <w:rsid w:val="004F5C72"/>
    <w:rsid w:val="004F5E71"/>
    <w:rsid w:val="005000D5"/>
    <w:rsid w:val="005056A0"/>
    <w:rsid w:val="0051016F"/>
    <w:rsid w:val="00511E11"/>
    <w:rsid w:val="00514D1B"/>
    <w:rsid w:val="00515026"/>
    <w:rsid w:val="005202F1"/>
    <w:rsid w:val="00520A2F"/>
    <w:rsid w:val="00532177"/>
    <w:rsid w:val="00535AC2"/>
    <w:rsid w:val="005365AB"/>
    <w:rsid w:val="00537146"/>
    <w:rsid w:val="00544E72"/>
    <w:rsid w:val="00545857"/>
    <w:rsid w:val="00552A8B"/>
    <w:rsid w:val="0055374C"/>
    <w:rsid w:val="00554DAE"/>
    <w:rsid w:val="00555224"/>
    <w:rsid w:val="00555916"/>
    <w:rsid w:val="00561E3E"/>
    <w:rsid w:val="0056447F"/>
    <w:rsid w:val="00571255"/>
    <w:rsid w:val="005712C1"/>
    <w:rsid w:val="00582244"/>
    <w:rsid w:val="005856EF"/>
    <w:rsid w:val="00586750"/>
    <w:rsid w:val="00591AB0"/>
    <w:rsid w:val="0059245E"/>
    <w:rsid w:val="0059250C"/>
    <w:rsid w:val="00594CD3"/>
    <w:rsid w:val="005973C0"/>
    <w:rsid w:val="005A2396"/>
    <w:rsid w:val="005A77D9"/>
    <w:rsid w:val="005B5ADD"/>
    <w:rsid w:val="005B69E9"/>
    <w:rsid w:val="005C4388"/>
    <w:rsid w:val="005C47C3"/>
    <w:rsid w:val="005C6E87"/>
    <w:rsid w:val="005E56E1"/>
    <w:rsid w:val="005E7CEA"/>
    <w:rsid w:val="005F7766"/>
    <w:rsid w:val="0060199D"/>
    <w:rsid w:val="006019BC"/>
    <w:rsid w:val="0060652B"/>
    <w:rsid w:val="006112B4"/>
    <w:rsid w:val="00614B4A"/>
    <w:rsid w:val="00616C0E"/>
    <w:rsid w:val="00620009"/>
    <w:rsid w:val="006219CA"/>
    <w:rsid w:val="00621FCD"/>
    <w:rsid w:val="00625941"/>
    <w:rsid w:val="00636FE6"/>
    <w:rsid w:val="00652D07"/>
    <w:rsid w:val="006567CB"/>
    <w:rsid w:val="00656EC7"/>
    <w:rsid w:val="00657866"/>
    <w:rsid w:val="006639D8"/>
    <w:rsid w:val="0066681E"/>
    <w:rsid w:val="0067025E"/>
    <w:rsid w:val="00676C68"/>
    <w:rsid w:val="00683889"/>
    <w:rsid w:val="00683DBB"/>
    <w:rsid w:val="006968E5"/>
    <w:rsid w:val="0069792E"/>
    <w:rsid w:val="006A41E2"/>
    <w:rsid w:val="006A4B05"/>
    <w:rsid w:val="006B1C84"/>
    <w:rsid w:val="006B5B67"/>
    <w:rsid w:val="006C0D1D"/>
    <w:rsid w:val="006C2B41"/>
    <w:rsid w:val="006C3120"/>
    <w:rsid w:val="006C5C3B"/>
    <w:rsid w:val="006D05D8"/>
    <w:rsid w:val="006D1A9C"/>
    <w:rsid w:val="006D7F5F"/>
    <w:rsid w:val="006E268C"/>
    <w:rsid w:val="006E2BC6"/>
    <w:rsid w:val="006E60F4"/>
    <w:rsid w:val="006F1357"/>
    <w:rsid w:val="006F1E13"/>
    <w:rsid w:val="006F3C12"/>
    <w:rsid w:val="006F5ACE"/>
    <w:rsid w:val="006F64DA"/>
    <w:rsid w:val="0070055A"/>
    <w:rsid w:val="007027D4"/>
    <w:rsid w:val="00703E3E"/>
    <w:rsid w:val="00704A78"/>
    <w:rsid w:val="00714C40"/>
    <w:rsid w:val="0071685A"/>
    <w:rsid w:val="0072431D"/>
    <w:rsid w:val="0072518C"/>
    <w:rsid w:val="007261C3"/>
    <w:rsid w:val="00726902"/>
    <w:rsid w:val="00727C29"/>
    <w:rsid w:val="00733F84"/>
    <w:rsid w:val="00734F22"/>
    <w:rsid w:val="00737ACB"/>
    <w:rsid w:val="0074216E"/>
    <w:rsid w:val="00744C6A"/>
    <w:rsid w:val="007478DA"/>
    <w:rsid w:val="00747C96"/>
    <w:rsid w:val="00753C85"/>
    <w:rsid w:val="0075603E"/>
    <w:rsid w:val="00760C2D"/>
    <w:rsid w:val="00761619"/>
    <w:rsid w:val="00762258"/>
    <w:rsid w:val="00766BB4"/>
    <w:rsid w:val="00767C9E"/>
    <w:rsid w:val="00773B90"/>
    <w:rsid w:val="0077621B"/>
    <w:rsid w:val="0078415E"/>
    <w:rsid w:val="007850C9"/>
    <w:rsid w:val="00790F74"/>
    <w:rsid w:val="00795261"/>
    <w:rsid w:val="007979CC"/>
    <w:rsid w:val="00797E15"/>
    <w:rsid w:val="007A1C6C"/>
    <w:rsid w:val="007A386C"/>
    <w:rsid w:val="007A5907"/>
    <w:rsid w:val="007A7C14"/>
    <w:rsid w:val="007B05EF"/>
    <w:rsid w:val="007B2434"/>
    <w:rsid w:val="007B38A8"/>
    <w:rsid w:val="007C3551"/>
    <w:rsid w:val="007C7AAC"/>
    <w:rsid w:val="007D0D22"/>
    <w:rsid w:val="007D11F7"/>
    <w:rsid w:val="007D1ECB"/>
    <w:rsid w:val="007D5BDD"/>
    <w:rsid w:val="007E59B4"/>
    <w:rsid w:val="007F17A7"/>
    <w:rsid w:val="007F1A68"/>
    <w:rsid w:val="007F25CB"/>
    <w:rsid w:val="007F6345"/>
    <w:rsid w:val="008008F2"/>
    <w:rsid w:val="008023CE"/>
    <w:rsid w:val="00804283"/>
    <w:rsid w:val="008109C1"/>
    <w:rsid w:val="008116E1"/>
    <w:rsid w:val="00824438"/>
    <w:rsid w:val="00825120"/>
    <w:rsid w:val="00826097"/>
    <w:rsid w:val="00830E61"/>
    <w:rsid w:val="00831111"/>
    <w:rsid w:val="00832BD0"/>
    <w:rsid w:val="00832C25"/>
    <w:rsid w:val="00832F50"/>
    <w:rsid w:val="00836645"/>
    <w:rsid w:val="00841C14"/>
    <w:rsid w:val="00857C22"/>
    <w:rsid w:val="00860CF3"/>
    <w:rsid w:val="008671BE"/>
    <w:rsid w:val="00870992"/>
    <w:rsid w:val="0087148B"/>
    <w:rsid w:val="0087657F"/>
    <w:rsid w:val="00877F16"/>
    <w:rsid w:val="00882C22"/>
    <w:rsid w:val="00882D03"/>
    <w:rsid w:val="008851CB"/>
    <w:rsid w:val="008908D4"/>
    <w:rsid w:val="0089207F"/>
    <w:rsid w:val="00892376"/>
    <w:rsid w:val="00893A65"/>
    <w:rsid w:val="0089422B"/>
    <w:rsid w:val="00894A2F"/>
    <w:rsid w:val="008A02D6"/>
    <w:rsid w:val="008A19C4"/>
    <w:rsid w:val="008A4260"/>
    <w:rsid w:val="008A4885"/>
    <w:rsid w:val="008B1A84"/>
    <w:rsid w:val="008B3427"/>
    <w:rsid w:val="008C3D9E"/>
    <w:rsid w:val="008D1226"/>
    <w:rsid w:val="008D327B"/>
    <w:rsid w:val="008D3763"/>
    <w:rsid w:val="008D3A5B"/>
    <w:rsid w:val="008E1CAB"/>
    <w:rsid w:val="008E488A"/>
    <w:rsid w:val="008F15E7"/>
    <w:rsid w:val="008F1DB4"/>
    <w:rsid w:val="008F1FFD"/>
    <w:rsid w:val="008F4E6A"/>
    <w:rsid w:val="008F5483"/>
    <w:rsid w:val="00900D70"/>
    <w:rsid w:val="00904D48"/>
    <w:rsid w:val="009054FD"/>
    <w:rsid w:val="009057F2"/>
    <w:rsid w:val="00906ED6"/>
    <w:rsid w:val="00912C19"/>
    <w:rsid w:val="00912E10"/>
    <w:rsid w:val="00914B22"/>
    <w:rsid w:val="00915D9B"/>
    <w:rsid w:val="00916E91"/>
    <w:rsid w:val="009170CA"/>
    <w:rsid w:val="0092717A"/>
    <w:rsid w:val="00930399"/>
    <w:rsid w:val="00930AD9"/>
    <w:rsid w:val="009326C6"/>
    <w:rsid w:val="00933FC4"/>
    <w:rsid w:val="009362A9"/>
    <w:rsid w:val="00940E4A"/>
    <w:rsid w:val="009462A4"/>
    <w:rsid w:val="00947F13"/>
    <w:rsid w:val="00953A24"/>
    <w:rsid w:val="00957881"/>
    <w:rsid w:val="009668A9"/>
    <w:rsid w:val="00967035"/>
    <w:rsid w:val="00967556"/>
    <w:rsid w:val="00971D40"/>
    <w:rsid w:val="00971D4B"/>
    <w:rsid w:val="00983339"/>
    <w:rsid w:val="00984F50"/>
    <w:rsid w:val="00987FE9"/>
    <w:rsid w:val="0099060C"/>
    <w:rsid w:val="00995D05"/>
    <w:rsid w:val="009A48FE"/>
    <w:rsid w:val="009B07C6"/>
    <w:rsid w:val="009B36A7"/>
    <w:rsid w:val="009C707F"/>
    <w:rsid w:val="009D21C4"/>
    <w:rsid w:val="009D2D15"/>
    <w:rsid w:val="009D3A7D"/>
    <w:rsid w:val="009D7228"/>
    <w:rsid w:val="009E5C5D"/>
    <w:rsid w:val="009E6BDE"/>
    <w:rsid w:val="009E75AB"/>
    <w:rsid w:val="009F405C"/>
    <w:rsid w:val="009F716C"/>
    <w:rsid w:val="00A002B3"/>
    <w:rsid w:val="00A02CE9"/>
    <w:rsid w:val="00A0708A"/>
    <w:rsid w:val="00A21690"/>
    <w:rsid w:val="00A24854"/>
    <w:rsid w:val="00A3213A"/>
    <w:rsid w:val="00A53DE8"/>
    <w:rsid w:val="00A56089"/>
    <w:rsid w:val="00A615D3"/>
    <w:rsid w:val="00A61670"/>
    <w:rsid w:val="00A662BA"/>
    <w:rsid w:val="00A70B62"/>
    <w:rsid w:val="00A71D38"/>
    <w:rsid w:val="00A7322A"/>
    <w:rsid w:val="00A75AA3"/>
    <w:rsid w:val="00A75D91"/>
    <w:rsid w:val="00A77554"/>
    <w:rsid w:val="00A827C2"/>
    <w:rsid w:val="00A847E6"/>
    <w:rsid w:val="00A9650D"/>
    <w:rsid w:val="00A96B53"/>
    <w:rsid w:val="00A97818"/>
    <w:rsid w:val="00AA29DB"/>
    <w:rsid w:val="00AA3516"/>
    <w:rsid w:val="00AA4553"/>
    <w:rsid w:val="00AA5C8C"/>
    <w:rsid w:val="00AA72B1"/>
    <w:rsid w:val="00AA72E3"/>
    <w:rsid w:val="00AB0131"/>
    <w:rsid w:val="00AB2D96"/>
    <w:rsid w:val="00AB4FA4"/>
    <w:rsid w:val="00AC4263"/>
    <w:rsid w:val="00AD27EF"/>
    <w:rsid w:val="00AD33CE"/>
    <w:rsid w:val="00AD502C"/>
    <w:rsid w:val="00AD7CB5"/>
    <w:rsid w:val="00AE235E"/>
    <w:rsid w:val="00AE5793"/>
    <w:rsid w:val="00AE5AA2"/>
    <w:rsid w:val="00AF18A6"/>
    <w:rsid w:val="00AF2D41"/>
    <w:rsid w:val="00B00D91"/>
    <w:rsid w:val="00B014D8"/>
    <w:rsid w:val="00B03A44"/>
    <w:rsid w:val="00B043A6"/>
    <w:rsid w:val="00B045E0"/>
    <w:rsid w:val="00B07595"/>
    <w:rsid w:val="00B103F8"/>
    <w:rsid w:val="00B22BCD"/>
    <w:rsid w:val="00B2365F"/>
    <w:rsid w:val="00B34672"/>
    <w:rsid w:val="00B34721"/>
    <w:rsid w:val="00B36705"/>
    <w:rsid w:val="00B40A42"/>
    <w:rsid w:val="00B42D37"/>
    <w:rsid w:val="00B45BF7"/>
    <w:rsid w:val="00B54804"/>
    <w:rsid w:val="00B5488D"/>
    <w:rsid w:val="00B54958"/>
    <w:rsid w:val="00B62194"/>
    <w:rsid w:val="00B6561F"/>
    <w:rsid w:val="00B67D57"/>
    <w:rsid w:val="00B71583"/>
    <w:rsid w:val="00B72B08"/>
    <w:rsid w:val="00B739A3"/>
    <w:rsid w:val="00B75806"/>
    <w:rsid w:val="00B80600"/>
    <w:rsid w:val="00B83642"/>
    <w:rsid w:val="00B8569E"/>
    <w:rsid w:val="00B86258"/>
    <w:rsid w:val="00B914C2"/>
    <w:rsid w:val="00BA53A9"/>
    <w:rsid w:val="00BA6E76"/>
    <w:rsid w:val="00BA71EA"/>
    <w:rsid w:val="00BB3C0E"/>
    <w:rsid w:val="00BB61EF"/>
    <w:rsid w:val="00BB7005"/>
    <w:rsid w:val="00BC294D"/>
    <w:rsid w:val="00BC3884"/>
    <w:rsid w:val="00BC4A4C"/>
    <w:rsid w:val="00BC54D3"/>
    <w:rsid w:val="00BD2916"/>
    <w:rsid w:val="00BD58F7"/>
    <w:rsid w:val="00BD5A8A"/>
    <w:rsid w:val="00BD5F72"/>
    <w:rsid w:val="00BE0091"/>
    <w:rsid w:val="00BE0854"/>
    <w:rsid w:val="00BE2CFE"/>
    <w:rsid w:val="00BE662A"/>
    <w:rsid w:val="00BF0850"/>
    <w:rsid w:val="00BF4E2A"/>
    <w:rsid w:val="00C12AA5"/>
    <w:rsid w:val="00C12FB8"/>
    <w:rsid w:val="00C13302"/>
    <w:rsid w:val="00C150E0"/>
    <w:rsid w:val="00C20A50"/>
    <w:rsid w:val="00C20EA8"/>
    <w:rsid w:val="00C21D44"/>
    <w:rsid w:val="00C267A3"/>
    <w:rsid w:val="00C30ACF"/>
    <w:rsid w:val="00C338CD"/>
    <w:rsid w:val="00C40797"/>
    <w:rsid w:val="00C43481"/>
    <w:rsid w:val="00C43B9B"/>
    <w:rsid w:val="00C45A19"/>
    <w:rsid w:val="00C51C64"/>
    <w:rsid w:val="00C56E81"/>
    <w:rsid w:val="00C62604"/>
    <w:rsid w:val="00C629AE"/>
    <w:rsid w:val="00C63931"/>
    <w:rsid w:val="00C64777"/>
    <w:rsid w:val="00C66DD5"/>
    <w:rsid w:val="00C67E05"/>
    <w:rsid w:val="00C71B80"/>
    <w:rsid w:val="00C73DA1"/>
    <w:rsid w:val="00C8307A"/>
    <w:rsid w:val="00C840A9"/>
    <w:rsid w:val="00C86961"/>
    <w:rsid w:val="00C922CB"/>
    <w:rsid w:val="00C92729"/>
    <w:rsid w:val="00CA1861"/>
    <w:rsid w:val="00CA4A64"/>
    <w:rsid w:val="00CA6C69"/>
    <w:rsid w:val="00CB0B3D"/>
    <w:rsid w:val="00CB565B"/>
    <w:rsid w:val="00CC3B2E"/>
    <w:rsid w:val="00CC4063"/>
    <w:rsid w:val="00CC5444"/>
    <w:rsid w:val="00CD130C"/>
    <w:rsid w:val="00CD3D87"/>
    <w:rsid w:val="00CD6054"/>
    <w:rsid w:val="00CD7EDB"/>
    <w:rsid w:val="00CE6AF8"/>
    <w:rsid w:val="00CF050C"/>
    <w:rsid w:val="00CF524F"/>
    <w:rsid w:val="00CF73D2"/>
    <w:rsid w:val="00CF742E"/>
    <w:rsid w:val="00D019D3"/>
    <w:rsid w:val="00D0691F"/>
    <w:rsid w:val="00D07095"/>
    <w:rsid w:val="00D10E0F"/>
    <w:rsid w:val="00D138D3"/>
    <w:rsid w:val="00D167F5"/>
    <w:rsid w:val="00D21661"/>
    <w:rsid w:val="00D23A6D"/>
    <w:rsid w:val="00D24F61"/>
    <w:rsid w:val="00D2663D"/>
    <w:rsid w:val="00D27059"/>
    <w:rsid w:val="00D47B1F"/>
    <w:rsid w:val="00D6116E"/>
    <w:rsid w:val="00D61B53"/>
    <w:rsid w:val="00D64115"/>
    <w:rsid w:val="00D64C0D"/>
    <w:rsid w:val="00D6590A"/>
    <w:rsid w:val="00D70BC5"/>
    <w:rsid w:val="00D763B7"/>
    <w:rsid w:val="00D821C7"/>
    <w:rsid w:val="00D8312A"/>
    <w:rsid w:val="00D90245"/>
    <w:rsid w:val="00D92717"/>
    <w:rsid w:val="00D95A83"/>
    <w:rsid w:val="00D96527"/>
    <w:rsid w:val="00DA15EE"/>
    <w:rsid w:val="00DA44BA"/>
    <w:rsid w:val="00DA70A3"/>
    <w:rsid w:val="00DA7A64"/>
    <w:rsid w:val="00DB25E5"/>
    <w:rsid w:val="00DB7184"/>
    <w:rsid w:val="00DC1E6A"/>
    <w:rsid w:val="00DC3C8A"/>
    <w:rsid w:val="00DC49C4"/>
    <w:rsid w:val="00DD025D"/>
    <w:rsid w:val="00DD1128"/>
    <w:rsid w:val="00DD3108"/>
    <w:rsid w:val="00DE6181"/>
    <w:rsid w:val="00DF0808"/>
    <w:rsid w:val="00DF1E54"/>
    <w:rsid w:val="00DF49E1"/>
    <w:rsid w:val="00DF68E6"/>
    <w:rsid w:val="00DF77FD"/>
    <w:rsid w:val="00E02DDD"/>
    <w:rsid w:val="00E20371"/>
    <w:rsid w:val="00E23C83"/>
    <w:rsid w:val="00E304F0"/>
    <w:rsid w:val="00E32CAD"/>
    <w:rsid w:val="00E3390F"/>
    <w:rsid w:val="00E3683F"/>
    <w:rsid w:val="00E43934"/>
    <w:rsid w:val="00E45665"/>
    <w:rsid w:val="00E457CC"/>
    <w:rsid w:val="00E47AD1"/>
    <w:rsid w:val="00E51586"/>
    <w:rsid w:val="00E538B9"/>
    <w:rsid w:val="00E55D50"/>
    <w:rsid w:val="00E63058"/>
    <w:rsid w:val="00E73FFE"/>
    <w:rsid w:val="00E76930"/>
    <w:rsid w:val="00E80570"/>
    <w:rsid w:val="00E9035B"/>
    <w:rsid w:val="00E9229D"/>
    <w:rsid w:val="00E9573D"/>
    <w:rsid w:val="00E9783C"/>
    <w:rsid w:val="00EA1A2F"/>
    <w:rsid w:val="00EA2959"/>
    <w:rsid w:val="00EA7986"/>
    <w:rsid w:val="00EB15FB"/>
    <w:rsid w:val="00EB3F01"/>
    <w:rsid w:val="00EB4333"/>
    <w:rsid w:val="00EB4DBF"/>
    <w:rsid w:val="00EC2F00"/>
    <w:rsid w:val="00EC39F5"/>
    <w:rsid w:val="00ED111D"/>
    <w:rsid w:val="00ED204B"/>
    <w:rsid w:val="00ED3594"/>
    <w:rsid w:val="00ED3E23"/>
    <w:rsid w:val="00EE25DB"/>
    <w:rsid w:val="00EE5052"/>
    <w:rsid w:val="00EF1278"/>
    <w:rsid w:val="00F00176"/>
    <w:rsid w:val="00F01869"/>
    <w:rsid w:val="00F12CD3"/>
    <w:rsid w:val="00F20874"/>
    <w:rsid w:val="00F22F1D"/>
    <w:rsid w:val="00F272A3"/>
    <w:rsid w:val="00F30684"/>
    <w:rsid w:val="00F3358C"/>
    <w:rsid w:val="00F340CF"/>
    <w:rsid w:val="00F42C44"/>
    <w:rsid w:val="00F46BD5"/>
    <w:rsid w:val="00F47EA7"/>
    <w:rsid w:val="00F56532"/>
    <w:rsid w:val="00F611C1"/>
    <w:rsid w:val="00F64323"/>
    <w:rsid w:val="00F67137"/>
    <w:rsid w:val="00F72229"/>
    <w:rsid w:val="00F73988"/>
    <w:rsid w:val="00F7790E"/>
    <w:rsid w:val="00F81F87"/>
    <w:rsid w:val="00F84738"/>
    <w:rsid w:val="00F954F9"/>
    <w:rsid w:val="00FA20C5"/>
    <w:rsid w:val="00FA3952"/>
    <w:rsid w:val="00FA5A5C"/>
    <w:rsid w:val="00FB2140"/>
    <w:rsid w:val="00FC18A1"/>
    <w:rsid w:val="00FC1EE3"/>
    <w:rsid w:val="00FC3F33"/>
    <w:rsid w:val="00FC549D"/>
    <w:rsid w:val="00FC7155"/>
    <w:rsid w:val="00FD3C01"/>
    <w:rsid w:val="00FF0E7F"/>
    <w:rsid w:val="00FF51AC"/>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41413F"/>
  <w15:docId w15:val="{C813A8A0-E19E-488F-A944-549927D6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B0791"/>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20"/>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20"/>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20"/>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20"/>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20"/>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20"/>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20"/>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FF51AC"/>
    <w:pPr>
      <w:tabs>
        <w:tab w:val="center" w:pos="4535"/>
        <w:tab w:val="right" w:pos="9071"/>
      </w:tabs>
      <w:spacing w:before="0"/>
    </w:pPr>
  </w:style>
  <w:style w:type="character" w:customStyle="1" w:styleId="GlavaZnak">
    <w:name w:val="Glava Znak"/>
    <w:basedOn w:val="Privzetapisavaodstavka"/>
    <w:link w:val="Glava"/>
    <w:uiPriority w:val="99"/>
    <w:rsid w:val="00FF51AC"/>
    <w:rPr>
      <w:rFonts w:ascii="Times New Roman" w:hAnsi="Times New Roman" w:cs="Times New Roman"/>
      <w:sz w:val="24"/>
      <w:lang w:val="sl-SI"/>
    </w:rPr>
  </w:style>
  <w:style w:type="paragraph" w:styleId="Noga">
    <w:name w:val="footer"/>
    <w:basedOn w:val="Navaden"/>
    <w:link w:val="NogaZnak"/>
    <w:uiPriority w:val="99"/>
    <w:unhideWhenUsed/>
    <w:rsid w:val="00FF51AC"/>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FF51AC"/>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FF51AC"/>
    <w:pPr>
      <w:tabs>
        <w:tab w:val="center" w:pos="7285"/>
        <w:tab w:val="right" w:pos="14003"/>
      </w:tabs>
      <w:spacing w:before="0"/>
    </w:pPr>
  </w:style>
  <w:style w:type="paragraph" w:customStyle="1" w:styleId="FooterLandscape">
    <w:name w:val="FooterLandscape"/>
    <w:basedOn w:val="Navaden"/>
    <w:rsid w:val="00FF51AC"/>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FF51A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FF51AC"/>
    <w:pPr>
      <w:spacing w:before="0"/>
      <w:jc w:val="right"/>
    </w:pPr>
    <w:rPr>
      <w:sz w:val="28"/>
    </w:rPr>
  </w:style>
  <w:style w:type="paragraph" w:customStyle="1" w:styleId="FooterSensitivity">
    <w:name w:val="Footer Sensitivity"/>
    <w:basedOn w:val="Navaden"/>
    <w:rsid w:val="00FF51A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9"/>
      </w:numPr>
    </w:pPr>
  </w:style>
  <w:style w:type="paragraph" w:customStyle="1" w:styleId="NumPar2">
    <w:name w:val="NumPar 2"/>
    <w:basedOn w:val="Navaden"/>
    <w:next w:val="Text1"/>
    <w:pPr>
      <w:numPr>
        <w:ilvl w:val="1"/>
        <w:numId w:val="19"/>
      </w:numPr>
    </w:pPr>
  </w:style>
  <w:style w:type="paragraph" w:customStyle="1" w:styleId="NumPar3">
    <w:name w:val="NumPar 3"/>
    <w:basedOn w:val="Navaden"/>
    <w:next w:val="Text1"/>
    <w:pPr>
      <w:numPr>
        <w:ilvl w:val="2"/>
        <w:numId w:val="19"/>
      </w:numPr>
    </w:pPr>
  </w:style>
  <w:style w:type="paragraph" w:customStyle="1" w:styleId="NumPar4">
    <w:name w:val="NumPar 4"/>
    <w:basedOn w:val="Navaden"/>
    <w:next w:val="Text1"/>
    <w:pPr>
      <w:numPr>
        <w:ilvl w:val="3"/>
        <w:numId w:val="19"/>
      </w:numPr>
    </w:pPr>
  </w:style>
  <w:style w:type="paragraph" w:customStyle="1" w:styleId="NumPar5">
    <w:name w:val="NumPar 5"/>
    <w:basedOn w:val="Navaden"/>
    <w:next w:val="Text2"/>
    <w:pPr>
      <w:numPr>
        <w:ilvl w:val="4"/>
        <w:numId w:val="19"/>
      </w:numPr>
    </w:pPr>
  </w:style>
  <w:style w:type="paragraph" w:customStyle="1" w:styleId="NumPar6">
    <w:name w:val="NumPar 6"/>
    <w:basedOn w:val="Navaden"/>
    <w:next w:val="Text2"/>
    <w:pPr>
      <w:numPr>
        <w:ilvl w:val="5"/>
        <w:numId w:val="19"/>
      </w:numPr>
    </w:pPr>
  </w:style>
  <w:style w:type="paragraph" w:customStyle="1" w:styleId="NumPar7">
    <w:name w:val="NumPar 7"/>
    <w:basedOn w:val="Navaden"/>
    <w:next w:val="Text2"/>
    <w:pPr>
      <w:numPr>
        <w:ilvl w:val="6"/>
        <w:numId w:val="19"/>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sid w:val="00F954F9"/>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21"/>
      </w:numPr>
    </w:pPr>
  </w:style>
  <w:style w:type="paragraph" w:customStyle="1" w:styleId="Point1number">
    <w:name w:val="Point 1 (number)"/>
    <w:basedOn w:val="Navaden"/>
    <w:pPr>
      <w:numPr>
        <w:ilvl w:val="2"/>
        <w:numId w:val="21"/>
      </w:numPr>
    </w:pPr>
  </w:style>
  <w:style w:type="paragraph" w:customStyle="1" w:styleId="Point2number">
    <w:name w:val="Point 2 (number)"/>
    <w:basedOn w:val="Navaden"/>
    <w:pPr>
      <w:numPr>
        <w:ilvl w:val="4"/>
        <w:numId w:val="21"/>
      </w:numPr>
    </w:pPr>
  </w:style>
  <w:style w:type="paragraph" w:customStyle="1" w:styleId="Point3number">
    <w:name w:val="Point 3 (number)"/>
    <w:basedOn w:val="Navaden"/>
    <w:pPr>
      <w:numPr>
        <w:ilvl w:val="6"/>
        <w:numId w:val="21"/>
      </w:numPr>
    </w:pPr>
  </w:style>
  <w:style w:type="paragraph" w:customStyle="1" w:styleId="Point0letter">
    <w:name w:val="Point 0 (letter)"/>
    <w:basedOn w:val="Navaden"/>
    <w:pPr>
      <w:numPr>
        <w:ilvl w:val="1"/>
        <w:numId w:val="21"/>
      </w:numPr>
    </w:pPr>
  </w:style>
  <w:style w:type="paragraph" w:customStyle="1" w:styleId="Point1letter">
    <w:name w:val="Point 1 (letter)"/>
    <w:basedOn w:val="Navaden"/>
    <w:pPr>
      <w:numPr>
        <w:ilvl w:val="3"/>
        <w:numId w:val="21"/>
      </w:numPr>
    </w:pPr>
  </w:style>
  <w:style w:type="paragraph" w:customStyle="1" w:styleId="Point2letter">
    <w:name w:val="Point 2 (letter)"/>
    <w:basedOn w:val="Navaden"/>
    <w:pPr>
      <w:numPr>
        <w:ilvl w:val="5"/>
        <w:numId w:val="21"/>
      </w:numPr>
    </w:pPr>
  </w:style>
  <w:style w:type="paragraph" w:customStyle="1" w:styleId="Point3letter">
    <w:name w:val="Point 3 (letter)"/>
    <w:basedOn w:val="Navaden"/>
    <w:pPr>
      <w:numPr>
        <w:ilvl w:val="7"/>
        <w:numId w:val="21"/>
      </w:numPr>
    </w:pPr>
  </w:style>
  <w:style w:type="paragraph" w:customStyle="1" w:styleId="Point4letter">
    <w:name w:val="Point 4 (letter)"/>
    <w:basedOn w:val="Navaden"/>
    <w:pPr>
      <w:numPr>
        <w:ilvl w:val="8"/>
        <w:numId w:val="21"/>
      </w:numPr>
    </w:pPr>
  </w:style>
  <w:style w:type="paragraph" w:customStyle="1" w:styleId="Bullet0">
    <w:name w:val="Bullet 0"/>
    <w:basedOn w:val="Navaden"/>
    <w:pPr>
      <w:numPr>
        <w:numId w:val="22"/>
      </w:numPr>
    </w:pPr>
  </w:style>
  <w:style w:type="paragraph" w:customStyle="1" w:styleId="Bullet1">
    <w:name w:val="Bullet 1"/>
    <w:basedOn w:val="Navaden"/>
    <w:pPr>
      <w:numPr>
        <w:numId w:val="23"/>
      </w:numPr>
    </w:pPr>
  </w:style>
  <w:style w:type="paragraph" w:customStyle="1" w:styleId="Bullet2">
    <w:name w:val="Bullet 2"/>
    <w:basedOn w:val="Navaden"/>
    <w:pPr>
      <w:numPr>
        <w:numId w:val="24"/>
      </w:numPr>
    </w:pPr>
  </w:style>
  <w:style w:type="paragraph" w:customStyle="1" w:styleId="Bullet3">
    <w:name w:val="Bullet 3"/>
    <w:basedOn w:val="Navaden"/>
    <w:pPr>
      <w:numPr>
        <w:numId w:val="25"/>
      </w:numPr>
    </w:pPr>
  </w:style>
  <w:style w:type="paragraph" w:customStyle="1" w:styleId="Bullet4">
    <w:name w:val="Bullet 4"/>
    <w:basedOn w:val="Navaden"/>
    <w:pPr>
      <w:numPr>
        <w:numId w:val="26"/>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7"/>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paragraph" w:styleId="Brezrazmikov">
    <w:name w:val="No Spacing"/>
    <w:uiPriority w:val="1"/>
    <w:qFormat/>
    <w:rsid w:val="00614B4A"/>
    <w:pPr>
      <w:spacing w:after="0" w:line="240" w:lineRule="auto"/>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673260341">
      <w:bodyDiv w:val="1"/>
      <w:marLeft w:val="0"/>
      <w:marRight w:val="0"/>
      <w:marTop w:val="0"/>
      <w:marBottom w:val="0"/>
      <w:divBdr>
        <w:top w:val="none" w:sz="0" w:space="0" w:color="auto"/>
        <w:left w:val="none" w:sz="0" w:space="0" w:color="auto"/>
        <w:bottom w:val="none" w:sz="0" w:space="0" w:color="auto"/>
        <w:right w:val="none" w:sz="0" w:space="0" w:color="auto"/>
      </w:divBdr>
    </w:div>
    <w:div w:id="708142992">
      <w:bodyDiv w:val="1"/>
      <w:marLeft w:val="0"/>
      <w:marRight w:val="0"/>
      <w:marTop w:val="0"/>
      <w:marBottom w:val="0"/>
      <w:divBdr>
        <w:top w:val="none" w:sz="0" w:space="0" w:color="auto"/>
        <w:left w:val="none" w:sz="0" w:space="0" w:color="auto"/>
        <w:bottom w:val="none" w:sz="0" w:space="0" w:color="auto"/>
        <w:right w:val="none" w:sz="0" w:space="0" w:color="auto"/>
      </w:divBdr>
    </w:div>
    <w:div w:id="768279451">
      <w:bodyDiv w:val="1"/>
      <w:marLeft w:val="0"/>
      <w:marRight w:val="0"/>
      <w:marTop w:val="0"/>
      <w:marBottom w:val="0"/>
      <w:divBdr>
        <w:top w:val="none" w:sz="0" w:space="0" w:color="auto"/>
        <w:left w:val="none" w:sz="0" w:space="0" w:color="auto"/>
        <w:bottom w:val="none" w:sz="0" w:space="0" w:color="auto"/>
        <w:right w:val="none" w:sz="0" w:space="0" w:color="auto"/>
      </w:divBdr>
    </w:div>
    <w:div w:id="900289679">
      <w:bodyDiv w:val="1"/>
      <w:marLeft w:val="0"/>
      <w:marRight w:val="0"/>
      <w:marTop w:val="0"/>
      <w:marBottom w:val="0"/>
      <w:divBdr>
        <w:top w:val="none" w:sz="0" w:space="0" w:color="auto"/>
        <w:left w:val="none" w:sz="0" w:space="0" w:color="auto"/>
        <w:bottom w:val="none" w:sz="0" w:space="0" w:color="auto"/>
        <w:right w:val="none" w:sz="0" w:space="0" w:color="auto"/>
      </w:divBdr>
      <w:divsChild>
        <w:div w:id="1646204200">
          <w:marLeft w:val="0"/>
          <w:marRight w:val="0"/>
          <w:marTop w:val="0"/>
          <w:marBottom w:val="0"/>
          <w:divBdr>
            <w:top w:val="none" w:sz="0" w:space="0" w:color="auto"/>
            <w:left w:val="none" w:sz="0" w:space="0" w:color="auto"/>
            <w:bottom w:val="none" w:sz="0" w:space="0" w:color="auto"/>
            <w:right w:val="none" w:sz="0" w:space="0" w:color="auto"/>
          </w:divBdr>
        </w:div>
        <w:div w:id="615450739">
          <w:marLeft w:val="0"/>
          <w:marRight w:val="0"/>
          <w:marTop w:val="0"/>
          <w:marBottom w:val="0"/>
          <w:divBdr>
            <w:top w:val="none" w:sz="0" w:space="0" w:color="auto"/>
            <w:left w:val="none" w:sz="0" w:space="0" w:color="auto"/>
            <w:bottom w:val="none" w:sz="0" w:space="0" w:color="auto"/>
            <w:right w:val="none" w:sz="0" w:space="0" w:color="auto"/>
          </w:divBdr>
        </w:div>
        <w:div w:id="964501591">
          <w:marLeft w:val="0"/>
          <w:marRight w:val="0"/>
          <w:marTop w:val="0"/>
          <w:marBottom w:val="0"/>
          <w:divBdr>
            <w:top w:val="none" w:sz="0" w:space="0" w:color="auto"/>
            <w:left w:val="none" w:sz="0" w:space="0" w:color="auto"/>
            <w:bottom w:val="none" w:sz="0" w:space="0" w:color="auto"/>
            <w:right w:val="none" w:sz="0" w:space="0" w:color="auto"/>
          </w:divBdr>
        </w:div>
      </w:divsChild>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1467966259">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gional_policy/whats-new/conferences/inform-network/inform-27052024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AUTO/?uri=OJ:L:2019:135:TOC" TargetMode="External"/><Relationship Id="rId1" Type="http://schemas.openxmlformats.org/officeDocument/2006/relationships/hyperlink" Target="https://eur-lex.europa.eu/legal-content/SL/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2.xml><?xml version="1.0" encoding="utf-8"?>
<ds:datastoreItem xmlns:ds="http://schemas.openxmlformats.org/officeDocument/2006/customXml" ds:itemID="{24F46FEB-191F-4390-B79A-1CCCD66FB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56D46-FC06-4E2C-B7DB-6E99CB91049A}">
  <ds:schemaRefs>
    <ds:schemaRef ds:uri="http://purl.org/dc/elements/1.1/"/>
    <ds:schemaRef ds:uri="http://purl.org/dc/terms/"/>
    <ds:schemaRef ds:uri="http://schemas.microsoft.com/office/2006/documentManagement/types"/>
    <ds:schemaRef ds:uri="http://www.w3.org/XML/1998/namespace"/>
    <ds:schemaRef ds:uri="5843c966-cb45-4885-93fc-2ce78a94204b"/>
    <ds:schemaRef ds:uri="http://schemas.microsoft.com/office/infopath/2007/PartnerControls"/>
    <ds:schemaRef ds:uri="http://purl.org/dc/dcmitype/"/>
    <ds:schemaRef ds:uri="ac131f03-315b-4cd8-8e3a-6189969fd4f0"/>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85BA09D-E206-44E0-B9E6-BE866E83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19</Pages>
  <Words>8831</Words>
  <Characters>50338</Characters>
  <Application>Microsoft Office Word</Application>
  <DocSecurity>0</DocSecurity>
  <Lines>419</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dc:description/>
  <cp:lastModifiedBy>Mirjam Senčar </cp:lastModifiedBy>
  <cp:revision>2</cp:revision>
  <cp:lastPrinted>2022-11-21T13:10:00Z</cp:lastPrinted>
  <dcterms:created xsi:type="dcterms:W3CDTF">2025-01-28T07:39:00Z</dcterms:created>
  <dcterms:modified xsi:type="dcterms:W3CDTF">2025-01-28T07:39:00Z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