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18.xml" ContentType="application/vnd.openxmlformats-officedocument.wordprocessingml.footer+xml"/>
  <Override PartName="/word/footer19.xml" ContentType="application/vnd.openxmlformats-officedocument.wordprocessingml.footer+xml"/>
  <Override PartName="/word/footer2.xml" ContentType="application/vnd.openxmlformats-officedocument.wordprocessingml.footer+xml"/>
  <Override PartName="/word/footer20.xml" ContentType="application/vnd.openxmlformats-officedocument.wordprocessingml.footer+xml"/>
  <Override PartName="/word/footer21.xml" ContentType="application/vnd.openxmlformats-officedocument.wordprocessingml.footer+xml"/>
  <Override PartName="/word/footer22.xml" ContentType="application/vnd.openxmlformats-officedocument.wordprocessingml.footer+xml"/>
  <Override PartName="/word/footer23.xml" ContentType="application/vnd.openxmlformats-officedocument.wordprocessingml.footer+xml"/>
  <Override PartName="/word/footer24.xml" ContentType="application/vnd.openxmlformats-officedocument.wordprocessingml.footer+xml"/>
  <Override PartName="/word/footer25.xml" ContentType="application/vnd.openxmlformats-officedocument.wordprocessingml.footer+xml"/>
  <Override PartName="/word/footer26.xml" ContentType="application/vnd.openxmlformats-officedocument.wordprocessingml.footer+xml"/>
  <Override PartName="/word/footer27.xml" ContentType="application/vnd.openxmlformats-officedocument.wordprocessingml.footer+xml"/>
  <Override PartName="/word/footer28.xml" ContentType="application/vnd.openxmlformats-officedocument.wordprocessingml.footer+xml"/>
  <Override PartName="/word/footer29.xml" ContentType="application/vnd.openxmlformats-officedocument.wordprocessingml.footer+xml"/>
  <Override PartName="/word/footer3.xml" ContentType="application/vnd.openxmlformats-officedocument.wordprocessingml.footer+xml"/>
  <Override PartName="/word/footer30.xml" ContentType="application/vnd.openxmlformats-officedocument.wordprocessingml.footer+xml"/>
  <Override PartName="/word/footer31.xml" ContentType="application/vnd.openxmlformats-officedocument.wordprocessingml.footer+xml"/>
  <Override PartName="/word/footer32.xml" ContentType="application/vnd.openxmlformats-officedocument.wordprocessingml.footer+xml"/>
  <Override PartName="/word/footer33.xml" ContentType="application/vnd.openxmlformats-officedocument.wordprocessingml.footer+xml"/>
  <Override PartName="/word/footer34.xml" ContentType="application/vnd.openxmlformats-officedocument.wordprocessingml.footer+xml"/>
  <Override PartName="/word/footer35.xml" ContentType="application/vnd.openxmlformats-officedocument.wordprocessingml.footer+xml"/>
  <Override PartName="/word/footer36.xml" ContentType="application/vnd.openxmlformats-officedocument.wordprocessingml.footer+xml"/>
  <Override PartName="/word/footer37.xml" ContentType="application/vnd.openxmlformats-officedocument.wordprocessingml.footer+xml"/>
  <Override PartName="/word/footer38.xml" ContentType="application/vnd.openxmlformats-officedocument.wordprocessingml.footer+xml"/>
  <Override PartName="/word/footer39.xml" ContentType="application/vnd.openxmlformats-officedocument.wordprocessingml.footer+xml"/>
  <Override PartName="/word/footer4.xml" ContentType="application/vnd.openxmlformats-officedocument.wordprocessingml.footer+xml"/>
  <Override PartName="/word/footer40.xml" ContentType="application/vnd.openxmlformats-officedocument.wordprocessingml.footer+xml"/>
  <Override PartName="/word/footer41.xml" ContentType="application/vnd.openxmlformats-officedocument.wordprocessingml.footer+xml"/>
  <Override PartName="/word/footer42.xml" ContentType="application/vnd.openxmlformats-officedocument.wordprocessingml.footer+xml"/>
  <Override PartName="/word/footer43.xml" ContentType="application/vnd.openxmlformats-officedocument.wordprocessingml.footer+xml"/>
  <Override PartName="/word/footer44.xml" ContentType="application/vnd.openxmlformats-officedocument.wordprocessingml.footer+xml"/>
  <Override PartName="/word/footer45.xml" ContentType="application/vnd.openxmlformats-officedocument.wordprocessingml.footer+xml"/>
  <Override PartName="/word/footer46.xml" ContentType="application/vnd.openxmlformats-officedocument.wordprocessingml.footer+xml"/>
  <Override PartName="/word/footer47.xml" ContentType="application/vnd.openxmlformats-officedocument.wordprocessingml.footer+xml"/>
  <Override PartName="/word/footer48.xml" ContentType="application/vnd.openxmlformats-officedocument.wordprocessingml.footer+xml"/>
  <Override PartName="/word/footer49.xml" ContentType="application/vnd.openxmlformats-officedocument.wordprocessingml.footer+xml"/>
  <Override PartName="/word/footer5.xml" ContentType="application/vnd.openxmlformats-officedocument.wordprocessingml.footer+xml"/>
  <Override PartName="/word/footer50.xml" ContentType="application/vnd.openxmlformats-officedocument.wordprocessingml.footer+xml"/>
  <Override PartName="/word/footer51.xml" ContentType="application/vnd.openxmlformats-officedocument.wordprocessingml.footer+xml"/>
  <Override PartName="/word/footer52.xml" ContentType="application/vnd.openxmlformats-officedocument.wordprocessingml.footer+xml"/>
  <Override PartName="/word/footer53.xml" ContentType="application/vnd.openxmlformats-officedocument.wordprocessingml.footer+xml"/>
  <Override PartName="/word/footer54.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18.xml" ContentType="application/vnd.openxmlformats-officedocument.wordprocessingml.header+xml"/>
  <Override PartName="/word/header19.xml" ContentType="application/vnd.openxmlformats-officedocument.wordprocessingml.header+xml"/>
  <Override PartName="/word/header2.xml" ContentType="application/vnd.openxmlformats-officedocument.wordprocessingml.header+xml"/>
  <Override PartName="/word/header20.xml" ContentType="application/vnd.openxmlformats-officedocument.wordprocessingml.header+xml"/>
  <Override PartName="/word/header21.xml" ContentType="application/vnd.openxmlformats-officedocument.wordprocessingml.header+xml"/>
  <Override PartName="/word/header22.xml" ContentType="application/vnd.openxmlformats-officedocument.wordprocessingml.header+xml"/>
  <Override PartName="/word/header23.xml" ContentType="application/vnd.openxmlformats-officedocument.wordprocessingml.header+xml"/>
  <Override PartName="/word/header24.xml" ContentType="application/vnd.openxmlformats-officedocument.wordprocessingml.header+xml"/>
  <Override PartName="/word/header25.xml" ContentType="application/vnd.openxmlformats-officedocument.wordprocessingml.header+xml"/>
  <Override PartName="/word/header26.xml" ContentType="application/vnd.openxmlformats-officedocument.wordprocessingml.header+xml"/>
  <Override PartName="/word/header27.xml" ContentType="application/vnd.openxmlformats-officedocument.wordprocessingml.header+xml"/>
  <Override PartName="/word/header28.xml" ContentType="application/vnd.openxmlformats-officedocument.wordprocessingml.header+xml"/>
  <Override PartName="/word/header29.xml" ContentType="application/vnd.openxmlformats-officedocument.wordprocessingml.header+xml"/>
  <Override PartName="/word/header3.xml" ContentType="application/vnd.openxmlformats-officedocument.wordprocessingml.header+xml"/>
  <Override PartName="/word/header30.xml" ContentType="application/vnd.openxmlformats-officedocument.wordprocessingml.header+xml"/>
  <Override PartName="/word/header31.xml" ContentType="application/vnd.openxmlformats-officedocument.wordprocessingml.header+xml"/>
  <Override PartName="/word/header32.xml" ContentType="application/vnd.openxmlformats-officedocument.wordprocessingml.header+xml"/>
  <Override PartName="/word/header33.xml" ContentType="application/vnd.openxmlformats-officedocument.wordprocessingml.header+xml"/>
  <Override PartName="/word/header34.xml" ContentType="application/vnd.openxmlformats-officedocument.wordprocessingml.header+xml"/>
  <Override PartName="/word/header35.xml" ContentType="application/vnd.openxmlformats-officedocument.wordprocessingml.header+xml"/>
  <Override PartName="/word/header36.xml" ContentType="application/vnd.openxmlformats-officedocument.wordprocessingml.header+xml"/>
  <Override PartName="/word/header37.xml" ContentType="application/vnd.openxmlformats-officedocument.wordprocessingml.header+xml"/>
  <Override PartName="/word/header38.xml" ContentType="application/vnd.openxmlformats-officedocument.wordprocessingml.header+xml"/>
  <Override PartName="/word/header39.xml" ContentType="application/vnd.openxmlformats-officedocument.wordprocessingml.header+xml"/>
  <Override PartName="/word/header4.xml" ContentType="application/vnd.openxmlformats-officedocument.wordprocessingml.header+xml"/>
  <Override PartName="/word/header40.xml" ContentType="application/vnd.openxmlformats-officedocument.wordprocessingml.header+xml"/>
  <Override PartName="/word/header41.xml" ContentType="application/vnd.openxmlformats-officedocument.wordprocessingml.header+xml"/>
  <Override PartName="/word/header42.xml" ContentType="application/vnd.openxmlformats-officedocument.wordprocessingml.header+xml"/>
  <Override PartName="/word/header43.xml" ContentType="application/vnd.openxmlformats-officedocument.wordprocessingml.header+xml"/>
  <Override PartName="/word/header44.xml" ContentType="application/vnd.openxmlformats-officedocument.wordprocessingml.header+xml"/>
  <Override PartName="/word/header45.xml" ContentType="application/vnd.openxmlformats-officedocument.wordprocessingml.header+xml"/>
  <Override PartName="/word/header46.xml" ContentType="application/vnd.openxmlformats-officedocument.wordprocessingml.header+xml"/>
  <Override PartName="/word/header47.xml" ContentType="application/vnd.openxmlformats-officedocument.wordprocessingml.header+xml"/>
  <Override PartName="/word/header48.xml" ContentType="application/vnd.openxmlformats-officedocument.wordprocessingml.header+xml"/>
  <Override PartName="/word/header49.xml" ContentType="application/vnd.openxmlformats-officedocument.wordprocessingml.header+xml"/>
  <Override PartName="/word/header5.xml" ContentType="application/vnd.openxmlformats-officedocument.wordprocessingml.header+xml"/>
  <Override PartName="/word/header50.xml" ContentType="application/vnd.openxmlformats-officedocument.wordprocessingml.header+xml"/>
  <Override PartName="/word/header51.xml" ContentType="application/vnd.openxmlformats-officedocument.wordprocessingml.header+xml"/>
  <Override PartName="/word/header52.xml" ContentType="application/vnd.openxmlformats-officedocument.wordprocessingml.header+xml"/>
  <Override PartName="/word/header53.xml" ContentType="application/vnd.openxmlformats-officedocument.wordprocessingml.header+xml"/>
  <Override PartName="/word/header54.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purl.oclc.org/ooxml/officeDocument/relationships/officeDocument" Target="word/document.xml" /><Relationship Id="rId2" Type="http://purl.oclc.org/ooxml/officeDocument/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conformance="strict">
  <!-- Generated by Aspose.Words for Java 24.10.0 -->
  <w:body>
    <w:p w:rsidR="00A77B3E">
      <w:pPr>
        <w:jc w:val="start"/>
      </w:pPr>
    </w:p>
    <w:p w:rsidR="00A77B3E">
      <w:pPr>
        <w:jc w:val="center"/>
        <w:rPr>
          <w:rFonts w:ascii="Times New Roman" w:eastAsia="Times New Roman" w:hAnsi="Times New Roman" w:cs="Times New Roman"/>
          <w:vanish w:val="0"/>
          <w:color w:val="000000"/>
          <w:sz w:val="32"/>
        </w:rPr>
      </w:pPr>
      <w:r>
        <w:rPr>
          <w:rFonts w:ascii="Times New Roman" w:eastAsia="Times New Roman" w:hAnsi="Times New Roman" w:cs="Times New Roman"/>
          <w:vanish w:val="0"/>
          <w:color w:val="000000"/>
          <w:sz w:val="32"/>
        </w:rPr>
        <w:t>Program SFC2021 za AMIF, SNV in IUMV</w:t>
      </w:r>
    </w:p>
    <w:p w:rsidR="00A77B3E">
      <w:pPr>
        <w:jc w:val="center"/>
        <w:rPr>
          <w:rFonts w:ascii="Times New Roman" w:eastAsia="Times New Roman" w:hAnsi="Times New Roman" w:cs="Times New Roman"/>
          <w:vanish w:val="0"/>
          <w:color w:val="000000"/>
          <w:sz w:val="32"/>
        </w:rPr>
      </w:pPr>
    </w:p>
    <w:tbl>
      <w:tblPr>
        <w:tblW w:w="100%" w:type="pct"/>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CellMar>
          <w:start w:w="5.4pt" w:type="dxa"/>
          <w:end w:w="5.4pt" w:type="dxa"/>
        </w:tblCellMar>
      </w:tblPr>
      <w:tblGrid>
        <w:gridCol w:w="5225"/>
        <w:gridCol w:w="5225"/>
      </w:tblGrid>
      <w:tr>
        <w:tblPrEx>
          <w:tblW w:w="100%" w:type="pct"/>
        </w:tblPrEx>
        <w:trPr>
          <w:trHeight w:val="240"/>
        </w:trPr>
        <w:tc>
          <w:tcPr>
            <w:tcW w:w="33.34%" w:type="pct"/>
            <w:tcMar>
              <w:start w:w="5pt" w:type="dxa"/>
              <w:end w:w="5pt" w:type="dxa"/>
            </w:tcMar>
            <w:vAlign w:val="top"/>
          </w:tcPr>
          <w:p w:rsidR="00A77B3E">
            <w:pPr>
              <w:jc w:val="start"/>
              <w:rPr>
                <w:rFonts w:ascii="Times New Roman" w:eastAsia="Times New Roman" w:hAnsi="Times New Roman" w:cs="Times New Roman"/>
                <w:b w:val="0"/>
                <w:i w:val="0"/>
                <w:vanish w:val="0"/>
                <w:color w:val="000000"/>
                <w:sz w:val="24"/>
              </w:rPr>
            </w:pPr>
            <w:r>
              <w:rPr>
                <w:rFonts w:ascii="Times New Roman" w:eastAsia="Times New Roman" w:hAnsi="Times New Roman" w:cs="Times New Roman"/>
                <w:b w:val="0"/>
                <w:i w:val="0"/>
                <w:vanish w:val="0"/>
                <w:color w:val="000000"/>
                <w:sz w:val="24"/>
              </w:rPr>
              <w:t>Številka CCI</w:t>
            </w:r>
          </w:p>
        </w:tc>
        <w:tc>
          <w:tcPr>
            <w:tcW w:w="33.34%" w:type="pct"/>
            <w:tcMar>
              <w:start w:w="5pt" w:type="dxa"/>
              <w:end w:w="5pt" w:type="dxa"/>
            </w:tcMar>
            <w:vAlign w:val="top"/>
          </w:tcPr>
          <w:p w:rsidR="00A77B3E">
            <w:pPr>
              <w:jc w:val="start"/>
              <w:rPr>
                <w:rFonts w:ascii="Times New Roman" w:eastAsia="Times New Roman" w:hAnsi="Times New Roman" w:cs="Times New Roman"/>
                <w:b w:val="0"/>
                <w:i w:val="0"/>
                <w:vanish w:val="0"/>
                <w:color w:val="000000"/>
                <w:sz w:val="24"/>
              </w:rPr>
            </w:pPr>
            <w:r>
              <w:rPr>
                <w:rFonts w:ascii="Times New Roman" w:eastAsia="Times New Roman" w:hAnsi="Times New Roman" w:cs="Times New Roman"/>
                <w:b w:val="0"/>
                <w:i w:val="0"/>
                <w:vanish w:val="0"/>
                <w:color w:val="000000"/>
                <w:sz w:val="24"/>
              </w:rPr>
              <w:t>2021SI65ISPR001</w:t>
            </w:r>
          </w:p>
        </w:tc>
      </w:tr>
      <w:tr>
        <w:tblPrEx>
          <w:tblW w:w="100%" w:type="pct"/>
        </w:tblPrEx>
        <w:trPr>
          <w:trHeight w:val="240"/>
        </w:trPr>
        <w:tc>
          <w:tcPr>
            <w:tcW w:w="33.34%" w:type="pct"/>
            <w:tcMar>
              <w:start w:w="5pt" w:type="dxa"/>
              <w:end w:w="5pt" w:type="dxa"/>
            </w:tcMar>
            <w:vAlign w:val="top"/>
          </w:tcPr>
          <w:p w:rsidR="00A77B3E">
            <w:pPr>
              <w:jc w:val="start"/>
              <w:rPr>
                <w:rFonts w:ascii="Times New Roman" w:eastAsia="Times New Roman" w:hAnsi="Times New Roman" w:cs="Times New Roman"/>
                <w:b w:val="0"/>
                <w:i w:val="0"/>
                <w:vanish w:val="0"/>
                <w:color w:val="000000"/>
                <w:sz w:val="24"/>
              </w:rPr>
            </w:pPr>
            <w:r>
              <w:rPr>
                <w:rFonts w:ascii="Times New Roman" w:eastAsia="Times New Roman" w:hAnsi="Times New Roman" w:cs="Times New Roman"/>
                <w:b w:val="0"/>
                <w:i w:val="0"/>
                <w:vanish w:val="0"/>
                <w:color w:val="000000"/>
                <w:sz w:val="24"/>
              </w:rPr>
              <w:t>Naslov v angleščini</w:t>
            </w:r>
          </w:p>
        </w:tc>
        <w:tc>
          <w:tcPr>
            <w:tcW w:w="33.34%" w:type="pct"/>
            <w:tcMar>
              <w:start w:w="5pt" w:type="dxa"/>
              <w:end w:w="5pt" w:type="dxa"/>
            </w:tcMar>
            <w:vAlign w:val="top"/>
          </w:tcPr>
          <w:p w:rsidR="00A77B3E">
            <w:pPr>
              <w:jc w:val="start"/>
              <w:rPr>
                <w:rFonts w:ascii="Times New Roman" w:eastAsia="Times New Roman" w:hAnsi="Times New Roman" w:cs="Times New Roman"/>
                <w:b w:val="0"/>
                <w:i w:val="0"/>
                <w:vanish w:val="0"/>
                <w:color w:val="000000"/>
                <w:sz w:val="24"/>
              </w:rPr>
            </w:pPr>
            <w:r>
              <w:rPr>
                <w:rFonts w:ascii="Times New Roman" w:eastAsia="Times New Roman" w:hAnsi="Times New Roman" w:cs="Times New Roman"/>
                <w:b w:val="0"/>
                <w:i w:val="0"/>
                <w:vanish w:val="0"/>
                <w:color w:val="000000"/>
                <w:sz w:val="24"/>
              </w:rPr>
              <w:t>Programme Slovenia - ISF</w:t>
            </w:r>
          </w:p>
        </w:tc>
      </w:tr>
      <w:tr>
        <w:tblPrEx>
          <w:tblW w:w="100%" w:type="pct"/>
        </w:tblPrEx>
        <w:trPr>
          <w:trHeight w:val="240"/>
        </w:trPr>
        <w:tc>
          <w:tcPr>
            <w:tcW w:w="33.34%" w:type="pct"/>
            <w:tcMar>
              <w:start w:w="5pt" w:type="dxa"/>
              <w:end w:w="5pt" w:type="dxa"/>
            </w:tcMar>
            <w:vAlign w:val="top"/>
          </w:tcPr>
          <w:p w:rsidR="00A77B3E">
            <w:pPr>
              <w:jc w:val="start"/>
              <w:rPr>
                <w:rFonts w:ascii="Times New Roman" w:eastAsia="Times New Roman" w:hAnsi="Times New Roman" w:cs="Times New Roman"/>
                <w:b w:val="0"/>
                <w:i w:val="0"/>
                <w:vanish w:val="0"/>
                <w:color w:val="000000"/>
                <w:sz w:val="24"/>
              </w:rPr>
            </w:pPr>
            <w:r>
              <w:rPr>
                <w:rFonts w:ascii="Times New Roman" w:eastAsia="Times New Roman" w:hAnsi="Times New Roman" w:cs="Times New Roman"/>
                <w:b w:val="0"/>
                <w:i w:val="0"/>
                <w:vanish w:val="0"/>
                <w:color w:val="000000"/>
                <w:sz w:val="24"/>
              </w:rPr>
              <w:t>Naslov v nacionalnem jeziku (nacionalnih jezikih)</w:t>
            </w:r>
          </w:p>
        </w:tc>
        <w:tc>
          <w:tcPr>
            <w:tcW w:w="33.34%" w:type="pct"/>
            <w:tcMar>
              <w:start w:w="5pt" w:type="dxa"/>
              <w:end w:w="5pt" w:type="dxa"/>
            </w:tcMar>
            <w:vAlign w:val="top"/>
          </w:tcPr>
          <w:p w:rsidR="00A77B3E">
            <w:pPr>
              <w:jc w:val="start"/>
              <w:rPr>
                <w:rFonts w:ascii="Times New Roman" w:eastAsia="Times New Roman" w:hAnsi="Times New Roman" w:cs="Times New Roman"/>
                <w:b w:val="0"/>
                <w:i w:val="0"/>
                <w:vanish w:val="0"/>
                <w:color w:val="000000"/>
                <w:sz w:val="24"/>
              </w:rPr>
            </w:pPr>
            <w:r>
              <w:rPr>
                <w:rFonts w:ascii="Times New Roman" w:eastAsia="Times New Roman" w:hAnsi="Times New Roman" w:cs="Times New Roman"/>
                <w:b w:val="0"/>
                <w:i w:val="0"/>
                <w:vanish w:val="0"/>
                <w:color w:val="000000"/>
                <w:sz w:val="24"/>
              </w:rPr>
              <w:t>SL - Programme Slovenia - SNV</w:t>
            </w:r>
          </w:p>
        </w:tc>
      </w:tr>
      <w:tr>
        <w:tblPrEx>
          <w:tblW w:w="100%" w:type="pct"/>
        </w:tblPrEx>
        <w:trPr>
          <w:trHeight w:val="240"/>
        </w:trPr>
        <w:tc>
          <w:tcPr>
            <w:tcW w:w="33.34%" w:type="pct"/>
            <w:tcMar>
              <w:start w:w="5pt" w:type="dxa"/>
              <w:end w:w="5pt" w:type="dxa"/>
            </w:tcMar>
            <w:vAlign w:val="top"/>
          </w:tcPr>
          <w:p w:rsidR="00A77B3E">
            <w:pPr>
              <w:jc w:val="start"/>
              <w:rPr>
                <w:rFonts w:ascii="Times New Roman" w:eastAsia="Times New Roman" w:hAnsi="Times New Roman" w:cs="Times New Roman"/>
                <w:b w:val="0"/>
                <w:i w:val="0"/>
                <w:vanish w:val="0"/>
                <w:color w:val="000000"/>
                <w:sz w:val="24"/>
              </w:rPr>
            </w:pPr>
            <w:r>
              <w:rPr>
                <w:rFonts w:ascii="Times New Roman" w:eastAsia="Times New Roman" w:hAnsi="Times New Roman" w:cs="Times New Roman"/>
                <w:b w:val="0"/>
                <w:i w:val="0"/>
                <w:vanish w:val="0"/>
                <w:color w:val="000000"/>
                <w:sz w:val="24"/>
              </w:rPr>
              <w:t>Različica</w:t>
            </w:r>
          </w:p>
        </w:tc>
        <w:tc>
          <w:tcPr>
            <w:tcW w:w="33.34%" w:type="pct"/>
            <w:tcMar>
              <w:start w:w="5pt" w:type="dxa"/>
              <w:end w:w="5pt" w:type="dxa"/>
            </w:tcMar>
            <w:vAlign w:val="top"/>
          </w:tcPr>
          <w:p w:rsidR="00A77B3E">
            <w:pPr>
              <w:jc w:val="start"/>
              <w:rPr>
                <w:rFonts w:ascii="Times New Roman" w:eastAsia="Times New Roman" w:hAnsi="Times New Roman" w:cs="Times New Roman"/>
                <w:b w:val="0"/>
                <w:i w:val="0"/>
                <w:vanish w:val="0"/>
                <w:color w:val="000000"/>
                <w:sz w:val="24"/>
              </w:rPr>
            </w:pPr>
            <w:r>
              <w:rPr>
                <w:rFonts w:ascii="Times New Roman" w:eastAsia="Times New Roman" w:hAnsi="Times New Roman" w:cs="Times New Roman"/>
                <w:b w:val="0"/>
                <w:i w:val="0"/>
                <w:vanish w:val="0"/>
                <w:color w:val="000000"/>
                <w:sz w:val="24"/>
              </w:rPr>
              <w:t>2.0</w:t>
            </w:r>
          </w:p>
        </w:tc>
      </w:tr>
      <w:tr>
        <w:tblPrEx>
          <w:tblW w:w="100%" w:type="pct"/>
        </w:tblPrEx>
        <w:trPr>
          <w:trHeight w:val="240"/>
        </w:trPr>
        <w:tc>
          <w:tcPr>
            <w:tcW w:w="33.34%" w:type="pct"/>
            <w:tcMar>
              <w:start w:w="5pt" w:type="dxa"/>
              <w:end w:w="5pt" w:type="dxa"/>
            </w:tcMar>
            <w:vAlign w:val="top"/>
          </w:tcPr>
          <w:p w:rsidR="00A77B3E">
            <w:pPr>
              <w:jc w:val="start"/>
              <w:rPr>
                <w:rFonts w:ascii="Times New Roman" w:eastAsia="Times New Roman" w:hAnsi="Times New Roman" w:cs="Times New Roman"/>
                <w:b w:val="0"/>
                <w:i w:val="0"/>
                <w:vanish w:val="0"/>
                <w:color w:val="000000"/>
                <w:sz w:val="24"/>
              </w:rPr>
            </w:pPr>
            <w:r>
              <w:rPr>
                <w:rFonts w:ascii="Times New Roman" w:eastAsia="Times New Roman" w:hAnsi="Times New Roman" w:cs="Times New Roman"/>
                <w:b w:val="0"/>
                <w:i w:val="0"/>
                <w:vanish w:val="0"/>
                <w:color w:val="000000"/>
                <w:sz w:val="24"/>
              </w:rPr>
              <w:t>Prvo leto</w:t>
            </w:r>
          </w:p>
        </w:tc>
        <w:tc>
          <w:tcPr>
            <w:tcW w:w="33.34%" w:type="pct"/>
            <w:tcMar>
              <w:start w:w="5pt" w:type="dxa"/>
              <w:end w:w="5pt" w:type="dxa"/>
            </w:tcMar>
            <w:vAlign w:val="top"/>
          </w:tcPr>
          <w:p w:rsidR="00A77B3E">
            <w:pPr>
              <w:jc w:val="start"/>
              <w:rPr>
                <w:rFonts w:ascii="Times New Roman" w:eastAsia="Times New Roman" w:hAnsi="Times New Roman" w:cs="Times New Roman"/>
                <w:b w:val="0"/>
                <w:i w:val="0"/>
                <w:vanish w:val="0"/>
                <w:color w:val="000000"/>
                <w:sz w:val="24"/>
              </w:rPr>
            </w:pPr>
            <w:r>
              <w:rPr>
                <w:rFonts w:ascii="Times New Roman" w:eastAsia="Times New Roman" w:hAnsi="Times New Roman" w:cs="Times New Roman"/>
                <w:b w:val="0"/>
                <w:i w:val="0"/>
                <w:vanish w:val="0"/>
                <w:color w:val="000000"/>
                <w:sz w:val="24"/>
              </w:rPr>
              <w:t>2021</w:t>
            </w:r>
          </w:p>
        </w:tc>
      </w:tr>
      <w:tr>
        <w:tblPrEx>
          <w:tblW w:w="100%" w:type="pct"/>
        </w:tblPrEx>
        <w:trPr>
          <w:trHeight w:val="240"/>
        </w:trPr>
        <w:tc>
          <w:tcPr>
            <w:tcW w:w="33.34%" w:type="pct"/>
            <w:tcMar>
              <w:start w:w="5pt" w:type="dxa"/>
              <w:end w:w="5pt" w:type="dxa"/>
            </w:tcMar>
            <w:vAlign w:val="top"/>
          </w:tcPr>
          <w:p w:rsidR="00A77B3E">
            <w:pPr>
              <w:jc w:val="start"/>
              <w:rPr>
                <w:rFonts w:ascii="Times New Roman" w:eastAsia="Times New Roman" w:hAnsi="Times New Roman" w:cs="Times New Roman"/>
                <w:b w:val="0"/>
                <w:i w:val="0"/>
                <w:vanish w:val="0"/>
                <w:color w:val="000000"/>
                <w:sz w:val="24"/>
              </w:rPr>
            </w:pPr>
            <w:r>
              <w:rPr>
                <w:rFonts w:ascii="Times New Roman" w:eastAsia="Times New Roman" w:hAnsi="Times New Roman" w:cs="Times New Roman"/>
                <w:b w:val="0"/>
                <w:i w:val="0"/>
                <w:vanish w:val="0"/>
                <w:color w:val="000000"/>
                <w:sz w:val="24"/>
              </w:rPr>
              <w:t>Zadnje leto</w:t>
            </w:r>
          </w:p>
        </w:tc>
        <w:tc>
          <w:tcPr>
            <w:tcW w:w="33.34%" w:type="pct"/>
            <w:tcMar>
              <w:start w:w="5pt" w:type="dxa"/>
              <w:end w:w="5pt" w:type="dxa"/>
            </w:tcMar>
            <w:vAlign w:val="top"/>
          </w:tcPr>
          <w:p w:rsidR="00A77B3E">
            <w:pPr>
              <w:jc w:val="start"/>
              <w:rPr>
                <w:rFonts w:ascii="Times New Roman" w:eastAsia="Times New Roman" w:hAnsi="Times New Roman" w:cs="Times New Roman"/>
                <w:b w:val="0"/>
                <w:i w:val="0"/>
                <w:vanish w:val="0"/>
                <w:color w:val="000000"/>
                <w:sz w:val="24"/>
              </w:rPr>
            </w:pPr>
            <w:r>
              <w:rPr>
                <w:rFonts w:ascii="Times New Roman" w:eastAsia="Times New Roman" w:hAnsi="Times New Roman" w:cs="Times New Roman"/>
                <w:b w:val="0"/>
                <w:i w:val="0"/>
                <w:vanish w:val="0"/>
                <w:color w:val="000000"/>
                <w:sz w:val="24"/>
              </w:rPr>
              <w:t>2027</w:t>
            </w:r>
          </w:p>
        </w:tc>
      </w:tr>
      <w:tr>
        <w:tblPrEx>
          <w:tblW w:w="100%" w:type="pct"/>
        </w:tblPrEx>
        <w:trPr>
          <w:trHeight w:val="240"/>
        </w:trPr>
        <w:tc>
          <w:tcPr>
            <w:tcW w:w="33.34%" w:type="pct"/>
            <w:tcMar>
              <w:start w:w="5pt" w:type="dxa"/>
              <w:end w:w="5pt" w:type="dxa"/>
            </w:tcMar>
            <w:vAlign w:val="top"/>
          </w:tcPr>
          <w:p w:rsidR="00A77B3E">
            <w:pPr>
              <w:jc w:val="start"/>
              <w:rPr>
                <w:rFonts w:ascii="Times New Roman" w:eastAsia="Times New Roman" w:hAnsi="Times New Roman" w:cs="Times New Roman"/>
                <w:b w:val="0"/>
                <w:i w:val="0"/>
                <w:vanish w:val="0"/>
                <w:color w:val="000000"/>
                <w:sz w:val="24"/>
              </w:rPr>
            </w:pPr>
            <w:r>
              <w:rPr>
                <w:rFonts w:ascii="Times New Roman" w:eastAsia="Times New Roman" w:hAnsi="Times New Roman" w:cs="Times New Roman"/>
                <w:b w:val="0"/>
                <w:i w:val="0"/>
                <w:vanish w:val="0"/>
                <w:color w:val="000000"/>
                <w:sz w:val="24"/>
              </w:rPr>
              <w:t>Upravičen od</w:t>
            </w:r>
          </w:p>
        </w:tc>
        <w:tc>
          <w:tcPr>
            <w:tcW w:w="33.34%" w:type="pct"/>
            <w:tcMar>
              <w:start w:w="5pt" w:type="dxa"/>
              <w:end w:w="5pt" w:type="dxa"/>
            </w:tcMar>
            <w:vAlign w:val="top"/>
          </w:tcPr>
          <w:p w:rsidR="00A77B3E">
            <w:pPr>
              <w:jc w:val="start"/>
              <w:rPr>
                <w:rFonts w:ascii="Times New Roman" w:eastAsia="Times New Roman" w:hAnsi="Times New Roman" w:cs="Times New Roman"/>
                <w:b w:val="0"/>
                <w:i w:val="0"/>
                <w:vanish w:val="0"/>
                <w:color w:val="000000"/>
                <w:sz w:val="24"/>
              </w:rPr>
            </w:pPr>
            <w:r>
              <w:rPr>
                <w:rFonts w:ascii="Times New Roman" w:eastAsia="Times New Roman" w:hAnsi="Times New Roman" w:cs="Times New Roman"/>
                <w:b w:val="0"/>
                <w:i w:val="0"/>
                <w:vanish w:val="0"/>
                <w:color w:val="000000"/>
                <w:sz w:val="24"/>
              </w:rPr>
              <w:t>1. jan. 2021</w:t>
            </w:r>
          </w:p>
        </w:tc>
      </w:tr>
      <w:tr>
        <w:tblPrEx>
          <w:tblW w:w="100%" w:type="pct"/>
        </w:tblPrEx>
        <w:trPr>
          <w:trHeight w:val="240"/>
        </w:trPr>
        <w:tc>
          <w:tcPr>
            <w:tcW w:w="33.34%" w:type="pct"/>
            <w:tcMar>
              <w:start w:w="5pt" w:type="dxa"/>
              <w:end w:w="5pt" w:type="dxa"/>
            </w:tcMar>
            <w:vAlign w:val="top"/>
          </w:tcPr>
          <w:p w:rsidR="00A77B3E">
            <w:pPr>
              <w:jc w:val="start"/>
              <w:rPr>
                <w:rFonts w:ascii="Times New Roman" w:eastAsia="Times New Roman" w:hAnsi="Times New Roman" w:cs="Times New Roman"/>
                <w:b w:val="0"/>
                <w:i w:val="0"/>
                <w:vanish w:val="0"/>
                <w:color w:val="000000"/>
                <w:sz w:val="24"/>
              </w:rPr>
            </w:pPr>
            <w:r>
              <w:rPr>
                <w:rFonts w:ascii="Times New Roman" w:eastAsia="Times New Roman" w:hAnsi="Times New Roman" w:cs="Times New Roman"/>
                <w:b w:val="0"/>
                <w:i w:val="0"/>
                <w:vanish w:val="0"/>
                <w:color w:val="000000"/>
                <w:sz w:val="24"/>
              </w:rPr>
              <w:t>Upravičen do</w:t>
            </w:r>
          </w:p>
        </w:tc>
        <w:tc>
          <w:tcPr>
            <w:tcW w:w="33.34%" w:type="pct"/>
            <w:tcMar>
              <w:start w:w="5pt" w:type="dxa"/>
              <w:end w:w="5pt" w:type="dxa"/>
            </w:tcMar>
            <w:vAlign w:val="top"/>
          </w:tcPr>
          <w:p w:rsidR="00A77B3E">
            <w:pPr>
              <w:jc w:val="start"/>
              <w:rPr>
                <w:rFonts w:ascii="Times New Roman" w:eastAsia="Times New Roman" w:hAnsi="Times New Roman" w:cs="Times New Roman"/>
                <w:b w:val="0"/>
                <w:i w:val="0"/>
                <w:vanish w:val="0"/>
                <w:color w:val="000000"/>
                <w:sz w:val="24"/>
              </w:rPr>
            </w:pPr>
            <w:r>
              <w:rPr>
                <w:rFonts w:ascii="Times New Roman" w:eastAsia="Times New Roman" w:hAnsi="Times New Roman" w:cs="Times New Roman"/>
                <w:b w:val="0"/>
                <w:i w:val="0"/>
                <w:vanish w:val="0"/>
                <w:color w:val="000000"/>
                <w:sz w:val="24"/>
              </w:rPr>
              <w:t>31. dec. 2029</w:t>
            </w:r>
          </w:p>
        </w:tc>
      </w:tr>
      <w:tr>
        <w:tblPrEx>
          <w:tblW w:w="100%" w:type="pct"/>
        </w:tblPrEx>
        <w:trPr>
          <w:trHeight w:val="240"/>
        </w:trPr>
        <w:tc>
          <w:tcPr>
            <w:tcW w:w="33.34%" w:type="pct"/>
            <w:tcMar>
              <w:start w:w="5pt" w:type="dxa"/>
              <w:end w:w="5pt" w:type="dxa"/>
            </w:tcMar>
            <w:vAlign w:val="top"/>
          </w:tcPr>
          <w:p w:rsidR="00A77B3E">
            <w:pPr>
              <w:jc w:val="start"/>
              <w:rPr>
                <w:rFonts w:ascii="Times New Roman" w:eastAsia="Times New Roman" w:hAnsi="Times New Roman" w:cs="Times New Roman"/>
                <w:b w:val="0"/>
                <w:i w:val="0"/>
                <w:vanish w:val="0"/>
                <w:color w:val="000000"/>
                <w:sz w:val="24"/>
              </w:rPr>
            </w:pPr>
            <w:r>
              <w:rPr>
                <w:rFonts w:ascii="Times New Roman" w:eastAsia="Times New Roman" w:hAnsi="Times New Roman" w:cs="Times New Roman"/>
                <w:b w:val="0"/>
                <w:i w:val="0"/>
                <w:vanish w:val="0"/>
                <w:color w:val="000000"/>
                <w:sz w:val="24"/>
              </w:rPr>
              <w:t>Številka sklepa Komisije</w:t>
            </w:r>
          </w:p>
        </w:tc>
        <w:tc>
          <w:tcPr>
            <w:tcW w:w="33.34%" w:type="pct"/>
            <w:tcMar>
              <w:start w:w="5pt" w:type="dxa"/>
              <w:end w:w="5pt" w:type="dxa"/>
            </w:tcMar>
            <w:vAlign w:val="top"/>
          </w:tcPr>
          <w:p w:rsidR="00A77B3E">
            <w:pPr>
              <w:jc w:val="start"/>
              <w:rPr>
                <w:rFonts w:ascii="Times New Roman" w:eastAsia="Times New Roman" w:hAnsi="Times New Roman" w:cs="Times New Roman"/>
                <w:b w:val="0"/>
                <w:i w:val="0"/>
                <w:vanish w:val="0"/>
                <w:color w:val="000000"/>
                <w:sz w:val="24"/>
              </w:rPr>
            </w:pPr>
            <w:r>
              <w:rPr>
                <w:rFonts w:ascii="Times New Roman" w:eastAsia="Times New Roman" w:hAnsi="Times New Roman" w:cs="Times New Roman"/>
                <w:b w:val="0"/>
                <w:i w:val="0"/>
                <w:vanish w:val="0"/>
                <w:color w:val="000000"/>
                <w:sz w:val="24"/>
              </w:rPr>
              <w:t>C(2024)8205</w:t>
            </w:r>
          </w:p>
        </w:tc>
      </w:tr>
      <w:tr>
        <w:tblPrEx>
          <w:tblW w:w="100%" w:type="pct"/>
        </w:tblPrEx>
        <w:trPr>
          <w:trHeight w:val="240"/>
        </w:trPr>
        <w:tc>
          <w:tcPr>
            <w:tcW w:w="33.34%" w:type="pct"/>
            <w:tcMar>
              <w:start w:w="5pt" w:type="dxa"/>
              <w:end w:w="5pt" w:type="dxa"/>
            </w:tcMar>
            <w:vAlign w:val="top"/>
          </w:tcPr>
          <w:p w:rsidR="00A77B3E">
            <w:pPr>
              <w:jc w:val="start"/>
              <w:rPr>
                <w:rFonts w:ascii="Times New Roman" w:eastAsia="Times New Roman" w:hAnsi="Times New Roman" w:cs="Times New Roman"/>
                <w:b w:val="0"/>
                <w:i w:val="0"/>
                <w:vanish w:val="0"/>
                <w:color w:val="000000"/>
                <w:sz w:val="24"/>
              </w:rPr>
            </w:pPr>
            <w:r>
              <w:rPr>
                <w:rFonts w:ascii="Times New Roman" w:eastAsia="Times New Roman" w:hAnsi="Times New Roman" w:cs="Times New Roman"/>
                <w:b w:val="0"/>
                <w:i w:val="0"/>
                <w:vanish w:val="0"/>
                <w:color w:val="000000"/>
                <w:sz w:val="24"/>
              </w:rPr>
              <w:t>Datum sklepa Komisije</w:t>
            </w:r>
          </w:p>
        </w:tc>
        <w:tc>
          <w:tcPr>
            <w:tcW w:w="33.34%" w:type="pct"/>
            <w:tcMar>
              <w:start w:w="5pt" w:type="dxa"/>
              <w:end w:w="5pt" w:type="dxa"/>
            </w:tcMar>
            <w:vAlign w:val="top"/>
          </w:tcPr>
          <w:p w:rsidR="00A77B3E">
            <w:pPr>
              <w:jc w:val="start"/>
              <w:rPr>
                <w:rFonts w:ascii="Times New Roman" w:eastAsia="Times New Roman" w:hAnsi="Times New Roman" w:cs="Times New Roman"/>
                <w:b w:val="0"/>
                <w:i w:val="0"/>
                <w:vanish w:val="0"/>
                <w:color w:val="000000"/>
                <w:sz w:val="24"/>
              </w:rPr>
            </w:pPr>
            <w:r>
              <w:rPr>
                <w:rFonts w:ascii="Times New Roman" w:eastAsia="Times New Roman" w:hAnsi="Times New Roman" w:cs="Times New Roman"/>
                <w:b w:val="0"/>
                <w:i w:val="0"/>
                <w:vanish w:val="0"/>
                <w:color w:val="000000"/>
                <w:sz w:val="24"/>
              </w:rPr>
              <w:t>19. nov. 2024</w:t>
            </w:r>
          </w:p>
        </w:tc>
      </w:tr>
      <w:tr>
        <w:tblPrEx>
          <w:tblW w:w="100%" w:type="pct"/>
        </w:tblPrEx>
        <w:trPr>
          <w:trHeight w:val="240"/>
        </w:trPr>
        <w:tc>
          <w:tcPr>
            <w:tcW w:w="33.34%" w:type="pct"/>
            <w:tcMar>
              <w:start w:w="5pt" w:type="dxa"/>
              <w:end w:w="5pt" w:type="dxa"/>
            </w:tcMar>
            <w:vAlign w:val="top"/>
          </w:tcPr>
          <w:p w:rsidR="00A77B3E">
            <w:pPr>
              <w:jc w:val="start"/>
              <w:rPr>
                <w:rFonts w:ascii="Times New Roman" w:eastAsia="Times New Roman" w:hAnsi="Times New Roman" w:cs="Times New Roman"/>
                <w:b w:val="0"/>
                <w:i w:val="0"/>
                <w:vanish w:val="0"/>
                <w:color w:val="000000"/>
                <w:sz w:val="24"/>
              </w:rPr>
            </w:pPr>
            <w:r>
              <w:rPr>
                <w:rFonts w:ascii="Times New Roman" w:eastAsia="Times New Roman" w:hAnsi="Times New Roman" w:cs="Times New Roman"/>
                <w:b w:val="0"/>
                <w:i w:val="0"/>
                <w:vanish w:val="0"/>
                <w:color w:val="000000"/>
                <w:sz w:val="24"/>
              </w:rPr>
              <w:t>Številka sklepa države članice o spremembi</w:t>
            </w:r>
          </w:p>
        </w:tc>
        <w:tc>
          <w:tcPr>
            <w:tcW w:w="33.34%" w:type="pct"/>
            <w:tcMar>
              <w:start w:w="5pt" w:type="dxa"/>
              <w:end w:w="5pt" w:type="dxa"/>
            </w:tcMar>
            <w:vAlign w:val="top"/>
          </w:tcPr>
          <w:p w:rsidR="00A77B3E">
            <w:pPr>
              <w:jc w:val="start"/>
              <w:rPr>
                <w:rFonts w:ascii="Times New Roman" w:eastAsia="Times New Roman" w:hAnsi="Times New Roman" w:cs="Times New Roman"/>
                <w:b w:val="0"/>
                <w:i w:val="0"/>
                <w:vanish w:val="0"/>
                <w:color w:val="000000"/>
                <w:sz w:val="24"/>
              </w:rPr>
            </w:pPr>
          </w:p>
        </w:tc>
      </w:tr>
      <w:tr>
        <w:tblPrEx>
          <w:tblW w:w="100%" w:type="pct"/>
        </w:tblPrEx>
        <w:trPr>
          <w:trHeight w:val="240"/>
        </w:trPr>
        <w:tc>
          <w:tcPr>
            <w:tcW w:w="33.34%" w:type="pct"/>
            <w:tcMar>
              <w:start w:w="5pt" w:type="dxa"/>
              <w:end w:w="5pt" w:type="dxa"/>
            </w:tcMar>
            <w:vAlign w:val="top"/>
          </w:tcPr>
          <w:p w:rsidR="00A77B3E">
            <w:pPr>
              <w:jc w:val="start"/>
              <w:rPr>
                <w:rFonts w:ascii="Times New Roman" w:eastAsia="Times New Roman" w:hAnsi="Times New Roman" w:cs="Times New Roman"/>
                <w:b w:val="0"/>
                <w:i w:val="0"/>
                <w:vanish w:val="0"/>
                <w:color w:val="000000"/>
                <w:sz w:val="24"/>
              </w:rPr>
            </w:pPr>
            <w:r>
              <w:rPr>
                <w:rFonts w:ascii="Times New Roman" w:eastAsia="Times New Roman" w:hAnsi="Times New Roman" w:cs="Times New Roman"/>
                <w:b w:val="0"/>
                <w:i w:val="0"/>
                <w:vanish w:val="0"/>
                <w:color w:val="000000"/>
                <w:sz w:val="24"/>
              </w:rPr>
              <w:t>Datum začetka veljavnosti sklepa države članice o spremembi</w:t>
            </w:r>
          </w:p>
        </w:tc>
        <w:tc>
          <w:tcPr>
            <w:tcW w:w="33.34%" w:type="pct"/>
            <w:tcMar>
              <w:start w:w="5pt" w:type="dxa"/>
              <w:end w:w="5pt" w:type="dxa"/>
            </w:tcMar>
            <w:vAlign w:val="top"/>
          </w:tcPr>
          <w:p w:rsidR="00A77B3E">
            <w:pPr>
              <w:jc w:val="start"/>
              <w:rPr>
                <w:rFonts w:ascii="Times New Roman" w:eastAsia="Times New Roman" w:hAnsi="Times New Roman" w:cs="Times New Roman"/>
                <w:b w:val="0"/>
                <w:i w:val="0"/>
                <w:vanish w:val="0"/>
                <w:color w:val="000000"/>
                <w:sz w:val="24"/>
              </w:rPr>
            </w:pPr>
          </w:p>
        </w:tc>
      </w:tr>
      <w:tr>
        <w:tblPrEx>
          <w:tblW w:w="100%" w:type="pct"/>
        </w:tblPrEx>
        <w:trPr>
          <w:trHeight w:val="240"/>
        </w:trPr>
        <w:tc>
          <w:tcPr>
            <w:tcW w:w="33.34%" w:type="pct"/>
            <w:tcMar>
              <w:start w:w="5pt" w:type="dxa"/>
              <w:end w:w="5pt" w:type="dxa"/>
            </w:tcMar>
            <w:vAlign w:val="top"/>
          </w:tcPr>
          <w:p w:rsidR="00A77B3E">
            <w:pPr>
              <w:jc w:val="start"/>
              <w:rPr>
                <w:rFonts w:ascii="Times New Roman" w:eastAsia="Times New Roman" w:hAnsi="Times New Roman" w:cs="Times New Roman"/>
                <w:b w:val="0"/>
                <w:i w:val="0"/>
                <w:vanish w:val="0"/>
                <w:color w:val="000000"/>
                <w:sz w:val="24"/>
              </w:rPr>
            </w:pPr>
            <w:r>
              <w:rPr>
                <w:rFonts w:ascii="Times New Roman" w:eastAsia="Times New Roman" w:hAnsi="Times New Roman" w:cs="Times New Roman"/>
                <w:b w:val="0"/>
                <w:i w:val="0"/>
                <w:vanish w:val="0"/>
                <w:color w:val="000000"/>
                <w:sz w:val="24"/>
              </w:rPr>
              <w:t>Nebistvena prerazporeditev (člen 24(5) uredbe o skupnih določbah)</w:t>
            </w:r>
          </w:p>
        </w:tc>
        <w:tc>
          <w:tcPr>
            <w:tcW w:w="33.34%" w:type="pct"/>
            <w:tcMar>
              <w:start w:w="5pt" w:type="dxa"/>
              <w:end w:w="5pt" w:type="dxa"/>
            </w:tcMar>
            <w:vAlign w:val="top"/>
          </w:tcPr>
          <w:p w:rsidR="00A77B3E">
            <w:pPr>
              <w:jc w:val="start"/>
              <w:rPr>
                <w:rFonts w:ascii="Times New Roman" w:eastAsia="Times New Roman" w:hAnsi="Times New Roman" w:cs="Times New Roman"/>
                <w:b w:val="0"/>
                <w:i w:val="0"/>
                <w:vanish w:val="0"/>
                <w:color w:val="000000"/>
                <w:sz w:val="24"/>
              </w:rPr>
            </w:pPr>
            <w:r>
              <w:rPr>
                <w:rFonts w:ascii="Times New Roman" w:eastAsia="Times New Roman" w:hAnsi="Times New Roman" w:cs="Times New Roman"/>
                <w:b w:val="0"/>
                <w:i w:val="0"/>
                <w:vanish w:val="0"/>
                <w:color w:val="000000"/>
                <w:sz w:val="24"/>
              </w:rPr>
              <w:t>Ne</w:t>
            </w:r>
          </w:p>
        </w:tc>
      </w:tr>
      <w:tr>
        <w:tblPrEx>
          <w:tblW w:w="100%" w:type="pct"/>
        </w:tblPrEx>
        <w:trPr>
          <w:trHeight w:val="240"/>
        </w:trPr>
        <w:tc>
          <w:tcPr>
            <w:tcW w:w="33.34%" w:type="pct"/>
            <w:tcMar>
              <w:start w:w="5pt" w:type="dxa"/>
              <w:end w:w="5pt" w:type="dxa"/>
            </w:tcMar>
            <w:vAlign w:val="top"/>
          </w:tcPr>
          <w:p w:rsidR="00A77B3E">
            <w:pPr>
              <w:jc w:val="start"/>
              <w:rPr>
                <w:rFonts w:ascii="Times New Roman" w:eastAsia="Times New Roman" w:hAnsi="Times New Roman" w:cs="Times New Roman"/>
                <w:b w:val="0"/>
                <w:i w:val="0"/>
                <w:vanish w:val="0"/>
                <w:color w:val="000000"/>
                <w:sz w:val="24"/>
              </w:rPr>
            </w:pPr>
            <w:r>
              <w:rPr>
                <w:rFonts w:ascii="Times New Roman" w:eastAsia="Times New Roman" w:hAnsi="Times New Roman" w:cs="Times New Roman"/>
                <w:b w:val="0"/>
                <w:i w:val="0"/>
                <w:vanish w:val="0"/>
                <w:color w:val="000000"/>
                <w:sz w:val="24"/>
              </w:rPr>
              <w:t>Redakcijsko-tehnični popravki (člen 24(6) uredbe o skupnih določbah)</w:t>
            </w:r>
          </w:p>
        </w:tc>
        <w:tc>
          <w:tcPr>
            <w:tcW w:w="33.34%" w:type="pct"/>
            <w:tcMar>
              <w:start w:w="5pt" w:type="dxa"/>
              <w:end w:w="5pt" w:type="dxa"/>
            </w:tcMar>
            <w:vAlign w:val="top"/>
          </w:tcPr>
          <w:p w:rsidR="00A77B3E">
            <w:pPr>
              <w:jc w:val="start"/>
              <w:rPr>
                <w:rFonts w:ascii="Times New Roman" w:eastAsia="Times New Roman" w:hAnsi="Times New Roman" w:cs="Times New Roman"/>
                <w:b w:val="0"/>
                <w:i w:val="0"/>
                <w:vanish w:val="0"/>
                <w:color w:val="000000"/>
                <w:sz w:val="24"/>
              </w:rPr>
            </w:pPr>
            <w:r>
              <w:rPr>
                <w:rFonts w:ascii="Times New Roman" w:eastAsia="Times New Roman" w:hAnsi="Times New Roman" w:cs="Times New Roman"/>
                <w:b w:val="0"/>
                <w:i w:val="0"/>
                <w:vanish w:val="0"/>
                <w:color w:val="000000"/>
                <w:sz w:val="24"/>
              </w:rPr>
              <w:t>Ne</w:t>
            </w:r>
          </w:p>
        </w:tc>
      </w:tr>
      <w:tr>
        <w:tblPrEx>
          <w:tblW w:w="100%" w:type="pct"/>
        </w:tblPrEx>
        <w:trPr>
          <w:trHeight w:val="240"/>
        </w:trPr>
        <w:tc>
          <w:tcPr>
            <w:tcW w:w="33.34%" w:type="pct"/>
            <w:tcMar>
              <w:start w:w="5pt" w:type="dxa"/>
              <w:end w:w="5pt" w:type="dxa"/>
            </w:tcMar>
            <w:vAlign w:val="top"/>
          </w:tcPr>
          <w:p w:rsidR="00A77B3E">
            <w:pPr>
              <w:jc w:val="start"/>
              <w:rPr>
                <w:rFonts w:ascii="Times New Roman" w:eastAsia="Times New Roman" w:hAnsi="Times New Roman" w:cs="Times New Roman"/>
                <w:b w:val="0"/>
                <w:i w:val="0"/>
                <w:vanish w:val="0"/>
                <w:color w:val="000000"/>
                <w:sz w:val="24"/>
              </w:rPr>
            </w:pPr>
            <w:r>
              <w:rPr>
                <w:rFonts w:ascii="Times New Roman" w:eastAsia="Times New Roman" w:hAnsi="Times New Roman" w:cs="Times New Roman"/>
                <w:b w:val="0"/>
                <w:i w:val="0"/>
                <w:vanish w:val="0"/>
                <w:color w:val="000000"/>
                <w:sz w:val="24"/>
              </w:rPr>
              <w:t>Tematski instrument (člen 11 uredbe o AMIF, člen 8 uredbe o IUMV, člen 8 uredbe o SNV)</w:t>
            </w:r>
          </w:p>
        </w:tc>
        <w:tc>
          <w:tcPr>
            <w:tcW w:w="33.34%" w:type="pct"/>
            <w:tcMar>
              <w:start w:w="5pt" w:type="dxa"/>
              <w:end w:w="5pt" w:type="dxa"/>
            </w:tcMar>
            <w:vAlign w:val="top"/>
          </w:tcPr>
          <w:p w:rsidR="00A77B3E">
            <w:pPr>
              <w:jc w:val="start"/>
              <w:rPr>
                <w:rFonts w:ascii="Times New Roman" w:eastAsia="Times New Roman" w:hAnsi="Times New Roman" w:cs="Times New Roman"/>
                <w:b w:val="0"/>
                <w:i w:val="0"/>
                <w:vanish w:val="0"/>
                <w:color w:val="000000"/>
                <w:sz w:val="24"/>
              </w:rPr>
            </w:pPr>
            <w:r>
              <w:rPr>
                <w:rFonts w:ascii="Times New Roman" w:eastAsia="Times New Roman" w:hAnsi="Times New Roman" w:cs="Times New Roman"/>
                <w:b w:val="0"/>
                <w:i w:val="0"/>
                <w:vanish w:val="0"/>
                <w:color w:val="000000"/>
                <w:sz w:val="24"/>
              </w:rPr>
              <w:t>Ne</w:t>
            </w:r>
          </w:p>
        </w:tc>
      </w:tr>
      <w:tr>
        <w:tblPrEx>
          <w:tblW w:w="100%" w:type="pct"/>
        </w:tblPrEx>
        <w:trPr>
          <w:trHeight w:val="240"/>
        </w:trPr>
        <w:tc>
          <w:tcPr>
            <w:tcW w:w="33.34%" w:type="pct"/>
            <w:tcMar>
              <w:start w:w="5pt" w:type="dxa"/>
              <w:end w:w="5pt" w:type="dxa"/>
            </w:tcMar>
            <w:vAlign w:val="top"/>
          </w:tcPr>
          <w:p w:rsidR="00A77B3E">
            <w:pPr>
              <w:jc w:val="start"/>
              <w:rPr>
                <w:rFonts w:ascii="Times New Roman" w:eastAsia="Times New Roman" w:hAnsi="Times New Roman" w:cs="Times New Roman"/>
                <w:b w:val="0"/>
                <w:i w:val="0"/>
                <w:vanish w:val="0"/>
                <w:color w:val="000000"/>
                <w:sz w:val="24"/>
              </w:rPr>
            </w:pPr>
            <w:r>
              <w:rPr>
                <w:rFonts w:ascii="Times New Roman" w:eastAsia="Times New Roman" w:hAnsi="Times New Roman" w:cs="Times New Roman"/>
                <w:b w:val="0"/>
                <w:i w:val="0"/>
                <w:vanish w:val="0"/>
                <w:color w:val="000000"/>
                <w:sz w:val="24"/>
              </w:rPr>
              <w:t>Odobril odbor za spremljanje</w:t>
            </w:r>
          </w:p>
        </w:tc>
        <w:tc>
          <w:tcPr>
            <w:tcW w:w="33.34%" w:type="pct"/>
            <w:tcMar>
              <w:start w:w="5pt" w:type="dxa"/>
              <w:end w:w="5pt" w:type="dxa"/>
            </w:tcMar>
            <w:vAlign w:val="top"/>
          </w:tcPr>
          <w:p w:rsidR="00A77B3E">
            <w:pPr>
              <w:jc w:val="start"/>
              <w:rPr>
                <w:rFonts w:ascii="Times New Roman" w:eastAsia="Times New Roman" w:hAnsi="Times New Roman" w:cs="Times New Roman"/>
                <w:b w:val="0"/>
                <w:i w:val="0"/>
                <w:vanish w:val="0"/>
                <w:color w:val="000000"/>
                <w:sz w:val="24"/>
              </w:rPr>
            </w:pPr>
            <w:r>
              <w:rPr>
                <w:rFonts w:ascii="Times New Roman" w:eastAsia="Times New Roman" w:hAnsi="Times New Roman" w:cs="Times New Roman"/>
                <w:b w:val="0"/>
                <w:i w:val="0"/>
                <w:vanish w:val="0"/>
                <w:color w:val="000000"/>
                <w:sz w:val="24"/>
              </w:rPr>
              <w:t>Da</w:t>
            </w:r>
          </w:p>
        </w:tc>
      </w:tr>
    </w:tbl>
    <w:p w:rsidR="00A77B3E">
      <w:pPr>
        <w:jc w:val="center"/>
        <w:rPr>
          <w:rFonts w:ascii="Times New Roman" w:eastAsia="Times New Roman" w:hAnsi="Times New Roman" w:cs="Times New Roman"/>
          <w:b/>
          <w:vanish w:val="0"/>
          <w:color w:val="000000"/>
          <w:sz w:val="24"/>
        </w:rPr>
      </w:pPr>
      <w:r>
        <w:rPr>
          <w:rFonts w:ascii="Times New Roman" w:eastAsia="Times New Roman" w:hAnsi="Times New Roman" w:cs="Times New Roman"/>
          <w:b w:val="0"/>
          <w:vanish w:val="0"/>
          <w:color w:val="000000"/>
          <w:sz w:val="24"/>
        </w:rPr>
        <w:br w:type="page"/>
      </w:r>
      <w:r>
        <w:rPr>
          <w:rFonts w:ascii="Times New Roman" w:eastAsia="Times New Roman" w:hAnsi="Times New Roman" w:cs="Times New Roman"/>
          <w:b/>
          <w:vanish w:val="0"/>
          <w:color w:val="000000"/>
          <w:sz w:val="24"/>
        </w:rPr>
        <w:t>Kazalo</w:t>
      </w:r>
    </w:p>
    <w:p w:rsidR="00A77B3E">
      <w:pPr>
        <w:jc w:val="center"/>
        <w:rPr>
          <w:rFonts w:ascii="Times New Roman" w:eastAsia="Times New Roman" w:hAnsi="Times New Roman" w:cs="Times New Roman"/>
          <w:b w:val="0"/>
          <w:vanish w:val="0"/>
          <w:color w:val="000000"/>
          <w:sz w:val="24"/>
        </w:rPr>
      </w:pPr>
    </w:p>
    <w:p>
      <w:pPr>
        <w:pStyle w:val="TOC1"/>
        <w:tabs>
          <w:tab w:val="end" w:leader="dot" w:pos="10240"/>
        </w:tabs>
        <w:rPr>
          <w:rFonts w:ascii="Calibri" w:hAnsi="Calibri"/>
          <w:noProof/>
          <w:sz w:val="22"/>
        </w:rPr>
      </w:pPr>
      <w:r w:rsidR="00A77B3E">
        <w:rPr>
          <w:rFonts w:ascii="Times New Roman" w:eastAsia="Times New Roman" w:hAnsi="Times New Roman" w:cs="Times New Roman"/>
          <w:b w:val="0"/>
          <w:vanish w:val="0"/>
          <w:color w:val="000000"/>
          <w:sz w:val="24"/>
        </w:rPr>
        <w:fldChar w:fldCharType="begin"/>
      </w:r>
      <w:r w:rsidR="00A77B3E">
        <w:rPr>
          <w:rFonts w:ascii="Times New Roman" w:eastAsia="Times New Roman" w:hAnsi="Times New Roman" w:cs="Times New Roman"/>
          <w:b w:val="0"/>
          <w:vanish w:val="0"/>
          <w:color w:val="000000"/>
          <w:sz w:val="24"/>
        </w:rPr>
        <w:instrText>TOC \o "1-9" \z \u \h</w:instrText>
      </w:r>
      <w:r w:rsidR="00A77B3E">
        <w:rPr>
          <w:rFonts w:ascii="Times New Roman" w:eastAsia="Times New Roman" w:hAnsi="Times New Roman" w:cs="Times New Roman"/>
          <w:b w:val="0"/>
          <w:vanish w:val="0"/>
          <w:color w:val="000000"/>
          <w:sz w:val="24"/>
        </w:rPr>
        <w:fldChar w:fldCharType="separate"/>
      </w:r>
      <w:hyperlink w:anchor="_Toc256000055" w:history="1">
        <w:r w:rsidR="00A77B3E">
          <w:rPr>
            <w:rStyle w:val="Hyperlink"/>
            <w:rFonts w:ascii="Times New Roman" w:hAnsi="Times New Roman" w:cs="Times New Roman"/>
          </w:rPr>
          <w:t>1. Strategija programa: glavni izzivi in odzivi politik</w:t>
        </w:r>
        <w:r>
          <w:tab/>
        </w:r>
        <w:r>
          <w:fldChar w:fldCharType="begin"/>
        </w:r>
        <w:r>
          <w:instrText xml:space="preserve"> PAGEREF _Toc256000055 \h </w:instrText>
        </w:r>
        <w:r>
          <w:fldChar w:fldCharType="separate"/>
        </w:r>
        <w:r>
          <w:t>4</w:t>
        </w:r>
        <w:r>
          <w:fldChar w:fldCharType="end"/>
        </w:r>
      </w:hyperlink>
    </w:p>
    <w:p>
      <w:pPr>
        <w:pStyle w:val="TOC1"/>
        <w:tabs>
          <w:tab w:val="end" w:leader="dot" w:pos="10240"/>
        </w:tabs>
        <w:rPr>
          <w:rFonts w:ascii="Calibri" w:hAnsi="Calibri"/>
          <w:noProof/>
          <w:sz w:val="22"/>
        </w:rPr>
      </w:pPr>
      <w:hyperlink w:anchor="_Toc256000056" w:history="1">
        <w:r w:rsidR="00A77B3E">
          <w:rPr>
            <w:rStyle w:val="Hyperlink"/>
            <w:rFonts w:ascii="Times New Roman" w:hAnsi="Times New Roman" w:cs="Times New Roman"/>
          </w:rPr>
          <w:t>2. Specifični cilji in tehnična pomoč</w:t>
        </w:r>
        <w:r>
          <w:tab/>
        </w:r>
        <w:r>
          <w:fldChar w:fldCharType="begin"/>
        </w:r>
        <w:r>
          <w:instrText xml:space="preserve"> PAGEREF _Toc256000056 \h </w:instrText>
        </w:r>
        <w:r>
          <w:fldChar w:fldCharType="separate"/>
        </w:r>
        <w:r>
          <w:t>8</w:t>
        </w:r>
        <w:r>
          <w:fldChar w:fldCharType="end"/>
        </w:r>
      </w:hyperlink>
    </w:p>
    <w:p>
      <w:pPr>
        <w:pStyle w:val="TOC2"/>
        <w:tabs>
          <w:tab w:val="end" w:leader="dot" w:pos="10240"/>
        </w:tabs>
        <w:rPr>
          <w:rFonts w:ascii="Calibri" w:hAnsi="Calibri"/>
          <w:noProof/>
          <w:sz w:val="22"/>
        </w:rPr>
      </w:pPr>
      <w:hyperlink w:anchor="_Toc256000057" w:history="1">
        <w:r w:rsidR="00A77B3E">
          <w:rPr>
            <w:rStyle w:val="Hyperlink"/>
            <w:rFonts w:ascii="TimesNewRoman" w:eastAsia="TimesNewRoman" w:hAnsi="TimesNewRoman" w:cs="TimesNewRoman"/>
          </w:rPr>
          <w:t>2.1. Specifični cilj: 1. Izmenjava informacij</w:t>
        </w:r>
        <w:r>
          <w:tab/>
        </w:r>
        <w:r>
          <w:fldChar w:fldCharType="begin"/>
        </w:r>
        <w:r>
          <w:instrText xml:space="preserve"> PAGEREF _Toc256000057 \h </w:instrText>
        </w:r>
        <w:r>
          <w:fldChar w:fldCharType="separate"/>
        </w:r>
        <w:r>
          <w:t>9</w:t>
        </w:r>
        <w:r>
          <w:fldChar w:fldCharType="end"/>
        </w:r>
      </w:hyperlink>
    </w:p>
    <w:p>
      <w:pPr>
        <w:pStyle w:val="TOC3"/>
        <w:tabs>
          <w:tab w:val="end" w:leader="dot" w:pos="10240"/>
        </w:tabs>
        <w:rPr>
          <w:rFonts w:ascii="Calibri" w:hAnsi="Calibri"/>
          <w:noProof/>
          <w:sz w:val="22"/>
        </w:rPr>
      </w:pPr>
      <w:hyperlink w:anchor="_Toc256000058" w:history="1">
        <w:r w:rsidR="00A77B3E">
          <w:rPr>
            <w:rStyle w:val="Hyperlink"/>
            <w:rFonts w:ascii="TimesNewRoman" w:eastAsia="TimesNewRoman" w:hAnsi="TimesNewRoman" w:cs="TimesNewRoman"/>
          </w:rPr>
          <w:t>2.1.1. Opis specifičnega cilja</w:t>
        </w:r>
        <w:r>
          <w:tab/>
        </w:r>
        <w:r>
          <w:fldChar w:fldCharType="begin"/>
        </w:r>
        <w:r>
          <w:instrText xml:space="preserve"> PAGEREF _Toc256000058 \h </w:instrText>
        </w:r>
        <w:r>
          <w:fldChar w:fldCharType="separate"/>
        </w:r>
        <w:r>
          <w:t>9</w:t>
        </w:r>
        <w:r>
          <w:fldChar w:fldCharType="end"/>
        </w:r>
      </w:hyperlink>
    </w:p>
    <w:p>
      <w:pPr>
        <w:pStyle w:val="TOC3"/>
        <w:tabs>
          <w:tab w:val="end" w:leader="dot" w:pos="10240"/>
        </w:tabs>
        <w:rPr>
          <w:rFonts w:ascii="Calibri" w:hAnsi="Calibri"/>
          <w:noProof/>
          <w:sz w:val="22"/>
        </w:rPr>
      </w:pPr>
      <w:hyperlink w:anchor="_Toc256000059" w:history="1">
        <w:r w:rsidR="00A77B3E">
          <w:rPr>
            <w:rStyle w:val="Hyperlink"/>
            <w:rFonts w:ascii="Times New Roman" w:hAnsi="Times New Roman" w:cs="Times New Roman"/>
          </w:rPr>
          <w:t>2.1.2. Kazalniki</w:t>
        </w:r>
        <w:r>
          <w:tab/>
        </w:r>
        <w:r>
          <w:fldChar w:fldCharType="begin"/>
        </w:r>
        <w:r>
          <w:instrText xml:space="preserve"> PAGEREF _Toc256000059 \h </w:instrText>
        </w:r>
        <w:r>
          <w:fldChar w:fldCharType="separate"/>
        </w:r>
        <w:r>
          <w:t>15</w:t>
        </w:r>
        <w:r>
          <w:fldChar w:fldCharType="end"/>
        </w:r>
      </w:hyperlink>
    </w:p>
    <w:p>
      <w:pPr>
        <w:pStyle w:val="TOC4"/>
        <w:tabs>
          <w:tab w:val="end" w:leader="dot" w:pos="10240"/>
        </w:tabs>
        <w:rPr>
          <w:rFonts w:ascii="Calibri" w:hAnsi="Calibri"/>
          <w:noProof/>
          <w:sz w:val="22"/>
        </w:rPr>
      </w:pPr>
      <w:hyperlink w:anchor="_Toc256000060" w:history="1">
        <w:r w:rsidR="00A77B3E">
          <w:rPr>
            <w:rStyle w:val="Hyperlink"/>
          </w:rPr>
          <w:t>Tabela 1: Kazalniki učinka</w:t>
        </w:r>
        <w:r>
          <w:tab/>
        </w:r>
        <w:r>
          <w:fldChar w:fldCharType="begin"/>
        </w:r>
        <w:r>
          <w:instrText xml:space="preserve"> PAGEREF _Toc256000060 \h </w:instrText>
        </w:r>
        <w:r>
          <w:fldChar w:fldCharType="separate"/>
        </w:r>
        <w:r>
          <w:t>15</w:t>
        </w:r>
        <w:r>
          <w:fldChar w:fldCharType="end"/>
        </w:r>
      </w:hyperlink>
    </w:p>
    <w:p>
      <w:pPr>
        <w:pStyle w:val="TOC4"/>
        <w:tabs>
          <w:tab w:val="end" w:leader="dot" w:pos="10240"/>
        </w:tabs>
        <w:rPr>
          <w:rFonts w:ascii="Calibri" w:hAnsi="Calibri"/>
          <w:noProof/>
          <w:sz w:val="22"/>
        </w:rPr>
      </w:pPr>
      <w:hyperlink w:anchor="_Toc256000061" w:history="1">
        <w:r w:rsidR="00A77B3E">
          <w:rPr>
            <w:rStyle w:val="Hyperlink"/>
          </w:rPr>
          <w:t>Tabela 2: Kazalniki rezultatov</w:t>
        </w:r>
        <w:r>
          <w:tab/>
        </w:r>
        <w:r>
          <w:fldChar w:fldCharType="begin"/>
        </w:r>
        <w:r>
          <w:instrText xml:space="preserve"> PAGEREF _Toc256000061 \h </w:instrText>
        </w:r>
        <w:r>
          <w:fldChar w:fldCharType="separate"/>
        </w:r>
        <w:r>
          <w:t>16</w:t>
        </w:r>
        <w:r>
          <w:fldChar w:fldCharType="end"/>
        </w:r>
      </w:hyperlink>
    </w:p>
    <w:p>
      <w:pPr>
        <w:pStyle w:val="TOC3"/>
        <w:tabs>
          <w:tab w:val="end" w:leader="dot" w:pos="10240"/>
        </w:tabs>
        <w:rPr>
          <w:rFonts w:ascii="Calibri" w:hAnsi="Calibri"/>
          <w:noProof/>
          <w:sz w:val="22"/>
        </w:rPr>
      </w:pPr>
      <w:hyperlink w:anchor="_Toc256000062" w:history="1">
        <w:r w:rsidR="00A77B3E">
          <w:rPr>
            <w:rStyle w:val="Hyperlink"/>
            <w:rFonts w:ascii="Times New Roman" w:hAnsi="Times New Roman" w:cs="Times New Roman"/>
          </w:rPr>
          <w:t>2.1.3. Okvirna razčlenitev programskih sredstev (EU) po vrsti ukrepa</w:t>
        </w:r>
        <w:r>
          <w:tab/>
        </w:r>
        <w:r>
          <w:fldChar w:fldCharType="begin"/>
        </w:r>
        <w:r>
          <w:instrText xml:space="preserve"> PAGEREF _Toc256000062 \h </w:instrText>
        </w:r>
        <w:r>
          <w:fldChar w:fldCharType="separate"/>
        </w:r>
        <w:r>
          <w:t>18</w:t>
        </w:r>
        <w:r>
          <w:fldChar w:fldCharType="end"/>
        </w:r>
      </w:hyperlink>
    </w:p>
    <w:p>
      <w:pPr>
        <w:pStyle w:val="TOC4"/>
        <w:tabs>
          <w:tab w:val="end" w:leader="dot" w:pos="10240"/>
        </w:tabs>
        <w:rPr>
          <w:rFonts w:ascii="Calibri" w:hAnsi="Calibri"/>
          <w:noProof/>
          <w:sz w:val="22"/>
        </w:rPr>
      </w:pPr>
      <w:hyperlink w:anchor="_Toc256000063" w:history="1">
        <w:r w:rsidR="00A77B3E">
          <w:rPr>
            <w:rStyle w:val="Hyperlink"/>
          </w:rPr>
          <w:t>Tabela 3: Okvirna razčlenitev</w:t>
        </w:r>
        <w:r>
          <w:tab/>
        </w:r>
        <w:r>
          <w:fldChar w:fldCharType="begin"/>
        </w:r>
        <w:r>
          <w:instrText xml:space="preserve"> PAGEREF _Toc256000063 \h </w:instrText>
        </w:r>
        <w:r>
          <w:fldChar w:fldCharType="separate"/>
        </w:r>
        <w:r>
          <w:t>18</w:t>
        </w:r>
        <w:r>
          <w:fldChar w:fldCharType="end"/>
        </w:r>
      </w:hyperlink>
    </w:p>
    <w:p>
      <w:pPr>
        <w:pStyle w:val="TOC2"/>
        <w:tabs>
          <w:tab w:val="end" w:leader="dot" w:pos="10240"/>
        </w:tabs>
        <w:rPr>
          <w:rFonts w:ascii="Calibri" w:hAnsi="Calibri"/>
          <w:noProof/>
          <w:sz w:val="22"/>
        </w:rPr>
      </w:pPr>
      <w:hyperlink w:anchor="_Toc256000064" w:history="1">
        <w:r w:rsidR="00A77B3E">
          <w:rPr>
            <w:rStyle w:val="Hyperlink"/>
            <w:rFonts w:ascii="TimesNewRoman" w:eastAsia="TimesNewRoman" w:hAnsi="TimesNewRoman" w:cs="TimesNewRoman"/>
          </w:rPr>
          <w:t>2.1. Specifični cilj: 2. Čezmejno sodelovanje</w:t>
        </w:r>
        <w:r>
          <w:tab/>
        </w:r>
        <w:r>
          <w:fldChar w:fldCharType="begin"/>
        </w:r>
        <w:r>
          <w:instrText xml:space="preserve"> PAGEREF _Toc256000064 \h </w:instrText>
        </w:r>
        <w:r>
          <w:fldChar w:fldCharType="separate"/>
        </w:r>
        <w:r>
          <w:t>19</w:t>
        </w:r>
        <w:r>
          <w:fldChar w:fldCharType="end"/>
        </w:r>
      </w:hyperlink>
    </w:p>
    <w:p>
      <w:pPr>
        <w:pStyle w:val="TOC3"/>
        <w:tabs>
          <w:tab w:val="end" w:leader="dot" w:pos="10240"/>
        </w:tabs>
        <w:rPr>
          <w:rFonts w:ascii="Calibri" w:hAnsi="Calibri"/>
          <w:noProof/>
          <w:sz w:val="22"/>
        </w:rPr>
      </w:pPr>
      <w:hyperlink w:anchor="_Toc256000065" w:history="1">
        <w:r w:rsidR="00A77B3E">
          <w:rPr>
            <w:rStyle w:val="Hyperlink"/>
            <w:rFonts w:ascii="TimesNewRoman" w:eastAsia="TimesNewRoman" w:hAnsi="TimesNewRoman" w:cs="TimesNewRoman"/>
          </w:rPr>
          <w:t>2.1.1. Opis specifičnega cilja</w:t>
        </w:r>
        <w:r>
          <w:tab/>
        </w:r>
        <w:r>
          <w:fldChar w:fldCharType="begin"/>
        </w:r>
        <w:r>
          <w:instrText xml:space="preserve"> PAGEREF _Toc256000065 \h </w:instrText>
        </w:r>
        <w:r>
          <w:fldChar w:fldCharType="separate"/>
        </w:r>
        <w:r>
          <w:t>19</w:t>
        </w:r>
        <w:r>
          <w:fldChar w:fldCharType="end"/>
        </w:r>
      </w:hyperlink>
    </w:p>
    <w:p>
      <w:pPr>
        <w:pStyle w:val="TOC3"/>
        <w:tabs>
          <w:tab w:val="end" w:leader="dot" w:pos="10240"/>
        </w:tabs>
        <w:rPr>
          <w:rFonts w:ascii="Calibri" w:hAnsi="Calibri"/>
          <w:noProof/>
          <w:sz w:val="22"/>
        </w:rPr>
      </w:pPr>
      <w:hyperlink w:anchor="_Toc256000066" w:history="1">
        <w:r w:rsidR="00A77B3E">
          <w:rPr>
            <w:rStyle w:val="Hyperlink"/>
            <w:rFonts w:ascii="Times New Roman" w:hAnsi="Times New Roman" w:cs="Times New Roman"/>
          </w:rPr>
          <w:t>2.1.2. Kazalniki</w:t>
        </w:r>
        <w:r>
          <w:tab/>
        </w:r>
        <w:r>
          <w:fldChar w:fldCharType="begin"/>
        </w:r>
        <w:r>
          <w:instrText xml:space="preserve"> PAGEREF _Toc256000066 \h </w:instrText>
        </w:r>
        <w:r>
          <w:fldChar w:fldCharType="separate"/>
        </w:r>
        <w:r>
          <w:t>23</w:t>
        </w:r>
        <w:r>
          <w:fldChar w:fldCharType="end"/>
        </w:r>
      </w:hyperlink>
    </w:p>
    <w:p>
      <w:pPr>
        <w:pStyle w:val="TOC4"/>
        <w:tabs>
          <w:tab w:val="end" w:leader="dot" w:pos="10240"/>
        </w:tabs>
        <w:rPr>
          <w:rFonts w:ascii="Calibri" w:hAnsi="Calibri"/>
          <w:noProof/>
          <w:sz w:val="22"/>
        </w:rPr>
      </w:pPr>
      <w:hyperlink w:anchor="_Toc256000067" w:history="1">
        <w:r w:rsidR="00A77B3E">
          <w:rPr>
            <w:rStyle w:val="Hyperlink"/>
          </w:rPr>
          <w:t>Tabela 1: Kazalniki učinka</w:t>
        </w:r>
        <w:r>
          <w:tab/>
        </w:r>
        <w:r>
          <w:fldChar w:fldCharType="begin"/>
        </w:r>
        <w:r>
          <w:instrText xml:space="preserve"> PAGEREF _Toc256000067 \h </w:instrText>
        </w:r>
        <w:r>
          <w:fldChar w:fldCharType="separate"/>
        </w:r>
        <w:r>
          <w:t>23</w:t>
        </w:r>
        <w:r>
          <w:fldChar w:fldCharType="end"/>
        </w:r>
      </w:hyperlink>
    </w:p>
    <w:p>
      <w:pPr>
        <w:pStyle w:val="TOC4"/>
        <w:tabs>
          <w:tab w:val="end" w:leader="dot" w:pos="10240"/>
        </w:tabs>
        <w:rPr>
          <w:rFonts w:ascii="Calibri" w:hAnsi="Calibri"/>
          <w:noProof/>
          <w:sz w:val="22"/>
        </w:rPr>
      </w:pPr>
      <w:hyperlink w:anchor="_Toc256000068" w:history="1">
        <w:r w:rsidR="00A77B3E">
          <w:rPr>
            <w:rStyle w:val="Hyperlink"/>
          </w:rPr>
          <w:t>Tabela 2: Kazalniki rezultatov</w:t>
        </w:r>
        <w:r>
          <w:tab/>
        </w:r>
        <w:r>
          <w:fldChar w:fldCharType="begin"/>
        </w:r>
        <w:r>
          <w:instrText xml:space="preserve"> PAGEREF _Toc256000068 \h </w:instrText>
        </w:r>
        <w:r>
          <w:fldChar w:fldCharType="separate"/>
        </w:r>
        <w:r>
          <w:t>24</w:t>
        </w:r>
        <w:r>
          <w:fldChar w:fldCharType="end"/>
        </w:r>
      </w:hyperlink>
    </w:p>
    <w:p>
      <w:pPr>
        <w:pStyle w:val="TOC3"/>
        <w:tabs>
          <w:tab w:val="end" w:leader="dot" w:pos="10240"/>
        </w:tabs>
        <w:rPr>
          <w:rFonts w:ascii="Calibri" w:hAnsi="Calibri"/>
          <w:noProof/>
          <w:sz w:val="22"/>
        </w:rPr>
      </w:pPr>
      <w:hyperlink w:anchor="_Toc256000069" w:history="1">
        <w:r w:rsidR="00A77B3E">
          <w:rPr>
            <w:rStyle w:val="Hyperlink"/>
            <w:rFonts w:ascii="Times New Roman" w:hAnsi="Times New Roman" w:cs="Times New Roman"/>
          </w:rPr>
          <w:t>2.1.3. Okvirna razčlenitev programskih sredstev (EU) po vrsti ukrepa</w:t>
        </w:r>
        <w:r>
          <w:tab/>
        </w:r>
        <w:r>
          <w:fldChar w:fldCharType="begin"/>
        </w:r>
        <w:r>
          <w:instrText xml:space="preserve"> PAGEREF _Toc256000069 \h </w:instrText>
        </w:r>
        <w:r>
          <w:fldChar w:fldCharType="separate"/>
        </w:r>
        <w:r>
          <w:t>27</w:t>
        </w:r>
        <w:r>
          <w:fldChar w:fldCharType="end"/>
        </w:r>
      </w:hyperlink>
    </w:p>
    <w:p>
      <w:pPr>
        <w:pStyle w:val="TOC4"/>
        <w:tabs>
          <w:tab w:val="end" w:leader="dot" w:pos="10240"/>
        </w:tabs>
        <w:rPr>
          <w:rFonts w:ascii="Calibri" w:hAnsi="Calibri"/>
          <w:noProof/>
          <w:sz w:val="22"/>
        </w:rPr>
      </w:pPr>
      <w:hyperlink w:anchor="_Toc256000070" w:history="1">
        <w:r w:rsidR="00A77B3E">
          <w:rPr>
            <w:rStyle w:val="Hyperlink"/>
          </w:rPr>
          <w:t>Tabela 3: Okvirna razčlenitev</w:t>
        </w:r>
        <w:r>
          <w:tab/>
        </w:r>
        <w:r>
          <w:fldChar w:fldCharType="begin"/>
        </w:r>
        <w:r>
          <w:instrText xml:space="preserve"> PAGEREF _Toc256000070 \h </w:instrText>
        </w:r>
        <w:r>
          <w:fldChar w:fldCharType="separate"/>
        </w:r>
        <w:r>
          <w:t>27</w:t>
        </w:r>
        <w:r>
          <w:fldChar w:fldCharType="end"/>
        </w:r>
      </w:hyperlink>
    </w:p>
    <w:p>
      <w:pPr>
        <w:pStyle w:val="TOC2"/>
        <w:tabs>
          <w:tab w:val="end" w:leader="dot" w:pos="10240"/>
        </w:tabs>
        <w:rPr>
          <w:rFonts w:ascii="Calibri" w:hAnsi="Calibri"/>
          <w:noProof/>
          <w:sz w:val="22"/>
        </w:rPr>
      </w:pPr>
      <w:hyperlink w:anchor="_Toc256000071" w:history="1">
        <w:r w:rsidR="00A77B3E">
          <w:rPr>
            <w:rStyle w:val="Hyperlink"/>
            <w:rFonts w:ascii="TimesNewRoman" w:eastAsia="TimesNewRoman" w:hAnsi="TimesNewRoman" w:cs="TimesNewRoman"/>
          </w:rPr>
          <w:t>2.1. Specifični cilj: 3. Preprečevanje kriminala in boj proti njemu</w:t>
        </w:r>
        <w:r>
          <w:tab/>
        </w:r>
        <w:r>
          <w:fldChar w:fldCharType="begin"/>
        </w:r>
        <w:r>
          <w:instrText xml:space="preserve"> PAGEREF _Toc256000071 \h </w:instrText>
        </w:r>
        <w:r>
          <w:fldChar w:fldCharType="separate"/>
        </w:r>
        <w:r>
          <w:t>28</w:t>
        </w:r>
        <w:r>
          <w:fldChar w:fldCharType="end"/>
        </w:r>
      </w:hyperlink>
    </w:p>
    <w:p>
      <w:pPr>
        <w:pStyle w:val="TOC3"/>
        <w:tabs>
          <w:tab w:val="end" w:leader="dot" w:pos="10240"/>
        </w:tabs>
        <w:rPr>
          <w:rFonts w:ascii="Calibri" w:hAnsi="Calibri"/>
          <w:noProof/>
          <w:sz w:val="22"/>
        </w:rPr>
      </w:pPr>
      <w:hyperlink w:anchor="_Toc256000072" w:history="1">
        <w:r w:rsidR="00A77B3E">
          <w:rPr>
            <w:rStyle w:val="Hyperlink"/>
            <w:rFonts w:ascii="TimesNewRoman" w:eastAsia="TimesNewRoman" w:hAnsi="TimesNewRoman" w:cs="TimesNewRoman"/>
          </w:rPr>
          <w:t>2.1.1. Opis specifičnega cilja</w:t>
        </w:r>
        <w:r>
          <w:tab/>
        </w:r>
        <w:r>
          <w:fldChar w:fldCharType="begin"/>
        </w:r>
        <w:r>
          <w:instrText xml:space="preserve"> PAGEREF _Toc256000072 \h </w:instrText>
        </w:r>
        <w:r>
          <w:fldChar w:fldCharType="separate"/>
        </w:r>
        <w:r>
          <w:t>28</w:t>
        </w:r>
        <w:r>
          <w:fldChar w:fldCharType="end"/>
        </w:r>
      </w:hyperlink>
    </w:p>
    <w:p>
      <w:pPr>
        <w:pStyle w:val="TOC3"/>
        <w:tabs>
          <w:tab w:val="end" w:leader="dot" w:pos="10240"/>
        </w:tabs>
        <w:rPr>
          <w:rFonts w:ascii="Calibri" w:hAnsi="Calibri"/>
          <w:noProof/>
          <w:sz w:val="22"/>
        </w:rPr>
      </w:pPr>
      <w:hyperlink w:anchor="_Toc256000073" w:history="1">
        <w:r w:rsidR="00A77B3E">
          <w:rPr>
            <w:rStyle w:val="Hyperlink"/>
            <w:rFonts w:ascii="Times New Roman" w:hAnsi="Times New Roman" w:cs="Times New Roman"/>
          </w:rPr>
          <w:t>2.1.2. Kazalniki</w:t>
        </w:r>
        <w:r>
          <w:tab/>
        </w:r>
        <w:r>
          <w:fldChar w:fldCharType="begin"/>
        </w:r>
        <w:r>
          <w:instrText xml:space="preserve"> PAGEREF _Toc256000073 \h </w:instrText>
        </w:r>
        <w:r>
          <w:fldChar w:fldCharType="separate"/>
        </w:r>
        <w:r>
          <w:t>34</w:t>
        </w:r>
        <w:r>
          <w:fldChar w:fldCharType="end"/>
        </w:r>
      </w:hyperlink>
    </w:p>
    <w:p>
      <w:pPr>
        <w:pStyle w:val="TOC4"/>
        <w:tabs>
          <w:tab w:val="end" w:leader="dot" w:pos="10240"/>
        </w:tabs>
        <w:rPr>
          <w:rFonts w:ascii="Calibri" w:hAnsi="Calibri"/>
          <w:noProof/>
          <w:sz w:val="22"/>
        </w:rPr>
      </w:pPr>
      <w:hyperlink w:anchor="_Toc256000074" w:history="1">
        <w:r w:rsidR="00A77B3E">
          <w:rPr>
            <w:rStyle w:val="Hyperlink"/>
          </w:rPr>
          <w:t>Tabela 1: Kazalniki učinka</w:t>
        </w:r>
        <w:r>
          <w:tab/>
        </w:r>
        <w:r>
          <w:fldChar w:fldCharType="begin"/>
        </w:r>
        <w:r>
          <w:instrText xml:space="preserve"> PAGEREF _Toc256000074 \h </w:instrText>
        </w:r>
        <w:r>
          <w:fldChar w:fldCharType="separate"/>
        </w:r>
        <w:r>
          <w:t>34</w:t>
        </w:r>
        <w:r>
          <w:fldChar w:fldCharType="end"/>
        </w:r>
      </w:hyperlink>
    </w:p>
    <w:p>
      <w:pPr>
        <w:pStyle w:val="TOC4"/>
        <w:tabs>
          <w:tab w:val="end" w:leader="dot" w:pos="10240"/>
        </w:tabs>
        <w:rPr>
          <w:rFonts w:ascii="Calibri" w:hAnsi="Calibri"/>
          <w:noProof/>
          <w:sz w:val="22"/>
        </w:rPr>
      </w:pPr>
      <w:hyperlink w:anchor="_Toc256000075" w:history="1">
        <w:r w:rsidR="00A77B3E">
          <w:rPr>
            <w:rStyle w:val="Hyperlink"/>
          </w:rPr>
          <w:t>Tabela 2: Kazalniki rezultatov</w:t>
        </w:r>
        <w:r>
          <w:tab/>
        </w:r>
        <w:r>
          <w:fldChar w:fldCharType="begin"/>
        </w:r>
        <w:r>
          <w:instrText xml:space="preserve"> PAGEREF _Toc256000075 \h </w:instrText>
        </w:r>
        <w:r>
          <w:fldChar w:fldCharType="separate"/>
        </w:r>
        <w:r>
          <w:t>35</w:t>
        </w:r>
        <w:r>
          <w:fldChar w:fldCharType="end"/>
        </w:r>
      </w:hyperlink>
    </w:p>
    <w:p>
      <w:pPr>
        <w:pStyle w:val="TOC3"/>
        <w:tabs>
          <w:tab w:val="end" w:leader="dot" w:pos="10240"/>
        </w:tabs>
        <w:rPr>
          <w:rFonts w:ascii="Calibri" w:hAnsi="Calibri"/>
          <w:noProof/>
          <w:sz w:val="22"/>
        </w:rPr>
      </w:pPr>
      <w:hyperlink w:anchor="_Toc256000076" w:history="1">
        <w:r w:rsidR="00A77B3E">
          <w:rPr>
            <w:rStyle w:val="Hyperlink"/>
            <w:rFonts w:ascii="Times New Roman" w:hAnsi="Times New Roman" w:cs="Times New Roman"/>
          </w:rPr>
          <w:t>2.1.3. Okvirna razčlenitev programskih sredstev (EU) po vrsti ukrepa</w:t>
        </w:r>
        <w:r>
          <w:tab/>
        </w:r>
        <w:r>
          <w:fldChar w:fldCharType="begin"/>
        </w:r>
        <w:r>
          <w:instrText xml:space="preserve"> PAGEREF _Toc256000076 \h </w:instrText>
        </w:r>
        <w:r>
          <w:fldChar w:fldCharType="separate"/>
        </w:r>
        <w:r>
          <w:t>36</w:t>
        </w:r>
        <w:r>
          <w:fldChar w:fldCharType="end"/>
        </w:r>
      </w:hyperlink>
    </w:p>
    <w:p>
      <w:pPr>
        <w:pStyle w:val="TOC4"/>
        <w:tabs>
          <w:tab w:val="end" w:leader="dot" w:pos="10240"/>
        </w:tabs>
        <w:rPr>
          <w:rFonts w:ascii="Calibri" w:hAnsi="Calibri"/>
          <w:noProof/>
          <w:sz w:val="22"/>
        </w:rPr>
      </w:pPr>
      <w:hyperlink w:anchor="_Toc256000077" w:history="1">
        <w:r w:rsidR="00A77B3E">
          <w:rPr>
            <w:rStyle w:val="Hyperlink"/>
          </w:rPr>
          <w:t>Tabela 3: Okvirna razčlenitev</w:t>
        </w:r>
        <w:r>
          <w:tab/>
        </w:r>
        <w:r>
          <w:fldChar w:fldCharType="begin"/>
        </w:r>
        <w:r>
          <w:instrText xml:space="preserve"> PAGEREF _Toc256000077 \h </w:instrText>
        </w:r>
        <w:r>
          <w:fldChar w:fldCharType="separate"/>
        </w:r>
        <w:r>
          <w:t>36</w:t>
        </w:r>
        <w:r>
          <w:fldChar w:fldCharType="end"/>
        </w:r>
      </w:hyperlink>
    </w:p>
    <w:p>
      <w:pPr>
        <w:pStyle w:val="TOC2"/>
        <w:tabs>
          <w:tab w:val="end" w:leader="dot" w:pos="10240"/>
        </w:tabs>
        <w:rPr>
          <w:rFonts w:ascii="Calibri" w:hAnsi="Calibri"/>
          <w:noProof/>
          <w:sz w:val="22"/>
        </w:rPr>
      </w:pPr>
      <w:hyperlink w:anchor="_Toc256000078" w:history="1">
        <w:r w:rsidR="00A77B3E">
          <w:rPr>
            <w:rStyle w:val="Hyperlink"/>
            <w:rFonts w:ascii="TimesNewRoman" w:eastAsia="TimesNewRoman" w:hAnsi="TimesNewRoman" w:cs="TimesNewRoman"/>
          </w:rPr>
          <w:t>2.2. Tehnična pomoč: TA.36(5). Tehnična pomoč – pavšalna stopnja (člen 36(5) uredbe o skupnih določbah)</w:t>
        </w:r>
        <w:r>
          <w:tab/>
        </w:r>
        <w:r>
          <w:fldChar w:fldCharType="begin"/>
        </w:r>
        <w:r>
          <w:instrText xml:space="preserve"> PAGEREF _Toc256000078 \h </w:instrText>
        </w:r>
        <w:r>
          <w:fldChar w:fldCharType="separate"/>
        </w:r>
        <w:r>
          <w:t>37</w:t>
        </w:r>
        <w:r>
          <w:fldChar w:fldCharType="end"/>
        </w:r>
      </w:hyperlink>
    </w:p>
    <w:p>
      <w:pPr>
        <w:pStyle w:val="TOC3"/>
        <w:tabs>
          <w:tab w:val="end" w:leader="dot" w:pos="10240"/>
        </w:tabs>
        <w:rPr>
          <w:rFonts w:ascii="Calibri" w:hAnsi="Calibri"/>
          <w:noProof/>
          <w:sz w:val="22"/>
        </w:rPr>
      </w:pPr>
      <w:hyperlink w:anchor="_Toc256000079" w:history="1">
        <w:r w:rsidR="00A77B3E">
          <w:rPr>
            <w:rStyle w:val="Hyperlink"/>
            <w:rFonts w:ascii="TimesNewRoman" w:eastAsia="TimesNewRoman" w:hAnsi="TimesNewRoman" w:cs="TimesNewRoman"/>
          </w:rPr>
          <w:t>2.2.1. Opis</w:t>
        </w:r>
        <w:r>
          <w:tab/>
        </w:r>
        <w:r>
          <w:fldChar w:fldCharType="begin"/>
        </w:r>
        <w:r>
          <w:instrText xml:space="preserve"> PAGEREF _Toc256000079 \h </w:instrText>
        </w:r>
        <w:r>
          <w:fldChar w:fldCharType="separate"/>
        </w:r>
        <w:r>
          <w:t>37</w:t>
        </w:r>
        <w:r>
          <w:fldChar w:fldCharType="end"/>
        </w:r>
      </w:hyperlink>
    </w:p>
    <w:p>
      <w:pPr>
        <w:pStyle w:val="TOC3"/>
        <w:tabs>
          <w:tab w:val="end" w:leader="dot" w:pos="10240"/>
        </w:tabs>
        <w:rPr>
          <w:rFonts w:ascii="Calibri" w:hAnsi="Calibri"/>
          <w:noProof/>
          <w:sz w:val="22"/>
        </w:rPr>
      </w:pPr>
      <w:hyperlink w:anchor="_Toc256000080" w:history="1">
        <w:r w:rsidR="00A77B3E">
          <w:rPr>
            <w:rStyle w:val="Hyperlink"/>
            <w:rFonts w:ascii="Times New Roman" w:hAnsi="Times New Roman" w:cs="Times New Roman"/>
          </w:rPr>
          <w:t>2.2.2. Okvirna razčlenitev tehnične pomoči v skladu s členom 37 uredbe o skupnih določbah</w:t>
        </w:r>
        <w:r>
          <w:tab/>
        </w:r>
        <w:r>
          <w:fldChar w:fldCharType="begin"/>
        </w:r>
        <w:r>
          <w:instrText xml:space="preserve"> PAGEREF _Toc256000080 \h </w:instrText>
        </w:r>
        <w:r>
          <w:fldChar w:fldCharType="separate"/>
        </w:r>
        <w:r>
          <w:t>38</w:t>
        </w:r>
        <w:r>
          <w:fldChar w:fldCharType="end"/>
        </w:r>
      </w:hyperlink>
    </w:p>
    <w:p>
      <w:pPr>
        <w:pStyle w:val="TOC4"/>
        <w:tabs>
          <w:tab w:val="end" w:leader="dot" w:pos="10240"/>
        </w:tabs>
        <w:rPr>
          <w:rFonts w:ascii="Calibri" w:hAnsi="Calibri"/>
          <w:noProof/>
          <w:sz w:val="22"/>
        </w:rPr>
      </w:pPr>
      <w:hyperlink w:anchor="_Toc256000081" w:history="1">
        <w:r w:rsidR="00A77B3E">
          <w:rPr>
            <w:rStyle w:val="Hyperlink"/>
          </w:rPr>
          <w:t>Tabela 4: Okvirna razčlenitev</w:t>
        </w:r>
        <w:r>
          <w:tab/>
        </w:r>
        <w:r>
          <w:fldChar w:fldCharType="begin"/>
        </w:r>
        <w:r>
          <w:instrText xml:space="preserve"> PAGEREF _Toc256000081 \h </w:instrText>
        </w:r>
        <w:r>
          <w:fldChar w:fldCharType="separate"/>
        </w:r>
        <w:r>
          <w:t>38</w:t>
        </w:r>
        <w:r>
          <w:fldChar w:fldCharType="end"/>
        </w:r>
      </w:hyperlink>
    </w:p>
    <w:p>
      <w:pPr>
        <w:pStyle w:val="TOC1"/>
        <w:tabs>
          <w:tab w:val="end" w:leader="dot" w:pos="10240"/>
        </w:tabs>
        <w:rPr>
          <w:rFonts w:ascii="Calibri" w:hAnsi="Calibri"/>
          <w:noProof/>
          <w:sz w:val="22"/>
        </w:rPr>
      </w:pPr>
      <w:hyperlink w:anchor="_Toc256000082" w:history="1">
        <w:r w:rsidR="00A77B3E">
          <w:rPr>
            <w:rStyle w:val="Hyperlink"/>
            <w:rFonts w:ascii="Times New Roman" w:hAnsi="Times New Roman" w:cs="Times New Roman"/>
          </w:rPr>
          <w:t>3. Načrt financiranja</w:t>
        </w:r>
        <w:r>
          <w:tab/>
        </w:r>
        <w:r>
          <w:fldChar w:fldCharType="begin"/>
        </w:r>
        <w:r>
          <w:instrText xml:space="preserve"> PAGEREF _Toc256000082 \h </w:instrText>
        </w:r>
        <w:r>
          <w:fldChar w:fldCharType="separate"/>
        </w:r>
        <w:r>
          <w:t>39</w:t>
        </w:r>
        <w:r>
          <w:fldChar w:fldCharType="end"/>
        </w:r>
      </w:hyperlink>
    </w:p>
    <w:p>
      <w:pPr>
        <w:pStyle w:val="TOC2"/>
        <w:tabs>
          <w:tab w:val="end" w:leader="dot" w:pos="10240"/>
        </w:tabs>
        <w:rPr>
          <w:rFonts w:ascii="Calibri" w:hAnsi="Calibri"/>
          <w:noProof/>
          <w:sz w:val="22"/>
        </w:rPr>
      </w:pPr>
      <w:hyperlink w:anchor="_Toc256000083" w:history="1">
        <w:r w:rsidR="00A77B3E">
          <w:rPr>
            <w:rStyle w:val="Hyperlink"/>
            <w:rFonts w:ascii="TimesNewRoman" w:eastAsia="TimesNewRoman" w:hAnsi="TimesNewRoman" w:cs="TimesNewRoman"/>
          </w:rPr>
          <w:t>3.1. Finančna sredstva po letih</w:t>
        </w:r>
        <w:r>
          <w:tab/>
        </w:r>
        <w:r>
          <w:fldChar w:fldCharType="begin"/>
        </w:r>
        <w:r>
          <w:instrText xml:space="preserve"> PAGEREF _Toc256000083 \h </w:instrText>
        </w:r>
        <w:r>
          <w:fldChar w:fldCharType="separate"/>
        </w:r>
        <w:r>
          <w:t>39</w:t>
        </w:r>
        <w:r>
          <w:fldChar w:fldCharType="end"/>
        </w:r>
      </w:hyperlink>
    </w:p>
    <w:p>
      <w:pPr>
        <w:pStyle w:val="TOC4"/>
        <w:tabs>
          <w:tab w:val="end" w:leader="dot" w:pos="10240"/>
        </w:tabs>
        <w:rPr>
          <w:rFonts w:ascii="Calibri" w:hAnsi="Calibri"/>
          <w:noProof/>
          <w:sz w:val="22"/>
        </w:rPr>
      </w:pPr>
      <w:hyperlink w:anchor="_Toc256000084" w:history="1">
        <w:r w:rsidR="00A77B3E">
          <w:rPr>
            <w:rStyle w:val="Hyperlink"/>
            <w:rFonts w:ascii="TimesNewRoman" w:eastAsia="TimesNewRoman" w:hAnsi="TimesNewRoman" w:cs="TimesNewRoman"/>
          </w:rPr>
          <w:t>Tabela 5: Finančna sredstva po letih</w:t>
        </w:r>
        <w:r>
          <w:tab/>
        </w:r>
        <w:r>
          <w:fldChar w:fldCharType="begin"/>
        </w:r>
        <w:r>
          <w:instrText xml:space="preserve"> PAGEREF _Toc256000084 \h </w:instrText>
        </w:r>
        <w:r>
          <w:fldChar w:fldCharType="separate"/>
        </w:r>
        <w:r>
          <w:t>39</w:t>
        </w:r>
        <w:r>
          <w:fldChar w:fldCharType="end"/>
        </w:r>
      </w:hyperlink>
    </w:p>
    <w:p>
      <w:pPr>
        <w:pStyle w:val="TOC2"/>
        <w:tabs>
          <w:tab w:val="end" w:leader="dot" w:pos="10240"/>
        </w:tabs>
        <w:rPr>
          <w:rFonts w:ascii="Calibri" w:hAnsi="Calibri"/>
          <w:noProof/>
          <w:sz w:val="22"/>
        </w:rPr>
      </w:pPr>
      <w:hyperlink w:anchor="_Toc256000085" w:history="1">
        <w:r w:rsidR="00A77B3E">
          <w:rPr>
            <w:rStyle w:val="Hyperlink"/>
            <w:rFonts w:ascii="TimesNewRoman" w:eastAsia="TimesNewRoman" w:hAnsi="TimesNewRoman" w:cs="TimesNewRoman"/>
          </w:rPr>
          <w:t>3.2. Skupna dodelitev finančnih sredstev</w:t>
        </w:r>
        <w:r>
          <w:tab/>
        </w:r>
        <w:r>
          <w:fldChar w:fldCharType="begin"/>
        </w:r>
        <w:r>
          <w:instrText xml:space="preserve"> PAGEREF _Toc256000085 \h </w:instrText>
        </w:r>
        <w:r>
          <w:fldChar w:fldCharType="separate"/>
        </w:r>
        <w:r>
          <w:t>40</w:t>
        </w:r>
        <w:r>
          <w:fldChar w:fldCharType="end"/>
        </w:r>
      </w:hyperlink>
    </w:p>
    <w:p>
      <w:pPr>
        <w:pStyle w:val="TOC4"/>
        <w:tabs>
          <w:tab w:val="end" w:leader="dot" w:pos="10240"/>
        </w:tabs>
        <w:rPr>
          <w:rFonts w:ascii="Calibri" w:hAnsi="Calibri"/>
          <w:noProof/>
          <w:sz w:val="22"/>
        </w:rPr>
      </w:pPr>
      <w:hyperlink w:anchor="_Toc256000086" w:history="1">
        <w:r w:rsidR="00A77B3E">
          <w:rPr>
            <w:rStyle w:val="Hyperlink"/>
            <w:rFonts w:ascii="TimesNewRoman" w:eastAsia="TimesNewRoman" w:hAnsi="TimesNewRoman" w:cs="TimesNewRoman"/>
          </w:rPr>
          <w:t>Tabela 6: Skupna dodelitev finančnih sredstev po skladih in nacionalni prispevek</w:t>
        </w:r>
        <w:r>
          <w:tab/>
        </w:r>
        <w:r>
          <w:fldChar w:fldCharType="begin"/>
        </w:r>
        <w:r>
          <w:instrText xml:space="preserve"> PAGEREF _Toc256000086 \h </w:instrText>
        </w:r>
        <w:r>
          <w:fldChar w:fldCharType="separate"/>
        </w:r>
        <w:r>
          <w:t>40</w:t>
        </w:r>
        <w:r>
          <w:fldChar w:fldCharType="end"/>
        </w:r>
      </w:hyperlink>
    </w:p>
    <w:p>
      <w:pPr>
        <w:pStyle w:val="TOC2"/>
        <w:tabs>
          <w:tab w:val="end" w:leader="dot" w:pos="10240"/>
        </w:tabs>
        <w:rPr>
          <w:rFonts w:ascii="Calibri" w:hAnsi="Calibri"/>
          <w:noProof/>
          <w:sz w:val="22"/>
        </w:rPr>
      </w:pPr>
      <w:hyperlink w:anchor="_Toc256000087" w:history="1">
        <w:r w:rsidR="00A77B3E">
          <w:rPr>
            <w:rStyle w:val="Hyperlink"/>
            <w:rFonts w:ascii="TimesNewRoman" w:eastAsia="TimesNewRoman" w:hAnsi="TimesNewRoman" w:cs="TimesNewRoman"/>
          </w:rPr>
          <w:t>3.3. Prerazporeditve</w:t>
        </w:r>
        <w:r>
          <w:tab/>
        </w:r>
        <w:r>
          <w:fldChar w:fldCharType="begin"/>
        </w:r>
        <w:r>
          <w:instrText xml:space="preserve"> PAGEREF _Toc256000087 \h </w:instrText>
        </w:r>
        <w:r>
          <w:fldChar w:fldCharType="separate"/>
        </w:r>
        <w:r>
          <w:t>41</w:t>
        </w:r>
        <w:r>
          <w:fldChar w:fldCharType="end"/>
        </w:r>
      </w:hyperlink>
    </w:p>
    <w:p>
      <w:pPr>
        <w:pStyle w:val="TOC1"/>
        <w:tabs>
          <w:tab w:val="end" w:leader="dot" w:pos="10240"/>
        </w:tabs>
        <w:rPr>
          <w:rFonts w:ascii="Calibri" w:hAnsi="Calibri"/>
          <w:noProof/>
          <w:sz w:val="22"/>
        </w:rPr>
      </w:pPr>
      <w:hyperlink w:anchor="_Toc256000088" w:history="1">
        <w:r w:rsidR="00A77B3E">
          <w:rPr>
            <w:rStyle w:val="Hyperlink"/>
            <w:rFonts w:ascii="Times New Roman" w:hAnsi="Times New Roman" w:cs="Times New Roman"/>
          </w:rPr>
          <w:t>4. Omogočitveni pogoji</w:t>
        </w:r>
        <w:r>
          <w:tab/>
        </w:r>
        <w:r>
          <w:fldChar w:fldCharType="begin"/>
        </w:r>
        <w:r>
          <w:instrText xml:space="preserve"> PAGEREF _Toc256000088 \h </w:instrText>
        </w:r>
        <w:r>
          <w:fldChar w:fldCharType="separate"/>
        </w:r>
        <w:r>
          <w:t>43</w:t>
        </w:r>
        <w:r>
          <w:fldChar w:fldCharType="end"/>
        </w:r>
      </w:hyperlink>
    </w:p>
    <w:p>
      <w:pPr>
        <w:pStyle w:val="TOC2"/>
        <w:tabs>
          <w:tab w:val="end" w:leader="dot" w:pos="10240"/>
        </w:tabs>
        <w:rPr>
          <w:rFonts w:ascii="Calibri" w:hAnsi="Calibri"/>
          <w:noProof/>
          <w:sz w:val="22"/>
        </w:rPr>
      </w:pPr>
      <w:hyperlink w:anchor="_Toc256000089" w:history="1">
        <w:r w:rsidR="00A77B3E">
          <w:rPr>
            <w:rStyle w:val="Hyperlink"/>
            <w:rFonts w:ascii="Times New Roman" w:hAnsi="Times New Roman" w:cs="Times New Roman"/>
          </w:rPr>
          <w:t>Tabela 9: Horizontalni omogočitveni pogoji</w:t>
        </w:r>
        <w:r>
          <w:tab/>
        </w:r>
        <w:r>
          <w:fldChar w:fldCharType="begin"/>
        </w:r>
        <w:r>
          <w:instrText xml:space="preserve"> PAGEREF _Toc256000089 \h </w:instrText>
        </w:r>
        <w:r>
          <w:fldChar w:fldCharType="separate"/>
        </w:r>
        <w:r>
          <w:t>43</w:t>
        </w:r>
        <w:r>
          <w:fldChar w:fldCharType="end"/>
        </w:r>
      </w:hyperlink>
    </w:p>
    <w:p>
      <w:pPr>
        <w:pStyle w:val="TOC1"/>
        <w:tabs>
          <w:tab w:val="end" w:leader="dot" w:pos="10240"/>
        </w:tabs>
        <w:rPr>
          <w:rFonts w:ascii="Calibri" w:hAnsi="Calibri"/>
          <w:noProof/>
          <w:sz w:val="22"/>
        </w:rPr>
      </w:pPr>
      <w:hyperlink w:anchor="_Toc256000090" w:history="1">
        <w:r w:rsidR="00A77B3E">
          <w:rPr>
            <w:rStyle w:val="Hyperlink"/>
            <w:rFonts w:ascii="Times New Roman" w:hAnsi="Times New Roman" w:cs="Times New Roman"/>
          </w:rPr>
          <w:t>5. Organi, pristojni za program</w:t>
        </w:r>
        <w:r>
          <w:tab/>
        </w:r>
        <w:r>
          <w:fldChar w:fldCharType="begin"/>
        </w:r>
        <w:r>
          <w:instrText xml:space="preserve"> PAGEREF _Toc256000090 \h </w:instrText>
        </w:r>
        <w:r>
          <w:fldChar w:fldCharType="separate"/>
        </w:r>
        <w:r>
          <w:t>51</w:t>
        </w:r>
        <w:r>
          <w:fldChar w:fldCharType="end"/>
        </w:r>
      </w:hyperlink>
    </w:p>
    <w:p>
      <w:pPr>
        <w:pStyle w:val="TOC2"/>
        <w:tabs>
          <w:tab w:val="end" w:leader="dot" w:pos="10240"/>
        </w:tabs>
        <w:rPr>
          <w:rFonts w:ascii="Calibri" w:hAnsi="Calibri"/>
          <w:noProof/>
          <w:sz w:val="22"/>
        </w:rPr>
      </w:pPr>
      <w:hyperlink w:anchor="_Toc256000091" w:history="1">
        <w:r w:rsidR="00A77B3E">
          <w:rPr>
            <w:rStyle w:val="Hyperlink"/>
            <w:rFonts w:ascii="Times New Roman" w:hAnsi="Times New Roman" w:cs="Times New Roman"/>
          </w:rPr>
          <w:t>Tabela 10: Organi, pristojni za program</w:t>
        </w:r>
        <w:r>
          <w:tab/>
        </w:r>
        <w:r>
          <w:fldChar w:fldCharType="begin"/>
        </w:r>
        <w:r>
          <w:instrText xml:space="preserve"> PAGEREF _Toc256000091 \h </w:instrText>
        </w:r>
        <w:r>
          <w:fldChar w:fldCharType="separate"/>
        </w:r>
        <w:r>
          <w:t>51</w:t>
        </w:r>
        <w:r>
          <w:fldChar w:fldCharType="end"/>
        </w:r>
      </w:hyperlink>
    </w:p>
    <w:p>
      <w:pPr>
        <w:pStyle w:val="TOC1"/>
        <w:tabs>
          <w:tab w:val="end" w:leader="dot" w:pos="10240"/>
        </w:tabs>
        <w:rPr>
          <w:rFonts w:ascii="Calibri" w:hAnsi="Calibri"/>
          <w:noProof/>
          <w:sz w:val="22"/>
        </w:rPr>
      </w:pPr>
      <w:hyperlink w:anchor="_Toc256000092" w:history="1">
        <w:r w:rsidR="00A77B3E">
          <w:rPr>
            <w:rStyle w:val="Hyperlink"/>
            <w:rFonts w:ascii="Times New Roman" w:hAnsi="Times New Roman" w:cs="Times New Roman"/>
          </w:rPr>
          <w:t>6. Partnerstvo</w:t>
        </w:r>
        <w:r>
          <w:tab/>
        </w:r>
        <w:r>
          <w:fldChar w:fldCharType="begin"/>
        </w:r>
        <w:r>
          <w:instrText xml:space="preserve"> PAGEREF _Toc256000092 \h </w:instrText>
        </w:r>
        <w:r>
          <w:fldChar w:fldCharType="separate"/>
        </w:r>
        <w:r>
          <w:t>52</w:t>
        </w:r>
        <w:r>
          <w:fldChar w:fldCharType="end"/>
        </w:r>
      </w:hyperlink>
    </w:p>
    <w:p>
      <w:pPr>
        <w:pStyle w:val="TOC1"/>
        <w:tabs>
          <w:tab w:val="end" w:leader="dot" w:pos="10240"/>
        </w:tabs>
        <w:rPr>
          <w:rFonts w:ascii="Calibri" w:hAnsi="Calibri"/>
          <w:noProof/>
          <w:sz w:val="22"/>
        </w:rPr>
      </w:pPr>
      <w:hyperlink w:anchor="_Toc256000093" w:history="1">
        <w:r w:rsidR="00A77B3E">
          <w:rPr>
            <w:rStyle w:val="Hyperlink"/>
            <w:rFonts w:ascii="Times New Roman" w:hAnsi="Times New Roman" w:cs="Times New Roman"/>
          </w:rPr>
          <w:t>7. Komuniciranje in prepoznavnost</w:t>
        </w:r>
        <w:r>
          <w:tab/>
        </w:r>
        <w:r>
          <w:fldChar w:fldCharType="begin"/>
        </w:r>
        <w:r>
          <w:instrText xml:space="preserve"> PAGEREF _Toc256000093 \h </w:instrText>
        </w:r>
        <w:r>
          <w:fldChar w:fldCharType="separate"/>
        </w:r>
        <w:r>
          <w:t>55</w:t>
        </w:r>
        <w:r>
          <w:fldChar w:fldCharType="end"/>
        </w:r>
      </w:hyperlink>
    </w:p>
    <w:p>
      <w:pPr>
        <w:pStyle w:val="TOC1"/>
        <w:tabs>
          <w:tab w:val="end" w:leader="dot" w:pos="10240"/>
        </w:tabs>
        <w:rPr>
          <w:rFonts w:ascii="Calibri" w:hAnsi="Calibri"/>
          <w:noProof/>
          <w:sz w:val="22"/>
        </w:rPr>
      </w:pPr>
      <w:hyperlink w:anchor="_Toc256000094" w:history="1">
        <w:r w:rsidR="00A77B3E">
          <w:rPr>
            <w:rStyle w:val="Hyperlink"/>
            <w:rFonts w:ascii="Times New Roman" w:hAnsi="Times New Roman" w:cs="Times New Roman"/>
          </w:rPr>
          <w:t>8. Uporaba stroškov na enoto, pavšalnih zneskov, pavšalnih stopenj in financiranja, ki ni povezano s stroški</w:t>
        </w:r>
        <w:r>
          <w:tab/>
        </w:r>
        <w:r>
          <w:fldChar w:fldCharType="begin"/>
        </w:r>
        <w:r>
          <w:instrText xml:space="preserve"> PAGEREF _Toc256000094 \h </w:instrText>
        </w:r>
        <w:r>
          <w:fldChar w:fldCharType="separate"/>
        </w:r>
        <w:r>
          <w:t>57</w:t>
        </w:r>
        <w:r>
          <w:fldChar w:fldCharType="end"/>
        </w:r>
      </w:hyperlink>
    </w:p>
    <w:p>
      <w:pPr>
        <w:pStyle w:val="TOC1"/>
        <w:tabs>
          <w:tab w:val="end" w:leader="dot" w:pos="10240"/>
        </w:tabs>
        <w:rPr>
          <w:rFonts w:ascii="Calibri" w:hAnsi="Calibri"/>
          <w:noProof/>
          <w:sz w:val="22"/>
        </w:rPr>
      </w:pPr>
      <w:hyperlink w:anchor="_Toc256000095" w:history="1">
        <w:r w:rsidR="00A77B3E">
          <w:rPr>
            <w:rStyle w:val="Hyperlink"/>
            <w:rFonts w:ascii="Times New Roman" w:hAnsi="Times New Roman" w:cs="Times New Roman"/>
          </w:rPr>
          <w:t>Dodatek 1: Prispevek Unije na podlagi stroškov na enoto, pavšalnih zneskov in pavšalnih stopenj</w:t>
        </w:r>
        <w:r>
          <w:tab/>
        </w:r>
        <w:r>
          <w:fldChar w:fldCharType="begin"/>
        </w:r>
        <w:r>
          <w:instrText xml:space="preserve"> PAGEREF _Toc256000095 \h </w:instrText>
        </w:r>
        <w:r>
          <w:fldChar w:fldCharType="separate"/>
        </w:r>
        <w:r>
          <w:t>58</w:t>
        </w:r>
        <w:r>
          <w:fldChar w:fldCharType="end"/>
        </w:r>
      </w:hyperlink>
    </w:p>
    <w:p>
      <w:pPr>
        <w:pStyle w:val="TOC2"/>
        <w:tabs>
          <w:tab w:val="end" w:leader="dot" w:pos="10240"/>
        </w:tabs>
        <w:rPr>
          <w:rFonts w:ascii="Calibri" w:hAnsi="Calibri"/>
          <w:noProof/>
          <w:sz w:val="22"/>
        </w:rPr>
      </w:pPr>
      <w:hyperlink w:anchor="_Toc256000096" w:history="1">
        <w:r w:rsidR="00A77B3E">
          <w:rPr>
            <w:rStyle w:val="Hyperlink"/>
            <w:rFonts w:ascii="Times New Roman" w:hAnsi="Times New Roman" w:cs="Times New Roman"/>
          </w:rPr>
          <w:t>A. Povzetek glavnih elementov</w:t>
        </w:r>
        <w:r>
          <w:tab/>
        </w:r>
        <w:r>
          <w:fldChar w:fldCharType="begin"/>
        </w:r>
        <w:r>
          <w:instrText xml:space="preserve"> PAGEREF _Toc256000096 \h </w:instrText>
        </w:r>
        <w:r>
          <w:fldChar w:fldCharType="separate"/>
        </w:r>
        <w:r>
          <w:t>58</w:t>
        </w:r>
        <w:r>
          <w:fldChar w:fldCharType="end"/>
        </w:r>
      </w:hyperlink>
    </w:p>
    <w:p>
      <w:pPr>
        <w:pStyle w:val="TOC2"/>
        <w:tabs>
          <w:tab w:val="end" w:leader="dot" w:pos="10240"/>
        </w:tabs>
        <w:rPr>
          <w:rFonts w:ascii="Calibri" w:hAnsi="Calibri"/>
          <w:noProof/>
          <w:sz w:val="22"/>
        </w:rPr>
      </w:pPr>
      <w:hyperlink w:anchor="_Toc256000097" w:history="1">
        <w:r w:rsidR="00A77B3E">
          <w:rPr>
            <w:rStyle w:val="Hyperlink"/>
            <w:rFonts w:ascii="Times New Roman" w:hAnsi="Times New Roman" w:cs="Times New Roman"/>
          </w:rPr>
          <w:t>B. Podrobnosti glede na vrsto operacije</w:t>
        </w:r>
        <w:r>
          <w:tab/>
        </w:r>
        <w:r>
          <w:fldChar w:fldCharType="begin"/>
        </w:r>
        <w:r>
          <w:instrText xml:space="preserve"> PAGEREF _Toc256000097 \h </w:instrText>
        </w:r>
        <w:r>
          <w:fldChar w:fldCharType="separate"/>
        </w:r>
        <w:r>
          <w:t>59</w:t>
        </w:r>
        <w:r>
          <w:fldChar w:fldCharType="end"/>
        </w:r>
      </w:hyperlink>
    </w:p>
    <w:p>
      <w:pPr>
        <w:pStyle w:val="TOC2"/>
        <w:tabs>
          <w:tab w:val="end" w:leader="dot" w:pos="10240"/>
        </w:tabs>
        <w:rPr>
          <w:rFonts w:ascii="Calibri" w:hAnsi="Calibri"/>
          <w:noProof/>
          <w:sz w:val="22"/>
        </w:rPr>
      </w:pPr>
      <w:hyperlink w:anchor="_Toc256000098" w:history="1">
        <w:r w:rsidR="00A77B3E">
          <w:rPr>
            <w:rStyle w:val="Hyperlink"/>
            <w:rFonts w:ascii="TimesNewRoman" w:eastAsia="TimesNewRoman" w:hAnsi="TimesNewRoman" w:cs="TimesNewRoman"/>
          </w:rPr>
          <w:t>C. Izračun standardnih stroškov na enoto, pavšalnih zneskov in pavšalnih stopenj</w:t>
        </w:r>
        <w:r>
          <w:tab/>
        </w:r>
        <w:r>
          <w:fldChar w:fldCharType="begin"/>
        </w:r>
        <w:r>
          <w:instrText xml:space="preserve"> PAGEREF _Toc256000098 \h </w:instrText>
        </w:r>
        <w:r>
          <w:fldChar w:fldCharType="separate"/>
        </w:r>
        <w:r>
          <w:t>60</w:t>
        </w:r>
        <w:r>
          <w:fldChar w:fldCharType="end"/>
        </w:r>
      </w:hyperlink>
    </w:p>
    <w:p>
      <w:pPr>
        <w:pStyle w:val="TOC4"/>
        <w:tabs>
          <w:tab w:val="end" w:leader="dot" w:pos="10240"/>
        </w:tabs>
        <w:rPr>
          <w:rFonts w:ascii="Calibri" w:hAnsi="Calibri"/>
          <w:noProof/>
          <w:sz w:val="22"/>
        </w:rPr>
      </w:pPr>
      <w:hyperlink w:anchor="_Toc256000099" w:history="1">
        <w:r w:rsidR="00A77B3E">
          <w:rPr>
            <w:rStyle w:val="Hyperlink"/>
            <w:rFonts w:ascii="TimesNewRoman" w:eastAsia="TimesNewRoman" w:hAnsi="TimesNewRoman" w:cs="TimesNewRoman"/>
          </w:rPr>
          <w:t>1. Vir podatkov, uporabljenih za izračun standardnih stroškov na enoto, pavšalnih zneskov ali pavšalnih stopenj (kdo je predložil, zbral in evidentiral podatke; kje so podatki shranjeni; presečni datumi; potrjevanje itd.)</w:t>
        </w:r>
        <w:r>
          <w:tab/>
        </w:r>
        <w:r>
          <w:fldChar w:fldCharType="begin"/>
        </w:r>
        <w:r>
          <w:instrText xml:space="preserve"> PAGEREF _Toc256000099 \h </w:instrText>
        </w:r>
        <w:r>
          <w:fldChar w:fldCharType="separate"/>
        </w:r>
        <w:r>
          <w:t>60</w:t>
        </w:r>
        <w:r>
          <w:fldChar w:fldCharType="end"/>
        </w:r>
      </w:hyperlink>
    </w:p>
    <w:p>
      <w:pPr>
        <w:pStyle w:val="TOC4"/>
        <w:tabs>
          <w:tab w:val="end" w:leader="dot" w:pos="10240"/>
        </w:tabs>
        <w:rPr>
          <w:rFonts w:ascii="Calibri" w:hAnsi="Calibri"/>
          <w:noProof/>
          <w:sz w:val="22"/>
        </w:rPr>
      </w:pPr>
      <w:hyperlink w:anchor="_Toc256000100" w:history="1">
        <w:r w:rsidR="00A77B3E">
          <w:rPr>
            <w:rStyle w:val="Hyperlink"/>
          </w:rPr>
          <w:t>2. Navedite, zakaj sta predlagana metoda in izračun na podlagi člena 94(2) uredbe o skupnih določbah relevantna za vrsto operacije.</w:t>
        </w:r>
        <w:r>
          <w:tab/>
        </w:r>
        <w:r>
          <w:fldChar w:fldCharType="begin"/>
        </w:r>
        <w:r>
          <w:instrText xml:space="preserve"> PAGEREF _Toc256000100 \h </w:instrText>
        </w:r>
        <w:r>
          <w:fldChar w:fldCharType="separate"/>
        </w:r>
        <w:r>
          <w:t>61</w:t>
        </w:r>
        <w:r>
          <w:fldChar w:fldCharType="end"/>
        </w:r>
      </w:hyperlink>
    </w:p>
    <w:p>
      <w:pPr>
        <w:pStyle w:val="TOC4"/>
        <w:tabs>
          <w:tab w:val="end" w:leader="dot" w:pos="10240"/>
        </w:tabs>
        <w:rPr>
          <w:rFonts w:ascii="Calibri" w:hAnsi="Calibri"/>
          <w:noProof/>
          <w:sz w:val="22"/>
        </w:rPr>
      </w:pPr>
      <w:hyperlink w:anchor="_Toc256000101" w:history="1">
        <w:r w:rsidR="00A77B3E">
          <w:rPr>
            <w:rStyle w:val="Hyperlink"/>
          </w:rPr>
          <w:t>3. Navedite, kako so bili izračuni narejeni, vključno zlasti s predpostavkami v smislu kakovosti ali količin. Če je to relevantno, je treba uporabiti in na zahtevo predložiti statistične dokaze in referenčne vrednosti v obliki, ki jo lahko uporabi Evropska komisija.</w:t>
        </w:r>
        <w:r>
          <w:tab/>
        </w:r>
        <w:r>
          <w:fldChar w:fldCharType="begin"/>
        </w:r>
        <w:r>
          <w:instrText xml:space="preserve"> PAGEREF _Toc256000101 \h </w:instrText>
        </w:r>
        <w:r>
          <w:fldChar w:fldCharType="separate"/>
        </w:r>
        <w:r>
          <w:t>62</w:t>
        </w:r>
        <w:r>
          <w:fldChar w:fldCharType="end"/>
        </w:r>
      </w:hyperlink>
    </w:p>
    <w:p>
      <w:pPr>
        <w:pStyle w:val="TOC4"/>
        <w:tabs>
          <w:tab w:val="end" w:leader="dot" w:pos="10240"/>
        </w:tabs>
        <w:rPr>
          <w:rFonts w:ascii="Calibri" w:hAnsi="Calibri"/>
          <w:noProof/>
          <w:sz w:val="22"/>
        </w:rPr>
      </w:pPr>
      <w:hyperlink w:anchor="_Toc256000102" w:history="1">
        <w:r w:rsidR="00A77B3E">
          <w:rPr>
            <w:rStyle w:val="Hyperlink"/>
          </w:rPr>
          <w:t>4. Pojasnite, kako ste zagotovili, da so bili v izračun standardnih stroškov na enoto, pavšalnega zneska ali pavšalne stopnje vključeni le upravičeni izdatki.</w:t>
        </w:r>
        <w:r>
          <w:tab/>
        </w:r>
        <w:r>
          <w:fldChar w:fldCharType="begin"/>
        </w:r>
        <w:r>
          <w:instrText xml:space="preserve"> PAGEREF _Toc256000102 \h </w:instrText>
        </w:r>
        <w:r>
          <w:fldChar w:fldCharType="separate"/>
        </w:r>
        <w:r>
          <w:t>63</w:t>
        </w:r>
        <w:r>
          <w:fldChar w:fldCharType="end"/>
        </w:r>
      </w:hyperlink>
    </w:p>
    <w:p>
      <w:pPr>
        <w:pStyle w:val="TOC4"/>
        <w:tabs>
          <w:tab w:val="end" w:leader="dot" w:pos="10240"/>
        </w:tabs>
        <w:rPr>
          <w:rFonts w:ascii="Calibri" w:hAnsi="Calibri"/>
          <w:noProof/>
          <w:sz w:val="22"/>
        </w:rPr>
      </w:pPr>
      <w:hyperlink w:anchor="_Toc256000103" w:history="1">
        <w:r w:rsidR="00A77B3E">
          <w:rPr>
            <w:rStyle w:val="Hyperlink"/>
          </w:rPr>
          <w:t>5. Ocena revizijskega organa v zvezi z metodologijo za izračun in zneski ter ureditvijo za zagotovitev potrjevanja, kakovosti, zbiranja in shranjevanja podatkov.</w:t>
        </w:r>
        <w:r>
          <w:tab/>
        </w:r>
        <w:r>
          <w:fldChar w:fldCharType="begin"/>
        </w:r>
        <w:r>
          <w:instrText xml:space="preserve"> PAGEREF _Toc256000103 \h </w:instrText>
        </w:r>
        <w:r>
          <w:fldChar w:fldCharType="separate"/>
        </w:r>
        <w:r>
          <w:t>64</w:t>
        </w:r>
        <w:r>
          <w:fldChar w:fldCharType="end"/>
        </w:r>
      </w:hyperlink>
    </w:p>
    <w:p>
      <w:pPr>
        <w:pStyle w:val="TOC1"/>
        <w:tabs>
          <w:tab w:val="end" w:leader="dot" w:pos="10240"/>
        </w:tabs>
        <w:rPr>
          <w:rFonts w:ascii="Calibri" w:hAnsi="Calibri"/>
          <w:noProof/>
          <w:sz w:val="22"/>
        </w:rPr>
      </w:pPr>
      <w:hyperlink w:anchor="_Toc256000104" w:history="1">
        <w:r w:rsidR="00A77B3E">
          <w:rPr>
            <w:rStyle w:val="Hyperlink"/>
            <w:rFonts w:ascii="Times New Roman" w:hAnsi="Times New Roman" w:cs="Times New Roman"/>
          </w:rPr>
          <w:t>Dodatek 2: Prispevek Unije, temelječ na financiranju, ki ni povezano s stroški</w:t>
        </w:r>
        <w:r>
          <w:tab/>
        </w:r>
        <w:r>
          <w:fldChar w:fldCharType="begin"/>
        </w:r>
        <w:r>
          <w:instrText xml:space="preserve"> PAGEREF _Toc256000104 \h </w:instrText>
        </w:r>
        <w:r>
          <w:fldChar w:fldCharType="separate"/>
        </w:r>
        <w:r>
          <w:t>65</w:t>
        </w:r>
        <w:r>
          <w:fldChar w:fldCharType="end"/>
        </w:r>
      </w:hyperlink>
    </w:p>
    <w:p>
      <w:pPr>
        <w:pStyle w:val="TOC2"/>
        <w:tabs>
          <w:tab w:val="end" w:leader="dot" w:pos="10240"/>
        </w:tabs>
        <w:rPr>
          <w:rFonts w:ascii="Calibri" w:hAnsi="Calibri"/>
          <w:noProof/>
          <w:sz w:val="22"/>
        </w:rPr>
      </w:pPr>
      <w:hyperlink w:anchor="_Toc256000105" w:history="1">
        <w:r w:rsidR="00A77B3E">
          <w:rPr>
            <w:rStyle w:val="Hyperlink"/>
            <w:rFonts w:ascii="Times New Roman" w:hAnsi="Times New Roman" w:cs="Times New Roman"/>
          </w:rPr>
          <w:t>A. Povzetek glavnih elementov</w:t>
        </w:r>
        <w:r>
          <w:tab/>
        </w:r>
        <w:r>
          <w:fldChar w:fldCharType="begin"/>
        </w:r>
        <w:r>
          <w:instrText xml:space="preserve"> PAGEREF _Toc256000105 \h </w:instrText>
        </w:r>
        <w:r>
          <w:fldChar w:fldCharType="separate"/>
        </w:r>
        <w:r>
          <w:t>65</w:t>
        </w:r>
        <w:r>
          <w:fldChar w:fldCharType="end"/>
        </w:r>
      </w:hyperlink>
    </w:p>
    <w:p>
      <w:pPr>
        <w:pStyle w:val="TOC2"/>
        <w:tabs>
          <w:tab w:val="end" w:leader="dot" w:pos="10240"/>
        </w:tabs>
        <w:rPr>
          <w:rFonts w:ascii="Calibri" w:hAnsi="Calibri"/>
          <w:noProof/>
          <w:sz w:val="22"/>
        </w:rPr>
      </w:pPr>
      <w:hyperlink w:anchor="_Toc256000106" w:history="1">
        <w:r w:rsidR="00A77B3E">
          <w:rPr>
            <w:rStyle w:val="Hyperlink"/>
            <w:rFonts w:ascii="TimesNewRoman" w:eastAsia="TimesNewRoman" w:hAnsi="TimesNewRoman" w:cs="TimesNewRoman"/>
          </w:rPr>
          <w:t>B. Podrobnosti glede na vrsto operacije</w:t>
        </w:r>
        <w:r>
          <w:tab/>
        </w:r>
        <w:r>
          <w:fldChar w:fldCharType="begin"/>
        </w:r>
        <w:r>
          <w:instrText xml:space="preserve"> PAGEREF _Toc256000106 \h </w:instrText>
        </w:r>
        <w:r>
          <w:fldChar w:fldCharType="separate"/>
        </w:r>
        <w:r>
          <w:t>66</w:t>
        </w:r>
        <w:r>
          <w:fldChar w:fldCharType="end"/>
        </w:r>
      </w:hyperlink>
    </w:p>
    <w:p>
      <w:pPr>
        <w:pStyle w:val="TOC1"/>
        <w:tabs>
          <w:tab w:val="end" w:leader="dot" w:pos="10240"/>
        </w:tabs>
        <w:rPr>
          <w:rFonts w:ascii="Calibri" w:hAnsi="Calibri"/>
          <w:noProof/>
          <w:sz w:val="22"/>
        </w:rPr>
      </w:pPr>
      <w:hyperlink w:anchor="_Toc256000107" w:history="1">
        <w:r w:rsidR="00A77B3E">
          <w:rPr>
            <w:rStyle w:val="Hyperlink"/>
            <w:rFonts w:ascii="TimesNewRoman" w:eastAsia="TimesNewRoman" w:hAnsi="TimesNewRoman" w:cs="TimesNewRoman"/>
          </w:rPr>
          <w:t>Dodatek 3</w:t>
        </w:r>
        <w:r>
          <w:tab/>
        </w:r>
        <w:r>
          <w:fldChar w:fldCharType="begin"/>
        </w:r>
        <w:r>
          <w:instrText xml:space="preserve"> PAGEREF _Toc256000107 \h </w:instrText>
        </w:r>
        <w:r>
          <w:fldChar w:fldCharType="separate"/>
        </w:r>
        <w:r>
          <w:t>67</w:t>
        </w:r>
        <w:r>
          <w:fldChar w:fldCharType="end"/>
        </w:r>
      </w:hyperlink>
    </w:p>
    <w:p>
      <w:pPr>
        <w:pStyle w:val="TOC2"/>
        <w:tabs>
          <w:tab w:val="end" w:leader="dot" w:pos="10240"/>
        </w:tabs>
        <w:rPr>
          <w:rFonts w:ascii="Calibri" w:hAnsi="Calibri"/>
          <w:noProof/>
          <w:sz w:val="22"/>
        </w:rPr>
      </w:pPr>
      <w:hyperlink w:anchor="_Toc256000108" w:history="1">
        <w:r w:rsidR="00A77B3E">
          <w:rPr>
            <w:rStyle w:val="Hyperlink"/>
            <w:rFonts w:ascii="TimesNewRoman" w:eastAsia="TimesNewRoman" w:hAnsi="TimesNewRoman" w:cs="TimesNewRoman"/>
          </w:rPr>
          <w:t>Tematski instrument (člen 11 uredbe o AMIF, člen 8 uredbe o IUMV, člen 8 uredbe o SNV)</w:t>
        </w:r>
        <w:r>
          <w:tab/>
        </w:r>
        <w:r>
          <w:fldChar w:fldCharType="begin"/>
        </w:r>
        <w:r>
          <w:instrText xml:space="preserve"> PAGEREF _Toc256000108 \h </w:instrText>
        </w:r>
        <w:r>
          <w:fldChar w:fldCharType="separate"/>
        </w:r>
        <w:r>
          <w:t>67</w:t>
        </w:r>
        <w:r>
          <w:fldChar w:fldCharType="end"/>
        </w:r>
      </w:hyperlink>
    </w:p>
    <w:p>
      <w:pPr>
        <w:pStyle w:val="TOC1"/>
        <w:tabs>
          <w:tab w:val="end" w:leader="dot" w:pos="10240"/>
        </w:tabs>
        <w:rPr>
          <w:rFonts w:ascii="Calibri" w:hAnsi="Calibri"/>
          <w:noProof/>
          <w:sz w:val="22"/>
        </w:rPr>
      </w:pPr>
      <w:hyperlink w:anchor="_Toc256000109" w:history="1">
        <w:r w:rsidR="00A77B3E">
          <w:rPr>
            <w:rStyle w:val="Hyperlink"/>
            <w:rFonts w:ascii="TimesNewRoman" w:eastAsia="TimesNewRoman" w:hAnsi="TimesNewRoman" w:cs="TimesNewRoman"/>
          </w:rPr>
          <w:t>DOKUMENTI</w:t>
        </w:r>
        <w:r>
          <w:tab/>
        </w:r>
        <w:r>
          <w:fldChar w:fldCharType="begin"/>
        </w:r>
        <w:r>
          <w:instrText xml:space="preserve"> PAGEREF _Toc256000109 \h </w:instrText>
        </w:r>
        <w:r>
          <w:fldChar w:fldCharType="separate"/>
        </w:r>
        <w:r>
          <w:t>68</w:t>
        </w:r>
        <w:r>
          <w:fldChar w:fldCharType="end"/>
        </w:r>
      </w:hyperlink>
    </w:p>
    <w:p w:rsidR="00A77B3E">
      <w:pPr>
        <w:pStyle w:val="Heading1"/>
        <w:jc w:val="start"/>
        <w:rPr>
          <w:rFonts w:ascii="Times New Roman" w:eastAsia="Times New Roman" w:hAnsi="Times New Roman" w:cs="Times New Roman"/>
          <w:b w:val="0"/>
          <w:i w:val="0"/>
          <w:vanish w:val="0"/>
          <w:color w:val="000000"/>
          <w:sz w:val="24"/>
        </w:rPr>
      </w:pPr>
      <w:r>
        <w:rPr>
          <w:rFonts w:ascii="Times New Roman" w:eastAsia="Times New Roman" w:hAnsi="Times New Roman" w:cs="Times New Roman"/>
          <w:b w:val="0"/>
          <w:vanish w:val="0"/>
          <w:color w:val="000000"/>
          <w:sz w:val="24"/>
        </w:rPr>
        <w:fldChar w:fldCharType="end"/>
      </w:r>
      <w:r>
        <w:rPr>
          <w:rFonts w:ascii="Times New Roman" w:eastAsia="Times New Roman" w:hAnsi="Times New Roman" w:cs="Times New Roman"/>
          <w:b w:val="0"/>
          <w:vanish w:val="0"/>
          <w:color w:val="000000"/>
          <w:sz w:val="24"/>
        </w:rPr>
        <w:br w:type="page"/>
      </w:r>
      <w:bookmarkStart w:id="0" w:name="_Toc256000055"/>
      <w:r>
        <w:rPr>
          <w:rFonts w:ascii="Times New Roman" w:eastAsia="Times New Roman" w:hAnsi="Times New Roman" w:cs="Times New Roman"/>
          <w:b w:val="0"/>
          <w:i w:val="0"/>
          <w:vanish w:val="0"/>
          <w:color w:val="000000"/>
          <w:sz w:val="24"/>
        </w:rPr>
        <w:t>1. Strategija programa: glavni izzivi in odzivi politik</w:t>
      </w:r>
      <w:bookmarkEnd w:id="0"/>
    </w:p>
    <w:p w:rsidR="00A77B3E">
      <w:pPr>
        <w:jc w:val="start"/>
        <w:rPr>
          <w:rFonts w:ascii="Times New Roman" w:eastAsia="Times New Roman" w:hAnsi="Times New Roman" w:cs="Times New Roman"/>
          <w:b w:val="0"/>
          <w:i w:val="0"/>
          <w:vanish w:val="0"/>
          <w:color w:val="000000"/>
          <w:sz w:val="16"/>
        </w:rPr>
      </w:pPr>
      <w:r>
        <w:rPr>
          <w:rFonts w:ascii="Times New Roman" w:eastAsia="Times New Roman" w:hAnsi="Times New Roman" w:cs="Times New Roman"/>
          <w:b w:val="0"/>
          <w:i w:val="0"/>
          <w:vanish w:val="0"/>
          <w:color w:val="000000"/>
          <w:sz w:val="24"/>
        </w:rPr>
        <w:t>Sklic: člen 22(3)(a)(iii), (iv), (v) in (ix) Uredbe (EU) 2021/1060 (uredba o skupnih določbah)</w:t>
      </w:r>
    </w:p>
    <w:p w:rsidR="00A77B3E">
      <w:pPr>
        <w:jc w:val="start"/>
        <w:rPr>
          <w:rFonts w:ascii="Times New Roman" w:eastAsia="Times New Roman" w:hAnsi="Times New Roman" w:cs="Times New Roman"/>
          <w:b w:val="0"/>
          <w:i w:val="0"/>
          <w:vanish w:val="0"/>
          <w:color w:val="000000"/>
          <w:sz w:val="12"/>
        </w:rPr>
      </w:pPr>
    </w:p>
    <w:tbl>
      <w:tblPr>
        <w:tblW w:w="100%" w:type="pct"/>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Layout w:type="fixed"/>
        <w:tblCellMar>
          <w:start w:w="5.4pt" w:type="dxa"/>
          <w:end w:w="5.4pt" w:type="dxa"/>
        </w:tblCellMar>
      </w:tblPr>
      <w:tblGrid>
        <w:gridCol w:w="10240"/>
      </w:tblGrid>
      <w:tr>
        <w:tblPrEx>
          <w:tblW w:w="100%" w:type="pct"/>
          <w:tblLayout w:type="fixed"/>
        </w:tblPrEx>
        <w:trPr>
          <w:trHeight w:val="240"/>
        </w:trPr>
        <w:tc>
          <w:tcPr>
            <w:tcW w:w="100%" w:type="pct"/>
            <w:tcBorders>
              <w:top w:val="single" w:sz="4" w:space="0" w:color="auto"/>
              <w:start w:val="single" w:sz="4" w:space="0" w:color="auto"/>
              <w:bottom w:val="single" w:sz="4" w:space="0" w:color="auto"/>
              <w:end w:val="single" w:sz="4" w:space="0" w:color="auto"/>
            </w:tcBorders>
            <w:tcMar>
              <w:start w:w="5pt" w:type="dxa"/>
              <w:end w:w="5pt" w:type="dxa"/>
            </w:tcMar>
            <w:vAlign w:val="top"/>
          </w:tcPr>
          <w:p w:rsidR="00A77B3E">
            <w:pPr>
              <w:jc w:val="start"/>
              <w:rPr>
                <w:rFonts w:ascii="Times New Roman" w:eastAsia="Times New Roman" w:hAnsi="Times New Roman" w:cs="Times New Roman"/>
                <w:b w:val="0"/>
                <w:i w:val="0"/>
                <w:vanish w:val="0"/>
                <w:color w:val="000000"/>
                <w:sz w:val="0"/>
              </w:rPr>
            </w:pPr>
          </w:p>
          <w:p w:rsidR="00A77B3E">
            <w:pPr>
              <w:jc w:val="start"/>
              <w:rPr>
                <w:rFonts w:ascii="Times New Roman" w:eastAsia="Times New Roman" w:hAnsi="Times New Roman" w:cs="Times New Roman"/>
                <w:b w:val="0"/>
                <w:i w:val="0"/>
                <w:vanish w:val="0"/>
                <w:color w:val="000000"/>
                <w:sz w:val="24"/>
              </w:rPr>
            </w:pPr>
          </w:p>
          <w:p w:rsidR="00A77B3E">
            <w:pPr>
              <w:jc w:val="start"/>
              <w:rPr>
                <w:rFonts w:ascii="Times New Roman" w:eastAsia="Times New Roman" w:hAnsi="Times New Roman" w:cs="Times New Roman"/>
                <w:b w:val="0"/>
                <w:i w:val="0"/>
                <w:vanish w:val="0"/>
                <w:color w:val="000000"/>
                <w:sz w:val="24"/>
              </w:rPr>
            </w:pPr>
            <w:r>
              <w:rPr>
                <w:rFonts w:ascii="Times New Roman" w:eastAsia="Times New Roman" w:hAnsi="Times New Roman" w:cs="Times New Roman"/>
                <w:b w:val="0"/>
                <w:i w:val="0"/>
                <w:vanish w:val="0"/>
                <w:color w:val="000000"/>
                <w:sz w:val="24"/>
              </w:rPr>
              <w:t>Evropska unija (EU) je sprejela ukrepe za okrepitev notranje varnosti, boljšo zaščito zunanjih meja in upravljanje migracijskih tokov. Pomemben ukrep je Uredba EU 2019/818 o vzpostavitvi okvira za interoperabilnost informacijskih sistemov EU na področju policijskega in pravosodnega sodelovanja, azila in migracij ter spremembi Uredb (EU) 2018/1726, 2018/1862 in 2019/816.</w:t>
            </w:r>
          </w:p>
          <w:p w:rsidR="00A77B3E">
            <w:pPr>
              <w:jc w:val="start"/>
              <w:rPr>
                <w:rFonts w:ascii="Times New Roman" w:eastAsia="Times New Roman" w:hAnsi="Times New Roman" w:cs="Times New Roman"/>
                <w:b w:val="0"/>
                <w:i w:val="0"/>
                <w:vanish w:val="0"/>
                <w:color w:val="000000"/>
                <w:sz w:val="24"/>
              </w:rPr>
            </w:pPr>
            <w:r>
              <w:rPr>
                <w:rFonts w:ascii="Times New Roman" w:eastAsia="Times New Roman" w:hAnsi="Times New Roman" w:cs="Times New Roman"/>
                <w:b w:val="0"/>
                <w:i w:val="0"/>
                <w:vanish w:val="0"/>
                <w:color w:val="000000"/>
                <w:sz w:val="24"/>
              </w:rPr>
              <w:t>Cilj novih aktov je tudi vezan na interoperabilnost s EES, ETIAS, ECRIS in nadgradnjo obstoječih sistemov - SIS, EURODAC, VIS za izboljšanje učinkovitega pretoka informacij med državami članicami (DČ) in povečan nadzor meja, migracij, obravnave vlog za mednarodno (medn.) zaščito in nudenje večje podpore DČ v boju proti kriminalu in terorizmu (vsa oprema in sistemi za interoperabilnost bodo fin. iz IUMV). Iz SNV bo delno fin. inf. strojna, programska oprema in komunikacijsko omrežje policije, potrebno za delovanje in uporabo centralnih EU informacijskih sistemov (75%).</w:t>
            </w:r>
          </w:p>
          <w:p w:rsidR="00A77B3E">
            <w:pPr>
              <w:jc w:val="start"/>
              <w:rPr>
                <w:rFonts w:ascii="Times New Roman" w:eastAsia="Times New Roman" w:hAnsi="Times New Roman" w:cs="Times New Roman"/>
                <w:b w:val="0"/>
                <w:i w:val="0"/>
                <w:vanish w:val="0"/>
                <w:color w:val="000000"/>
                <w:sz w:val="24"/>
              </w:rPr>
            </w:pPr>
            <w:r>
              <w:rPr>
                <w:rFonts w:ascii="Times New Roman" w:eastAsia="Times New Roman" w:hAnsi="Times New Roman" w:cs="Times New Roman"/>
                <w:b w:val="0"/>
                <w:i w:val="0"/>
                <w:vanish w:val="0"/>
                <w:color w:val="000000"/>
                <w:sz w:val="24"/>
              </w:rPr>
              <w:t>Slovenija (SI) se zavzema za zagotavljanje skladnosti in uporabo pravnega reda Unije in akcijskih načrtov EU v celotnem času izvajanja programa.</w:t>
            </w:r>
          </w:p>
          <w:p w:rsidR="00A77B3E">
            <w:pPr>
              <w:jc w:val="start"/>
              <w:rPr>
                <w:rFonts w:ascii="Times New Roman" w:eastAsia="Times New Roman" w:hAnsi="Times New Roman" w:cs="Times New Roman"/>
                <w:b w:val="0"/>
                <w:i w:val="0"/>
                <w:vanish w:val="0"/>
                <w:color w:val="000000"/>
                <w:sz w:val="24"/>
              </w:rPr>
            </w:pPr>
            <w:r>
              <w:rPr>
                <w:rFonts w:ascii="Times New Roman" w:eastAsia="Times New Roman" w:hAnsi="Times New Roman" w:cs="Times New Roman"/>
                <w:b w:val="0"/>
                <w:i w:val="0"/>
                <w:vanish w:val="0"/>
                <w:color w:val="000000"/>
                <w:sz w:val="24"/>
              </w:rPr>
              <w:t>Glede na geostrateško lego SI grožnje čezmejnega kriminala izvirajo iz Zahodnega Balkana (ZB), vezano na promet s prepovedanimi drogami, strelnim orožjem in ponarejenim blagom, tihotapljenje ljudi, trgovino z ljudmi in čezmejno kriminaliteto. Za odkrivanje in preiskovanje tovrstnih kaznivih dejanj (KD) SI policija uporablja prikrite preiskovalne ukrepe in oblike medn. policijskega sodelovanja. SI je implementirala potrebna orodja za izmenjavo informacij znotraj EU (Prüm, Švedska iniciativa, uradniki za zvezo, PCC SEE); potrebno je še nadgrajevati, razvijati, krepiti in olajšati proces zbiranja, obdelave in izmenjave informacij in podatkov s tujimi varnostnimi in obveščevalnimi službami. Uporablja se operativna analitična podpora, ki jo zagotavlja EUROPOL.</w:t>
            </w:r>
          </w:p>
          <w:p w:rsidR="00A77B3E">
            <w:pPr>
              <w:jc w:val="start"/>
              <w:rPr>
                <w:rFonts w:ascii="Times New Roman" w:eastAsia="Times New Roman" w:hAnsi="Times New Roman" w:cs="Times New Roman"/>
                <w:b w:val="0"/>
                <w:i w:val="0"/>
                <w:vanish w:val="0"/>
                <w:color w:val="000000"/>
                <w:sz w:val="24"/>
              </w:rPr>
            </w:pPr>
            <w:r>
              <w:rPr>
                <w:rFonts w:ascii="Times New Roman" w:eastAsia="Times New Roman" w:hAnsi="Times New Roman" w:cs="Times New Roman"/>
                <w:b w:val="0"/>
                <w:i w:val="0"/>
                <w:vanish w:val="0"/>
                <w:color w:val="000000"/>
                <w:sz w:val="24"/>
              </w:rPr>
              <w:t>Izzivi in vrzeli so povezani s pojavi KD. Preiskovanje kibernetske kriminalitete in digitalna forenzika (ob hitrem razvoju informacijske tehnologije), okoljske kriminalitete, gospodarske kriminalitete (KD na škodo finančnih interesov SI in EU) in drugih hudih in organiziranih oblik čezmejne kriminalitete so izzivi za policijo.</w:t>
            </w:r>
          </w:p>
          <w:p w:rsidR="00A77B3E">
            <w:pPr>
              <w:jc w:val="start"/>
              <w:rPr>
                <w:rFonts w:ascii="Times New Roman" w:eastAsia="Times New Roman" w:hAnsi="Times New Roman" w:cs="Times New Roman"/>
                <w:b w:val="0"/>
                <w:i w:val="0"/>
                <w:vanish w:val="0"/>
                <w:color w:val="000000"/>
                <w:sz w:val="24"/>
              </w:rPr>
            </w:pPr>
            <w:r>
              <w:rPr>
                <w:rFonts w:ascii="Times New Roman" w:eastAsia="Times New Roman" w:hAnsi="Times New Roman" w:cs="Times New Roman"/>
                <w:b w:val="0"/>
                <w:i w:val="0"/>
                <w:vanish w:val="0"/>
                <w:color w:val="000000"/>
                <w:sz w:val="24"/>
              </w:rPr>
              <w:t>V 2019 je bila sprejeta Nacionalna strategija za boj proti terorizmu, usklajena s cilji strategije EU za boj proti terorizmu in bo podlaga za izvajanje aktivnosti v 2021-2027.</w:t>
            </w:r>
          </w:p>
          <w:p w:rsidR="00A77B3E">
            <w:pPr>
              <w:jc w:val="start"/>
              <w:rPr>
                <w:rFonts w:ascii="Times New Roman" w:eastAsia="Times New Roman" w:hAnsi="Times New Roman" w:cs="Times New Roman"/>
                <w:b w:val="0"/>
                <w:i w:val="0"/>
                <w:vanish w:val="0"/>
                <w:color w:val="000000"/>
                <w:sz w:val="24"/>
              </w:rPr>
            </w:pPr>
            <w:r>
              <w:rPr>
                <w:rFonts w:ascii="Times New Roman" w:eastAsia="Times New Roman" w:hAnsi="Times New Roman" w:cs="Times New Roman"/>
                <w:b w:val="0"/>
                <w:i w:val="0"/>
                <w:vanish w:val="0"/>
                <w:color w:val="000000"/>
                <w:sz w:val="24"/>
              </w:rPr>
              <w:t>SI je vzpostavila delovanje nacionalnega sistema za obdelavo podatkov o letalskih potnikih (PNR). S fin. prikritih preiskovalnih ukrepov se je okrepila operativna sposobnost policije pri odkrivanju hudih oblik čezmejne OK, v okviru sodelovanja z DČ EU in EUROPOL. Reintegracija žrtev trgovine z ljudmi je primer dobre prakse sodelovanja policije in nevladnih organizacij.</w:t>
            </w:r>
          </w:p>
          <w:p w:rsidR="00A77B3E">
            <w:pPr>
              <w:jc w:val="start"/>
              <w:rPr>
                <w:rFonts w:ascii="Times New Roman" w:eastAsia="Times New Roman" w:hAnsi="Times New Roman" w:cs="Times New Roman"/>
                <w:b w:val="0"/>
                <w:i w:val="0"/>
                <w:vanish w:val="0"/>
                <w:color w:val="000000"/>
                <w:sz w:val="24"/>
              </w:rPr>
            </w:pPr>
            <w:r>
              <w:rPr>
                <w:rFonts w:ascii="Times New Roman" w:eastAsia="Times New Roman" w:hAnsi="Times New Roman" w:cs="Times New Roman"/>
                <w:b w:val="0"/>
                <w:i w:val="0"/>
                <w:vanish w:val="0"/>
                <w:color w:val="000000"/>
                <w:sz w:val="24"/>
              </w:rPr>
              <w:t>Cilj ostaja identifikacija in zajezitev delovanja organiziranih kriminalnih združb na balkanski poti ter krepitev sodelovanja in izmenjave informacij z EUROPOL, policijami DČ in tretjih držav (ZB). Cilj SI je pregon gospodarske kriminalitete in korupcije, kar terja okrepitev sodelovanja nacionalnih organov z institucijami, agencijami EU ter usposobljenost preiskovalcev. Za odkrivanje in preiskovanje KD kibernetskega kriminala bo okrepljeno sodelovanje z drugimi vladnimi in nevladnimi organizacijami ter Evr. centrom za kibernetski kriminal (EC3). V boju proti terorizmu bo poudarek na odkrivanju in preprečevanju radikalizacije ter novačenja (RAN). Spolne zlorabe otrok na spletu se obravnava celovito - preiskava, pregon in podpora žrtvam.</w:t>
            </w:r>
          </w:p>
          <w:p w:rsidR="00A77B3E">
            <w:pPr>
              <w:jc w:val="start"/>
              <w:rPr>
                <w:rFonts w:ascii="Times New Roman" w:eastAsia="Times New Roman" w:hAnsi="Times New Roman" w:cs="Times New Roman"/>
                <w:b w:val="0"/>
                <w:i w:val="0"/>
                <w:vanish w:val="0"/>
                <w:color w:val="000000"/>
                <w:sz w:val="24"/>
              </w:rPr>
            </w:pPr>
          </w:p>
          <w:p w:rsidR="00A77B3E">
            <w:pPr>
              <w:jc w:val="start"/>
              <w:rPr>
                <w:rFonts w:ascii="Times New Roman" w:eastAsia="Times New Roman" w:hAnsi="Times New Roman" w:cs="Times New Roman"/>
                <w:b w:val="0"/>
                <w:i w:val="0"/>
                <w:vanish w:val="0"/>
                <w:color w:val="000000"/>
                <w:sz w:val="24"/>
              </w:rPr>
            </w:pPr>
            <w:r>
              <w:rPr>
                <w:rFonts w:ascii="Times New Roman" w:eastAsia="Times New Roman" w:hAnsi="Times New Roman" w:cs="Times New Roman"/>
                <w:b w:val="0"/>
                <w:i w:val="0"/>
                <w:vanish w:val="0"/>
                <w:color w:val="000000"/>
                <w:sz w:val="24"/>
              </w:rPr>
              <w:t>V 2021-2027 je za povezljivost SI, učinkovit boj in preprečevanje kriminala potrebno več aktivnosti na nacionalni ravni, ki so v</w:t>
            </w:r>
            <w:r>
              <w:rPr>
                <w:rFonts w:ascii="Times New Roman" w:eastAsia="Times New Roman" w:hAnsi="Times New Roman" w:cs="Times New Roman"/>
                <w:b/>
                <w:bCs/>
                <w:i w:val="0"/>
                <w:vanish w:val="0"/>
                <w:color w:val="000000"/>
                <w:sz w:val="24"/>
              </w:rPr>
              <w:t xml:space="preserve"> SO1</w:t>
            </w:r>
            <w:r>
              <w:rPr>
                <w:rFonts w:ascii="Times New Roman" w:eastAsia="Times New Roman" w:hAnsi="Times New Roman" w:cs="Times New Roman"/>
                <w:b w:val="0"/>
                <w:i w:val="0"/>
                <w:vanish w:val="0"/>
                <w:color w:val="000000"/>
                <w:sz w:val="24"/>
              </w:rPr>
              <w:t>.</w:t>
            </w:r>
          </w:p>
          <w:p w:rsidR="00A77B3E">
            <w:pPr>
              <w:jc w:val="start"/>
              <w:rPr>
                <w:rFonts w:ascii="Times New Roman" w:eastAsia="Times New Roman" w:hAnsi="Times New Roman" w:cs="Times New Roman"/>
                <w:b w:val="0"/>
                <w:i w:val="0"/>
                <w:vanish w:val="0"/>
                <w:color w:val="000000"/>
                <w:sz w:val="24"/>
              </w:rPr>
            </w:pPr>
            <w:r>
              <w:rPr>
                <w:rFonts w:ascii="Times New Roman" w:eastAsia="Times New Roman" w:hAnsi="Times New Roman" w:cs="Times New Roman"/>
                <w:b w:val="0"/>
                <w:i w:val="0"/>
                <w:vanish w:val="0"/>
                <w:color w:val="000000"/>
                <w:sz w:val="24"/>
              </w:rPr>
              <w:t>S SNV bo povečana zmogljivost komunikacijskih povezav z nadgradnjo širokopasovnega omrežja, kriptografske zaščite in posodobitvijo kapacitet varnega govornega omrežja policije.</w:t>
            </w:r>
          </w:p>
          <w:p w:rsidR="00A77B3E">
            <w:pPr>
              <w:jc w:val="start"/>
              <w:rPr>
                <w:rFonts w:ascii="Times New Roman" w:eastAsia="Times New Roman" w:hAnsi="Times New Roman" w:cs="Times New Roman"/>
                <w:b w:val="0"/>
                <w:i w:val="0"/>
                <w:vanish w:val="0"/>
                <w:color w:val="000000"/>
                <w:sz w:val="24"/>
              </w:rPr>
            </w:pPr>
            <w:r>
              <w:rPr>
                <w:rFonts w:ascii="Times New Roman" w:eastAsia="Times New Roman" w:hAnsi="Times New Roman" w:cs="Times New Roman"/>
                <w:b w:val="0"/>
                <w:i w:val="0"/>
                <w:vanish w:val="0"/>
                <w:color w:val="000000"/>
                <w:sz w:val="24"/>
              </w:rPr>
              <w:t xml:space="preserve">Kot v ISF 2014-2020 bo nadalje </w:t>
            </w:r>
            <w:r>
              <w:rPr>
                <w:rFonts w:ascii="Times New Roman" w:eastAsia="Times New Roman" w:hAnsi="Times New Roman" w:cs="Times New Roman"/>
                <w:b/>
                <w:bCs/>
                <w:i w:val="0"/>
                <w:vanish w:val="0"/>
                <w:color w:val="000000"/>
                <w:sz w:val="24"/>
              </w:rPr>
              <w:t>razvit in vzdrževan nacionalni PNR sistem</w:t>
            </w:r>
            <w:r>
              <w:rPr>
                <w:rFonts w:ascii="Times New Roman" w:eastAsia="Times New Roman" w:hAnsi="Times New Roman" w:cs="Times New Roman"/>
                <w:b w:val="0"/>
                <w:i w:val="0"/>
                <w:vanish w:val="0"/>
                <w:color w:val="000000"/>
                <w:sz w:val="24"/>
              </w:rPr>
              <w:t xml:space="preserve"> za boj proti najhujšim medn. virom ogrožanja varnosti in omogoča usmerjeno proaktivno delovanje organov kazenskega pregona potencialnih storilcev hujših KD in terorizma. Direktiva 2016/681 je bila v SI prenesena z dopolnitvami Zakona o nalogah in pooblastilih policije in Zakona o letalstvu ter z novim Zakonom o varstvu osebnih podatkov. Vzpostavljena in usposobljena je nacionalna PNR enota, ki je bila iz ISF 2014-2020 tehnično opremljena. Izziv v 2021-2027 bo vzdrževanje, nadgradnja in vzporedna vzpostavitev nove informacijske infrastrukture z novimi programskimi funkcionalnostmi in drugimi IT sistemi EU. API direktiva in njene spremembe bodo vključene v nacionalni PNR sistem.</w:t>
            </w:r>
          </w:p>
          <w:p w:rsidR="00A77B3E">
            <w:pPr>
              <w:jc w:val="start"/>
              <w:rPr>
                <w:rFonts w:ascii="Times New Roman" w:eastAsia="Times New Roman" w:hAnsi="Times New Roman" w:cs="Times New Roman"/>
                <w:b w:val="0"/>
                <w:i w:val="0"/>
                <w:vanish w:val="0"/>
                <w:color w:val="000000"/>
                <w:sz w:val="24"/>
              </w:rPr>
            </w:pPr>
            <w:r>
              <w:rPr>
                <w:rFonts w:ascii="Times New Roman" w:eastAsia="Times New Roman" w:hAnsi="Times New Roman" w:cs="Times New Roman"/>
                <w:b w:val="0"/>
                <w:i w:val="0"/>
                <w:vanish w:val="0"/>
                <w:color w:val="000000"/>
                <w:sz w:val="24"/>
              </w:rPr>
              <w:t xml:space="preserve">Pomembna sta </w:t>
            </w:r>
            <w:r>
              <w:rPr>
                <w:rFonts w:ascii="Times New Roman" w:eastAsia="Times New Roman" w:hAnsi="Times New Roman" w:cs="Times New Roman"/>
                <w:b/>
                <w:bCs/>
                <w:i w:val="0"/>
                <w:vanish w:val="0"/>
                <w:color w:val="000000"/>
                <w:sz w:val="24"/>
              </w:rPr>
              <w:t>nadaljnji razvoj in nadgradnja sistema Prümske izmenjave podatkov</w:t>
            </w:r>
            <w:r>
              <w:rPr>
                <w:rFonts w:ascii="Times New Roman" w:eastAsia="Times New Roman" w:hAnsi="Times New Roman" w:cs="Times New Roman"/>
                <w:b w:val="0"/>
                <w:i w:val="0"/>
                <w:vanish w:val="0"/>
                <w:color w:val="000000"/>
                <w:sz w:val="24"/>
              </w:rPr>
              <w:t xml:space="preserve">, v skladu z uredbo PRÜM (druga generacija). Vzpostavljen bo sistem PRÜM za izmenjavo podatkov z ZB, po Sporazumu med pogodbenicami Konvencije o policijskem sodelovanju v JV Evropi o avtomatizirani izmenjavi DNK, daktiloskopskih podatkov in podatkov o registraciji vozil; in izvedbenim sporazumom (Dunaj, 13.9.2018), oba podpisana s strani sodelujočih držav, razen SI. Vlada in Državni zbor SI sta odobrila pristop k sporazumu. Ko bo spor med štirimi DČ in Komisijo rešen, se bodo izvedle aktivnosti. Potrebno je tudi </w:t>
            </w:r>
            <w:r>
              <w:rPr>
                <w:rFonts w:ascii="Times New Roman" w:eastAsia="Times New Roman" w:hAnsi="Times New Roman" w:cs="Times New Roman"/>
                <w:b/>
                <w:bCs/>
                <w:i w:val="0"/>
                <w:vanish w:val="0"/>
                <w:color w:val="000000"/>
                <w:sz w:val="24"/>
              </w:rPr>
              <w:t>povečanje nacionalnih zmogljivosti za zbiranje, analizo in izmenjavo podatkov DNK,</w:t>
            </w:r>
            <w:r>
              <w:rPr>
                <w:rFonts w:ascii="Times New Roman" w:eastAsia="Times New Roman" w:hAnsi="Times New Roman" w:cs="Times New Roman"/>
                <w:b w:val="0"/>
                <w:i w:val="0"/>
                <w:vanish w:val="0"/>
                <w:color w:val="000000"/>
                <w:sz w:val="24"/>
              </w:rPr>
              <w:t xml:space="preserve"> izboljšanje kapacitet za delo z evidencami DNK, odpravo zaostankov v analizi sledi in pri poročanju o opravljenih analizah.</w:t>
            </w:r>
          </w:p>
          <w:p w:rsidR="00A77B3E">
            <w:pPr>
              <w:jc w:val="start"/>
              <w:rPr>
                <w:rFonts w:ascii="Times New Roman" w:eastAsia="Times New Roman" w:hAnsi="Times New Roman" w:cs="Times New Roman"/>
                <w:b w:val="0"/>
                <w:i w:val="0"/>
                <w:vanish w:val="0"/>
                <w:color w:val="000000"/>
                <w:sz w:val="24"/>
              </w:rPr>
            </w:pPr>
            <w:r>
              <w:rPr>
                <w:rFonts w:ascii="Times New Roman" w:eastAsia="Times New Roman" w:hAnsi="Times New Roman" w:cs="Times New Roman"/>
                <w:b w:val="0"/>
                <w:i w:val="0"/>
                <w:vanish w:val="0"/>
                <w:color w:val="000000"/>
                <w:sz w:val="24"/>
              </w:rPr>
              <w:t xml:space="preserve">Pri forenziki je potrebna </w:t>
            </w:r>
            <w:r>
              <w:rPr>
                <w:rFonts w:ascii="Times New Roman" w:eastAsia="Times New Roman" w:hAnsi="Times New Roman" w:cs="Times New Roman"/>
                <w:b/>
                <w:bCs/>
                <w:i w:val="0"/>
                <w:vanish w:val="0"/>
                <w:color w:val="000000"/>
                <w:sz w:val="24"/>
              </w:rPr>
              <w:t xml:space="preserve">krepitev zmogljivosti za identifikacijo tarčnih analitov za izboljšano podporo operativnemu delu in izboljšano medn. sodelovanje. </w:t>
            </w:r>
            <w:r>
              <w:rPr>
                <w:rFonts w:ascii="Times New Roman" w:eastAsia="Times New Roman" w:hAnsi="Times New Roman" w:cs="Times New Roman"/>
                <w:b w:val="0"/>
                <w:i w:val="0"/>
                <w:vanish w:val="0"/>
                <w:color w:val="000000"/>
                <w:sz w:val="24"/>
              </w:rPr>
              <w:t>Za kemijske identifikacije zaseženih novih psihoaktivnih substanc je potrebna krepitev forenzičnih zmogljivosti Nacionalnega forenzičnega laboratorija z razvojem podatkovnih zbirk in metod za kemijske preiskave vzorcev in izmenjavo kredibilnih informacij za sodelovanje z deležniki.</w:t>
            </w:r>
          </w:p>
          <w:p w:rsidR="00A77B3E">
            <w:pPr>
              <w:jc w:val="start"/>
              <w:rPr>
                <w:rFonts w:ascii="Times New Roman" w:eastAsia="Times New Roman" w:hAnsi="Times New Roman" w:cs="Times New Roman"/>
                <w:b w:val="0"/>
                <w:i w:val="0"/>
                <w:vanish w:val="0"/>
                <w:color w:val="000000"/>
                <w:sz w:val="24"/>
              </w:rPr>
            </w:pPr>
            <w:r>
              <w:rPr>
                <w:rFonts w:ascii="Times New Roman" w:eastAsia="Times New Roman" w:hAnsi="Times New Roman" w:cs="Times New Roman"/>
                <w:b w:val="0"/>
                <w:i w:val="0"/>
                <w:vanish w:val="0"/>
                <w:color w:val="000000"/>
                <w:sz w:val="24"/>
              </w:rPr>
              <w:t xml:space="preserve">SI se sooča z razsežnostmi </w:t>
            </w:r>
            <w:r>
              <w:rPr>
                <w:rFonts w:ascii="Times New Roman" w:eastAsia="Times New Roman" w:hAnsi="Times New Roman" w:cs="Times New Roman"/>
                <w:b/>
                <w:bCs/>
                <w:i w:val="0"/>
                <w:vanish w:val="0"/>
                <w:color w:val="000000"/>
                <w:sz w:val="24"/>
              </w:rPr>
              <w:t>internetne spolne zlorabe otrok</w:t>
            </w:r>
            <w:r>
              <w:rPr>
                <w:rFonts w:ascii="Times New Roman" w:eastAsia="Times New Roman" w:hAnsi="Times New Roman" w:cs="Times New Roman"/>
                <w:b w:val="0"/>
                <w:i w:val="0"/>
                <w:vanish w:val="0"/>
                <w:color w:val="000000"/>
                <w:sz w:val="24"/>
              </w:rPr>
              <w:t xml:space="preserve">, ki je tudi naloga EMPACT. Nujno je </w:t>
            </w:r>
            <w:r>
              <w:rPr>
                <w:rFonts w:ascii="Times New Roman" w:eastAsia="Times New Roman" w:hAnsi="Times New Roman" w:cs="Times New Roman"/>
                <w:b/>
                <w:bCs/>
                <w:i w:val="0"/>
                <w:vanish w:val="0"/>
                <w:color w:val="000000"/>
                <w:sz w:val="24"/>
              </w:rPr>
              <w:t>medn. sodelovanje in izmenjava podatkov</w:t>
            </w:r>
            <w:r>
              <w:rPr>
                <w:rFonts w:ascii="Times New Roman" w:eastAsia="Times New Roman" w:hAnsi="Times New Roman" w:cs="Times New Roman"/>
                <w:b w:val="0"/>
                <w:i w:val="0"/>
                <w:vanish w:val="0"/>
                <w:color w:val="000000"/>
                <w:sz w:val="24"/>
              </w:rPr>
              <w:t xml:space="preserve">. Statistični podatki podpirajo vzpostavitev slovenske evidence gradiv spolnega izkoriščanja mlad. oseb (NCSE DB). Podatki o tovrstnih KD (v l. 2016 - 106; 2017 - 189; 2018 - 141; 2019 - 134; 2020 -150) kažejo stalni porast. Predvidena je </w:t>
            </w:r>
            <w:r>
              <w:rPr>
                <w:rFonts w:ascii="Times New Roman" w:eastAsia="Times New Roman" w:hAnsi="Times New Roman" w:cs="Times New Roman"/>
                <w:b/>
                <w:bCs/>
                <w:i w:val="0"/>
                <w:vanish w:val="0"/>
                <w:color w:val="000000"/>
                <w:sz w:val="24"/>
              </w:rPr>
              <w:t xml:space="preserve">vzpostavitev NCSE DB </w:t>
            </w:r>
            <w:r>
              <w:rPr>
                <w:rFonts w:ascii="Times New Roman" w:eastAsia="Times New Roman" w:hAnsi="Times New Roman" w:cs="Times New Roman"/>
                <w:b w:val="0"/>
                <w:i w:val="0"/>
                <w:vanish w:val="0"/>
                <w:color w:val="000000"/>
                <w:sz w:val="24"/>
              </w:rPr>
              <w:t>za izmenjavo podatkov z drugimi DČ in Centrom EU za preprečevanje spolne zlorabe otrok ter sodelovanje v EUROPOL TWINS. NCSE DB bo SI omogočal izvedbo VID procesa (</w:t>
            </w:r>
            <w:r>
              <w:rPr>
                <w:rFonts w:ascii="Times New Roman" w:eastAsia="Times New Roman" w:hAnsi="Times New Roman" w:cs="Times New Roman"/>
                <w:b w:val="0"/>
                <w:i/>
                <w:iCs/>
                <w:vanish w:val="0"/>
                <w:color w:val="000000"/>
                <w:sz w:val="24"/>
              </w:rPr>
              <w:t>Victim Identification Process</w:t>
            </w:r>
            <w:r>
              <w:rPr>
                <w:rFonts w:ascii="Times New Roman" w:eastAsia="Times New Roman" w:hAnsi="Times New Roman" w:cs="Times New Roman"/>
                <w:b w:val="0"/>
                <w:i w:val="0"/>
                <w:vanish w:val="0"/>
                <w:color w:val="000000"/>
                <w:sz w:val="24"/>
              </w:rPr>
              <w:t>).</w:t>
            </w:r>
          </w:p>
          <w:p w:rsidR="00A77B3E">
            <w:pPr>
              <w:jc w:val="start"/>
              <w:rPr>
                <w:rFonts w:ascii="Times New Roman" w:eastAsia="Times New Roman" w:hAnsi="Times New Roman" w:cs="Times New Roman"/>
                <w:b w:val="0"/>
                <w:i w:val="0"/>
                <w:vanish w:val="0"/>
                <w:color w:val="000000"/>
                <w:sz w:val="24"/>
              </w:rPr>
            </w:pPr>
          </w:p>
          <w:p w:rsidR="00A77B3E">
            <w:pPr>
              <w:jc w:val="start"/>
              <w:rPr>
                <w:rFonts w:ascii="Times New Roman" w:eastAsia="Times New Roman" w:hAnsi="Times New Roman" w:cs="Times New Roman"/>
                <w:b w:val="0"/>
                <w:i w:val="0"/>
                <w:vanish w:val="0"/>
                <w:color w:val="000000"/>
                <w:sz w:val="24"/>
              </w:rPr>
            </w:pPr>
            <w:r>
              <w:rPr>
                <w:rFonts w:ascii="Times New Roman" w:eastAsia="Times New Roman" w:hAnsi="Times New Roman" w:cs="Times New Roman"/>
                <w:b w:val="0"/>
                <w:i w:val="0"/>
                <w:vanish w:val="0"/>
                <w:color w:val="000000"/>
                <w:sz w:val="24"/>
              </w:rPr>
              <w:t xml:space="preserve">V </w:t>
            </w:r>
            <w:r>
              <w:rPr>
                <w:rFonts w:ascii="Times New Roman" w:eastAsia="Times New Roman" w:hAnsi="Times New Roman" w:cs="Times New Roman"/>
                <w:b/>
                <w:bCs/>
                <w:i w:val="0"/>
                <w:vanish w:val="0"/>
                <w:color w:val="000000"/>
                <w:sz w:val="24"/>
              </w:rPr>
              <w:t>SO2</w:t>
            </w:r>
            <w:r>
              <w:rPr>
                <w:rFonts w:ascii="Times New Roman" w:eastAsia="Times New Roman" w:hAnsi="Times New Roman" w:cs="Times New Roman"/>
                <w:b w:val="0"/>
                <w:i w:val="0"/>
                <w:vanish w:val="0"/>
                <w:color w:val="000000"/>
                <w:sz w:val="24"/>
              </w:rPr>
              <w:t xml:space="preserve"> je v ospredju področje hude in organizirane kriminalitete (OK), zaradi geografskega položaja z izpostavljenostjo vplivom balkanske poti. Analize EUROPOL opredeljujejo ZB kot kriminalno žarišče za trgovino z nezakonitim blagom, ustvarjanje novih trgov in možnost kriminalne dejavnosti, SI pa kot tranzitno območje za vstop v EU. Čezmejne varnostne grožnje so tihotapstvo prepovedanih drog, trgovina z ljudmi, nezakonite migracije (tihotapljenje), nezakonita trgovina z odpadki, orožjem, korupcija, pranje denarja ter zlorabe sodobne IKT.</w:t>
            </w:r>
          </w:p>
          <w:p w:rsidR="00A77B3E">
            <w:pPr>
              <w:jc w:val="start"/>
              <w:rPr>
                <w:rFonts w:ascii="Times New Roman" w:eastAsia="Times New Roman" w:hAnsi="Times New Roman" w:cs="Times New Roman"/>
                <w:b w:val="0"/>
                <w:i w:val="0"/>
                <w:vanish w:val="0"/>
                <w:color w:val="000000"/>
                <w:sz w:val="24"/>
              </w:rPr>
            </w:pPr>
            <w:r>
              <w:rPr>
                <w:rFonts w:ascii="Times New Roman" w:eastAsia="Times New Roman" w:hAnsi="Times New Roman" w:cs="Times New Roman"/>
                <w:b w:val="0"/>
                <w:i w:val="0"/>
                <w:vanish w:val="0"/>
                <w:color w:val="000000"/>
                <w:sz w:val="24"/>
              </w:rPr>
              <w:t>SI bo nadaljevala sodelovanje v EMPACT, zagotavljala dobro usklajevanje na nacionalni ravni s podporo SI NEC. Načrtovanje in delovanje bo predmet usklajevanja s koordinatorji EMPACT (NEC).</w:t>
            </w:r>
          </w:p>
          <w:p w:rsidR="00A77B3E">
            <w:pPr>
              <w:jc w:val="start"/>
              <w:rPr>
                <w:rFonts w:ascii="Times New Roman" w:eastAsia="Times New Roman" w:hAnsi="Times New Roman" w:cs="Times New Roman"/>
                <w:b w:val="0"/>
                <w:i w:val="0"/>
                <w:vanish w:val="0"/>
                <w:color w:val="000000"/>
                <w:sz w:val="24"/>
              </w:rPr>
            </w:pPr>
            <w:r>
              <w:rPr>
                <w:rFonts w:ascii="Times New Roman" w:eastAsia="Times New Roman" w:hAnsi="Times New Roman" w:cs="Times New Roman"/>
                <w:b w:val="0"/>
                <w:i w:val="0"/>
                <w:vanish w:val="0"/>
                <w:color w:val="000000"/>
                <w:sz w:val="24"/>
              </w:rPr>
              <w:t>Na nezakonite migracije po balkanski poti vplivajo združbe, ki tihotapijo migrante v SI in EU. V okviru sodelovanja z državami ZB, DČ EU in EUROPOL bo Sl želela zagotoviti sinergijo in učinkovitost pri odkrivanju in preprečevanju tihotapljenja v okviru EMPACT.</w:t>
            </w:r>
          </w:p>
          <w:p w:rsidR="00A77B3E">
            <w:pPr>
              <w:jc w:val="start"/>
              <w:rPr>
                <w:rFonts w:ascii="Times New Roman" w:eastAsia="Times New Roman" w:hAnsi="Times New Roman" w:cs="Times New Roman"/>
                <w:b w:val="0"/>
                <w:i w:val="0"/>
                <w:vanish w:val="0"/>
                <w:color w:val="000000"/>
                <w:sz w:val="24"/>
              </w:rPr>
            </w:pPr>
            <w:r>
              <w:rPr>
                <w:rFonts w:ascii="Times New Roman" w:eastAsia="Times New Roman" w:hAnsi="Times New Roman" w:cs="Times New Roman"/>
                <w:b w:val="0"/>
                <w:i w:val="0"/>
                <w:vanish w:val="0"/>
                <w:color w:val="000000"/>
                <w:sz w:val="24"/>
              </w:rPr>
              <w:t>SI si bo prizadevala vzpostaviti</w:t>
            </w:r>
            <w:r>
              <w:rPr>
                <w:rFonts w:ascii="Times New Roman" w:eastAsia="Times New Roman" w:hAnsi="Times New Roman" w:cs="Times New Roman"/>
                <w:b/>
                <w:bCs/>
                <w:i w:val="0"/>
                <w:vanish w:val="0"/>
                <w:color w:val="000000"/>
                <w:sz w:val="24"/>
              </w:rPr>
              <w:t xml:space="preserve"> skupne preiskovalne skupine(JIT)</w:t>
            </w:r>
            <w:r>
              <w:rPr>
                <w:rFonts w:ascii="Times New Roman" w:eastAsia="Times New Roman" w:hAnsi="Times New Roman" w:cs="Times New Roman"/>
                <w:b w:val="0"/>
                <w:i w:val="0"/>
                <w:vanish w:val="0"/>
                <w:color w:val="000000"/>
                <w:sz w:val="24"/>
              </w:rPr>
              <w:t xml:space="preserve"> ter izvajati skupne čezmejne operacije s prikritimi preiskovalnimi ukrepi za identificiranje in omejitev nezakonite dejavnosti hudodelskih družb. Letno povprečno št. skupnih čezmejnih operacij je 47 (v l. 2018 - 38, v 2019 - 58, v 2020 -46), povprečno št. JIT pa 6 (v l. 2018 - 4, v 2019 - 8, v 2020 - 6).</w:t>
            </w:r>
          </w:p>
          <w:p w:rsidR="00A77B3E">
            <w:pPr>
              <w:jc w:val="start"/>
              <w:rPr>
                <w:rFonts w:ascii="Times New Roman" w:eastAsia="Times New Roman" w:hAnsi="Times New Roman" w:cs="Times New Roman"/>
                <w:b w:val="0"/>
                <w:i w:val="0"/>
                <w:vanish w:val="0"/>
                <w:color w:val="000000"/>
                <w:sz w:val="24"/>
              </w:rPr>
            </w:pPr>
            <w:r>
              <w:rPr>
                <w:rFonts w:ascii="Times New Roman" w:eastAsia="Times New Roman" w:hAnsi="Times New Roman" w:cs="Times New Roman"/>
                <w:b w:val="0"/>
                <w:i w:val="0"/>
                <w:vanish w:val="0"/>
                <w:color w:val="000000"/>
                <w:sz w:val="24"/>
              </w:rPr>
              <w:t>Resolucija o strategiji nacionalne varnosti RS navaja pomen intenzivnega operativnega medn. policijskega sodelovanja in stalne izmenjave kriminalističnoobveščevalnih informacij in podatkov s tujimi varnostnimi in obveščevalnimi službami, Europol, Eurojust, Interpol ter drugimi medn. policijsko-varnostnimi organizacijami. SI bo okrepila operativne zmogljivosti za izvajanje kriminalističnoobveščevalne dejavnosti in prikritih preiskovalnih ukrepov ter uveljavila metode, taktike in tehnike za preprečevanje, odkrivanje in preiskovanje hudega in OK v skladu z EU Strategijo za boj proti OK 2021-2025 ter EU SOCTA 2021 in EU STNA 2022-2025.</w:t>
            </w:r>
          </w:p>
          <w:p w:rsidR="00A77B3E">
            <w:pPr>
              <w:jc w:val="start"/>
              <w:rPr>
                <w:rFonts w:ascii="Times New Roman" w:eastAsia="Times New Roman" w:hAnsi="Times New Roman" w:cs="Times New Roman"/>
                <w:b w:val="0"/>
                <w:i w:val="0"/>
                <w:vanish w:val="0"/>
                <w:color w:val="000000"/>
                <w:sz w:val="24"/>
              </w:rPr>
            </w:pPr>
            <w:r>
              <w:rPr>
                <w:rFonts w:ascii="Times New Roman" w:eastAsia="Times New Roman" w:hAnsi="Times New Roman" w:cs="Times New Roman"/>
                <w:b w:val="0"/>
                <w:i w:val="0"/>
                <w:vanish w:val="0"/>
                <w:color w:val="000000"/>
                <w:sz w:val="24"/>
              </w:rPr>
              <w:t xml:space="preserve">Usmeritev bo v področje </w:t>
            </w:r>
            <w:r>
              <w:rPr>
                <w:rFonts w:ascii="Times New Roman" w:eastAsia="Times New Roman" w:hAnsi="Times New Roman" w:cs="Times New Roman"/>
                <w:b/>
                <w:bCs/>
                <w:i w:val="0"/>
                <w:vanish w:val="0"/>
                <w:color w:val="000000"/>
                <w:sz w:val="24"/>
              </w:rPr>
              <w:t>prikritih preiskovalnih ukrepov za</w:t>
            </w:r>
            <w:r>
              <w:rPr>
                <w:rFonts w:ascii="Times New Roman" w:eastAsia="Times New Roman" w:hAnsi="Times New Roman" w:cs="Times New Roman"/>
                <w:b w:val="0"/>
                <w:i w:val="0"/>
                <w:vanish w:val="0"/>
                <w:color w:val="000000"/>
                <w:sz w:val="24"/>
              </w:rPr>
              <w:t xml:space="preserve"> odkrivanje in preiskovanje oblik čezmejne OK. Več bo izvajanja tajnih opazovanj po evropskih preiskovalnih nalogih. Potrebna bo materialno tehnična in kadrovska okrepitev nacionalnega oddelka za tajno opazovanje.</w:t>
            </w:r>
          </w:p>
          <w:p w:rsidR="00A77B3E">
            <w:pPr>
              <w:jc w:val="start"/>
              <w:rPr>
                <w:rFonts w:ascii="Times New Roman" w:eastAsia="Times New Roman" w:hAnsi="Times New Roman" w:cs="Times New Roman"/>
                <w:b w:val="0"/>
                <w:i w:val="0"/>
                <w:vanish w:val="0"/>
                <w:color w:val="000000"/>
                <w:sz w:val="24"/>
              </w:rPr>
            </w:pPr>
            <w:r>
              <w:rPr>
                <w:rFonts w:ascii="Times New Roman" w:eastAsia="Times New Roman" w:hAnsi="Times New Roman" w:cs="Times New Roman"/>
                <w:b w:val="0"/>
                <w:i w:val="0"/>
                <w:vanish w:val="0"/>
                <w:color w:val="000000"/>
                <w:sz w:val="24"/>
              </w:rPr>
              <w:t xml:space="preserve">Sposobnost odziva posamezne DČ na OK in terorizem vključuje </w:t>
            </w:r>
            <w:r>
              <w:rPr>
                <w:rFonts w:ascii="Times New Roman" w:eastAsia="Times New Roman" w:hAnsi="Times New Roman" w:cs="Times New Roman"/>
                <w:b/>
                <w:bCs/>
                <w:i w:val="0"/>
                <w:vanish w:val="0"/>
                <w:color w:val="000000"/>
                <w:sz w:val="24"/>
              </w:rPr>
              <w:t>sredstva za množično uničevanje</w:t>
            </w:r>
            <w:r>
              <w:rPr>
                <w:rFonts w:ascii="Times New Roman" w:eastAsia="Times New Roman" w:hAnsi="Times New Roman" w:cs="Times New Roman"/>
                <w:b w:val="0"/>
                <w:i w:val="0"/>
                <w:vanish w:val="0"/>
                <w:color w:val="000000"/>
                <w:sz w:val="24"/>
              </w:rPr>
              <w:t>. Mreža EEODN (European Explosive Ordnance Disposal Network) je z EUROPOL dvignila stopnjo zavedanja nove grožnje aktivnosti s kemičnimi, biološkimi agensi in radioaktivnimi snovmi, zato bo SI usmerjena v zmogljivosti policije pri odzivanju na njih.</w:t>
            </w:r>
          </w:p>
          <w:p w:rsidR="00A77B3E">
            <w:pPr>
              <w:jc w:val="start"/>
              <w:rPr>
                <w:rFonts w:ascii="Times New Roman" w:eastAsia="Times New Roman" w:hAnsi="Times New Roman" w:cs="Times New Roman"/>
                <w:b w:val="0"/>
                <w:i w:val="0"/>
                <w:vanish w:val="0"/>
                <w:color w:val="000000"/>
                <w:sz w:val="24"/>
              </w:rPr>
            </w:pPr>
            <w:r>
              <w:rPr>
                <w:rFonts w:ascii="Times New Roman" w:eastAsia="Times New Roman" w:hAnsi="Times New Roman" w:cs="Times New Roman"/>
                <w:b w:val="0"/>
                <w:i w:val="0"/>
                <w:vanish w:val="0"/>
                <w:color w:val="000000"/>
                <w:sz w:val="24"/>
              </w:rPr>
              <w:t>Prikriti preiskovalni ukrepi brez čezmejne in EU dimenzije in kadrovska okrepitev enote za tajno opazovanje bodo fin. iz SI proračuna.</w:t>
            </w:r>
          </w:p>
          <w:p w:rsidR="00A77B3E">
            <w:pPr>
              <w:jc w:val="start"/>
              <w:rPr>
                <w:rFonts w:ascii="Times New Roman" w:eastAsia="Times New Roman" w:hAnsi="Times New Roman" w:cs="Times New Roman"/>
                <w:b w:val="0"/>
                <w:i w:val="0"/>
                <w:vanish w:val="0"/>
                <w:color w:val="000000"/>
                <w:sz w:val="24"/>
              </w:rPr>
            </w:pPr>
            <w:r>
              <w:rPr>
                <w:rFonts w:ascii="Times New Roman" w:eastAsia="Times New Roman" w:hAnsi="Times New Roman" w:cs="Times New Roman"/>
                <w:b w:val="0"/>
                <w:i w:val="0"/>
                <w:vanish w:val="0"/>
                <w:color w:val="000000"/>
                <w:sz w:val="24"/>
              </w:rPr>
              <w:t>Cilj je tudi krepitev čezmejnega policijskega sodelovanja preko centrov za mednarodno sodelovanje.</w:t>
            </w:r>
          </w:p>
          <w:p w:rsidR="00A77B3E">
            <w:pPr>
              <w:jc w:val="start"/>
              <w:rPr>
                <w:rFonts w:ascii="Times New Roman" w:eastAsia="Times New Roman" w:hAnsi="Times New Roman" w:cs="Times New Roman"/>
                <w:b w:val="0"/>
                <w:i w:val="0"/>
                <w:vanish w:val="0"/>
                <w:color w:val="000000"/>
                <w:sz w:val="24"/>
              </w:rPr>
            </w:pPr>
          </w:p>
          <w:p w:rsidR="00A77B3E">
            <w:pPr>
              <w:jc w:val="start"/>
              <w:rPr>
                <w:rFonts w:ascii="Times New Roman" w:eastAsia="Times New Roman" w:hAnsi="Times New Roman" w:cs="Times New Roman"/>
                <w:b w:val="0"/>
                <w:i w:val="0"/>
                <w:vanish w:val="0"/>
                <w:color w:val="000000"/>
                <w:sz w:val="24"/>
              </w:rPr>
            </w:pPr>
            <w:r>
              <w:rPr>
                <w:rFonts w:ascii="Times New Roman" w:eastAsia="Times New Roman" w:hAnsi="Times New Roman" w:cs="Times New Roman"/>
                <w:b w:val="0"/>
                <w:i w:val="0"/>
                <w:vanish w:val="0"/>
                <w:color w:val="000000"/>
                <w:sz w:val="24"/>
              </w:rPr>
              <w:t xml:space="preserve">Nacionalno varnost ogrožajo gospodarska, ekološka, kibernetska, čezmejna kriminaliteta, zato bo SI v okviru </w:t>
            </w:r>
            <w:r>
              <w:rPr>
                <w:rFonts w:ascii="Times New Roman" w:eastAsia="Times New Roman" w:hAnsi="Times New Roman" w:cs="Times New Roman"/>
                <w:b/>
                <w:bCs/>
                <w:i w:val="0"/>
                <w:vanish w:val="0"/>
                <w:color w:val="000000"/>
                <w:sz w:val="24"/>
              </w:rPr>
              <w:t>SO3</w:t>
            </w:r>
            <w:r>
              <w:rPr>
                <w:rFonts w:ascii="Times New Roman" w:eastAsia="Times New Roman" w:hAnsi="Times New Roman" w:cs="Times New Roman"/>
                <w:b w:val="0"/>
                <w:i w:val="0"/>
                <w:vanish w:val="0"/>
                <w:color w:val="000000"/>
                <w:sz w:val="24"/>
              </w:rPr>
              <w:t xml:space="preserve"> izvajala aktivnosti za boj proti temu kriminalu.</w:t>
            </w:r>
          </w:p>
          <w:p w:rsidR="00A77B3E">
            <w:pPr>
              <w:jc w:val="start"/>
              <w:rPr>
                <w:rFonts w:ascii="Times New Roman" w:eastAsia="Times New Roman" w:hAnsi="Times New Roman" w:cs="Times New Roman"/>
                <w:b w:val="0"/>
                <w:i w:val="0"/>
                <w:vanish w:val="0"/>
                <w:color w:val="000000"/>
                <w:sz w:val="24"/>
              </w:rPr>
            </w:pPr>
            <w:r>
              <w:rPr>
                <w:rFonts w:ascii="Times New Roman" w:eastAsia="Times New Roman" w:hAnsi="Times New Roman" w:cs="Times New Roman"/>
                <w:b w:val="0"/>
                <w:i w:val="0"/>
                <w:vanish w:val="0"/>
                <w:color w:val="000000"/>
                <w:sz w:val="24"/>
              </w:rPr>
              <w:t xml:space="preserve">V SI je v 2016-2020 zaradi </w:t>
            </w:r>
            <w:r>
              <w:rPr>
                <w:rFonts w:ascii="Times New Roman" w:eastAsia="Times New Roman" w:hAnsi="Times New Roman" w:cs="Times New Roman"/>
                <w:b/>
                <w:bCs/>
                <w:i w:val="0"/>
                <w:vanish w:val="0"/>
                <w:color w:val="000000"/>
                <w:sz w:val="24"/>
              </w:rPr>
              <w:t>gospodarske kriminalitete</w:t>
            </w:r>
            <w:r>
              <w:rPr>
                <w:rFonts w:ascii="Times New Roman" w:eastAsia="Times New Roman" w:hAnsi="Times New Roman" w:cs="Times New Roman"/>
                <w:b w:val="0"/>
                <w:i w:val="0"/>
                <w:vanish w:val="0"/>
                <w:color w:val="000000"/>
                <w:sz w:val="24"/>
              </w:rPr>
              <w:t xml:space="preserve"> škoda znašala 1.975,8 MIO EUR (82% zaznane škode). Preiskovanje teh KD ostaja prioriteta SI policije skladno z Resolucijo o nacionalnem programu preprečevanja in zatiranja kriminalitete za obdobje 2019–2023 ter Srednjeročnim načrtom razvoja in dela policije za 2018–2022. Potrebno bo zagotoviti usposobljenost preiskovalcev in dostop do baz podatkov o gospodarskih subjektih. V ciklu EMPACT 2022-2025 bo Sl sodelovala v pred. nalogi </w:t>
            </w:r>
            <w:r>
              <w:rPr>
                <w:rFonts w:ascii="Times New Roman" w:eastAsia="Times New Roman" w:hAnsi="Times New Roman" w:cs="Times New Roman"/>
                <w:b w:val="0"/>
                <w:i/>
                <w:iCs/>
                <w:vanish w:val="0"/>
                <w:color w:val="000000"/>
                <w:sz w:val="24"/>
              </w:rPr>
              <w:t>Goljufije, gospodarska in finančna KD</w:t>
            </w:r>
            <w:r>
              <w:rPr>
                <w:rFonts w:ascii="Times New Roman" w:eastAsia="Times New Roman" w:hAnsi="Times New Roman" w:cs="Times New Roman"/>
                <w:b w:val="0"/>
                <w:i w:val="0"/>
                <w:vanish w:val="0"/>
                <w:color w:val="000000"/>
                <w:sz w:val="24"/>
              </w:rPr>
              <w:t>, v nalogah: spletne goljufije, goljufije na področju trošarin, goljufije znotraj Skupnosti z neobstoječim trgovcem (DDV), pridobivanje finančnih sredstev s KD, pranje denarja in odvzem premoženjske koristi.</w:t>
            </w:r>
          </w:p>
          <w:p w:rsidR="00A77B3E">
            <w:pPr>
              <w:jc w:val="start"/>
              <w:rPr>
                <w:rFonts w:ascii="Times New Roman" w:eastAsia="Times New Roman" w:hAnsi="Times New Roman" w:cs="Times New Roman"/>
                <w:b w:val="0"/>
                <w:i w:val="0"/>
                <w:vanish w:val="0"/>
                <w:color w:val="000000"/>
                <w:sz w:val="24"/>
              </w:rPr>
            </w:pPr>
            <w:r>
              <w:rPr>
                <w:rFonts w:ascii="Times New Roman" w:eastAsia="Times New Roman" w:hAnsi="Times New Roman" w:cs="Times New Roman"/>
                <w:b/>
                <w:bCs/>
                <w:i w:val="0"/>
                <w:vanish w:val="0"/>
                <w:color w:val="000000"/>
                <w:sz w:val="24"/>
              </w:rPr>
              <w:t>Ekološka kriminaliteta</w:t>
            </w:r>
            <w:r>
              <w:rPr>
                <w:rFonts w:ascii="Times New Roman" w:eastAsia="Times New Roman" w:hAnsi="Times New Roman" w:cs="Times New Roman"/>
                <w:b w:val="0"/>
                <w:i w:val="0"/>
                <w:vanish w:val="0"/>
                <w:color w:val="000000"/>
                <w:sz w:val="24"/>
              </w:rPr>
              <w:t xml:space="preserve"> je grožnja za okolje in družbo. V okviru Delovne skupine za splošne zadeve Sveta EU je bila 2018 v Sl izvedena evalvacija </w:t>
            </w:r>
            <w:r>
              <w:rPr>
                <w:rFonts w:ascii="Times New Roman" w:eastAsia="Times New Roman" w:hAnsi="Times New Roman" w:cs="Times New Roman"/>
                <w:b w:val="0"/>
                <w:i/>
                <w:iCs/>
                <w:vanish w:val="0"/>
                <w:color w:val="000000"/>
                <w:sz w:val="24"/>
              </w:rPr>
              <w:t>Praktično izvajanje in delovanje evr. politik za preprečevanje in boj proti ekološki kriminaliteti</w:t>
            </w:r>
            <w:r>
              <w:rPr>
                <w:rFonts w:ascii="Times New Roman" w:eastAsia="Times New Roman" w:hAnsi="Times New Roman" w:cs="Times New Roman"/>
                <w:b w:val="0"/>
                <w:i w:val="0"/>
                <w:vanish w:val="0"/>
                <w:color w:val="000000"/>
                <w:sz w:val="24"/>
              </w:rPr>
              <w:t xml:space="preserve"> in podanih 20 priporočil. SNV bo pripomogel k ustanovitvi nacionalne enote, uvedbi specializacije, usposabljanju in pridobitvi ustrezne opreme policije za učinkovito odkrivanje in preiskovanje nezakonite čezmejne trgovine z odpadki in ekološke kriminalitete. SI bo sodelovala v okviru pred. naloge EMPACT </w:t>
            </w:r>
            <w:r>
              <w:rPr>
                <w:rFonts w:ascii="Times New Roman" w:eastAsia="Times New Roman" w:hAnsi="Times New Roman" w:cs="Times New Roman"/>
                <w:b w:val="0"/>
                <w:i/>
                <w:iCs/>
                <w:vanish w:val="0"/>
                <w:color w:val="000000"/>
                <w:sz w:val="24"/>
              </w:rPr>
              <w:t>Okoljska kriminaliteta</w:t>
            </w:r>
            <w:r>
              <w:rPr>
                <w:rFonts w:ascii="Times New Roman" w:eastAsia="Times New Roman" w:hAnsi="Times New Roman" w:cs="Times New Roman"/>
                <w:b w:val="0"/>
                <w:i w:val="0"/>
                <w:vanish w:val="0"/>
                <w:color w:val="000000"/>
                <w:sz w:val="24"/>
              </w:rPr>
              <w:t>.</w:t>
            </w:r>
          </w:p>
          <w:p w:rsidR="00A77B3E">
            <w:pPr>
              <w:jc w:val="start"/>
              <w:rPr>
                <w:rFonts w:ascii="Times New Roman" w:eastAsia="Times New Roman" w:hAnsi="Times New Roman" w:cs="Times New Roman"/>
                <w:b w:val="0"/>
                <w:i w:val="0"/>
                <w:vanish w:val="0"/>
                <w:color w:val="000000"/>
                <w:sz w:val="24"/>
              </w:rPr>
            </w:pPr>
            <w:r>
              <w:rPr>
                <w:rFonts w:ascii="Times New Roman" w:eastAsia="Times New Roman" w:hAnsi="Times New Roman" w:cs="Times New Roman"/>
                <w:b w:val="0"/>
                <w:i w:val="0"/>
                <w:vanish w:val="0"/>
                <w:color w:val="000000"/>
                <w:sz w:val="24"/>
              </w:rPr>
              <w:t xml:space="preserve">Hiter razvoj IT področja, nove oblike KD </w:t>
            </w:r>
            <w:r>
              <w:rPr>
                <w:rFonts w:ascii="Times New Roman" w:eastAsia="Times New Roman" w:hAnsi="Times New Roman" w:cs="Times New Roman"/>
                <w:b/>
                <w:bCs/>
                <w:i w:val="0"/>
                <w:vanish w:val="0"/>
                <w:color w:val="000000"/>
                <w:sz w:val="24"/>
              </w:rPr>
              <w:t>kibernetske kriminalitete</w:t>
            </w:r>
            <w:r>
              <w:rPr>
                <w:rFonts w:ascii="Times New Roman" w:eastAsia="Times New Roman" w:hAnsi="Times New Roman" w:cs="Times New Roman"/>
                <w:b w:val="0"/>
                <w:i w:val="0"/>
                <w:vanish w:val="0"/>
                <w:color w:val="000000"/>
                <w:sz w:val="24"/>
              </w:rPr>
              <w:t xml:space="preserve">, večja uporaba e-naprav in novih tehnologij pri izvrševanju KD, terja redno usposabljanje in prilagoditve metod dela, postopkov in opreme. S SNV 2021-2027 bo boljša operativna sposobnost policije za preprečevanje, odkrivanje in preiskovanje kibernetske kriminalitete ter preiskav elektronskih naprav. SI bo sodelovala v okviru pred. naloge EMPACT </w:t>
            </w:r>
            <w:r>
              <w:rPr>
                <w:rFonts w:ascii="Times New Roman" w:eastAsia="Times New Roman" w:hAnsi="Times New Roman" w:cs="Times New Roman"/>
                <w:b w:val="0"/>
                <w:i/>
                <w:iCs/>
                <w:vanish w:val="0"/>
                <w:color w:val="000000"/>
                <w:sz w:val="24"/>
              </w:rPr>
              <w:t>Kibernetski napadi</w:t>
            </w:r>
            <w:r>
              <w:rPr>
                <w:rFonts w:ascii="Times New Roman" w:eastAsia="Times New Roman" w:hAnsi="Times New Roman" w:cs="Times New Roman"/>
                <w:b w:val="0"/>
                <w:i w:val="0"/>
                <w:vanish w:val="0"/>
                <w:color w:val="000000"/>
                <w:sz w:val="24"/>
              </w:rPr>
              <w:t xml:space="preserve">, naloga </w:t>
            </w:r>
            <w:r>
              <w:rPr>
                <w:rFonts w:ascii="Times New Roman" w:eastAsia="Times New Roman" w:hAnsi="Times New Roman" w:cs="Times New Roman"/>
                <w:b w:val="0"/>
                <w:i/>
                <w:iCs/>
                <w:vanish w:val="0"/>
                <w:color w:val="000000"/>
                <w:sz w:val="24"/>
              </w:rPr>
              <w:t>Sheme spletnih goljufij</w:t>
            </w:r>
            <w:r>
              <w:rPr>
                <w:rFonts w:ascii="Times New Roman" w:eastAsia="Times New Roman" w:hAnsi="Times New Roman" w:cs="Times New Roman"/>
                <w:b w:val="0"/>
                <w:i w:val="0"/>
                <w:vanish w:val="0"/>
                <w:color w:val="000000"/>
                <w:sz w:val="24"/>
              </w:rPr>
              <w:t xml:space="preserve"> pa bo izvedena v okviru OAP </w:t>
            </w:r>
            <w:r>
              <w:rPr>
                <w:rFonts w:ascii="Times New Roman" w:eastAsia="Times New Roman" w:hAnsi="Times New Roman" w:cs="Times New Roman"/>
                <w:b w:val="0"/>
                <w:i/>
                <w:iCs/>
                <w:vanish w:val="0"/>
                <w:color w:val="000000"/>
                <w:sz w:val="24"/>
              </w:rPr>
              <w:t>(Empact operational action plan)</w:t>
            </w:r>
            <w:r>
              <w:rPr>
                <w:rFonts w:ascii="Times New Roman" w:eastAsia="Times New Roman" w:hAnsi="Times New Roman" w:cs="Times New Roman"/>
                <w:b w:val="0"/>
                <w:i w:val="0"/>
                <w:vanish w:val="0"/>
                <w:color w:val="000000"/>
                <w:sz w:val="24"/>
              </w:rPr>
              <w:t xml:space="preserve"> za gospodarski kriminal.</w:t>
            </w:r>
          </w:p>
          <w:p w:rsidR="00A77B3E">
            <w:pPr>
              <w:jc w:val="start"/>
              <w:rPr>
                <w:rFonts w:ascii="Times New Roman" w:eastAsia="Times New Roman" w:hAnsi="Times New Roman" w:cs="Times New Roman"/>
                <w:b w:val="0"/>
                <w:i w:val="0"/>
                <w:vanish w:val="0"/>
                <w:color w:val="000000"/>
                <w:sz w:val="24"/>
              </w:rPr>
            </w:pPr>
            <w:r>
              <w:rPr>
                <w:rFonts w:ascii="Times New Roman" w:eastAsia="Times New Roman" w:hAnsi="Times New Roman" w:cs="Times New Roman"/>
                <w:b/>
                <w:bCs/>
                <w:i w:val="0"/>
                <w:vanish w:val="0"/>
                <w:color w:val="000000"/>
                <w:sz w:val="24"/>
              </w:rPr>
              <w:t>Radikalizacija in nasilni ekstremizem</w:t>
            </w:r>
            <w:r>
              <w:rPr>
                <w:rFonts w:ascii="Times New Roman" w:eastAsia="Times New Roman" w:hAnsi="Times New Roman" w:cs="Times New Roman"/>
                <w:b w:val="0"/>
                <w:i w:val="0"/>
                <w:vanish w:val="0"/>
                <w:color w:val="000000"/>
                <w:sz w:val="24"/>
              </w:rPr>
              <w:t xml:space="preserve"> sta grožnja medn. varnosti, razvoju in napredku človeštva, občutku pripadnosti, demokraciji ter človekovim pravicam. Preprečevanje zahteva multidisciplinaren in večdimenzionalen pristop, ki obravnava tveganje, vzročne in sprožilne dejavnike. Na sistemsko-strateški ravni sprejete obveznosti se odrazijo na lokalni ravni, to pa se upošteva pri strateškem načrtovanju. Za SI je relevantna Resolucija o strategiji nacionalne varnosti. V Resoluciji o nacionalnem programu preprečevanja in zatiranja kriminalitete za obdobje 2019–2023 radikalizacija pomeni odklonsko ravnanje, povezano s terorizmom. Vlada SI je sprejela sklep št. 2210-2/2019/4, s katerim je sprejela Nacionalno strategijo za preprečevanje terorizma in nasilnega ekstremizma in imenovala nac. koordinatorja. SNV bo pripomogel k določanju postopkov ravnanja in prepoznavanju znakov radikalizacije.</w:t>
            </w:r>
          </w:p>
          <w:p w:rsidR="00A77B3E">
            <w:pPr>
              <w:jc w:val="start"/>
              <w:rPr>
                <w:rFonts w:ascii="Times New Roman" w:eastAsia="Times New Roman" w:hAnsi="Times New Roman" w:cs="Times New Roman"/>
                <w:b w:val="0"/>
                <w:i w:val="0"/>
                <w:vanish w:val="0"/>
                <w:color w:val="000000"/>
                <w:sz w:val="24"/>
              </w:rPr>
            </w:pPr>
            <w:r>
              <w:rPr>
                <w:rFonts w:ascii="Times New Roman" w:eastAsia="Times New Roman" w:hAnsi="Times New Roman" w:cs="Times New Roman"/>
                <w:b w:val="0"/>
                <w:i w:val="0"/>
                <w:vanish w:val="0"/>
                <w:color w:val="000000"/>
                <w:sz w:val="24"/>
              </w:rPr>
              <w:t xml:space="preserve">V boju proti </w:t>
            </w:r>
            <w:r>
              <w:rPr>
                <w:rFonts w:ascii="Times New Roman" w:eastAsia="Times New Roman" w:hAnsi="Times New Roman" w:cs="Times New Roman"/>
                <w:b/>
                <w:bCs/>
                <w:i w:val="0"/>
                <w:vanish w:val="0"/>
                <w:color w:val="000000"/>
                <w:sz w:val="24"/>
              </w:rPr>
              <w:t>trgovini z ljudmi</w:t>
            </w:r>
            <w:r>
              <w:rPr>
                <w:rFonts w:ascii="Times New Roman" w:eastAsia="Times New Roman" w:hAnsi="Times New Roman" w:cs="Times New Roman"/>
                <w:b w:val="0"/>
                <w:i w:val="0"/>
                <w:vanish w:val="0"/>
                <w:color w:val="000000"/>
                <w:sz w:val="24"/>
              </w:rPr>
              <w:t xml:space="preserve">, ki je tudi pred. naloga EMPACT, policija namenja pozornost identifikaciji žrtev trgovine z ljudmi in sodeluje z državnimi organi, tujimi varnostnimi organi in nevladnimi organizacijami. Izveden bo program krizne in varne namestitve žrtev ter </w:t>
            </w:r>
            <w:r>
              <w:rPr>
                <w:rFonts w:ascii="Times New Roman" w:eastAsia="Times New Roman" w:hAnsi="Times New Roman" w:cs="Times New Roman"/>
                <w:b/>
                <w:bCs/>
                <w:i w:val="0"/>
                <w:vanish w:val="0"/>
                <w:color w:val="000000"/>
                <w:sz w:val="24"/>
              </w:rPr>
              <w:t>program reintegracije</w:t>
            </w:r>
            <w:r>
              <w:rPr>
                <w:rFonts w:ascii="Times New Roman" w:eastAsia="Times New Roman" w:hAnsi="Times New Roman" w:cs="Times New Roman"/>
                <w:b w:val="0"/>
                <w:i w:val="0"/>
                <w:vanish w:val="0"/>
                <w:color w:val="000000"/>
                <w:sz w:val="24"/>
              </w:rPr>
              <w:t xml:space="preserve">. To za žrtve pomeni prvi korak k samostojnemu življenju brez nasilja, izkoriščanja in kršenja človekovih pravic. Nevladne organizacije pomagajo pri socialnem vključevanju s ciljem </w:t>
            </w:r>
            <w:r>
              <w:rPr>
                <w:rFonts w:ascii="Times New Roman" w:eastAsia="Times New Roman" w:hAnsi="Times New Roman" w:cs="Times New Roman"/>
                <w:b w:val="0"/>
                <w:i/>
                <w:iCs/>
                <w:vanish w:val="0"/>
                <w:color w:val="000000"/>
                <w:sz w:val="24"/>
              </w:rPr>
              <w:t>življenje brez ponavljanja travmatičnih izkušenj in izkoriščanja</w:t>
            </w:r>
            <w:r>
              <w:rPr>
                <w:rFonts w:ascii="Times New Roman" w:eastAsia="Times New Roman" w:hAnsi="Times New Roman" w:cs="Times New Roman"/>
                <w:b w:val="0"/>
                <w:i w:val="0"/>
                <w:vanish w:val="0"/>
                <w:color w:val="000000"/>
                <w:sz w:val="24"/>
              </w:rPr>
              <w:t>. Operacija reintegracije žrtev trgovine z ljudmi je bil v okviru ISF 2014-2020 primer dobre prakse sodelovanja policije in nevladnih organizacij, zato se bo nadaljeval.</w:t>
            </w:r>
          </w:p>
          <w:p w:rsidR="00A77B3E">
            <w:pPr>
              <w:jc w:val="start"/>
              <w:rPr>
                <w:rFonts w:ascii="Times New Roman" w:eastAsia="Times New Roman" w:hAnsi="Times New Roman" w:cs="Times New Roman"/>
                <w:b w:val="0"/>
                <w:i w:val="0"/>
                <w:vanish w:val="0"/>
                <w:color w:val="000000"/>
                <w:sz w:val="24"/>
              </w:rPr>
            </w:pPr>
            <w:r>
              <w:rPr>
                <w:rFonts w:ascii="Times New Roman" w:eastAsia="Times New Roman" w:hAnsi="Times New Roman" w:cs="Times New Roman"/>
                <w:b/>
                <w:bCs/>
                <w:i w:val="0"/>
                <w:vanish w:val="0"/>
                <w:color w:val="000000"/>
                <w:sz w:val="24"/>
              </w:rPr>
              <w:t>Zaščita prič</w:t>
            </w:r>
            <w:r>
              <w:rPr>
                <w:rFonts w:ascii="Times New Roman" w:eastAsia="Times New Roman" w:hAnsi="Times New Roman" w:cs="Times New Roman"/>
                <w:b w:val="0"/>
                <w:i w:val="0"/>
                <w:vanish w:val="0"/>
                <w:color w:val="000000"/>
                <w:sz w:val="24"/>
              </w:rPr>
              <w:t xml:space="preserve"> je temelj v boju proti OK in terorizmu. Skladno z Zakonom o zaščiti prič se ogroženim osebam in </w:t>
            </w:r>
            <w:r>
              <w:rPr>
                <w:rFonts w:ascii="Times New Roman" w:eastAsia="Times New Roman" w:hAnsi="Times New Roman" w:cs="Times New Roman"/>
                <w:b/>
                <w:bCs/>
                <w:i w:val="0"/>
                <w:vanish w:val="0"/>
                <w:color w:val="000000"/>
                <w:sz w:val="24"/>
              </w:rPr>
              <w:t>žvižgačem</w:t>
            </w:r>
            <w:r>
              <w:rPr>
                <w:rFonts w:ascii="Times New Roman" w:eastAsia="Times New Roman" w:hAnsi="Times New Roman" w:cs="Times New Roman"/>
                <w:b w:val="0"/>
                <w:i w:val="0"/>
                <w:vanish w:val="0"/>
                <w:color w:val="000000"/>
                <w:sz w:val="24"/>
              </w:rPr>
              <w:t xml:space="preserve"> zagotavlja zaščita pred, med in po končanem kazen. postopku. Izvajajo se nujni zaščitni ukrepi pred vključitvijo osebe v program zaščite in nato v programu zaščite. Po sedanjem izvajanju programa v SI in nalog v medn. okolju, po potrebna dodatna oprema za učinkovito in varno izvajanje programa za ogrožene osebe ter izvajalce zaščitnih ukrepov.</w:t>
            </w:r>
          </w:p>
          <w:p w:rsidR="00A77B3E">
            <w:pPr>
              <w:jc w:val="start"/>
              <w:rPr>
                <w:rFonts w:ascii="Times New Roman" w:eastAsia="Times New Roman" w:hAnsi="Times New Roman" w:cs="Times New Roman"/>
                <w:b w:val="0"/>
                <w:i w:val="0"/>
                <w:vanish w:val="0"/>
                <w:color w:val="000000"/>
                <w:sz w:val="24"/>
              </w:rPr>
            </w:pPr>
            <w:r>
              <w:rPr>
                <w:rFonts w:ascii="Times New Roman" w:eastAsia="Times New Roman" w:hAnsi="Times New Roman" w:cs="Times New Roman"/>
                <w:b w:val="0"/>
                <w:i w:val="0"/>
                <w:vanish w:val="0"/>
                <w:color w:val="000000"/>
                <w:sz w:val="24"/>
              </w:rPr>
              <w:t xml:space="preserve">SI bo okrepila </w:t>
            </w:r>
            <w:r>
              <w:rPr>
                <w:rFonts w:ascii="Times New Roman" w:eastAsia="Times New Roman" w:hAnsi="Times New Roman" w:cs="Times New Roman"/>
                <w:b/>
                <w:bCs/>
                <w:i w:val="0"/>
                <w:vanish w:val="0"/>
                <w:color w:val="000000"/>
                <w:sz w:val="24"/>
              </w:rPr>
              <w:t xml:space="preserve">operativne zmogljivosti </w:t>
            </w:r>
            <w:r>
              <w:rPr>
                <w:rFonts w:ascii="Times New Roman" w:eastAsia="Times New Roman" w:hAnsi="Times New Roman" w:cs="Times New Roman"/>
                <w:b w:val="0"/>
                <w:i w:val="0"/>
                <w:vanish w:val="0"/>
                <w:color w:val="000000"/>
                <w:sz w:val="24"/>
              </w:rPr>
              <w:t xml:space="preserve">enot za učinkovit boj proti kriminalu, s fin. podporo SNV 2021-2027, SO3, tj. na področju gospodarskega kriminala na škodo finančnih interesov EU in SI, okoljskega in kibernetskega kriminala ter drugih hudih oblik OK. SNV bo podprl ukrepe za zaščito prič, žvižgačev in žrtev KD ter razvoj partnerstva med javnimi organi in nevladnimi organizacijami in ukrepe s področja usposabljanja. Ključna področja: oprema, licence za dostop podatkovnih baz, IKT oprema, programska oprema, vozila, financiranje programov nevladnih organizacij, usposabljanje, izpopolnjevanje in izobraževanje, </w:t>
            </w:r>
            <w:r>
              <w:rPr>
                <w:rFonts w:ascii="Times New Roman" w:eastAsia="Times New Roman" w:hAnsi="Times New Roman" w:cs="Times New Roman"/>
                <w:b/>
                <w:bCs/>
                <w:i w:val="0"/>
                <w:vanish w:val="0"/>
                <w:color w:val="000000"/>
                <w:sz w:val="24"/>
              </w:rPr>
              <w:t>investicije v učne kapacitete</w:t>
            </w:r>
            <w:r>
              <w:rPr>
                <w:rFonts w:ascii="Times New Roman" w:eastAsia="Times New Roman" w:hAnsi="Times New Roman" w:cs="Times New Roman"/>
                <w:b w:val="0"/>
                <w:i w:val="0"/>
                <w:vanish w:val="0"/>
                <w:color w:val="000000"/>
                <w:sz w:val="24"/>
              </w:rPr>
              <w:t xml:space="preserve"> ter obnovo in nadgradnjo obstoječih vadbenih kapacitet za posebne policijske veščine in protiteroristično vadbo. Dejavnosti usposabljanja bodo usklajene tudi s CEPOL, v izogib podvajanju in za povečanje sinergij. SI je z vstopom Hrvaške v sch. območje izgubila zunanjo kopensko mejo, zato bo na ozemlju SI izvajala naloge za boj proti čezmejnemu kriminalu z namenom zmanjšanja varnostnih tveganj.</w:t>
            </w:r>
          </w:p>
          <w:p w:rsidR="00A77B3E">
            <w:pPr>
              <w:jc w:val="start"/>
              <w:rPr>
                <w:rFonts w:ascii="Times New Roman" w:eastAsia="Times New Roman" w:hAnsi="Times New Roman" w:cs="Times New Roman"/>
                <w:b w:val="0"/>
                <w:i w:val="0"/>
                <w:vanish w:val="0"/>
                <w:color w:val="000000"/>
                <w:sz w:val="24"/>
              </w:rPr>
            </w:pPr>
            <w:r>
              <w:rPr>
                <w:rFonts w:ascii="Times New Roman" w:eastAsia="Times New Roman" w:hAnsi="Times New Roman" w:cs="Times New Roman"/>
                <w:b w:val="0"/>
                <w:i w:val="0"/>
                <w:vanish w:val="0"/>
                <w:color w:val="000000"/>
                <w:sz w:val="24"/>
              </w:rPr>
              <w:t>Sedanji okvir kriznega upravljanja, zaščite in odpornosti kritične infrastrukture zaostaja za razvojem tveganj. To terja zmogljivost hitre izmenjave večjih količin podatkov in hitrega odzivanja na zaščitenih komunikacijskih kanalih. Posodobili in nadgradili bomo obstoječe sisteme, saj njihovo oslabljeno delovanje pomeni zmanjšano odpornost na krize in večje tveganje za razvoj kriminala v času krize. Poudarek bo nadgradnja, vzdrževanje in povezljivost informacijsko-komunikacijskih sistemov in centrov v okviru sistema nacionalne varnosti. Za učinkovit in usklajen odziv na krize, povezovanje obstoječih sektorsko specifičnih zmogljivosti kriznega upravljanja in kritične infrastrukture ter zagotovitev ustrezne stopnje odpornosti na hibridne grožnje bo SI izvedla usposabljanja upravljavcev kritične infrastrukture in vajo s tega področja.</w:t>
            </w:r>
          </w:p>
          <w:p w:rsidR="00A77B3E">
            <w:pPr>
              <w:jc w:val="start"/>
              <w:rPr>
                <w:rFonts w:ascii="Times New Roman" w:eastAsia="Times New Roman" w:hAnsi="Times New Roman" w:cs="Times New Roman"/>
                <w:b w:val="0"/>
                <w:i w:val="0"/>
                <w:vanish w:val="0"/>
                <w:color w:val="000000"/>
                <w:sz w:val="24"/>
              </w:rPr>
            </w:pPr>
          </w:p>
          <w:p w:rsidR="00A77B3E">
            <w:pPr>
              <w:jc w:val="start"/>
              <w:rPr>
                <w:rFonts w:ascii="Times New Roman" w:eastAsia="Times New Roman" w:hAnsi="Times New Roman" w:cs="Times New Roman"/>
                <w:b w:val="0"/>
                <w:i w:val="0"/>
                <w:vanish w:val="0"/>
                <w:color w:val="000000"/>
                <w:sz w:val="24"/>
              </w:rPr>
            </w:pPr>
            <w:r>
              <w:rPr>
                <w:rFonts w:ascii="Times New Roman" w:eastAsia="Times New Roman" w:hAnsi="Times New Roman" w:cs="Times New Roman"/>
                <w:b w:val="0"/>
                <w:i w:val="0"/>
                <w:vanish w:val="0"/>
                <w:color w:val="000000"/>
                <w:sz w:val="24"/>
              </w:rPr>
              <w:t>Glede na razmere v Ukrajini in povečan pritok beguncev je Sl aktivirala Zakon o začasni zaščiti razseljenih oseb (AMIF). V primeru, da bi razmere v Ukrajini vplivale na notranjo varnost SI, bi se potrebne aktivnosti lahko fin. iz SNV.</w:t>
            </w:r>
          </w:p>
          <w:p w:rsidR="00A77B3E">
            <w:pPr>
              <w:jc w:val="start"/>
              <w:rPr>
                <w:rFonts w:ascii="Times New Roman" w:eastAsia="Times New Roman" w:hAnsi="Times New Roman" w:cs="Times New Roman"/>
                <w:b w:val="0"/>
                <w:i w:val="0"/>
                <w:vanish w:val="0"/>
                <w:color w:val="000000"/>
                <w:sz w:val="24"/>
              </w:rPr>
            </w:pPr>
            <w:r>
              <w:rPr>
                <w:rFonts w:ascii="Times New Roman" w:eastAsia="Times New Roman" w:hAnsi="Times New Roman" w:cs="Times New Roman"/>
                <w:b w:val="0"/>
                <w:i w:val="0"/>
                <w:vanish w:val="0"/>
                <w:color w:val="000000"/>
                <w:sz w:val="24"/>
              </w:rPr>
              <w:t>Odgovorni organ za zagotavljanje notranje varnosti je Ministrstvo za notranje zadeve (MNZ), Policija. Sredstva SNV bodo razdeljena preko neposredne dodelitve in skladno z zakonskimi pristojnostmi s predmetnega področja ter se bodo izvajale skladno z nacionalno zakonodajo, določene vsebine pa na podlagi javnih razpisov (JR). Za uresničevanje ciljev bo policija namenila sredstva SNV in SI proračuna (plače zaposlenih, investicije in drugi mat. stroški).</w:t>
            </w:r>
          </w:p>
          <w:p w:rsidR="00A77B3E">
            <w:pPr>
              <w:jc w:val="start"/>
              <w:rPr>
                <w:rFonts w:ascii="Times New Roman" w:eastAsia="Times New Roman" w:hAnsi="Times New Roman" w:cs="Times New Roman"/>
                <w:b w:val="0"/>
                <w:i w:val="0"/>
                <w:vanish w:val="0"/>
                <w:color w:val="000000"/>
                <w:sz w:val="24"/>
              </w:rPr>
            </w:pPr>
            <w:r>
              <w:rPr>
                <w:rFonts w:ascii="Times New Roman" w:eastAsia="Times New Roman" w:hAnsi="Times New Roman" w:cs="Times New Roman"/>
                <w:b/>
                <w:bCs/>
                <w:i w:val="0"/>
                <w:vanish w:val="0"/>
                <w:color w:val="000000"/>
                <w:sz w:val="24"/>
              </w:rPr>
              <w:t>Sistem upravljanja in nadzora</w:t>
            </w:r>
            <w:r>
              <w:rPr>
                <w:rFonts w:ascii="Times New Roman" w:eastAsia="Times New Roman" w:hAnsi="Times New Roman" w:cs="Times New Roman"/>
                <w:b w:val="0"/>
                <w:i w:val="0"/>
                <w:vanish w:val="0"/>
                <w:color w:val="000000"/>
                <w:sz w:val="24"/>
              </w:rPr>
              <w:t>: SI bo ohranila sistem iz obstoječe fin. sheme. Organ upravljanja (OU) je MNZ, Služba za evropska sredstva, Projektna enota za sklade notranje varnosti in migracij, revizijski organ (RO) je Ministrstvo za finance, Urad za nadzor proračuna ter dve posredniški telesi izvajata prenesene naloge OU. Za izvajanje finančnih transakcij med EU in državnim proračunom je pooblaščeno MF, Sektor za upravljanje s sredstvi EU/CA, za izvedbo JR pa posredniško telo za operacije, ki se izvajajo na podlagi JR. Operacije financirane iz skladov izvajajo upravičenci - osebe javnega prava (neposredna dodelitev, zaradi posebne narave operacije, tehnične ali administrativne pristojnosti) ali organizacije, izbrane na podlagi JR.</w:t>
            </w:r>
          </w:p>
          <w:p w:rsidR="00A77B3E">
            <w:pPr>
              <w:jc w:val="start"/>
              <w:rPr>
                <w:rFonts w:ascii="Times New Roman" w:eastAsia="Times New Roman" w:hAnsi="Times New Roman" w:cs="Times New Roman"/>
                <w:b w:val="0"/>
                <w:i w:val="0"/>
                <w:vanish w:val="0"/>
                <w:color w:val="000000"/>
                <w:sz w:val="24"/>
              </w:rPr>
            </w:pPr>
            <w:r>
              <w:rPr>
                <w:rFonts w:ascii="Times New Roman" w:eastAsia="Times New Roman" w:hAnsi="Times New Roman" w:cs="Times New Roman"/>
                <w:b w:val="0"/>
                <w:i w:val="0"/>
                <w:vanish w:val="0"/>
                <w:color w:val="000000"/>
                <w:sz w:val="24"/>
              </w:rPr>
              <w:t>SI bo prejela več sredstev kot v prejšnji shemi: organi bodo vlagali v krepitev kadrovskih zmogljivosti (OU iz 5 na10, RO iz 2 na 3), poenostavitev stroškov in kontrol -kontrole na vzorcih.</w:t>
            </w:r>
          </w:p>
          <w:p w:rsidR="00A77B3E">
            <w:pPr>
              <w:jc w:val="start"/>
              <w:rPr>
                <w:rFonts w:ascii="Times New Roman" w:eastAsia="Times New Roman" w:hAnsi="Times New Roman" w:cs="Times New Roman"/>
                <w:b w:val="0"/>
                <w:i w:val="0"/>
                <w:vanish w:val="0"/>
                <w:color w:val="000000"/>
                <w:sz w:val="24"/>
              </w:rPr>
            </w:pPr>
            <w:r>
              <w:rPr>
                <w:rFonts w:ascii="Times New Roman" w:eastAsia="Times New Roman" w:hAnsi="Times New Roman" w:cs="Times New Roman"/>
                <w:b w:val="0"/>
                <w:i w:val="0"/>
                <w:vanish w:val="0"/>
                <w:color w:val="000000"/>
                <w:sz w:val="24"/>
              </w:rPr>
              <w:t>SI bo skladno z izkušnjami iz 2014-2020 in priporočili EK pri javnih razpisih uporabila poenostavitev izračuna neposrednih stroškov dela, po 55. členu CPR, in sicer poenostavljene stroške na enoto, ki jih bo za DG HOME izračunal Public Policy and Management Institute. Zaenkrat ni predvidena uporaba finančnih instrumentov ali mešanega financiranja.</w:t>
            </w:r>
          </w:p>
          <w:p w:rsidR="00A77B3E">
            <w:pPr>
              <w:jc w:val="start"/>
              <w:rPr>
                <w:rFonts w:ascii="Times New Roman" w:eastAsia="Times New Roman" w:hAnsi="Times New Roman" w:cs="Times New Roman"/>
                <w:b w:val="0"/>
                <w:i w:val="0"/>
                <w:vanish w:val="0"/>
                <w:color w:val="000000"/>
                <w:sz w:val="24"/>
              </w:rPr>
            </w:pPr>
            <w:r>
              <w:rPr>
                <w:rFonts w:ascii="Times New Roman" w:eastAsia="Times New Roman" w:hAnsi="Times New Roman" w:cs="Times New Roman"/>
                <w:b w:val="0"/>
                <w:i w:val="0"/>
                <w:vanish w:val="0"/>
                <w:color w:val="000000"/>
                <w:sz w:val="24"/>
              </w:rPr>
              <w:t>Vrste intervencij z vrednostjo 0 EUR v tabeli 3, so v Program vključene v primeru morebitnih prihodnjih potreb, povezanih z izvajanjem tematskega instrumenta, v skladu s členom 22(4)(d) CPR.</w:t>
            </w:r>
          </w:p>
          <w:p w:rsidR="00A77B3E">
            <w:pPr>
              <w:jc w:val="start"/>
              <w:rPr>
                <w:rFonts w:ascii="Times New Roman" w:eastAsia="Times New Roman" w:hAnsi="Times New Roman" w:cs="Times New Roman"/>
                <w:b w:val="0"/>
                <w:i w:val="0"/>
                <w:vanish w:val="0"/>
                <w:color w:val="000000"/>
                <w:sz w:val="6"/>
              </w:rPr>
            </w:pPr>
          </w:p>
          <w:p w:rsidR="00A77B3E">
            <w:pPr>
              <w:jc w:val="start"/>
              <w:rPr>
                <w:rFonts w:ascii="Times New Roman" w:eastAsia="Times New Roman" w:hAnsi="Times New Roman" w:cs="Times New Roman"/>
                <w:b w:val="0"/>
                <w:i w:val="0"/>
                <w:vanish w:val="0"/>
                <w:color w:val="000000"/>
                <w:sz w:val="6"/>
              </w:rPr>
            </w:pPr>
          </w:p>
        </w:tc>
      </w:tr>
    </w:tbl>
    <w:p w:rsidR="00A77B3E">
      <w:pPr>
        <w:jc w:val="start"/>
        <w:rPr>
          <w:rFonts w:ascii="Times New Roman" w:eastAsia="Times New Roman" w:hAnsi="Times New Roman" w:cs="Times New Roman"/>
          <w:b w:val="0"/>
          <w:i w:val="0"/>
          <w:vanish w:val="0"/>
          <w:color w:val="000000"/>
          <w:sz w:val="24"/>
        </w:rPr>
        <w:sectPr>
          <w:headerReference w:type="even" r:id="rId4"/>
          <w:headerReference w:type="default" r:id="rId5"/>
          <w:footerReference w:type="even" r:id="rId6"/>
          <w:footerReference w:type="default" r:id="rId7"/>
          <w:headerReference w:type="first" r:id="rId8"/>
          <w:footerReference w:type="first" r:id="rId9"/>
          <w:pgSz w:w="11906" w:h="16838"/>
          <w:pgMar w:top="720" w:right="936" w:bottom="864" w:left="720" w:header="0" w:footer="72" w:gutter="0"/>
          <w:cols w:space="720"/>
          <w:noEndnote/>
          <w:docGrid w:linePitch="360"/>
        </w:sectPr>
      </w:pPr>
    </w:p>
    <w:p w:rsidR="00A77B3E">
      <w:pPr>
        <w:pStyle w:val="Heading1"/>
        <w:spacing w:before="100" w:after="0"/>
        <w:jc w:val="start"/>
        <w:rPr>
          <w:rFonts w:ascii="Times New Roman" w:eastAsia="Times New Roman" w:hAnsi="Times New Roman" w:cs="Times New Roman"/>
          <w:b w:val="0"/>
          <w:i w:val="0"/>
          <w:vanish w:val="0"/>
          <w:color w:val="000000"/>
          <w:sz w:val="24"/>
        </w:rPr>
      </w:pPr>
      <w:bookmarkStart w:id="1" w:name="_Toc256000056"/>
      <w:r>
        <w:rPr>
          <w:rFonts w:ascii="Times New Roman" w:eastAsia="Times New Roman" w:hAnsi="Times New Roman" w:cs="Times New Roman"/>
          <w:b w:val="0"/>
          <w:i w:val="0"/>
          <w:vanish w:val="0"/>
          <w:color w:val="000000"/>
          <w:sz w:val="24"/>
        </w:rPr>
        <w:t>2. Specifični cilji in tehnična pomoč</w:t>
      </w:r>
      <w:bookmarkEnd w:id="1"/>
    </w:p>
    <w:p w:rsidR="00A77B3E">
      <w:pPr>
        <w:spacing w:before="100" w:after="0"/>
        <w:jc w:val="start"/>
        <w:rPr>
          <w:rFonts w:ascii="Times New Roman" w:eastAsia="Times New Roman" w:hAnsi="Times New Roman" w:cs="Times New Roman"/>
          <w:b w:val="0"/>
          <w:i w:val="0"/>
          <w:vanish w:val="0"/>
          <w:color w:val="000000"/>
          <w:sz w:val="0"/>
        </w:rPr>
      </w:pPr>
    </w:p>
    <w:p w:rsidR="00A77B3E">
      <w:pPr>
        <w:spacing w:before="100" w:after="0"/>
        <w:jc w:val="star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24"/>
        </w:rPr>
        <w:t>Sklic: člen 22(2) in (4) uredbe o skupnih določbah</w:t>
      </w:r>
    </w:p>
    <w:tbl>
      <w:tblPr>
        <w:tblW w:w="100%" w:type="pct"/>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CellMar>
          <w:start w:w="5.4pt" w:type="dxa"/>
          <w:end w:w="5.4pt" w:type="dxa"/>
        </w:tblCellMar>
      </w:tblPr>
      <w:tblGrid>
        <w:gridCol w:w="2592"/>
        <w:gridCol w:w="5185"/>
        <w:gridCol w:w="2593"/>
      </w:tblGrid>
      <w:tr>
        <w:tblPrEx>
          <w:tblW w:w="100%" w:type="pct"/>
        </w:tblPrEx>
        <w:trPr>
          <w:cantSplit w:val="0"/>
          <w:trHeight w:val="160"/>
          <w:tblHeader/>
        </w:trPr>
        <w:tc>
          <w:tcPr>
            <w:tcW w:w="3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rsidR="00A77B3E">
            <w:pPr>
              <w:spacing w:before="100" w:after="0"/>
              <w:jc w:val="center"/>
              <w:rPr>
                <w:rFonts w:ascii="Times New Roman" w:eastAsia="Times New Roman" w:hAnsi="Times New Roman" w:cs="Times New Roman"/>
                <w:b w:val="0"/>
                <w:i w:val="0"/>
                <w:vanish w:val="0"/>
                <w:color w:val="000000"/>
                <w:sz w:val="24"/>
              </w:rPr>
            </w:pPr>
            <w:r>
              <w:rPr>
                <w:rFonts w:ascii="Times New Roman" w:eastAsia="Times New Roman" w:hAnsi="Times New Roman" w:cs="Times New Roman"/>
                <w:b w:val="0"/>
                <w:i w:val="0"/>
                <w:vanish w:val="0"/>
                <w:color w:val="000000"/>
                <w:sz w:val="24"/>
              </w:rPr>
              <w:t>Izbrano</w:t>
            </w:r>
          </w:p>
        </w:tc>
        <w:tc>
          <w:tcPr>
            <w:tcW w:w="20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rsidR="00A77B3E">
            <w:pPr>
              <w:spacing w:before="100" w:after="0"/>
              <w:jc w:val="center"/>
              <w:rPr>
                <w:rFonts w:ascii="Times New Roman" w:eastAsia="Times New Roman" w:hAnsi="Times New Roman" w:cs="Times New Roman"/>
                <w:b w:val="0"/>
                <w:i w:val="0"/>
                <w:vanish w:val="0"/>
                <w:color w:val="000000"/>
                <w:sz w:val="24"/>
              </w:rPr>
            </w:pPr>
            <w:r>
              <w:rPr>
                <w:rFonts w:ascii="Times New Roman" w:eastAsia="Times New Roman" w:hAnsi="Times New Roman" w:cs="Times New Roman"/>
                <w:b w:val="0"/>
                <w:i w:val="0"/>
                <w:vanish w:val="0"/>
                <w:color w:val="000000"/>
                <w:sz w:val="24"/>
              </w:rPr>
              <w:t>Specifični cilj ali tehnična pomoč</w:t>
            </w:r>
          </w:p>
        </w:tc>
        <w:tc>
          <w:tcPr>
            <w:tcW w:w="10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rsidR="00A77B3E">
            <w:pPr>
              <w:spacing w:before="100" w:after="0"/>
              <w:jc w:val="center"/>
              <w:rPr>
                <w:rFonts w:ascii="Times New Roman" w:eastAsia="Times New Roman" w:hAnsi="Times New Roman" w:cs="Times New Roman"/>
                <w:b w:val="0"/>
                <w:i w:val="0"/>
                <w:vanish w:val="0"/>
                <w:color w:val="000000"/>
                <w:sz w:val="24"/>
              </w:rPr>
            </w:pPr>
            <w:r>
              <w:rPr>
                <w:rFonts w:ascii="Times New Roman" w:eastAsia="Times New Roman" w:hAnsi="Times New Roman" w:cs="Times New Roman"/>
                <w:b w:val="0"/>
                <w:i w:val="0"/>
                <w:vanish w:val="0"/>
                <w:color w:val="000000"/>
                <w:sz w:val="24"/>
              </w:rPr>
              <w:t>Vrsta ukrepa</w:t>
            </w:r>
          </w:p>
        </w:tc>
      </w:tr>
      <w:tr>
        <w:tblPrEx>
          <w:tblW w:w="100%" w:type="pct"/>
        </w:tblPrEx>
        <w:trPr>
          <w:cantSplit w:val="0"/>
          <w:trHeight w:val="160"/>
          <w:tblHeader w:val="0"/>
        </w:trPr>
        <w:tc>
          <w:tcPr>
            <w:tcW w:w="10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rsidR="00A77B3E">
            <w:pPr>
              <w:spacing w:before="100" w:after="0"/>
              <w:jc w:val="center"/>
              <w:rPr>
                <w:rFonts w:ascii="Times New Roman" w:eastAsia="Times New Roman" w:hAnsi="Times New Roman" w:cs="Times New Roman"/>
                <w:b w:val="0"/>
                <w:i w:val="0"/>
                <w:vanish w:val="0"/>
                <w:color w:val="000000"/>
                <w:sz w:val="24"/>
              </w:rPr>
            </w:pPr>
            <w:r>
              <w:rPr>
                <w:rFonts w:ascii="Times New Roman" w:eastAsia="Times New Roman" w:hAnsi="Times New Roman" w:cs="Times New Roman"/>
                <w:b w:val="0"/>
                <w:i w:val="0"/>
                <w:vanish w:val="0"/>
                <w:color w:val="000000"/>
                <w:sz w:val="24"/>
              </w:rPr>
              <w:fldChar w:fldCharType="begin">
                <w:ffData>
                  <w:name w:val=""/>
                  <w:enabled/>
                  <w:calcOnExit w:val="0"/>
                  <w:checkBox>
                    <w:size w:val="20"/>
                    <w:default w:val="1"/>
                    <w:checked w:val="1"/>
                  </w:checkBox>
                </w:ffData>
              </w:fldChar>
            </w:r>
            <w:r>
              <w:rPr>
                <w:rFonts w:ascii="Times New Roman" w:eastAsia="Times New Roman" w:hAnsi="Times New Roman" w:cs="Times New Roman"/>
                <w:b w:val="0"/>
                <w:i w:val="0"/>
                <w:vanish w:val="0"/>
                <w:color w:val="000000"/>
                <w:sz w:val="24"/>
              </w:rPr>
              <w:instrText xml:space="preserve"> FORMCHECKBOX </w:instrText>
            </w:r>
            <w:r>
              <w:rPr>
                <w:rFonts w:ascii="Times New Roman" w:eastAsia="Times New Roman" w:hAnsi="Times New Roman" w:cs="Times New Roman"/>
                <w:b w:val="0"/>
                <w:i w:val="0"/>
                <w:vanish w:val="0"/>
                <w:color w:val="000000"/>
                <w:sz w:val="24"/>
              </w:rPr>
              <w:fldChar w:fldCharType="end"/>
            </w:r>
            <w:r>
              <w:rPr>
                <w:rFonts w:ascii="Times New Roman" w:eastAsia="Times New Roman" w:hAnsi="Times New Roman" w:cs="Times New Roman"/>
                <w:b w:val="0"/>
                <w:i w:val="0"/>
                <w:vanish w:val="0"/>
                <w:color w:val="000000"/>
                <w:sz w:val="24"/>
              </w:rPr>
              <w:t xml:space="preserve"> </w:t>
            </w:r>
          </w:p>
        </w:tc>
        <w:tc>
          <w:tcPr>
            <w:tcW w:w="10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24"/>
              </w:rPr>
            </w:pPr>
            <w:r>
              <w:rPr>
                <w:rFonts w:ascii="Times New Roman" w:eastAsia="Times New Roman" w:hAnsi="Times New Roman" w:cs="Times New Roman"/>
                <w:b w:val="0"/>
                <w:i w:val="0"/>
                <w:vanish w:val="0"/>
                <w:color w:val="000000"/>
                <w:sz w:val="24"/>
              </w:rPr>
              <w:t>1. Izmenjava informacij</w:t>
            </w:r>
          </w:p>
        </w:tc>
        <w:tc>
          <w:tcPr>
            <w:tcW w:w="10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24"/>
              </w:rPr>
            </w:pPr>
            <w:r>
              <w:rPr>
                <w:rFonts w:ascii="Times New Roman" w:eastAsia="Times New Roman" w:hAnsi="Times New Roman" w:cs="Times New Roman"/>
                <w:b w:val="0"/>
                <w:i w:val="0"/>
                <w:vanish w:val="0"/>
                <w:color w:val="000000"/>
                <w:sz w:val="24"/>
              </w:rPr>
              <w:t>Redni ukrepi</w:t>
            </w:r>
          </w:p>
        </w:tc>
      </w:tr>
      <w:tr>
        <w:tblPrEx>
          <w:tblW w:w="100%" w:type="pct"/>
        </w:tblPrEx>
        <w:trPr>
          <w:cantSplit w:val="0"/>
          <w:trHeight w:val="160"/>
          <w:tblHeader w:val="0"/>
        </w:trPr>
        <w:tc>
          <w:tcPr>
            <w:tcW w:w="10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center"/>
              <w:rPr>
                <w:rFonts w:ascii="Times New Roman" w:eastAsia="Times New Roman" w:hAnsi="Times New Roman" w:cs="Times New Roman"/>
                <w:b w:val="0"/>
                <w:i w:val="0"/>
                <w:vanish w:val="0"/>
                <w:color w:val="000000"/>
                <w:sz w:val="24"/>
              </w:rPr>
            </w:pPr>
            <w:r>
              <w:rPr>
                <w:rFonts w:ascii="Times New Roman" w:eastAsia="Times New Roman" w:hAnsi="Times New Roman" w:cs="Times New Roman"/>
                <w:b w:val="0"/>
                <w:i w:val="0"/>
                <w:vanish w:val="0"/>
                <w:color w:val="000000"/>
                <w:sz w:val="24"/>
              </w:rPr>
              <w:fldChar w:fldCharType="begin">
                <w:ffData>
                  <w:name w:val=""/>
                  <w:enabled/>
                  <w:calcOnExit w:val="0"/>
                  <w:checkBox>
                    <w:size w:val="20"/>
                    <w:default w:val="0"/>
                    <w:checked w:val="0"/>
                  </w:checkBox>
                </w:ffData>
              </w:fldChar>
            </w:r>
            <w:r>
              <w:rPr>
                <w:rFonts w:ascii="Times New Roman" w:eastAsia="Times New Roman" w:hAnsi="Times New Roman" w:cs="Times New Roman"/>
                <w:b w:val="0"/>
                <w:i w:val="0"/>
                <w:vanish w:val="0"/>
                <w:color w:val="000000"/>
                <w:sz w:val="24"/>
              </w:rPr>
              <w:instrText xml:space="preserve"> FORMCHECKBOX </w:instrText>
            </w:r>
            <w:r>
              <w:rPr>
                <w:rFonts w:ascii="Times New Roman" w:eastAsia="Times New Roman" w:hAnsi="Times New Roman" w:cs="Times New Roman"/>
                <w:b w:val="0"/>
                <w:i w:val="0"/>
                <w:vanish w:val="0"/>
                <w:color w:val="000000"/>
                <w:sz w:val="24"/>
              </w:rPr>
              <w:fldChar w:fldCharType="end"/>
            </w:r>
            <w:r>
              <w:rPr>
                <w:rFonts w:ascii="Times New Roman" w:eastAsia="Times New Roman" w:hAnsi="Times New Roman" w:cs="Times New Roman"/>
                <w:b w:val="0"/>
                <w:i w:val="0"/>
                <w:vanish w:val="0"/>
                <w:color w:val="000000"/>
                <w:sz w:val="24"/>
              </w:rPr>
              <w:t xml:space="preserve"> </w:t>
            </w:r>
          </w:p>
        </w:tc>
        <w:tc>
          <w:tcPr>
            <w:tcW w:w="10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24"/>
              </w:rPr>
            </w:pPr>
            <w:r>
              <w:rPr>
                <w:rFonts w:ascii="Times New Roman" w:eastAsia="Times New Roman" w:hAnsi="Times New Roman" w:cs="Times New Roman"/>
                <w:b w:val="0"/>
                <w:i w:val="0"/>
                <w:vanish w:val="0"/>
                <w:color w:val="000000"/>
                <w:sz w:val="24"/>
              </w:rPr>
              <w:t>1. Izmenjava informacij</w:t>
            </w:r>
          </w:p>
        </w:tc>
        <w:tc>
          <w:tcPr>
            <w:tcW w:w="10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24"/>
              </w:rPr>
            </w:pPr>
            <w:r>
              <w:rPr>
                <w:rFonts w:ascii="Times New Roman" w:eastAsia="Times New Roman" w:hAnsi="Times New Roman" w:cs="Times New Roman"/>
                <w:b w:val="0"/>
                <w:i w:val="0"/>
                <w:vanish w:val="0"/>
                <w:color w:val="000000"/>
                <w:sz w:val="24"/>
              </w:rPr>
              <w:t>Posebni ukrepi</w:t>
            </w:r>
          </w:p>
        </w:tc>
      </w:tr>
      <w:tr>
        <w:tblPrEx>
          <w:tblW w:w="100%" w:type="pct"/>
        </w:tblPrEx>
        <w:trPr>
          <w:cantSplit w:val="0"/>
          <w:trHeight w:val="160"/>
          <w:tblHeader w:val="0"/>
        </w:trPr>
        <w:tc>
          <w:tcPr>
            <w:tcW w:w="10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center"/>
              <w:rPr>
                <w:rFonts w:ascii="Times New Roman" w:eastAsia="Times New Roman" w:hAnsi="Times New Roman" w:cs="Times New Roman"/>
                <w:b w:val="0"/>
                <w:i w:val="0"/>
                <w:vanish w:val="0"/>
                <w:color w:val="000000"/>
                <w:sz w:val="24"/>
              </w:rPr>
            </w:pPr>
            <w:r>
              <w:rPr>
                <w:rFonts w:ascii="Times New Roman" w:eastAsia="Times New Roman" w:hAnsi="Times New Roman" w:cs="Times New Roman"/>
                <w:b w:val="0"/>
                <w:i w:val="0"/>
                <w:vanish w:val="0"/>
                <w:color w:val="000000"/>
                <w:sz w:val="24"/>
              </w:rPr>
              <w:fldChar w:fldCharType="begin">
                <w:ffData>
                  <w:name w:val=""/>
                  <w:enabled/>
                  <w:calcOnExit w:val="0"/>
                  <w:checkBox>
                    <w:size w:val="20"/>
                    <w:default w:val="1"/>
                    <w:checked w:val="1"/>
                  </w:checkBox>
                </w:ffData>
              </w:fldChar>
            </w:r>
            <w:r>
              <w:rPr>
                <w:rFonts w:ascii="Times New Roman" w:eastAsia="Times New Roman" w:hAnsi="Times New Roman" w:cs="Times New Roman"/>
                <w:b w:val="0"/>
                <w:i w:val="0"/>
                <w:vanish w:val="0"/>
                <w:color w:val="000000"/>
                <w:sz w:val="24"/>
              </w:rPr>
              <w:instrText xml:space="preserve"> FORMCHECKBOX </w:instrText>
            </w:r>
            <w:r>
              <w:rPr>
                <w:rFonts w:ascii="Times New Roman" w:eastAsia="Times New Roman" w:hAnsi="Times New Roman" w:cs="Times New Roman"/>
                <w:b w:val="0"/>
                <w:i w:val="0"/>
                <w:vanish w:val="0"/>
                <w:color w:val="000000"/>
                <w:sz w:val="24"/>
              </w:rPr>
              <w:fldChar w:fldCharType="end"/>
            </w:r>
            <w:r>
              <w:rPr>
                <w:rFonts w:ascii="Times New Roman" w:eastAsia="Times New Roman" w:hAnsi="Times New Roman" w:cs="Times New Roman"/>
                <w:b w:val="0"/>
                <w:i w:val="0"/>
                <w:vanish w:val="0"/>
                <w:color w:val="000000"/>
                <w:sz w:val="24"/>
              </w:rPr>
              <w:t xml:space="preserve"> </w:t>
            </w:r>
          </w:p>
        </w:tc>
        <w:tc>
          <w:tcPr>
            <w:tcW w:w="10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24"/>
              </w:rPr>
            </w:pPr>
            <w:r>
              <w:rPr>
                <w:rFonts w:ascii="Times New Roman" w:eastAsia="Times New Roman" w:hAnsi="Times New Roman" w:cs="Times New Roman"/>
                <w:b w:val="0"/>
                <w:i w:val="0"/>
                <w:vanish w:val="0"/>
                <w:color w:val="000000"/>
                <w:sz w:val="24"/>
              </w:rPr>
              <w:t>1. Izmenjava informacij</w:t>
            </w:r>
          </w:p>
        </w:tc>
        <w:tc>
          <w:tcPr>
            <w:tcW w:w="10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24"/>
              </w:rPr>
            </w:pPr>
            <w:r>
              <w:rPr>
                <w:rFonts w:ascii="Times New Roman" w:eastAsia="Times New Roman" w:hAnsi="Times New Roman" w:cs="Times New Roman"/>
                <w:b w:val="0"/>
                <w:i w:val="0"/>
                <w:vanish w:val="0"/>
                <w:color w:val="000000"/>
                <w:sz w:val="24"/>
              </w:rPr>
              <w:t>Ukrepi iz Priloge IV</w:t>
            </w:r>
          </w:p>
        </w:tc>
      </w:tr>
      <w:tr>
        <w:tblPrEx>
          <w:tblW w:w="100%" w:type="pct"/>
        </w:tblPrEx>
        <w:trPr>
          <w:cantSplit w:val="0"/>
          <w:trHeight w:val="160"/>
          <w:tblHeader w:val="0"/>
        </w:trPr>
        <w:tc>
          <w:tcPr>
            <w:tcW w:w="10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center"/>
              <w:rPr>
                <w:rFonts w:ascii="Times New Roman" w:eastAsia="Times New Roman" w:hAnsi="Times New Roman" w:cs="Times New Roman"/>
                <w:b w:val="0"/>
                <w:i w:val="0"/>
                <w:vanish w:val="0"/>
                <w:color w:val="000000"/>
                <w:sz w:val="24"/>
              </w:rPr>
            </w:pPr>
            <w:r>
              <w:rPr>
                <w:rFonts w:ascii="Times New Roman" w:eastAsia="Times New Roman" w:hAnsi="Times New Roman" w:cs="Times New Roman"/>
                <w:b w:val="0"/>
                <w:i w:val="0"/>
                <w:vanish w:val="0"/>
                <w:color w:val="000000"/>
                <w:sz w:val="24"/>
              </w:rPr>
              <w:fldChar w:fldCharType="begin">
                <w:ffData>
                  <w:name w:val=""/>
                  <w:enabled/>
                  <w:calcOnExit w:val="0"/>
                  <w:checkBox>
                    <w:size w:val="20"/>
                    <w:default w:val="1"/>
                    <w:checked w:val="1"/>
                  </w:checkBox>
                </w:ffData>
              </w:fldChar>
            </w:r>
            <w:r>
              <w:rPr>
                <w:rFonts w:ascii="Times New Roman" w:eastAsia="Times New Roman" w:hAnsi="Times New Roman" w:cs="Times New Roman"/>
                <w:b w:val="0"/>
                <w:i w:val="0"/>
                <w:vanish w:val="0"/>
                <w:color w:val="000000"/>
                <w:sz w:val="24"/>
              </w:rPr>
              <w:instrText xml:space="preserve"> FORMCHECKBOX </w:instrText>
            </w:r>
            <w:r>
              <w:rPr>
                <w:rFonts w:ascii="Times New Roman" w:eastAsia="Times New Roman" w:hAnsi="Times New Roman" w:cs="Times New Roman"/>
                <w:b w:val="0"/>
                <w:i w:val="0"/>
                <w:vanish w:val="0"/>
                <w:color w:val="000000"/>
                <w:sz w:val="24"/>
              </w:rPr>
              <w:fldChar w:fldCharType="end"/>
            </w:r>
            <w:r>
              <w:rPr>
                <w:rFonts w:ascii="Times New Roman" w:eastAsia="Times New Roman" w:hAnsi="Times New Roman" w:cs="Times New Roman"/>
                <w:b w:val="0"/>
                <w:i w:val="0"/>
                <w:vanish w:val="0"/>
                <w:color w:val="000000"/>
                <w:sz w:val="24"/>
              </w:rPr>
              <w:t xml:space="preserve"> </w:t>
            </w:r>
          </w:p>
        </w:tc>
        <w:tc>
          <w:tcPr>
            <w:tcW w:w="10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24"/>
              </w:rPr>
            </w:pPr>
            <w:r>
              <w:rPr>
                <w:rFonts w:ascii="Times New Roman" w:eastAsia="Times New Roman" w:hAnsi="Times New Roman" w:cs="Times New Roman"/>
                <w:b w:val="0"/>
                <w:i w:val="0"/>
                <w:vanish w:val="0"/>
                <w:color w:val="000000"/>
                <w:sz w:val="24"/>
              </w:rPr>
              <w:t>1. Izmenjava informacij</w:t>
            </w:r>
          </w:p>
        </w:tc>
        <w:tc>
          <w:tcPr>
            <w:tcW w:w="10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24"/>
              </w:rPr>
            </w:pPr>
            <w:r>
              <w:rPr>
                <w:rFonts w:ascii="Times New Roman" w:eastAsia="Times New Roman" w:hAnsi="Times New Roman" w:cs="Times New Roman"/>
                <w:b w:val="0"/>
                <w:i w:val="0"/>
                <w:vanish w:val="0"/>
                <w:color w:val="000000"/>
                <w:sz w:val="24"/>
              </w:rPr>
              <w:t>Operativna podpora</w:t>
            </w:r>
          </w:p>
        </w:tc>
      </w:tr>
      <w:tr>
        <w:tblPrEx>
          <w:tblW w:w="100%" w:type="pct"/>
        </w:tblPrEx>
        <w:trPr>
          <w:cantSplit w:val="0"/>
          <w:trHeight w:val="160"/>
          <w:tblHeader w:val="0"/>
        </w:trPr>
        <w:tc>
          <w:tcPr>
            <w:tcW w:w="10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center"/>
              <w:rPr>
                <w:rFonts w:ascii="Times New Roman" w:eastAsia="Times New Roman" w:hAnsi="Times New Roman" w:cs="Times New Roman"/>
                <w:b w:val="0"/>
                <w:i w:val="0"/>
                <w:vanish w:val="0"/>
                <w:color w:val="000000"/>
                <w:sz w:val="24"/>
              </w:rPr>
            </w:pPr>
            <w:r>
              <w:rPr>
                <w:rFonts w:ascii="Times New Roman" w:eastAsia="Times New Roman" w:hAnsi="Times New Roman" w:cs="Times New Roman"/>
                <w:b w:val="0"/>
                <w:i w:val="0"/>
                <w:vanish w:val="0"/>
                <w:color w:val="000000"/>
                <w:sz w:val="24"/>
              </w:rPr>
              <w:fldChar w:fldCharType="begin">
                <w:ffData>
                  <w:name w:val=""/>
                  <w:enabled/>
                  <w:calcOnExit w:val="0"/>
                  <w:checkBox>
                    <w:size w:val="20"/>
                    <w:default w:val="0"/>
                    <w:checked w:val="0"/>
                  </w:checkBox>
                </w:ffData>
              </w:fldChar>
            </w:r>
            <w:r>
              <w:rPr>
                <w:rFonts w:ascii="Times New Roman" w:eastAsia="Times New Roman" w:hAnsi="Times New Roman" w:cs="Times New Roman"/>
                <w:b w:val="0"/>
                <w:i w:val="0"/>
                <w:vanish w:val="0"/>
                <w:color w:val="000000"/>
                <w:sz w:val="24"/>
              </w:rPr>
              <w:instrText xml:space="preserve"> FORMCHECKBOX </w:instrText>
            </w:r>
            <w:r>
              <w:rPr>
                <w:rFonts w:ascii="Times New Roman" w:eastAsia="Times New Roman" w:hAnsi="Times New Roman" w:cs="Times New Roman"/>
                <w:b w:val="0"/>
                <w:i w:val="0"/>
                <w:vanish w:val="0"/>
                <w:color w:val="000000"/>
                <w:sz w:val="24"/>
              </w:rPr>
              <w:fldChar w:fldCharType="end"/>
            </w:r>
            <w:r>
              <w:rPr>
                <w:rFonts w:ascii="Times New Roman" w:eastAsia="Times New Roman" w:hAnsi="Times New Roman" w:cs="Times New Roman"/>
                <w:b w:val="0"/>
                <w:i w:val="0"/>
                <w:vanish w:val="0"/>
                <w:color w:val="000000"/>
                <w:sz w:val="24"/>
              </w:rPr>
              <w:t xml:space="preserve"> </w:t>
            </w:r>
          </w:p>
        </w:tc>
        <w:tc>
          <w:tcPr>
            <w:tcW w:w="10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24"/>
              </w:rPr>
            </w:pPr>
            <w:r>
              <w:rPr>
                <w:rFonts w:ascii="Times New Roman" w:eastAsia="Times New Roman" w:hAnsi="Times New Roman" w:cs="Times New Roman"/>
                <w:b w:val="0"/>
                <w:i w:val="0"/>
                <w:vanish w:val="0"/>
                <w:color w:val="000000"/>
                <w:sz w:val="24"/>
              </w:rPr>
              <w:t>1. Izmenjava informacij</w:t>
            </w:r>
          </w:p>
        </w:tc>
        <w:tc>
          <w:tcPr>
            <w:tcW w:w="10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24"/>
              </w:rPr>
            </w:pPr>
            <w:r>
              <w:rPr>
                <w:rFonts w:ascii="Times New Roman" w:eastAsia="Times New Roman" w:hAnsi="Times New Roman" w:cs="Times New Roman"/>
                <w:b w:val="0"/>
                <w:i w:val="0"/>
                <w:vanish w:val="0"/>
                <w:color w:val="000000"/>
                <w:sz w:val="24"/>
              </w:rPr>
              <w:t>Nujna pomoč</w:t>
            </w:r>
          </w:p>
        </w:tc>
      </w:tr>
      <w:tr>
        <w:tblPrEx>
          <w:tblW w:w="100%" w:type="pct"/>
        </w:tblPrEx>
        <w:trPr>
          <w:cantSplit w:val="0"/>
          <w:trHeight w:val="160"/>
          <w:tblHeader w:val="0"/>
        </w:trPr>
        <w:tc>
          <w:tcPr>
            <w:tcW w:w="10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center"/>
              <w:rPr>
                <w:rFonts w:ascii="Times New Roman" w:eastAsia="Times New Roman" w:hAnsi="Times New Roman" w:cs="Times New Roman"/>
                <w:b w:val="0"/>
                <w:i w:val="0"/>
                <w:vanish w:val="0"/>
                <w:color w:val="000000"/>
                <w:sz w:val="24"/>
              </w:rPr>
            </w:pPr>
            <w:r>
              <w:rPr>
                <w:rFonts w:ascii="Times New Roman" w:eastAsia="Times New Roman" w:hAnsi="Times New Roman" w:cs="Times New Roman"/>
                <w:b w:val="0"/>
                <w:i w:val="0"/>
                <w:vanish w:val="0"/>
                <w:color w:val="000000"/>
                <w:sz w:val="24"/>
              </w:rPr>
              <w:fldChar w:fldCharType="begin">
                <w:ffData>
                  <w:name w:val=""/>
                  <w:enabled/>
                  <w:calcOnExit w:val="0"/>
                  <w:checkBox>
                    <w:size w:val="20"/>
                    <w:default w:val="1"/>
                    <w:checked w:val="1"/>
                  </w:checkBox>
                </w:ffData>
              </w:fldChar>
            </w:r>
            <w:r>
              <w:rPr>
                <w:rFonts w:ascii="Times New Roman" w:eastAsia="Times New Roman" w:hAnsi="Times New Roman" w:cs="Times New Roman"/>
                <w:b w:val="0"/>
                <w:i w:val="0"/>
                <w:vanish w:val="0"/>
                <w:color w:val="000000"/>
                <w:sz w:val="24"/>
              </w:rPr>
              <w:instrText xml:space="preserve"> FORMCHECKBOX </w:instrText>
            </w:r>
            <w:r>
              <w:rPr>
                <w:rFonts w:ascii="Times New Roman" w:eastAsia="Times New Roman" w:hAnsi="Times New Roman" w:cs="Times New Roman"/>
                <w:b w:val="0"/>
                <w:i w:val="0"/>
                <w:vanish w:val="0"/>
                <w:color w:val="000000"/>
                <w:sz w:val="24"/>
              </w:rPr>
              <w:fldChar w:fldCharType="end"/>
            </w:r>
            <w:r>
              <w:rPr>
                <w:rFonts w:ascii="Times New Roman" w:eastAsia="Times New Roman" w:hAnsi="Times New Roman" w:cs="Times New Roman"/>
                <w:b w:val="0"/>
                <w:i w:val="0"/>
                <w:vanish w:val="0"/>
                <w:color w:val="000000"/>
                <w:sz w:val="24"/>
              </w:rPr>
              <w:t xml:space="preserve"> </w:t>
            </w:r>
          </w:p>
        </w:tc>
        <w:tc>
          <w:tcPr>
            <w:tcW w:w="10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24"/>
              </w:rPr>
            </w:pPr>
            <w:r>
              <w:rPr>
                <w:rFonts w:ascii="Times New Roman" w:eastAsia="Times New Roman" w:hAnsi="Times New Roman" w:cs="Times New Roman"/>
                <w:b w:val="0"/>
                <w:i w:val="0"/>
                <w:vanish w:val="0"/>
                <w:color w:val="000000"/>
                <w:sz w:val="24"/>
              </w:rPr>
              <w:t>2. Čezmejno sodelovanje</w:t>
            </w:r>
          </w:p>
        </w:tc>
        <w:tc>
          <w:tcPr>
            <w:tcW w:w="10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24"/>
              </w:rPr>
            </w:pPr>
            <w:r>
              <w:rPr>
                <w:rFonts w:ascii="Times New Roman" w:eastAsia="Times New Roman" w:hAnsi="Times New Roman" w:cs="Times New Roman"/>
                <w:b w:val="0"/>
                <w:i w:val="0"/>
                <w:vanish w:val="0"/>
                <w:color w:val="000000"/>
                <w:sz w:val="24"/>
              </w:rPr>
              <w:t>Redni ukrepi</w:t>
            </w:r>
          </w:p>
        </w:tc>
      </w:tr>
      <w:tr>
        <w:tblPrEx>
          <w:tblW w:w="100%" w:type="pct"/>
        </w:tblPrEx>
        <w:trPr>
          <w:cantSplit w:val="0"/>
          <w:trHeight w:val="160"/>
          <w:tblHeader w:val="0"/>
        </w:trPr>
        <w:tc>
          <w:tcPr>
            <w:tcW w:w="10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center"/>
              <w:rPr>
                <w:rFonts w:ascii="Times New Roman" w:eastAsia="Times New Roman" w:hAnsi="Times New Roman" w:cs="Times New Roman"/>
                <w:b w:val="0"/>
                <w:i w:val="0"/>
                <w:vanish w:val="0"/>
                <w:color w:val="000000"/>
                <w:sz w:val="24"/>
              </w:rPr>
            </w:pPr>
            <w:r>
              <w:rPr>
                <w:rFonts w:ascii="Times New Roman" w:eastAsia="Times New Roman" w:hAnsi="Times New Roman" w:cs="Times New Roman"/>
                <w:b w:val="0"/>
                <w:i w:val="0"/>
                <w:vanish w:val="0"/>
                <w:color w:val="000000"/>
                <w:sz w:val="24"/>
              </w:rPr>
              <w:fldChar w:fldCharType="begin">
                <w:ffData>
                  <w:name w:val=""/>
                  <w:enabled/>
                  <w:calcOnExit w:val="0"/>
                  <w:checkBox>
                    <w:size w:val="20"/>
                    <w:default w:val="1"/>
                    <w:checked w:val="1"/>
                  </w:checkBox>
                </w:ffData>
              </w:fldChar>
            </w:r>
            <w:r>
              <w:rPr>
                <w:rFonts w:ascii="Times New Roman" w:eastAsia="Times New Roman" w:hAnsi="Times New Roman" w:cs="Times New Roman"/>
                <w:b w:val="0"/>
                <w:i w:val="0"/>
                <w:vanish w:val="0"/>
                <w:color w:val="000000"/>
                <w:sz w:val="24"/>
              </w:rPr>
              <w:instrText xml:space="preserve"> FORMCHECKBOX </w:instrText>
            </w:r>
            <w:r>
              <w:rPr>
                <w:rFonts w:ascii="Times New Roman" w:eastAsia="Times New Roman" w:hAnsi="Times New Roman" w:cs="Times New Roman"/>
                <w:b w:val="0"/>
                <w:i w:val="0"/>
                <w:vanish w:val="0"/>
                <w:color w:val="000000"/>
                <w:sz w:val="24"/>
              </w:rPr>
              <w:fldChar w:fldCharType="end"/>
            </w:r>
            <w:r>
              <w:rPr>
                <w:rFonts w:ascii="Times New Roman" w:eastAsia="Times New Roman" w:hAnsi="Times New Roman" w:cs="Times New Roman"/>
                <w:b w:val="0"/>
                <w:i w:val="0"/>
                <w:vanish w:val="0"/>
                <w:color w:val="000000"/>
                <w:sz w:val="24"/>
              </w:rPr>
              <w:t xml:space="preserve"> </w:t>
            </w:r>
          </w:p>
        </w:tc>
        <w:tc>
          <w:tcPr>
            <w:tcW w:w="10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24"/>
              </w:rPr>
            </w:pPr>
            <w:r>
              <w:rPr>
                <w:rFonts w:ascii="Times New Roman" w:eastAsia="Times New Roman" w:hAnsi="Times New Roman" w:cs="Times New Roman"/>
                <w:b w:val="0"/>
                <w:i w:val="0"/>
                <w:vanish w:val="0"/>
                <w:color w:val="000000"/>
                <w:sz w:val="24"/>
              </w:rPr>
              <w:t>2. Čezmejno sodelovanje</w:t>
            </w:r>
          </w:p>
        </w:tc>
        <w:tc>
          <w:tcPr>
            <w:tcW w:w="10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24"/>
              </w:rPr>
            </w:pPr>
            <w:r>
              <w:rPr>
                <w:rFonts w:ascii="Times New Roman" w:eastAsia="Times New Roman" w:hAnsi="Times New Roman" w:cs="Times New Roman"/>
                <w:b w:val="0"/>
                <w:i w:val="0"/>
                <w:vanish w:val="0"/>
                <w:color w:val="000000"/>
                <w:sz w:val="24"/>
              </w:rPr>
              <w:t>Posebni ukrepi</w:t>
            </w:r>
          </w:p>
        </w:tc>
      </w:tr>
      <w:tr>
        <w:tblPrEx>
          <w:tblW w:w="100%" w:type="pct"/>
        </w:tblPrEx>
        <w:trPr>
          <w:cantSplit w:val="0"/>
          <w:trHeight w:val="160"/>
          <w:tblHeader w:val="0"/>
        </w:trPr>
        <w:tc>
          <w:tcPr>
            <w:tcW w:w="10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center"/>
              <w:rPr>
                <w:rFonts w:ascii="Times New Roman" w:eastAsia="Times New Roman" w:hAnsi="Times New Roman" w:cs="Times New Roman"/>
                <w:b w:val="0"/>
                <w:i w:val="0"/>
                <w:vanish w:val="0"/>
                <w:color w:val="000000"/>
                <w:sz w:val="24"/>
              </w:rPr>
            </w:pPr>
            <w:r>
              <w:rPr>
                <w:rFonts w:ascii="Times New Roman" w:eastAsia="Times New Roman" w:hAnsi="Times New Roman" w:cs="Times New Roman"/>
                <w:b w:val="0"/>
                <w:i w:val="0"/>
                <w:vanish w:val="0"/>
                <w:color w:val="000000"/>
                <w:sz w:val="24"/>
              </w:rPr>
              <w:fldChar w:fldCharType="begin">
                <w:ffData>
                  <w:name w:val=""/>
                  <w:enabled/>
                  <w:calcOnExit w:val="0"/>
                  <w:checkBox>
                    <w:size w:val="20"/>
                    <w:default w:val="1"/>
                    <w:checked w:val="1"/>
                  </w:checkBox>
                </w:ffData>
              </w:fldChar>
            </w:r>
            <w:r>
              <w:rPr>
                <w:rFonts w:ascii="Times New Roman" w:eastAsia="Times New Roman" w:hAnsi="Times New Roman" w:cs="Times New Roman"/>
                <w:b w:val="0"/>
                <w:i w:val="0"/>
                <w:vanish w:val="0"/>
                <w:color w:val="000000"/>
                <w:sz w:val="24"/>
              </w:rPr>
              <w:instrText xml:space="preserve"> FORMCHECKBOX </w:instrText>
            </w:r>
            <w:r>
              <w:rPr>
                <w:rFonts w:ascii="Times New Roman" w:eastAsia="Times New Roman" w:hAnsi="Times New Roman" w:cs="Times New Roman"/>
                <w:b w:val="0"/>
                <w:i w:val="0"/>
                <w:vanish w:val="0"/>
                <w:color w:val="000000"/>
                <w:sz w:val="24"/>
              </w:rPr>
              <w:fldChar w:fldCharType="end"/>
            </w:r>
            <w:r>
              <w:rPr>
                <w:rFonts w:ascii="Times New Roman" w:eastAsia="Times New Roman" w:hAnsi="Times New Roman" w:cs="Times New Roman"/>
                <w:b w:val="0"/>
                <w:i w:val="0"/>
                <w:vanish w:val="0"/>
                <w:color w:val="000000"/>
                <w:sz w:val="24"/>
              </w:rPr>
              <w:t xml:space="preserve"> </w:t>
            </w:r>
          </w:p>
        </w:tc>
        <w:tc>
          <w:tcPr>
            <w:tcW w:w="10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24"/>
              </w:rPr>
            </w:pPr>
            <w:r>
              <w:rPr>
                <w:rFonts w:ascii="Times New Roman" w:eastAsia="Times New Roman" w:hAnsi="Times New Roman" w:cs="Times New Roman"/>
                <w:b w:val="0"/>
                <w:i w:val="0"/>
                <w:vanish w:val="0"/>
                <w:color w:val="000000"/>
                <w:sz w:val="24"/>
              </w:rPr>
              <w:t>2. Čezmejno sodelovanje</w:t>
            </w:r>
          </w:p>
        </w:tc>
        <w:tc>
          <w:tcPr>
            <w:tcW w:w="10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24"/>
              </w:rPr>
            </w:pPr>
            <w:r>
              <w:rPr>
                <w:rFonts w:ascii="Times New Roman" w:eastAsia="Times New Roman" w:hAnsi="Times New Roman" w:cs="Times New Roman"/>
                <w:b w:val="0"/>
                <w:i w:val="0"/>
                <w:vanish w:val="0"/>
                <w:color w:val="000000"/>
                <w:sz w:val="24"/>
              </w:rPr>
              <w:t>Ukrepi iz Priloge IV</w:t>
            </w:r>
          </w:p>
        </w:tc>
      </w:tr>
      <w:tr>
        <w:tblPrEx>
          <w:tblW w:w="100%" w:type="pct"/>
        </w:tblPrEx>
        <w:trPr>
          <w:cantSplit w:val="0"/>
          <w:trHeight w:val="160"/>
          <w:tblHeader w:val="0"/>
        </w:trPr>
        <w:tc>
          <w:tcPr>
            <w:tcW w:w="10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center"/>
              <w:rPr>
                <w:rFonts w:ascii="Times New Roman" w:eastAsia="Times New Roman" w:hAnsi="Times New Roman" w:cs="Times New Roman"/>
                <w:b w:val="0"/>
                <w:i w:val="0"/>
                <w:vanish w:val="0"/>
                <w:color w:val="000000"/>
                <w:sz w:val="24"/>
              </w:rPr>
            </w:pPr>
            <w:r>
              <w:rPr>
                <w:rFonts w:ascii="Times New Roman" w:eastAsia="Times New Roman" w:hAnsi="Times New Roman" w:cs="Times New Roman"/>
                <w:b w:val="0"/>
                <w:i w:val="0"/>
                <w:vanish w:val="0"/>
                <w:color w:val="000000"/>
                <w:sz w:val="24"/>
              </w:rPr>
              <w:fldChar w:fldCharType="begin">
                <w:ffData>
                  <w:name w:val=""/>
                  <w:enabled/>
                  <w:calcOnExit w:val="0"/>
                  <w:checkBox>
                    <w:size w:val="20"/>
                    <w:default w:val="0"/>
                    <w:checked w:val="0"/>
                  </w:checkBox>
                </w:ffData>
              </w:fldChar>
            </w:r>
            <w:r>
              <w:rPr>
                <w:rFonts w:ascii="Times New Roman" w:eastAsia="Times New Roman" w:hAnsi="Times New Roman" w:cs="Times New Roman"/>
                <w:b w:val="0"/>
                <w:i w:val="0"/>
                <w:vanish w:val="0"/>
                <w:color w:val="000000"/>
                <w:sz w:val="24"/>
              </w:rPr>
              <w:instrText xml:space="preserve"> FORMCHECKBOX </w:instrText>
            </w:r>
            <w:r>
              <w:rPr>
                <w:rFonts w:ascii="Times New Roman" w:eastAsia="Times New Roman" w:hAnsi="Times New Roman" w:cs="Times New Roman"/>
                <w:b w:val="0"/>
                <w:i w:val="0"/>
                <w:vanish w:val="0"/>
                <w:color w:val="000000"/>
                <w:sz w:val="24"/>
              </w:rPr>
              <w:fldChar w:fldCharType="end"/>
            </w:r>
            <w:r>
              <w:rPr>
                <w:rFonts w:ascii="Times New Roman" w:eastAsia="Times New Roman" w:hAnsi="Times New Roman" w:cs="Times New Roman"/>
                <w:b w:val="0"/>
                <w:i w:val="0"/>
                <w:vanish w:val="0"/>
                <w:color w:val="000000"/>
                <w:sz w:val="24"/>
              </w:rPr>
              <w:t xml:space="preserve"> </w:t>
            </w:r>
          </w:p>
        </w:tc>
        <w:tc>
          <w:tcPr>
            <w:tcW w:w="10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24"/>
              </w:rPr>
            </w:pPr>
            <w:r>
              <w:rPr>
                <w:rFonts w:ascii="Times New Roman" w:eastAsia="Times New Roman" w:hAnsi="Times New Roman" w:cs="Times New Roman"/>
                <w:b w:val="0"/>
                <w:i w:val="0"/>
                <w:vanish w:val="0"/>
                <w:color w:val="000000"/>
                <w:sz w:val="24"/>
              </w:rPr>
              <w:t>2. Čezmejno sodelovanje</w:t>
            </w:r>
          </w:p>
        </w:tc>
        <w:tc>
          <w:tcPr>
            <w:tcW w:w="10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24"/>
              </w:rPr>
            </w:pPr>
            <w:r>
              <w:rPr>
                <w:rFonts w:ascii="Times New Roman" w:eastAsia="Times New Roman" w:hAnsi="Times New Roman" w:cs="Times New Roman"/>
                <w:b w:val="0"/>
                <w:i w:val="0"/>
                <w:vanish w:val="0"/>
                <w:color w:val="000000"/>
                <w:sz w:val="24"/>
              </w:rPr>
              <w:t>Operativna podpora</w:t>
            </w:r>
          </w:p>
        </w:tc>
      </w:tr>
      <w:tr>
        <w:tblPrEx>
          <w:tblW w:w="100%" w:type="pct"/>
        </w:tblPrEx>
        <w:trPr>
          <w:cantSplit w:val="0"/>
          <w:trHeight w:val="160"/>
          <w:tblHeader w:val="0"/>
        </w:trPr>
        <w:tc>
          <w:tcPr>
            <w:tcW w:w="10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center"/>
              <w:rPr>
                <w:rFonts w:ascii="Times New Roman" w:eastAsia="Times New Roman" w:hAnsi="Times New Roman" w:cs="Times New Roman"/>
                <w:b w:val="0"/>
                <w:i w:val="0"/>
                <w:vanish w:val="0"/>
                <w:color w:val="000000"/>
                <w:sz w:val="24"/>
              </w:rPr>
            </w:pPr>
            <w:r>
              <w:rPr>
                <w:rFonts w:ascii="Times New Roman" w:eastAsia="Times New Roman" w:hAnsi="Times New Roman" w:cs="Times New Roman"/>
                <w:b w:val="0"/>
                <w:i w:val="0"/>
                <w:vanish w:val="0"/>
                <w:color w:val="000000"/>
                <w:sz w:val="24"/>
              </w:rPr>
              <w:fldChar w:fldCharType="begin">
                <w:ffData>
                  <w:name w:val=""/>
                  <w:enabled/>
                  <w:calcOnExit w:val="0"/>
                  <w:checkBox>
                    <w:size w:val="20"/>
                    <w:default w:val="0"/>
                    <w:checked w:val="0"/>
                  </w:checkBox>
                </w:ffData>
              </w:fldChar>
            </w:r>
            <w:r>
              <w:rPr>
                <w:rFonts w:ascii="Times New Roman" w:eastAsia="Times New Roman" w:hAnsi="Times New Roman" w:cs="Times New Roman"/>
                <w:b w:val="0"/>
                <w:i w:val="0"/>
                <w:vanish w:val="0"/>
                <w:color w:val="000000"/>
                <w:sz w:val="24"/>
              </w:rPr>
              <w:instrText xml:space="preserve"> FORMCHECKBOX </w:instrText>
            </w:r>
            <w:r>
              <w:rPr>
                <w:rFonts w:ascii="Times New Roman" w:eastAsia="Times New Roman" w:hAnsi="Times New Roman" w:cs="Times New Roman"/>
                <w:b w:val="0"/>
                <w:i w:val="0"/>
                <w:vanish w:val="0"/>
                <w:color w:val="000000"/>
                <w:sz w:val="24"/>
              </w:rPr>
              <w:fldChar w:fldCharType="end"/>
            </w:r>
            <w:r>
              <w:rPr>
                <w:rFonts w:ascii="Times New Roman" w:eastAsia="Times New Roman" w:hAnsi="Times New Roman" w:cs="Times New Roman"/>
                <w:b w:val="0"/>
                <w:i w:val="0"/>
                <w:vanish w:val="0"/>
                <w:color w:val="000000"/>
                <w:sz w:val="24"/>
              </w:rPr>
              <w:t xml:space="preserve"> </w:t>
            </w:r>
          </w:p>
        </w:tc>
        <w:tc>
          <w:tcPr>
            <w:tcW w:w="10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24"/>
              </w:rPr>
            </w:pPr>
            <w:r>
              <w:rPr>
                <w:rFonts w:ascii="Times New Roman" w:eastAsia="Times New Roman" w:hAnsi="Times New Roman" w:cs="Times New Roman"/>
                <w:b w:val="0"/>
                <w:i w:val="0"/>
                <w:vanish w:val="0"/>
                <w:color w:val="000000"/>
                <w:sz w:val="24"/>
              </w:rPr>
              <w:t>2. Čezmejno sodelovanje</w:t>
            </w:r>
          </w:p>
        </w:tc>
        <w:tc>
          <w:tcPr>
            <w:tcW w:w="10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24"/>
              </w:rPr>
            </w:pPr>
            <w:r>
              <w:rPr>
                <w:rFonts w:ascii="Times New Roman" w:eastAsia="Times New Roman" w:hAnsi="Times New Roman" w:cs="Times New Roman"/>
                <w:b w:val="0"/>
                <w:i w:val="0"/>
                <w:vanish w:val="0"/>
                <w:color w:val="000000"/>
                <w:sz w:val="24"/>
              </w:rPr>
              <w:t>Nujna pomoč</w:t>
            </w:r>
          </w:p>
        </w:tc>
      </w:tr>
      <w:tr>
        <w:tblPrEx>
          <w:tblW w:w="100%" w:type="pct"/>
        </w:tblPrEx>
        <w:trPr>
          <w:cantSplit w:val="0"/>
          <w:trHeight w:val="160"/>
          <w:tblHeader w:val="0"/>
        </w:trPr>
        <w:tc>
          <w:tcPr>
            <w:tcW w:w="10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center"/>
              <w:rPr>
                <w:rFonts w:ascii="Times New Roman" w:eastAsia="Times New Roman" w:hAnsi="Times New Roman" w:cs="Times New Roman"/>
                <w:b w:val="0"/>
                <w:i w:val="0"/>
                <w:vanish w:val="0"/>
                <w:color w:val="000000"/>
                <w:sz w:val="24"/>
              </w:rPr>
            </w:pPr>
            <w:r>
              <w:rPr>
                <w:rFonts w:ascii="Times New Roman" w:eastAsia="Times New Roman" w:hAnsi="Times New Roman" w:cs="Times New Roman"/>
                <w:b w:val="0"/>
                <w:i w:val="0"/>
                <w:vanish w:val="0"/>
                <w:color w:val="000000"/>
                <w:sz w:val="24"/>
              </w:rPr>
              <w:fldChar w:fldCharType="begin">
                <w:ffData>
                  <w:name w:val=""/>
                  <w:enabled/>
                  <w:calcOnExit w:val="0"/>
                  <w:checkBox>
                    <w:size w:val="20"/>
                    <w:default w:val="1"/>
                    <w:checked w:val="1"/>
                  </w:checkBox>
                </w:ffData>
              </w:fldChar>
            </w:r>
            <w:r>
              <w:rPr>
                <w:rFonts w:ascii="Times New Roman" w:eastAsia="Times New Roman" w:hAnsi="Times New Roman" w:cs="Times New Roman"/>
                <w:b w:val="0"/>
                <w:i w:val="0"/>
                <w:vanish w:val="0"/>
                <w:color w:val="000000"/>
                <w:sz w:val="24"/>
              </w:rPr>
              <w:instrText xml:space="preserve"> FORMCHECKBOX </w:instrText>
            </w:r>
            <w:r>
              <w:rPr>
                <w:rFonts w:ascii="Times New Roman" w:eastAsia="Times New Roman" w:hAnsi="Times New Roman" w:cs="Times New Roman"/>
                <w:b w:val="0"/>
                <w:i w:val="0"/>
                <w:vanish w:val="0"/>
                <w:color w:val="000000"/>
                <w:sz w:val="24"/>
              </w:rPr>
              <w:fldChar w:fldCharType="end"/>
            </w:r>
            <w:r>
              <w:rPr>
                <w:rFonts w:ascii="Times New Roman" w:eastAsia="Times New Roman" w:hAnsi="Times New Roman" w:cs="Times New Roman"/>
                <w:b w:val="0"/>
                <w:i w:val="0"/>
                <w:vanish w:val="0"/>
                <w:color w:val="000000"/>
                <w:sz w:val="24"/>
              </w:rPr>
              <w:t xml:space="preserve"> </w:t>
            </w:r>
          </w:p>
        </w:tc>
        <w:tc>
          <w:tcPr>
            <w:tcW w:w="10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24"/>
              </w:rPr>
            </w:pPr>
            <w:r>
              <w:rPr>
                <w:rFonts w:ascii="Times New Roman" w:eastAsia="Times New Roman" w:hAnsi="Times New Roman" w:cs="Times New Roman"/>
                <w:b w:val="0"/>
                <w:i w:val="0"/>
                <w:vanish w:val="0"/>
                <w:color w:val="000000"/>
                <w:sz w:val="24"/>
              </w:rPr>
              <w:t>3. Preprečevanje kriminala in boj proti njemu</w:t>
            </w:r>
          </w:p>
        </w:tc>
        <w:tc>
          <w:tcPr>
            <w:tcW w:w="10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24"/>
              </w:rPr>
            </w:pPr>
            <w:r>
              <w:rPr>
                <w:rFonts w:ascii="Times New Roman" w:eastAsia="Times New Roman" w:hAnsi="Times New Roman" w:cs="Times New Roman"/>
                <w:b w:val="0"/>
                <w:i w:val="0"/>
                <w:vanish w:val="0"/>
                <w:color w:val="000000"/>
                <w:sz w:val="24"/>
              </w:rPr>
              <w:t>Redni ukrepi</w:t>
            </w:r>
          </w:p>
        </w:tc>
      </w:tr>
      <w:tr>
        <w:tblPrEx>
          <w:tblW w:w="100%" w:type="pct"/>
        </w:tblPrEx>
        <w:trPr>
          <w:cantSplit w:val="0"/>
          <w:trHeight w:val="160"/>
          <w:tblHeader w:val="0"/>
        </w:trPr>
        <w:tc>
          <w:tcPr>
            <w:tcW w:w="10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center"/>
              <w:rPr>
                <w:rFonts w:ascii="Times New Roman" w:eastAsia="Times New Roman" w:hAnsi="Times New Roman" w:cs="Times New Roman"/>
                <w:b w:val="0"/>
                <w:i w:val="0"/>
                <w:vanish w:val="0"/>
                <w:color w:val="000000"/>
                <w:sz w:val="24"/>
              </w:rPr>
            </w:pPr>
            <w:r>
              <w:rPr>
                <w:rFonts w:ascii="Times New Roman" w:eastAsia="Times New Roman" w:hAnsi="Times New Roman" w:cs="Times New Roman"/>
                <w:b w:val="0"/>
                <w:i w:val="0"/>
                <w:vanish w:val="0"/>
                <w:color w:val="000000"/>
                <w:sz w:val="24"/>
              </w:rPr>
              <w:fldChar w:fldCharType="begin">
                <w:ffData>
                  <w:name w:val=""/>
                  <w:enabled/>
                  <w:calcOnExit w:val="0"/>
                  <w:checkBox>
                    <w:size w:val="20"/>
                    <w:default w:val="0"/>
                    <w:checked w:val="0"/>
                  </w:checkBox>
                </w:ffData>
              </w:fldChar>
            </w:r>
            <w:r>
              <w:rPr>
                <w:rFonts w:ascii="Times New Roman" w:eastAsia="Times New Roman" w:hAnsi="Times New Roman" w:cs="Times New Roman"/>
                <w:b w:val="0"/>
                <w:i w:val="0"/>
                <w:vanish w:val="0"/>
                <w:color w:val="000000"/>
                <w:sz w:val="24"/>
              </w:rPr>
              <w:instrText xml:space="preserve"> FORMCHECKBOX </w:instrText>
            </w:r>
            <w:r>
              <w:rPr>
                <w:rFonts w:ascii="Times New Roman" w:eastAsia="Times New Roman" w:hAnsi="Times New Roman" w:cs="Times New Roman"/>
                <w:b w:val="0"/>
                <w:i w:val="0"/>
                <w:vanish w:val="0"/>
                <w:color w:val="000000"/>
                <w:sz w:val="24"/>
              </w:rPr>
              <w:fldChar w:fldCharType="end"/>
            </w:r>
            <w:r>
              <w:rPr>
                <w:rFonts w:ascii="Times New Roman" w:eastAsia="Times New Roman" w:hAnsi="Times New Roman" w:cs="Times New Roman"/>
                <w:b w:val="0"/>
                <w:i w:val="0"/>
                <w:vanish w:val="0"/>
                <w:color w:val="000000"/>
                <w:sz w:val="24"/>
              </w:rPr>
              <w:t xml:space="preserve"> </w:t>
            </w:r>
          </w:p>
        </w:tc>
        <w:tc>
          <w:tcPr>
            <w:tcW w:w="10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24"/>
              </w:rPr>
            </w:pPr>
            <w:r>
              <w:rPr>
                <w:rFonts w:ascii="Times New Roman" w:eastAsia="Times New Roman" w:hAnsi="Times New Roman" w:cs="Times New Roman"/>
                <w:b w:val="0"/>
                <w:i w:val="0"/>
                <w:vanish w:val="0"/>
                <w:color w:val="000000"/>
                <w:sz w:val="24"/>
              </w:rPr>
              <w:t>3. Preprečevanje kriminala in boj proti njemu</w:t>
            </w:r>
          </w:p>
        </w:tc>
        <w:tc>
          <w:tcPr>
            <w:tcW w:w="10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24"/>
              </w:rPr>
            </w:pPr>
            <w:r>
              <w:rPr>
                <w:rFonts w:ascii="Times New Roman" w:eastAsia="Times New Roman" w:hAnsi="Times New Roman" w:cs="Times New Roman"/>
                <w:b w:val="0"/>
                <w:i w:val="0"/>
                <w:vanish w:val="0"/>
                <w:color w:val="000000"/>
                <w:sz w:val="24"/>
              </w:rPr>
              <w:t>Posebni ukrepi</w:t>
            </w:r>
          </w:p>
        </w:tc>
      </w:tr>
      <w:tr>
        <w:tblPrEx>
          <w:tblW w:w="100%" w:type="pct"/>
        </w:tblPrEx>
        <w:trPr>
          <w:cantSplit w:val="0"/>
          <w:trHeight w:val="160"/>
          <w:tblHeader w:val="0"/>
        </w:trPr>
        <w:tc>
          <w:tcPr>
            <w:tcW w:w="10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center"/>
              <w:rPr>
                <w:rFonts w:ascii="Times New Roman" w:eastAsia="Times New Roman" w:hAnsi="Times New Roman" w:cs="Times New Roman"/>
                <w:b w:val="0"/>
                <w:i w:val="0"/>
                <w:vanish w:val="0"/>
                <w:color w:val="000000"/>
                <w:sz w:val="24"/>
              </w:rPr>
            </w:pPr>
            <w:r>
              <w:rPr>
                <w:rFonts w:ascii="Times New Roman" w:eastAsia="Times New Roman" w:hAnsi="Times New Roman" w:cs="Times New Roman"/>
                <w:b w:val="0"/>
                <w:i w:val="0"/>
                <w:vanish w:val="0"/>
                <w:color w:val="000000"/>
                <w:sz w:val="24"/>
              </w:rPr>
              <w:fldChar w:fldCharType="begin">
                <w:ffData>
                  <w:name w:val=""/>
                  <w:enabled/>
                  <w:calcOnExit w:val="0"/>
                  <w:checkBox>
                    <w:size w:val="20"/>
                    <w:default w:val="1"/>
                    <w:checked w:val="1"/>
                  </w:checkBox>
                </w:ffData>
              </w:fldChar>
            </w:r>
            <w:r>
              <w:rPr>
                <w:rFonts w:ascii="Times New Roman" w:eastAsia="Times New Roman" w:hAnsi="Times New Roman" w:cs="Times New Roman"/>
                <w:b w:val="0"/>
                <w:i w:val="0"/>
                <w:vanish w:val="0"/>
                <w:color w:val="000000"/>
                <w:sz w:val="24"/>
              </w:rPr>
              <w:instrText xml:space="preserve"> FORMCHECKBOX </w:instrText>
            </w:r>
            <w:r>
              <w:rPr>
                <w:rFonts w:ascii="Times New Roman" w:eastAsia="Times New Roman" w:hAnsi="Times New Roman" w:cs="Times New Roman"/>
                <w:b w:val="0"/>
                <w:i w:val="0"/>
                <w:vanish w:val="0"/>
                <w:color w:val="000000"/>
                <w:sz w:val="24"/>
              </w:rPr>
              <w:fldChar w:fldCharType="end"/>
            </w:r>
            <w:r>
              <w:rPr>
                <w:rFonts w:ascii="Times New Roman" w:eastAsia="Times New Roman" w:hAnsi="Times New Roman" w:cs="Times New Roman"/>
                <w:b w:val="0"/>
                <w:i w:val="0"/>
                <w:vanish w:val="0"/>
                <w:color w:val="000000"/>
                <w:sz w:val="24"/>
              </w:rPr>
              <w:t xml:space="preserve"> </w:t>
            </w:r>
          </w:p>
        </w:tc>
        <w:tc>
          <w:tcPr>
            <w:tcW w:w="10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24"/>
              </w:rPr>
            </w:pPr>
            <w:r>
              <w:rPr>
                <w:rFonts w:ascii="Times New Roman" w:eastAsia="Times New Roman" w:hAnsi="Times New Roman" w:cs="Times New Roman"/>
                <w:b w:val="0"/>
                <w:i w:val="0"/>
                <w:vanish w:val="0"/>
                <w:color w:val="000000"/>
                <w:sz w:val="24"/>
              </w:rPr>
              <w:t>3. Preprečevanje kriminala in boj proti njemu</w:t>
            </w:r>
          </w:p>
        </w:tc>
        <w:tc>
          <w:tcPr>
            <w:tcW w:w="10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24"/>
              </w:rPr>
            </w:pPr>
            <w:r>
              <w:rPr>
                <w:rFonts w:ascii="Times New Roman" w:eastAsia="Times New Roman" w:hAnsi="Times New Roman" w:cs="Times New Roman"/>
                <w:b w:val="0"/>
                <w:i w:val="0"/>
                <w:vanish w:val="0"/>
                <w:color w:val="000000"/>
                <w:sz w:val="24"/>
              </w:rPr>
              <w:t>Ukrepi iz Priloge IV</w:t>
            </w:r>
          </w:p>
        </w:tc>
      </w:tr>
      <w:tr>
        <w:tblPrEx>
          <w:tblW w:w="100%" w:type="pct"/>
        </w:tblPrEx>
        <w:trPr>
          <w:cantSplit w:val="0"/>
          <w:trHeight w:val="160"/>
          <w:tblHeader w:val="0"/>
        </w:trPr>
        <w:tc>
          <w:tcPr>
            <w:tcW w:w="10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center"/>
              <w:rPr>
                <w:rFonts w:ascii="Times New Roman" w:eastAsia="Times New Roman" w:hAnsi="Times New Roman" w:cs="Times New Roman"/>
                <w:b w:val="0"/>
                <w:i w:val="0"/>
                <w:vanish w:val="0"/>
                <w:color w:val="000000"/>
                <w:sz w:val="24"/>
              </w:rPr>
            </w:pPr>
            <w:r>
              <w:rPr>
                <w:rFonts w:ascii="Times New Roman" w:eastAsia="Times New Roman" w:hAnsi="Times New Roman" w:cs="Times New Roman"/>
                <w:b w:val="0"/>
                <w:i w:val="0"/>
                <w:vanish w:val="0"/>
                <w:color w:val="000000"/>
                <w:sz w:val="24"/>
              </w:rPr>
              <w:fldChar w:fldCharType="begin">
                <w:ffData>
                  <w:name w:val=""/>
                  <w:enabled/>
                  <w:calcOnExit w:val="0"/>
                  <w:checkBox>
                    <w:size w:val="20"/>
                    <w:default w:val="0"/>
                    <w:checked w:val="0"/>
                  </w:checkBox>
                </w:ffData>
              </w:fldChar>
            </w:r>
            <w:r>
              <w:rPr>
                <w:rFonts w:ascii="Times New Roman" w:eastAsia="Times New Roman" w:hAnsi="Times New Roman" w:cs="Times New Roman"/>
                <w:b w:val="0"/>
                <w:i w:val="0"/>
                <w:vanish w:val="0"/>
                <w:color w:val="000000"/>
                <w:sz w:val="24"/>
              </w:rPr>
              <w:instrText xml:space="preserve"> FORMCHECKBOX </w:instrText>
            </w:r>
            <w:r>
              <w:rPr>
                <w:rFonts w:ascii="Times New Roman" w:eastAsia="Times New Roman" w:hAnsi="Times New Roman" w:cs="Times New Roman"/>
                <w:b w:val="0"/>
                <w:i w:val="0"/>
                <w:vanish w:val="0"/>
                <w:color w:val="000000"/>
                <w:sz w:val="24"/>
              </w:rPr>
              <w:fldChar w:fldCharType="end"/>
            </w:r>
            <w:r>
              <w:rPr>
                <w:rFonts w:ascii="Times New Roman" w:eastAsia="Times New Roman" w:hAnsi="Times New Roman" w:cs="Times New Roman"/>
                <w:b w:val="0"/>
                <w:i w:val="0"/>
                <w:vanish w:val="0"/>
                <w:color w:val="000000"/>
                <w:sz w:val="24"/>
              </w:rPr>
              <w:t xml:space="preserve"> </w:t>
            </w:r>
          </w:p>
        </w:tc>
        <w:tc>
          <w:tcPr>
            <w:tcW w:w="10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24"/>
              </w:rPr>
            </w:pPr>
            <w:r>
              <w:rPr>
                <w:rFonts w:ascii="Times New Roman" w:eastAsia="Times New Roman" w:hAnsi="Times New Roman" w:cs="Times New Roman"/>
                <w:b w:val="0"/>
                <w:i w:val="0"/>
                <w:vanish w:val="0"/>
                <w:color w:val="000000"/>
                <w:sz w:val="24"/>
              </w:rPr>
              <w:t>3. Preprečevanje kriminala in boj proti njemu</w:t>
            </w:r>
          </w:p>
        </w:tc>
        <w:tc>
          <w:tcPr>
            <w:tcW w:w="10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24"/>
              </w:rPr>
            </w:pPr>
            <w:r>
              <w:rPr>
                <w:rFonts w:ascii="Times New Roman" w:eastAsia="Times New Roman" w:hAnsi="Times New Roman" w:cs="Times New Roman"/>
                <w:b w:val="0"/>
                <w:i w:val="0"/>
                <w:vanish w:val="0"/>
                <w:color w:val="000000"/>
                <w:sz w:val="24"/>
              </w:rPr>
              <w:t>Operativna podpora</w:t>
            </w:r>
          </w:p>
        </w:tc>
      </w:tr>
      <w:tr>
        <w:tblPrEx>
          <w:tblW w:w="100%" w:type="pct"/>
        </w:tblPrEx>
        <w:trPr>
          <w:cantSplit w:val="0"/>
          <w:trHeight w:val="160"/>
          <w:tblHeader w:val="0"/>
        </w:trPr>
        <w:tc>
          <w:tcPr>
            <w:tcW w:w="10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center"/>
              <w:rPr>
                <w:rFonts w:ascii="Times New Roman" w:eastAsia="Times New Roman" w:hAnsi="Times New Roman" w:cs="Times New Roman"/>
                <w:b w:val="0"/>
                <w:i w:val="0"/>
                <w:vanish w:val="0"/>
                <w:color w:val="000000"/>
                <w:sz w:val="24"/>
              </w:rPr>
            </w:pPr>
            <w:r>
              <w:rPr>
                <w:rFonts w:ascii="Times New Roman" w:eastAsia="Times New Roman" w:hAnsi="Times New Roman" w:cs="Times New Roman"/>
                <w:b w:val="0"/>
                <w:i w:val="0"/>
                <w:vanish w:val="0"/>
                <w:color w:val="000000"/>
                <w:sz w:val="24"/>
              </w:rPr>
              <w:fldChar w:fldCharType="begin">
                <w:ffData>
                  <w:name w:val=""/>
                  <w:enabled/>
                  <w:calcOnExit w:val="0"/>
                  <w:checkBox>
                    <w:size w:val="20"/>
                    <w:default w:val="0"/>
                    <w:checked w:val="0"/>
                  </w:checkBox>
                </w:ffData>
              </w:fldChar>
            </w:r>
            <w:r>
              <w:rPr>
                <w:rFonts w:ascii="Times New Roman" w:eastAsia="Times New Roman" w:hAnsi="Times New Roman" w:cs="Times New Roman"/>
                <w:b w:val="0"/>
                <w:i w:val="0"/>
                <w:vanish w:val="0"/>
                <w:color w:val="000000"/>
                <w:sz w:val="24"/>
              </w:rPr>
              <w:instrText xml:space="preserve"> FORMCHECKBOX </w:instrText>
            </w:r>
            <w:r>
              <w:rPr>
                <w:rFonts w:ascii="Times New Roman" w:eastAsia="Times New Roman" w:hAnsi="Times New Roman" w:cs="Times New Roman"/>
                <w:b w:val="0"/>
                <w:i w:val="0"/>
                <w:vanish w:val="0"/>
                <w:color w:val="000000"/>
                <w:sz w:val="24"/>
              </w:rPr>
              <w:fldChar w:fldCharType="end"/>
            </w:r>
            <w:r>
              <w:rPr>
                <w:rFonts w:ascii="Times New Roman" w:eastAsia="Times New Roman" w:hAnsi="Times New Roman" w:cs="Times New Roman"/>
                <w:b w:val="0"/>
                <w:i w:val="0"/>
                <w:vanish w:val="0"/>
                <w:color w:val="000000"/>
                <w:sz w:val="24"/>
              </w:rPr>
              <w:t xml:space="preserve"> </w:t>
            </w:r>
          </w:p>
        </w:tc>
        <w:tc>
          <w:tcPr>
            <w:tcW w:w="10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24"/>
              </w:rPr>
            </w:pPr>
            <w:r>
              <w:rPr>
                <w:rFonts w:ascii="Times New Roman" w:eastAsia="Times New Roman" w:hAnsi="Times New Roman" w:cs="Times New Roman"/>
                <w:b w:val="0"/>
                <w:i w:val="0"/>
                <w:vanish w:val="0"/>
                <w:color w:val="000000"/>
                <w:sz w:val="24"/>
              </w:rPr>
              <w:t>3. Preprečevanje kriminala in boj proti njemu</w:t>
            </w:r>
          </w:p>
        </w:tc>
        <w:tc>
          <w:tcPr>
            <w:tcW w:w="10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24"/>
              </w:rPr>
            </w:pPr>
            <w:r>
              <w:rPr>
                <w:rFonts w:ascii="Times New Roman" w:eastAsia="Times New Roman" w:hAnsi="Times New Roman" w:cs="Times New Roman"/>
                <w:b w:val="0"/>
                <w:i w:val="0"/>
                <w:vanish w:val="0"/>
                <w:color w:val="000000"/>
                <w:sz w:val="24"/>
              </w:rPr>
              <w:t>Nujna pomoč</w:t>
            </w:r>
          </w:p>
        </w:tc>
      </w:tr>
      <w:tr>
        <w:tblPrEx>
          <w:tblW w:w="100%" w:type="pct"/>
        </w:tblPrEx>
        <w:trPr>
          <w:cantSplit w:val="0"/>
          <w:trHeight w:val="160"/>
          <w:tblHeader w:val="0"/>
        </w:trPr>
        <w:tc>
          <w:tcPr>
            <w:tcW w:w="10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center"/>
              <w:rPr>
                <w:rFonts w:ascii="Times New Roman" w:eastAsia="Times New Roman" w:hAnsi="Times New Roman" w:cs="Times New Roman"/>
                <w:b w:val="0"/>
                <w:i w:val="0"/>
                <w:vanish w:val="0"/>
                <w:color w:val="000000"/>
                <w:sz w:val="24"/>
              </w:rPr>
            </w:pPr>
            <w:r>
              <w:rPr>
                <w:rFonts w:ascii="Times New Roman" w:eastAsia="Times New Roman" w:hAnsi="Times New Roman" w:cs="Times New Roman"/>
                <w:b w:val="0"/>
                <w:i w:val="0"/>
                <w:vanish w:val="0"/>
                <w:color w:val="000000"/>
                <w:sz w:val="24"/>
              </w:rPr>
              <w:fldChar w:fldCharType="begin">
                <w:ffData>
                  <w:name w:val=""/>
                  <w:enabled/>
                  <w:calcOnExit w:val="0"/>
                  <w:checkBox>
                    <w:size w:val="20"/>
                    <w:default w:val="1"/>
                    <w:checked w:val="1"/>
                  </w:checkBox>
                </w:ffData>
              </w:fldChar>
            </w:r>
            <w:r>
              <w:rPr>
                <w:rFonts w:ascii="Times New Roman" w:eastAsia="Times New Roman" w:hAnsi="Times New Roman" w:cs="Times New Roman"/>
                <w:b w:val="0"/>
                <w:i w:val="0"/>
                <w:vanish w:val="0"/>
                <w:color w:val="000000"/>
                <w:sz w:val="24"/>
              </w:rPr>
              <w:instrText xml:space="preserve"> FORMCHECKBOX </w:instrText>
            </w:r>
            <w:r>
              <w:rPr>
                <w:rFonts w:ascii="Times New Roman" w:eastAsia="Times New Roman" w:hAnsi="Times New Roman" w:cs="Times New Roman"/>
                <w:b w:val="0"/>
                <w:i w:val="0"/>
                <w:vanish w:val="0"/>
                <w:color w:val="000000"/>
                <w:sz w:val="24"/>
              </w:rPr>
              <w:fldChar w:fldCharType="end"/>
            </w:r>
            <w:r>
              <w:rPr>
                <w:rFonts w:ascii="Times New Roman" w:eastAsia="Times New Roman" w:hAnsi="Times New Roman" w:cs="Times New Roman"/>
                <w:b w:val="0"/>
                <w:i w:val="0"/>
                <w:vanish w:val="0"/>
                <w:color w:val="000000"/>
                <w:sz w:val="24"/>
              </w:rPr>
              <w:t xml:space="preserve"> </w:t>
            </w:r>
          </w:p>
        </w:tc>
        <w:tc>
          <w:tcPr>
            <w:tcW w:w="10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24"/>
              </w:rPr>
            </w:pPr>
            <w:r>
              <w:rPr>
                <w:rFonts w:ascii="Times New Roman" w:eastAsia="Times New Roman" w:hAnsi="Times New Roman" w:cs="Times New Roman"/>
                <w:b w:val="0"/>
                <w:i w:val="0"/>
                <w:vanish w:val="0"/>
                <w:color w:val="000000"/>
                <w:sz w:val="24"/>
              </w:rPr>
              <w:t>TA.36(5). Tehnična pomoč – pavšalna stopnja (člen 36(5) uredbe o skupnih določbah)</w:t>
            </w:r>
          </w:p>
        </w:tc>
        <w:tc>
          <w:tcPr>
            <w:tcW w:w="10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24"/>
              </w:rPr>
            </w:pPr>
          </w:p>
        </w:tc>
      </w:tr>
      <w:tr>
        <w:tblPrEx>
          <w:tblW w:w="100%" w:type="pct"/>
        </w:tblPrEx>
        <w:trPr>
          <w:cantSplit w:val="0"/>
          <w:trHeight w:val="160"/>
          <w:tblHeader w:val="0"/>
        </w:trPr>
        <w:tc>
          <w:tcPr>
            <w:tcW w:w="10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center"/>
              <w:rPr>
                <w:rFonts w:ascii="Times New Roman" w:eastAsia="Times New Roman" w:hAnsi="Times New Roman" w:cs="Times New Roman"/>
                <w:b w:val="0"/>
                <w:i w:val="0"/>
                <w:vanish w:val="0"/>
                <w:color w:val="000000"/>
                <w:sz w:val="24"/>
              </w:rPr>
            </w:pPr>
            <w:r>
              <w:rPr>
                <w:rFonts w:ascii="Times New Roman" w:eastAsia="Times New Roman" w:hAnsi="Times New Roman" w:cs="Times New Roman"/>
                <w:b w:val="0"/>
                <w:i w:val="0"/>
                <w:vanish w:val="0"/>
                <w:color w:val="000000"/>
                <w:sz w:val="24"/>
              </w:rPr>
              <w:fldChar w:fldCharType="begin">
                <w:ffData>
                  <w:name w:val=""/>
                  <w:enabled/>
                  <w:calcOnExit w:val="0"/>
                  <w:checkBox>
                    <w:size w:val="20"/>
                    <w:default w:val="0"/>
                    <w:checked w:val="0"/>
                  </w:checkBox>
                </w:ffData>
              </w:fldChar>
            </w:r>
            <w:r>
              <w:rPr>
                <w:rFonts w:ascii="Times New Roman" w:eastAsia="Times New Roman" w:hAnsi="Times New Roman" w:cs="Times New Roman"/>
                <w:b w:val="0"/>
                <w:i w:val="0"/>
                <w:vanish w:val="0"/>
                <w:color w:val="000000"/>
                <w:sz w:val="24"/>
              </w:rPr>
              <w:instrText xml:space="preserve"> FORMCHECKBOX </w:instrText>
            </w:r>
            <w:r>
              <w:rPr>
                <w:rFonts w:ascii="Times New Roman" w:eastAsia="Times New Roman" w:hAnsi="Times New Roman" w:cs="Times New Roman"/>
                <w:b w:val="0"/>
                <w:i w:val="0"/>
                <w:vanish w:val="0"/>
                <w:color w:val="000000"/>
                <w:sz w:val="24"/>
              </w:rPr>
              <w:fldChar w:fldCharType="end"/>
            </w:r>
            <w:r>
              <w:rPr>
                <w:rFonts w:ascii="Times New Roman" w:eastAsia="Times New Roman" w:hAnsi="Times New Roman" w:cs="Times New Roman"/>
                <w:b w:val="0"/>
                <w:i w:val="0"/>
                <w:vanish w:val="0"/>
                <w:color w:val="000000"/>
                <w:sz w:val="24"/>
              </w:rPr>
              <w:t xml:space="preserve"> </w:t>
            </w:r>
          </w:p>
        </w:tc>
        <w:tc>
          <w:tcPr>
            <w:tcW w:w="10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24"/>
              </w:rPr>
            </w:pPr>
            <w:r>
              <w:rPr>
                <w:rFonts w:ascii="Times New Roman" w:eastAsia="Times New Roman" w:hAnsi="Times New Roman" w:cs="Times New Roman"/>
                <w:b w:val="0"/>
                <w:i w:val="0"/>
                <w:vanish w:val="0"/>
                <w:color w:val="000000"/>
                <w:sz w:val="24"/>
              </w:rPr>
              <w:t>TA.37. Tehnična pomoč – brez povezanih stroškov (člen 37 uredbe o skupnih določbah)</w:t>
            </w:r>
          </w:p>
        </w:tc>
        <w:tc>
          <w:tcPr>
            <w:tcW w:w="10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24"/>
              </w:rPr>
            </w:pPr>
          </w:p>
        </w:tc>
      </w:tr>
    </w:tbl>
    <w:p w:rsidR="00A77B3E">
      <w:pPr>
        <w:spacing w:before="100" w:after="0"/>
        <w:jc w:val="center"/>
        <w:rPr>
          <w:rFonts w:ascii="Times New Roman" w:eastAsia="Times New Roman" w:hAnsi="Times New Roman" w:cs="Times New Roman"/>
          <w:b w:val="0"/>
          <w:i w:val="0"/>
          <w:vanish w:val="0"/>
          <w:color w:val="000000"/>
          <w:sz w:val="24"/>
        </w:rPr>
        <w:sectPr>
          <w:headerReference w:type="even" r:id="rId10"/>
          <w:headerReference w:type="default" r:id="rId11"/>
          <w:footerReference w:type="even" r:id="rId12"/>
          <w:footerReference w:type="default" r:id="rId13"/>
          <w:headerReference w:type="first" r:id="rId14"/>
          <w:footerReference w:type="first" r:id="rId15"/>
          <w:type w:val="nextPage"/>
          <w:pgSz w:w="11906" w:h="16838"/>
          <w:pgMar w:top="720" w:right="936" w:bottom="864" w:left="720" w:header="0" w:footer="72" w:gutter="0"/>
          <w:cols w:space="720"/>
          <w:noEndnote/>
          <w:docGrid w:linePitch="360"/>
        </w:sectPr>
      </w:pPr>
    </w:p>
    <w:p w:rsidR="00A77B3E">
      <w:pPr>
        <w:pStyle w:val="Heading2"/>
        <w:spacing w:before="100" w:after="0"/>
        <w:jc w:val="start"/>
        <w:rPr>
          <w:rFonts w:ascii="TimesNewRoman" w:eastAsia="TimesNewRoman" w:hAnsi="TimesNewRoman" w:cs="TimesNewRoman"/>
          <w:b w:val="0"/>
          <w:i w:val="0"/>
          <w:vanish w:val="0"/>
          <w:color w:val="000000"/>
          <w:sz w:val="24"/>
        </w:rPr>
      </w:pPr>
      <w:bookmarkStart w:id="2" w:name="_Toc256000057"/>
      <w:r>
        <w:rPr>
          <w:rFonts w:ascii="TimesNewRoman" w:eastAsia="TimesNewRoman" w:hAnsi="TimesNewRoman" w:cs="TimesNewRoman"/>
          <w:b w:val="0"/>
          <w:i w:val="0"/>
          <w:vanish w:val="0"/>
          <w:color w:val="000000"/>
          <w:sz w:val="24"/>
        </w:rPr>
        <w:t>2.1. Specifični cilj: 1. Izmenjava informacij</w:t>
      </w:r>
      <w:bookmarkEnd w:id="2"/>
    </w:p>
    <w:p w:rsidR="00A77B3E">
      <w:pPr>
        <w:spacing w:before="100" w:after="0"/>
        <w:jc w:val="start"/>
        <w:rPr>
          <w:rFonts w:ascii="TimesNewRoman" w:eastAsia="TimesNewRoman" w:hAnsi="TimesNewRoman" w:cs="TimesNewRoman"/>
          <w:b w:val="0"/>
          <w:i w:val="0"/>
          <w:vanish w:val="0"/>
          <w:color w:val="000000"/>
          <w:sz w:val="0"/>
        </w:rPr>
      </w:pPr>
    </w:p>
    <w:p w:rsidR="00A77B3E">
      <w:pPr>
        <w:pStyle w:val="Heading3"/>
        <w:spacing w:before="100" w:after="0"/>
        <w:jc w:val="start"/>
        <w:rPr>
          <w:rFonts w:ascii="TimesNewRoman" w:eastAsia="TimesNewRoman" w:hAnsi="TimesNewRoman" w:cs="TimesNewRoman"/>
          <w:b w:val="0"/>
          <w:i w:val="0"/>
          <w:vanish w:val="0"/>
          <w:color w:val="000000"/>
          <w:sz w:val="24"/>
        </w:rPr>
      </w:pPr>
      <w:bookmarkStart w:id="3" w:name="_Toc256000058"/>
      <w:r>
        <w:rPr>
          <w:rFonts w:ascii="TimesNewRoman" w:eastAsia="TimesNewRoman" w:hAnsi="TimesNewRoman" w:cs="TimesNewRoman"/>
          <w:b w:val="0"/>
          <w:i w:val="0"/>
          <w:vanish w:val="0"/>
          <w:color w:val="000000"/>
          <w:sz w:val="24"/>
        </w:rPr>
        <w:t>2.1.1. Opis specifičnega cilja</w:t>
      </w:r>
      <w:bookmarkEnd w:id="3"/>
    </w:p>
    <w:p w:rsidR="00A77B3E">
      <w:pPr>
        <w:spacing w:before="100" w:after="0"/>
        <w:jc w:val="start"/>
        <w:rPr>
          <w:rFonts w:ascii="TimesNewRoman" w:eastAsia="TimesNewRoman" w:hAnsi="TimesNewRoman" w:cs="TimesNewRoman"/>
          <w:b w:val="0"/>
          <w:i w:val="0"/>
          <w:vanish w:val="0"/>
          <w:color w:val="000000"/>
          <w:sz w:val="0"/>
        </w:rPr>
      </w:pPr>
    </w:p>
    <w:tbl>
      <w:tblPr>
        <w:tblW w:w="100%" w:type="pct"/>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Layout w:type="fixed"/>
        <w:tblCellMar>
          <w:start w:w="5.4pt" w:type="dxa"/>
          <w:end w:w="5.4pt" w:type="dxa"/>
        </w:tblCellMar>
      </w:tblPr>
      <w:tblGrid>
        <w:gridCol w:w="10240"/>
      </w:tblGrid>
      <w:tr>
        <w:tblPrEx>
          <w:tblW w:w="100%" w:type="pct"/>
          <w:tblLayout w:type="fixed"/>
        </w:tblPrEx>
        <w:trPr>
          <w:cantSplit w:val="0"/>
          <w:trHeight w:val="160"/>
          <w:tblHeader w:val="0"/>
        </w:trPr>
        <w:tc>
          <w:tcPr>
            <w:tcW w:w="100%" w:type="pct"/>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NewRoman" w:eastAsia="TimesNewRoman" w:hAnsi="TimesNewRoman" w:cs="TimesNewRoman"/>
                <w:b w:val="0"/>
                <w:i w:val="0"/>
                <w:vanish w:val="0"/>
                <w:color w:val="000000"/>
                <w:sz w:val="0"/>
              </w:rPr>
            </w:pPr>
          </w:p>
          <w:p w:rsidR="00A77B3E">
            <w:pPr>
              <w:spacing w:before="100" w:after="0"/>
              <w:jc w:val="start"/>
              <w:rPr>
                <w:rFonts w:ascii="TimesNewRoman" w:eastAsia="TimesNewRoman" w:hAnsi="TimesNewRoman" w:cs="TimesNewRoman"/>
                <w:b w:val="0"/>
                <w:i w:val="0"/>
                <w:vanish w:val="0"/>
                <w:color w:val="000000"/>
                <w:sz w:val="24"/>
              </w:rPr>
            </w:pPr>
          </w:p>
          <w:p w:rsidR="00A77B3E">
            <w:pPr>
              <w:spacing w:before="100" w:after="0"/>
              <w:jc w:val="start"/>
              <w:rPr>
                <w:rFonts w:ascii="TimesNewRoman" w:eastAsia="TimesNewRoman" w:hAnsi="TimesNewRoman" w:cs="TimesNewRoman"/>
                <w:b w:val="0"/>
                <w:i w:val="0"/>
                <w:vanish w:val="0"/>
                <w:color w:val="000000"/>
                <w:sz w:val="24"/>
              </w:rPr>
            </w:pPr>
            <w:r>
              <w:rPr>
                <w:rFonts w:ascii="TimesNewRoman" w:eastAsia="TimesNewRoman" w:hAnsi="TimesNewRoman" w:cs="TimesNewRoman"/>
                <w:b w:val="0"/>
                <w:i w:val="0"/>
                <w:vanish w:val="0"/>
                <w:color w:val="000000"/>
                <w:sz w:val="24"/>
              </w:rPr>
              <w:t>Ukrepi Slovenije (SI) bodo v okviru SO1 še naprej osredotočeni na zagotavljanje boljše izmenjave informacij.</w:t>
            </w:r>
          </w:p>
          <w:p w:rsidR="00A77B3E">
            <w:pPr>
              <w:spacing w:before="100" w:after="0"/>
              <w:jc w:val="start"/>
              <w:rPr>
                <w:rFonts w:ascii="TimesNewRoman" w:eastAsia="TimesNewRoman" w:hAnsi="TimesNewRoman" w:cs="TimesNewRoman"/>
                <w:b w:val="0"/>
                <w:i w:val="0"/>
                <w:vanish w:val="0"/>
                <w:color w:val="000000"/>
                <w:sz w:val="24"/>
              </w:rPr>
            </w:pPr>
            <w:r>
              <w:rPr>
                <w:rFonts w:ascii="TimesNewRoman" w:eastAsia="TimesNewRoman" w:hAnsi="TimesNewRoman" w:cs="TimesNewRoman"/>
                <w:b w:val="0"/>
                <w:i w:val="0"/>
                <w:vanish w:val="0"/>
                <w:color w:val="000000"/>
                <w:sz w:val="24"/>
              </w:rPr>
              <w:t>V okviru tega specifičnega cilja bo SI uporabila finančno podporo SNV 2021-2027 za izvajanje ukrepov, ki prispevajo k interoperabilnosti sistemov. Gre za interoperabilnost informacijsko-telekomunikacijskega sistema policije (ITSP) z EU informacijskimi sistemi s področja varnosti za krepitev notranje varnosti EU in SI. Konkretno načrtujemo, da bomo s sredstvi SNV nadgradili strežnike, odjemalce in komunikacijsko omrežje za potrebe izmenjave podatkov s sistemoma SIS in VIS. Financiralo se bo tudi nadaljevanje aktivnosti iz pretekle finančne sheme, kot je opisano v prvem delu tega dokumenta, nove dodatne aktivnosti v nadaljevanju in s tem reševanje izzivov in vrzeli, ki so nastali na tem področju.</w:t>
            </w:r>
          </w:p>
          <w:p w:rsidR="00A77B3E">
            <w:pPr>
              <w:spacing w:before="100" w:after="0"/>
              <w:jc w:val="start"/>
              <w:rPr>
                <w:rFonts w:ascii="TimesNewRoman" w:eastAsia="TimesNewRoman" w:hAnsi="TimesNewRoman" w:cs="TimesNewRoman"/>
                <w:b w:val="0"/>
                <w:i w:val="0"/>
                <w:vanish w:val="0"/>
                <w:color w:val="000000"/>
                <w:sz w:val="24"/>
              </w:rPr>
            </w:pPr>
            <w:r>
              <w:rPr>
                <w:rFonts w:ascii="TimesNewRoman" w:eastAsia="TimesNewRoman" w:hAnsi="TimesNewRoman" w:cs="TimesNewRoman"/>
                <w:b w:val="0"/>
                <w:i w:val="0"/>
                <w:vanish w:val="0"/>
                <w:color w:val="000000"/>
                <w:sz w:val="24"/>
              </w:rPr>
              <w:t>Poleg tega bo financiranje SNV uporabljeno za izvajanje vseh prihodnjih priporočil (področje notranje varnosti in policijskih nalog), ki bodo morebiti izdana po naslednji schengenski evalvaciji.</w:t>
            </w:r>
          </w:p>
          <w:p w:rsidR="00A77B3E">
            <w:pPr>
              <w:spacing w:before="100" w:after="0"/>
              <w:jc w:val="start"/>
              <w:rPr>
                <w:rFonts w:ascii="TimesNewRoman" w:eastAsia="TimesNewRoman" w:hAnsi="TimesNewRoman" w:cs="TimesNewRoman"/>
                <w:b w:val="0"/>
                <w:i w:val="0"/>
                <w:vanish w:val="0"/>
                <w:color w:val="000000"/>
                <w:sz w:val="24"/>
              </w:rPr>
            </w:pPr>
            <w:r>
              <w:rPr>
                <w:rFonts w:ascii="TimesNewRoman" w:eastAsia="TimesNewRoman" w:hAnsi="TimesNewRoman" w:cs="TimesNewRoman"/>
                <w:b w:val="0"/>
                <w:i w:val="0"/>
                <w:vanish w:val="0"/>
                <w:color w:val="000000"/>
                <w:sz w:val="24"/>
              </w:rPr>
              <w:t>Ključni resor je MNZ RS, Policija (policija), ki je pristojno za področje izmenjave ustreznih informacij, vzpostavitev in vzdrževanje IT sistemov vezanih na zagotavljanje notranje varnosti. Sredstva sklada bodo dodeljena preko neposredne dodelitve, zaradi zakonskih pristojnosti s predmetnega področja. Sredstva SNV predstavljajo le del sredstev za uresničevanje zastavljenih ciljev na predmetnem področju. Drugi del pa bo zagotovljen iz nacionalnega proračuna SI in bo namenjen predvsem plačam zaposlenih ter drugim materialnim stroškom.</w:t>
            </w:r>
          </w:p>
          <w:p w:rsidR="00A77B3E">
            <w:pPr>
              <w:spacing w:before="100" w:after="0"/>
              <w:jc w:val="start"/>
              <w:rPr>
                <w:rFonts w:ascii="TimesNewRoman" w:eastAsia="TimesNewRoman" w:hAnsi="TimesNewRoman" w:cs="TimesNewRoman"/>
                <w:b w:val="0"/>
                <w:i w:val="0"/>
                <w:vanish w:val="0"/>
                <w:color w:val="000000"/>
                <w:sz w:val="24"/>
              </w:rPr>
            </w:pPr>
            <w:r>
              <w:rPr>
                <w:rFonts w:ascii="TimesNewRoman" w:eastAsia="TimesNewRoman" w:hAnsi="TimesNewRoman" w:cs="TimesNewRoman"/>
                <w:b w:val="0"/>
                <w:i w:val="0"/>
                <w:vanish w:val="0"/>
                <w:color w:val="000000"/>
                <w:sz w:val="24"/>
              </w:rPr>
              <w:t>Znotraj spodaj navedenih izvedbenih ukrepov iz Priloge II (a, d) se bo SI usmerila na področja podpore a, b, d, h, i iz Priloge III in točko 2 iz Priloge IV.</w:t>
            </w:r>
          </w:p>
          <w:p w:rsidR="00A77B3E">
            <w:pPr>
              <w:spacing w:before="100" w:after="0"/>
              <w:jc w:val="start"/>
              <w:rPr>
                <w:rFonts w:ascii="TimesNewRoman" w:eastAsia="TimesNewRoman" w:hAnsi="TimesNewRoman" w:cs="TimesNewRoman"/>
                <w:b w:val="0"/>
                <w:i w:val="0"/>
                <w:vanish w:val="0"/>
                <w:color w:val="000000"/>
                <w:sz w:val="24"/>
              </w:rPr>
            </w:pPr>
            <w:r>
              <w:rPr>
                <w:rFonts w:ascii="TimesNewRoman" w:eastAsia="TimesNewRoman" w:hAnsi="TimesNewRoman" w:cs="TimesNewRoman"/>
                <w:b w:val="0"/>
                <w:i w:val="0"/>
                <w:vanish w:val="0"/>
                <w:color w:val="000000"/>
                <w:sz w:val="24"/>
              </w:rPr>
              <w:t>Pričakovani rezultati:</w:t>
            </w:r>
          </w:p>
          <w:p w:rsidR="00A77B3E">
            <w:pPr>
              <w:numPr>
                <w:ilvl w:val="0"/>
                <w:numId w:val="1"/>
              </w:numPr>
              <w:spacing w:before="100" w:after="0"/>
              <w:ind w:start="720" w:hanging="360"/>
              <w:jc w:val="start"/>
              <w:rPr>
                <w:rFonts w:ascii="TimesNewRoman" w:eastAsia="TimesNewRoman" w:hAnsi="TimesNewRoman" w:cs="TimesNewRoman"/>
                <w:b w:val="0"/>
                <w:i w:val="0"/>
                <w:vanish w:val="0"/>
                <w:color w:val="000000"/>
                <w:sz w:val="24"/>
              </w:rPr>
            </w:pPr>
            <w:r>
              <w:rPr>
                <w:rFonts w:ascii="TimesNewRoman" w:eastAsia="TimesNewRoman" w:hAnsi="TimesNewRoman" w:cs="TimesNewRoman"/>
                <w:b w:val="0"/>
                <w:i w:val="0"/>
                <w:vanish w:val="0"/>
                <w:color w:val="000000"/>
                <w:sz w:val="24"/>
              </w:rPr>
              <w:t>Tehnološka nadgradnja, razvoj in vzdrževanje nacionalnega PNR/API sistema ter vzpostavitev in delovanje NCS DB bo izboljšala in olajšala izmenjavo informacij z DČ EU, uradi in agencijami EU ter s tretjimi državami in mednarodnimi organizacijami. Izvedena bodo ustrezna usposabljanja v skladu z EU STNA 2022-2025.</w:t>
            </w:r>
          </w:p>
          <w:p w:rsidR="00A77B3E">
            <w:pPr>
              <w:numPr>
                <w:ilvl w:val="0"/>
                <w:numId w:val="1"/>
              </w:numPr>
              <w:spacing w:before="100" w:after="0"/>
              <w:ind w:start="720" w:hanging="360"/>
              <w:jc w:val="start"/>
              <w:rPr>
                <w:rFonts w:ascii="TimesNewRoman" w:eastAsia="TimesNewRoman" w:hAnsi="TimesNewRoman" w:cs="TimesNewRoman"/>
                <w:b w:val="0"/>
                <w:i w:val="0"/>
                <w:vanish w:val="0"/>
                <w:color w:val="000000"/>
                <w:sz w:val="24"/>
              </w:rPr>
            </w:pPr>
            <w:r>
              <w:rPr>
                <w:rFonts w:ascii="TimesNewRoman" w:eastAsia="TimesNewRoman" w:hAnsi="TimesNewRoman" w:cs="TimesNewRoman"/>
                <w:b w:val="0"/>
                <w:i w:val="0"/>
                <w:vanish w:val="0"/>
                <w:color w:val="000000"/>
                <w:sz w:val="24"/>
              </w:rPr>
              <w:t>SI bo z novo najsodobnejšo opremo okrepila svoje zmogljivosti za zbiranje, analitsko delo in izmenjavo podatkov na področju preiskav DNK in prepovedanih drog, kar bo pomenilo okrepljeno in bolj kakovostno podporo policijskemu delu, boljše in obsežnejše sodelovanje ter izmenjavo forenzičnih informacij z nacionalnimi in mednarodnimi deležniki.</w:t>
            </w:r>
          </w:p>
          <w:p w:rsidR="00A77B3E">
            <w:pPr>
              <w:numPr>
                <w:ilvl w:val="0"/>
                <w:numId w:val="1"/>
              </w:numPr>
              <w:spacing w:before="100" w:after="0"/>
              <w:ind w:start="720" w:hanging="360"/>
              <w:jc w:val="start"/>
              <w:rPr>
                <w:rFonts w:ascii="TimesNewRoman" w:eastAsia="TimesNewRoman" w:hAnsi="TimesNewRoman" w:cs="TimesNewRoman"/>
                <w:b w:val="0"/>
                <w:i w:val="0"/>
                <w:vanish w:val="0"/>
                <w:color w:val="000000"/>
                <w:sz w:val="24"/>
              </w:rPr>
            </w:pPr>
            <w:r>
              <w:rPr>
                <w:rFonts w:ascii="TimesNewRoman" w:eastAsia="TimesNewRoman" w:hAnsi="TimesNewRoman" w:cs="TimesNewRoman"/>
                <w:b w:val="0"/>
                <w:i w:val="0"/>
                <w:vanish w:val="0"/>
                <w:color w:val="000000"/>
                <w:sz w:val="24"/>
              </w:rPr>
              <w:t>Povečanje zmogljivosti komunikacijskih povezav ter razvoj in vzdrževanje sistema Prümske izmenjave podatkov.</w:t>
            </w:r>
          </w:p>
          <w:p w:rsidR="00A77B3E">
            <w:pPr>
              <w:numPr>
                <w:ilvl w:val="0"/>
                <w:numId w:val="1"/>
              </w:numPr>
              <w:spacing w:before="100" w:after="0"/>
              <w:ind w:start="720" w:hanging="360"/>
              <w:jc w:val="start"/>
              <w:rPr>
                <w:rFonts w:ascii="TimesNewRoman" w:eastAsia="TimesNewRoman" w:hAnsi="TimesNewRoman" w:cs="TimesNewRoman"/>
                <w:b w:val="0"/>
                <w:i w:val="0"/>
                <w:vanish w:val="0"/>
                <w:color w:val="000000"/>
                <w:sz w:val="24"/>
              </w:rPr>
            </w:pPr>
            <w:r>
              <w:rPr>
                <w:rFonts w:ascii="TimesNewRoman" w:eastAsia="TimesNewRoman" w:hAnsi="TimesNewRoman" w:cs="TimesNewRoman"/>
                <w:b w:val="0"/>
                <w:i w:val="0"/>
                <w:vanish w:val="0"/>
                <w:color w:val="000000"/>
                <w:sz w:val="24"/>
              </w:rPr>
              <w:t>Boljša izmenjava informacij na EU ravni.</w:t>
            </w:r>
          </w:p>
          <w:p w:rsidR="00A77B3E">
            <w:pPr>
              <w:numPr>
                <w:ilvl w:val="0"/>
                <w:numId w:val="1"/>
              </w:numPr>
              <w:spacing w:before="100" w:after="0"/>
              <w:ind w:start="720" w:hanging="360"/>
              <w:jc w:val="start"/>
              <w:rPr>
                <w:rFonts w:ascii="TimesNewRoman" w:eastAsia="TimesNewRoman" w:hAnsi="TimesNewRoman" w:cs="TimesNewRoman"/>
                <w:b w:val="0"/>
                <w:i w:val="0"/>
                <w:vanish w:val="0"/>
                <w:color w:val="000000"/>
                <w:sz w:val="24"/>
              </w:rPr>
            </w:pPr>
            <w:r>
              <w:rPr>
                <w:rFonts w:ascii="TimesNewRoman" w:eastAsia="TimesNewRoman" w:hAnsi="TimesNewRoman" w:cs="TimesNewRoman"/>
                <w:b w:val="0"/>
                <w:i w:val="0"/>
                <w:vanish w:val="0"/>
                <w:color w:val="000000"/>
                <w:sz w:val="24"/>
              </w:rPr>
              <w:t>Povečanje zmogljivosti in posodobitev podatkovnega in govornega omrežja Policije.</w:t>
            </w:r>
          </w:p>
          <w:p w:rsidR="00A77B3E">
            <w:pPr>
              <w:numPr>
                <w:ilvl w:val="0"/>
                <w:numId w:val="1"/>
              </w:numPr>
              <w:spacing w:before="100" w:after="0"/>
              <w:ind w:start="720" w:hanging="360"/>
              <w:jc w:val="start"/>
              <w:rPr>
                <w:rFonts w:ascii="TimesNewRoman" w:eastAsia="TimesNewRoman" w:hAnsi="TimesNewRoman" w:cs="TimesNewRoman"/>
                <w:b w:val="0"/>
                <w:i w:val="0"/>
                <w:vanish w:val="0"/>
                <w:color w:val="000000"/>
                <w:sz w:val="24"/>
              </w:rPr>
            </w:pPr>
            <w:r>
              <w:rPr>
                <w:rFonts w:ascii="TimesNewRoman" w:eastAsia="TimesNewRoman" w:hAnsi="TimesNewRoman" w:cs="TimesNewRoman"/>
                <w:b w:val="0"/>
                <w:i w:val="0"/>
                <w:vanish w:val="0"/>
                <w:color w:val="000000"/>
                <w:sz w:val="24"/>
              </w:rPr>
              <w:t>Posodobitev informacijske strojne in programske opreme centralnega policijskega informacijskega sistema.</w:t>
            </w:r>
          </w:p>
          <w:p w:rsidR="00A77B3E">
            <w:pPr>
              <w:spacing w:before="100" w:after="0"/>
              <w:jc w:val="start"/>
              <w:rPr>
                <w:rFonts w:ascii="TimesNewRoman" w:eastAsia="TimesNewRoman" w:hAnsi="TimesNewRoman" w:cs="TimesNewRoman"/>
                <w:b w:val="0"/>
                <w:i w:val="0"/>
                <w:vanish w:val="0"/>
                <w:color w:val="000000"/>
                <w:sz w:val="24"/>
              </w:rPr>
            </w:pPr>
          </w:p>
          <w:p w:rsidR="00A77B3E">
            <w:pPr>
              <w:spacing w:before="100" w:after="0"/>
              <w:jc w:val="start"/>
              <w:rPr>
                <w:rFonts w:ascii="TimesNewRoman" w:eastAsia="TimesNewRoman" w:hAnsi="TimesNewRoman" w:cs="TimesNewRoman"/>
                <w:b w:val="0"/>
                <w:i w:val="0"/>
                <w:vanish w:val="0"/>
                <w:color w:val="000000"/>
                <w:sz w:val="24"/>
              </w:rPr>
            </w:pPr>
            <w:r>
              <w:rPr>
                <w:rFonts w:ascii="TimesNewRoman" w:eastAsia="TimesNewRoman" w:hAnsi="TimesNewRoman" w:cs="TimesNewRoman"/>
                <w:b/>
                <w:bCs/>
                <w:i w:val="0"/>
                <w:vanish w:val="0"/>
                <w:color w:val="000000"/>
                <w:sz w:val="24"/>
              </w:rPr>
              <w:t xml:space="preserve">1) </w:t>
            </w:r>
            <w:r>
              <w:rPr>
                <w:rFonts w:ascii="TimesNewRoman" w:eastAsia="TimesNewRoman" w:hAnsi="TimesNewRoman" w:cs="TimesNewRoman"/>
                <w:b/>
                <w:bCs/>
                <w:i w:val="0"/>
                <w:vanish w:val="0"/>
                <w:color w:val="000000"/>
                <w:sz w:val="24"/>
                <w:u w:val="single"/>
              </w:rPr>
              <w:t>Izvedbeni ukrep 1a): Zagotovitev enotne uporabe pravnega reda Unije</w:t>
            </w:r>
          </w:p>
          <w:p w:rsidR="00A77B3E">
            <w:pPr>
              <w:spacing w:before="100" w:after="0"/>
              <w:jc w:val="start"/>
              <w:rPr>
                <w:rFonts w:ascii="TimesNewRoman" w:eastAsia="TimesNewRoman" w:hAnsi="TimesNewRoman" w:cs="TimesNewRoman"/>
                <w:b w:val="0"/>
                <w:i w:val="0"/>
                <w:vanish w:val="0"/>
                <w:color w:val="000000"/>
                <w:sz w:val="24"/>
              </w:rPr>
            </w:pPr>
          </w:p>
          <w:p w:rsidR="00A77B3E">
            <w:pPr>
              <w:spacing w:before="100" w:after="0"/>
              <w:jc w:val="start"/>
              <w:rPr>
                <w:rFonts w:ascii="TimesNewRoman" w:eastAsia="TimesNewRoman" w:hAnsi="TimesNewRoman" w:cs="TimesNewRoman"/>
                <w:b w:val="0"/>
                <w:i w:val="0"/>
                <w:vanish w:val="0"/>
                <w:color w:val="000000"/>
                <w:sz w:val="24"/>
              </w:rPr>
            </w:pPr>
            <w:r>
              <w:rPr>
                <w:rFonts w:ascii="TimesNewRoman" w:eastAsia="TimesNewRoman" w:hAnsi="TimesNewRoman" w:cs="TimesNewRoman"/>
                <w:b/>
                <w:bCs/>
                <w:i w:val="0"/>
                <w:vanish w:val="0"/>
                <w:color w:val="000000"/>
                <w:sz w:val="24"/>
              </w:rPr>
              <w:t>- Vzdrževanje in nadaljnji razvoj SI sistema PNR/API</w:t>
            </w:r>
          </w:p>
          <w:p w:rsidR="00A77B3E">
            <w:pPr>
              <w:spacing w:before="100" w:after="0"/>
              <w:jc w:val="start"/>
              <w:rPr>
                <w:rFonts w:ascii="TimesNewRoman" w:eastAsia="TimesNewRoman" w:hAnsi="TimesNewRoman" w:cs="TimesNewRoman"/>
                <w:b w:val="0"/>
                <w:i w:val="0"/>
                <w:vanish w:val="0"/>
                <w:color w:val="000000"/>
                <w:sz w:val="24"/>
              </w:rPr>
            </w:pPr>
            <w:r>
              <w:rPr>
                <w:rFonts w:ascii="TimesNewRoman" w:eastAsia="TimesNewRoman" w:hAnsi="TimesNewRoman" w:cs="TimesNewRoman"/>
                <w:b w:val="0"/>
                <w:i w:val="0"/>
                <w:vanish w:val="0"/>
                <w:color w:val="000000"/>
                <w:sz w:val="24"/>
              </w:rPr>
              <w:t xml:space="preserve">S projektom SI PNR, HOME/2012/ISEC/AG/PNR/4000004450 je SI vzpostavila nacionalno </w:t>
            </w:r>
            <w:r>
              <w:rPr>
                <w:rFonts w:ascii="TimesNewRoman" w:eastAsia="TimesNewRoman" w:hAnsi="TimesNewRoman" w:cs="TimesNewRoman"/>
                <w:b w:val="0"/>
                <w:i/>
                <w:iCs/>
                <w:vanish w:val="0"/>
                <w:color w:val="000000"/>
                <w:sz w:val="24"/>
              </w:rPr>
              <w:t>Enoto za informacije o potnikih</w:t>
            </w:r>
            <w:r>
              <w:rPr>
                <w:rFonts w:ascii="TimesNewRoman" w:eastAsia="TimesNewRoman" w:hAnsi="TimesNewRoman" w:cs="TimesNewRoman"/>
                <w:b w:val="0"/>
                <w:i w:val="0"/>
                <w:vanish w:val="0"/>
                <w:color w:val="000000"/>
                <w:sz w:val="24"/>
              </w:rPr>
              <w:t xml:space="preserve">, pristojno za zbiranje podatkov </w:t>
            </w:r>
            <w:r>
              <w:rPr>
                <w:rFonts w:ascii="TimesNewRoman" w:eastAsia="TimesNewRoman" w:hAnsi="TimesNewRoman" w:cs="TimesNewRoman"/>
                <w:b/>
                <w:bCs/>
                <w:i w:val="0"/>
                <w:vanish w:val="0"/>
                <w:color w:val="000000"/>
                <w:sz w:val="24"/>
              </w:rPr>
              <w:t>PNR/API</w:t>
            </w:r>
            <w:r>
              <w:rPr>
                <w:rFonts w:ascii="TimesNewRoman" w:eastAsia="TimesNewRoman" w:hAnsi="TimesNewRoman" w:cs="TimesNewRoman"/>
                <w:b w:val="0"/>
                <w:i w:val="0"/>
                <w:vanish w:val="0"/>
                <w:color w:val="000000"/>
                <w:sz w:val="24"/>
              </w:rPr>
              <w:t xml:space="preserve"> od letalskih prevoznikov, njihovo hrambo, obdelavo in pošiljanje teh podatkov ali rezultatov njihove obdelave pristojnim organom. Delovanje enote je bilo izboljšano s financiranjem iz ISFP 2014-2020. Direktiva (EU) 2016/681 je v celoti prenesena v slovensko zakonodajo s spremembami Zakona o nalogah in pooblastilih policije in Zakona o letalstvu ter novega Zakona o varstvu osebnih podatkov.</w:t>
            </w:r>
          </w:p>
          <w:p w:rsidR="00A77B3E">
            <w:pPr>
              <w:spacing w:before="100" w:after="0"/>
              <w:jc w:val="start"/>
              <w:rPr>
                <w:rFonts w:ascii="TimesNewRoman" w:eastAsia="TimesNewRoman" w:hAnsi="TimesNewRoman" w:cs="TimesNewRoman"/>
                <w:b w:val="0"/>
                <w:i w:val="0"/>
                <w:vanish w:val="0"/>
                <w:color w:val="000000"/>
                <w:sz w:val="24"/>
              </w:rPr>
            </w:pPr>
            <w:r>
              <w:rPr>
                <w:rFonts w:ascii="TimesNewRoman" w:eastAsia="TimesNewRoman" w:hAnsi="TimesNewRoman" w:cs="TimesNewRoman"/>
                <w:b w:val="0"/>
                <w:i w:val="0"/>
                <w:vanish w:val="0"/>
                <w:color w:val="000000"/>
                <w:sz w:val="24"/>
              </w:rPr>
              <w:t>Izziv</w:t>
            </w:r>
            <w:r>
              <w:rPr>
                <w:rFonts w:ascii="TimesNewRoman" w:eastAsia="TimesNewRoman" w:hAnsi="TimesNewRoman" w:cs="TimesNewRoman"/>
                <w:b/>
                <w:bCs/>
                <w:i w:val="0"/>
                <w:vanish w:val="0"/>
                <w:color w:val="000000"/>
                <w:sz w:val="24"/>
              </w:rPr>
              <w:t>:</w:t>
            </w:r>
            <w:r>
              <w:rPr>
                <w:rFonts w:ascii="TimesNewRoman" w:eastAsia="TimesNewRoman" w:hAnsi="TimesNewRoman" w:cs="TimesNewRoman"/>
                <w:b w:val="0"/>
                <w:i w:val="0"/>
                <w:vanish w:val="0"/>
                <w:color w:val="000000"/>
                <w:sz w:val="24"/>
              </w:rPr>
              <w:t xml:space="preserve"> zagotoviti učinkovitejšo analizo podatkov PNR/API za namen preprečevanja in preiskovanja hudih KD in terorizma. Izziv je tudi zbiranje in analiza javno dostopnih informacij z interneta kot nadgradnja obdelanih podatkov PNR/API.</w:t>
            </w:r>
          </w:p>
          <w:p w:rsidR="00A77B3E">
            <w:pPr>
              <w:spacing w:before="100" w:after="0"/>
              <w:jc w:val="start"/>
              <w:rPr>
                <w:rFonts w:ascii="TimesNewRoman" w:eastAsia="TimesNewRoman" w:hAnsi="TimesNewRoman" w:cs="TimesNewRoman"/>
                <w:b w:val="0"/>
                <w:i w:val="0"/>
                <w:vanish w:val="0"/>
                <w:color w:val="000000"/>
                <w:sz w:val="24"/>
              </w:rPr>
            </w:pPr>
            <w:r>
              <w:rPr>
                <w:rFonts w:ascii="TimesNewRoman" w:eastAsia="TimesNewRoman" w:hAnsi="TimesNewRoman" w:cs="TimesNewRoman"/>
                <w:b w:val="0"/>
                <w:i w:val="0"/>
                <w:vanish w:val="0"/>
                <w:color w:val="000000"/>
                <w:sz w:val="24"/>
              </w:rPr>
              <w:t>Sredstva SNV 2021-2027 bodo porabljena za nadgradnjo ustrezne IT programske opreme in nakup analitičnih orodij (Ibase, OSINT in SOCMINT), ki bodo vključena v delovne procese analize podatkov PNR. Zagotovljeno bo tudi ustrezno usposabljanje za uporabo programske opreme in orodij.</w:t>
            </w:r>
          </w:p>
          <w:p w:rsidR="00A77B3E">
            <w:pPr>
              <w:spacing w:before="100" w:after="0"/>
              <w:jc w:val="start"/>
              <w:rPr>
                <w:rFonts w:ascii="TimesNewRoman" w:eastAsia="TimesNewRoman" w:hAnsi="TimesNewRoman" w:cs="TimesNewRoman"/>
                <w:b w:val="0"/>
                <w:i w:val="0"/>
                <w:vanish w:val="0"/>
                <w:color w:val="000000"/>
                <w:sz w:val="24"/>
              </w:rPr>
            </w:pPr>
            <w:r>
              <w:rPr>
                <w:rFonts w:ascii="TimesNewRoman" w:eastAsia="TimesNewRoman" w:hAnsi="TimesNewRoman" w:cs="TimesNewRoman"/>
                <w:b w:val="0"/>
                <w:i w:val="0"/>
                <w:vanish w:val="0"/>
                <w:color w:val="000000"/>
                <w:sz w:val="24"/>
              </w:rPr>
              <w:t>Pričakovani rezultat: vzdrževan, nadgrajen sistem SI PNR/API in vzpostavljena nova informacijska infrastruktura z novimi programskimi funkcionalnostmi, ki ustrezajo EU zahtevam.</w:t>
            </w:r>
          </w:p>
          <w:p w:rsidR="00A77B3E">
            <w:pPr>
              <w:spacing w:before="100" w:after="0"/>
              <w:jc w:val="start"/>
              <w:rPr>
                <w:rFonts w:ascii="TimesNewRoman" w:eastAsia="TimesNewRoman" w:hAnsi="TimesNewRoman" w:cs="TimesNewRoman"/>
                <w:b w:val="0"/>
                <w:i w:val="0"/>
                <w:vanish w:val="0"/>
                <w:color w:val="000000"/>
                <w:sz w:val="24"/>
              </w:rPr>
            </w:pPr>
          </w:p>
          <w:p w:rsidR="00A77B3E">
            <w:pPr>
              <w:spacing w:before="100" w:after="0"/>
              <w:jc w:val="start"/>
              <w:rPr>
                <w:rFonts w:ascii="TimesNewRoman" w:eastAsia="TimesNewRoman" w:hAnsi="TimesNewRoman" w:cs="TimesNewRoman"/>
                <w:b w:val="0"/>
                <w:i w:val="0"/>
                <w:vanish w:val="0"/>
                <w:color w:val="000000"/>
                <w:sz w:val="24"/>
              </w:rPr>
            </w:pPr>
            <w:r>
              <w:rPr>
                <w:rFonts w:ascii="TimesNewRoman" w:eastAsia="TimesNewRoman" w:hAnsi="TimesNewRoman" w:cs="TimesNewRoman"/>
                <w:b/>
                <w:bCs/>
                <w:i w:val="0"/>
                <w:vanish w:val="0"/>
                <w:color w:val="000000"/>
                <w:sz w:val="24"/>
              </w:rPr>
              <w:t>- Okrepljeno mednarodno sodelovanje v boju proti spolnemu izkoriščanju mladoletnih oseb in vzpostavitev Nacionalne baze gradiv spolnega izkoriščanja mladoletnih oseb (NCSE DB) (fin. 90%)</w:t>
            </w:r>
          </w:p>
          <w:p w:rsidR="00A77B3E">
            <w:pPr>
              <w:spacing w:before="100" w:after="0"/>
              <w:jc w:val="start"/>
              <w:rPr>
                <w:rFonts w:ascii="TimesNewRoman" w:eastAsia="TimesNewRoman" w:hAnsi="TimesNewRoman" w:cs="TimesNewRoman"/>
                <w:b w:val="0"/>
                <w:i w:val="0"/>
                <w:vanish w:val="0"/>
                <w:color w:val="000000"/>
                <w:sz w:val="24"/>
              </w:rPr>
            </w:pPr>
            <w:r>
              <w:rPr>
                <w:rFonts w:ascii="TimesNewRoman" w:eastAsia="TimesNewRoman" w:hAnsi="TimesNewRoman" w:cs="TimesNewRoman"/>
                <w:b w:val="0"/>
                <w:i w:val="0"/>
                <w:vanish w:val="0"/>
                <w:color w:val="000000"/>
                <w:sz w:val="24"/>
              </w:rPr>
              <w:t xml:space="preserve">Za učinkovito odkrivanje in preiskovanje KD </w:t>
            </w:r>
            <w:r>
              <w:rPr>
                <w:rFonts w:ascii="TimesNewRoman" w:eastAsia="TimesNewRoman" w:hAnsi="TimesNewRoman" w:cs="TimesNewRoman"/>
                <w:b/>
                <w:bCs/>
                <w:i w:val="0"/>
                <w:vanish w:val="0"/>
                <w:color w:val="000000"/>
                <w:sz w:val="24"/>
              </w:rPr>
              <w:t>spolne zlorabe otrok</w:t>
            </w:r>
            <w:r>
              <w:rPr>
                <w:rFonts w:ascii="TimesNewRoman" w:eastAsia="TimesNewRoman" w:hAnsi="TimesNewRoman" w:cs="TimesNewRoman"/>
                <w:b w:val="0"/>
                <w:i w:val="0"/>
                <w:vanish w:val="0"/>
                <w:color w:val="000000"/>
                <w:sz w:val="24"/>
              </w:rPr>
              <w:t xml:space="preserve">, spolnega izkoriščanja otrok in dejanj, povezanih z distribucijo gradiv s spolnimi zlorabami otrok, je ključno mednarodno sodelovanje in okrepljena izmenjava informacij, saj se je le z okrepljenim čezmejnim sodelovanjem mogoče spopadati s tem globalnim pojavom. Prvotna in najpomembnejša naloga pri preiskovanju KD je identifikacija </w:t>
            </w:r>
            <w:r>
              <w:rPr>
                <w:rFonts w:ascii="TimesNewRoman" w:eastAsia="TimesNewRoman" w:hAnsi="TimesNewRoman" w:cs="TimesNewRoman"/>
                <w:b/>
                <w:bCs/>
                <w:i w:val="0"/>
                <w:vanish w:val="0"/>
                <w:color w:val="000000"/>
                <w:sz w:val="24"/>
              </w:rPr>
              <w:t>otrok, ki so žrtve spolnega izkoriščanja preko interneta</w:t>
            </w:r>
            <w:r>
              <w:rPr>
                <w:rFonts w:ascii="TimesNewRoman" w:eastAsia="TimesNewRoman" w:hAnsi="TimesNewRoman" w:cs="TimesNewRoman"/>
                <w:b w:val="0"/>
                <w:i w:val="0"/>
                <w:vanish w:val="0"/>
                <w:color w:val="000000"/>
                <w:sz w:val="24"/>
              </w:rPr>
              <w:t>, z namenom rešitve iz primeža spolne zlorabe. Količina pridobljenih gradiv z navedeno vsebino narašča in je ni mogoče obvladovati brez programske opreme, orodij in obstoječe nacionalne baze.</w:t>
            </w:r>
          </w:p>
          <w:p w:rsidR="00A77B3E">
            <w:pPr>
              <w:spacing w:before="100" w:after="0"/>
              <w:jc w:val="start"/>
              <w:rPr>
                <w:rFonts w:ascii="TimesNewRoman" w:eastAsia="TimesNewRoman" w:hAnsi="TimesNewRoman" w:cs="TimesNewRoman"/>
                <w:b w:val="0"/>
                <w:i w:val="0"/>
                <w:vanish w:val="0"/>
                <w:color w:val="000000"/>
                <w:sz w:val="24"/>
              </w:rPr>
            </w:pPr>
            <w:r>
              <w:rPr>
                <w:rFonts w:ascii="TimesNewRoman" w:eastAsia="TimesNewRoman" w:hAnsi="TimesNewRoman" w:cs="TimesNewRoman"/>
                <w:b w:val="0"/>
                <w:i w:val="0"/>
                <w:vanish w:val="0"/>
                <w:color w:val="000000"/>
                <w:sz w:val="24"/>
              </w:rPr>
              <w:t xml:space="preserve">Glavni izziv: boj proti spolnemu izkoriščanju otrok je lahko uspešen samo z mednarodnim sodelovanjem in okrepljeno izmenjavo podatkov, zato so nacionalne baze gradiv spolnih zlorab otrok ključne. </w:t>
            </w:r>
            <w:r>
              <w:rPr>
                <w:rFonts w:ascii="TimesNewRoman" w:eastAsia="TimesNewRoman" w:hAnsi="TimesNewRoman" w:cs="TimesNewRoman"/>
                <w:b/>
                <w:bCs/>
                <w:i w:val="0"/>
                <w:vanish w:val="0"/>
                <w:color w:val="000000"/>
                <w:sz w:val="24"/>
              </w:rPr>
              <w:t>Vzpostavitev nacionalne NCSE DB</w:t>
            </w:r>
            <w:r>
              <w:rPr>
                <w:rFonts w:ascii="TimesNewRoman" w:eastAsia="TimesNewRoman" w:hAnsi="TimesNewRoman" w:cs="TimesNewRoman"/>
                <w:b w:val="0"/>
                <w:i w:val="0"/>
                <w:vanish w:val="0"/>
                <w:color w:val="000000"/>
                <w:sz w:val="24"/>
              </w:rPr>
              <w:t xml:space="preserve"> bo doprinesla k učinkovitejšemu preiskovanju tovrstne kriminalitete na nacionalni in mednarodni ravni ter do boljše izmenjave informacij z EUROPOL, DČ EU, Interpolom ter tretjimi državami.</w:t>
            </w:r>
          </w:p>
          <w:p w:rsidR="00A77B3E">
            <w:pPr>
              <w:spacing w:before="100" w:after="0"/>
              <w:jc w:val="start"/>
              <w:rPr>
                <w:rFonts w:ascii="TimesNewRoman" w:eastAsia="TimesNewRoman" w:hAnsi="TimesNewRoman" w:cs="TimesNewRoman"/>
                <w:b w:val="0"/>
                <w:i w:val="0"/>
                <w:vanish w:val="0"/>
                <w:color w:val="000000"/>
                <w:sz w:val="24"/>
              </w:rPr>
            </w:pPr>
            <w:r>
              <w:rPr>
                <w:rFonts w:ascii="TimesNewRoman" w:eastAsia="TimesNewRoman" w:hAnsi="TimesNewRoman" w:cs="TimesNewRoman"/>
                <w:b w:val="0"/>
                <w:i w:val="0"/>
                <w:vanish w:val="0"/>
                <w:color w:val="000000"/>
                <w:sz w:val="24"/>
              </w:rPr>
              <w:t>Vzpostavitev NCSE DB je v skladu z Direktivo 2011/93/EU, Strategijo EU za učinkovitejši boj proti spolni zlorabi otrok, Resolucijo o nacionalnem programu preprečevanja in zatiranja kriminalitete za obdobje 2019-2023, Bruseljsko Izjavo o zagonu globalnega zavezništva proti spolnemu zlorabljanju otrok na internetu (2012) in Londonsko izjavo (WePROTECT) o sodelovanju v boju proti internetnemu spolnemu izkoriščanju otrok (2014). Nacionalno podlago pa predstavlja Zakon o nalogah in pooblastilih policije.</w:t>
            </w:r>
          </w:p>
          <w:p w:rsidR="00A77B3E">
            <w:pPr>
              <w:spacing w:before="100" w:after="0"/>
              <w:jc w:val="start"/>
              <w:rPr>
                <w:rFonts w:ascii="TimesNewRoman" w:eastAsia="TimesNewRoman" w:hAnsi="TimesNewRoman" w:cs="TimesNewRoman"/>
                <w:b w:val="0"/>
                <w:i w:val="0"/>
                <w:vanish w:val="0"/>
                <w:color w:val="000000"/>
                <w:sz w:val="24"/>
              </w:rPr>
            </w:pPr>
            <w:r>
              <w:rPr>
                <w:rFonts w:ascii="TimesNewRoman" w:eastAsia="TimesNewRoman" w:hAnsi="TimesNewRoman" w:cs="TimesNewRoman"/>
                <w:b w:val="0"/>
                <w:i w:val="0"/>
                <w:vanish w:val="0"/>
                <w:color w:val="000000"/>
                <w:sz w:val="24"/>
              </w:rPr>
              <w:t>Pričakovani rezultat: vzpostavljena NCSE DB in s tem kapacitete za hitrejšo in bolj kakovostno mednarodno izmenjavo podatkov CSE, izboljšana izmenjava podatkov, povezanih s CSA, za podporo preiskavam in identifikaciji žrtev in storilcev.</w:t>
            </w:r>
          </w:p>
          <w:p w:rsidR="00A77B3E">
            <w:pPr>
              <w:spacing w:before="100" w:after="0"/>
              <w:jc w:val="start"/>
              <w:rPr>
                <w:rFonts w:ascii="TimesNewRoman" w:eastAsia="TimesNewRoman" w:hAnsi="TimesNewRoman" w:cs="TimesNewRoman"/>
                <w:b w:val="0"/>
                <w:i w:val="0"/>
                <w:vanish w:val="0"/>
                <w:color w:val="000000"/>
                <w:sz w:val="24"/>
              </w:rPr>
            </w:pPr>
          </w:p>
          <w:p w:rsidR="00A77B3E">
            <w:pPr>
              <w:spacing w:before="100" w:after="0"/>
              <w:jc w:val="start"/>
              <w:rPr>
                <w:rFonts w:ascii="TimesNewRoman" w:eastAsia="TimesNewRoman" w:hAnsi="TimesNewRoman" w:cs="TimesNewRoman"/>
                <w:b w:val="0"/>
                <w:i w:val="0"/>
                <w:vanish w:val="0"/>
                <w:color w:val="000000"/>
                <w:sz w:val="24"/>
              </w:rPr>
            </w:pPr>
            <w:r>
              <w:rPr>
                <w:rFonts w:ascii="TimesNewRoman" w:eastAsia="TimesNewRoman" w:hAnsi="TimesNewRoman" w:cs="TimesNewRoman"/>
                <w:b/>
                <w:bCs/>
                <w:i w:val="0"/>
                <w:vanish w:val="0"/>
                <w:color w:val="000000"/>
                <w:sz w:val="24"/>
              </w:rPr>
              <w:t xml:space="preserve">- Nadgradnja sistema za izmenjavo Prüm podatkov </w:t>
            </w:r>
          </w:p>
          <w:p w:rsidR="00A77B3E">
            <w:pPr>
              <w:spacing w:before="100" w:after="0"/>
              <w:jc w:val="start"/>
              <w:rPr>
                <w:rFonts w:ascii="TimesNewRoman" w:eastAsia="TimesNewRoman" w:hAnsi="TimesNewRoman" w:cs="TimesNewRoman"/>
                <w:b w:val="0"/>
                <w:i w:val="0"/>
                <w:vanish w:val="0"/>
                <w:color w:val="000000"/>
                <w:sz w:val="24"/>
              </w:rPr>
            </w:pPr>
            <w:r>
              <w:rPr>
                <w:rFonts w:ascii="TimesNewRoman" w:eastAsia="TimesNewRoman" w:hAnsi="TimesNewRoman" w:cs="TimesNewRoman"/>
                <w:b w:val="0"/>
                <w:i w:val="0"/>
                <w:vanish w:val="0"/>
                <w:color w:val="000000"/>
                <w:sz w:val="24"/>
              </w:rPr>
              <w:t xml:space="preserve">Nadgradnja sistema za </w:t>
            </w:r>
            <w:r>
              <w:rPr>
                <w:rFonts w:ascii="TimesNewRoman" w:eastAsia="TimesNewRoman" w:hAnsi="TimesNewRoman" w:cs="TimesNewRoman"/>
                <w:b/>
                <w:bCs/>
                <w:i w:val="0"/>
                <w:vanish w:val="0"/>
                <w:color w:val="000000"/>
                <w:sz w:val="24"/>
              </w:rPr>
              <w:t>izmenjavo Prüm podatkov</w:t>
            </w:r>
            <w:r>
              <w:rPr>
                <w:rFonts w:ascii="TimesNewRoman" w:eastAsia="TimesNewRoman" w:hAnsi="TimesNewRoman" w:cs="TimesNewRoman"/>
                <w:b w:val="0"/>
                <w:i w:val="0"/>
                <w:vanish w:val="0"/>
                <w:color w:val="000000"/>
                <w:sz w:val="24"/>
              </w:rPr>
              <w:t xml:space="preserve"> bo izvedena predvsem s ciljem širitve izmenjave podatkov z </w:t>
            </w:r>
            <w:r>
              <w:rPr>
                <w:rFonts w:ascii="TimesNewRoman" w:eastAsia="TimesNewRoman" w:hAnsi="TimesNewRoman" w:cs="TimesNewRoman"/>
                <w:b/>
                <w:bCs/>
                <w:i w:val="0"/>
                <w:vanish w:val="0"/>
                <w:color w:val="000000"/>
                <w:sz w:val="24"/>
              </w:rPr>
              <w:t>ZB</w:t>
            </w:r>
            <w:r>
              <w:rPr>
                <w:rFonts w:ascii="TimesNewRoman" w:eastAsia="TimesNewRoman" w:hAnsi="TimesNewRoman" w:cs="TimesNewRoman"/>
                <w:b w:val="0"/>
                <w:i w:val="0"/>
                <w:vanish w:val="0"/>
                <w:color w:val="000000"/>
                <w:sz w:val="24"/>
              </w:rPr>
              <w:t>, v skladu s Sporazumom med pogodbenicami Konvencije o policijskem sodelovanju v jugovzhodni Evropi o avtomatizirani izmenjavi DNK, daktiloskopskih podatkov in podatkov o registraciji vozil; in izvedbenim sporazumom (Dunaj ,13.9.2018), ki ga bo SI podpisala po razrešitvi trenutnega spora (predvidoma leta 2022). SI mora prav tako povečati nacionalne zmogljivosti za zbiranje, analizo in izmenjavo podatkov o DNK, izboljšati zmogljivosti za delo z zapisi DNK, odpraviti zaostanke pri analizi sledi in poročati o izvedenih analizah.</w:t>
            </w:r>
          </w:p>
          <w:p w:rsidR="00A77B3E">
            <w:pPr>
              <w:spacing w:before="100" w:after="0"/>
              <w:jc w:val="start"/>
              <w:rPr>
                <w:rFonts w:ascii="TimesNewRoman" w:eastAsia="TimesNewRoman" w:hAnsi="TimesNewRoman" w:cs="TimesNewRoman"/>
                <w:b w:val="0"/>
                <w:i w:val="0"/>
                <w:vanish w:val="0"/>
                <w:color w:val="000000"/>
                <w:sz w:val="24"/>
              </w:rPr>
            </w:pPr>
            <w:r>
              <w:rPr>
                <w:rFonts w:ascii="TimesNewRoman" w:eastAsia="TimesNewRoman" w:hAnsi="TimesNewRoman" w:cs="TimesNewRoman"/>
                <w:b w:val="0"/>
                <w:i w:val="0"/>
                <w:vanish w:val="0"/>
                <w:color w:val="000000"/>
                <w:sz w:val="24"/>
              </w:rPr>
              <w:t>Glavni izziv: povezave z državami ZB, ki zahtevajo postavitev novega sistema, podobnega obstoječemu - vzpostavitev PRÜM druge generacije. Obstoječi sistem PRÜM za izmenjavo podatkov bo vzpostavljen v skladu z novo uredbo PRÜM, z uporabo novih kanalov za izmenjavo podatkov – zato se imenuje druga generacija PRÜM. Nadgradnja Prümske izmenjave podatkov omogoča izmenjavo fotografij na podoben način, kot za DNK.</w:t>
            </w:r>
          </w:p>
          <w:p w:rsidR="00A77B3E">
            <w:pPr>
              <w:spacing w:before="100" w:after="0"/>
              <w:jc w:val="start"/>
              <w:rPr>
                <w:rFonts w:ascii="TimesNewRoman" w:eastAsia="TimesNewRoman" w:hAnsi="TimesNewRoman" w:cs="TimesNewRoman"/>
                <w:b w:val="0"/>
                <w:i w:val="0"/>
                <w:vanish w:val="0"/>
                <w:color w:val="000000"/>
                <w:sz w:val="24"/>
              </w:rPr>
            </w:pPr>
            <w:r>
              <w:rPr>
                <w:rFonts w:ascii="TimesNewRoman" w:eastAsia="TimesNewRoman" w:hAnsi="TimesNewRoman" w:cs="TimesNewRoman"/>
                <w:b w:val="0"/>
                <w:i w:val="0"/>
                <w:vanish w:val="0"/>
                <w:color w:val="000000"/>
                <w:sz w:val="24"/>
              </w:rPr>
              <w:t>Dejavnosti: nabava, namestitev, testiranje in uporaba strojne in programske opreme. Za to bo SI za izmenjavo informacij uporabljala: Lotus Notes Postal System, OS: Windows Server 2003, DB: Ms SQL Server 2005, DE_CC v1.1, AT Match tools in Apache TOMCAT 7.0.</w:t>
            </w:r>
          </w:p>
          <w:p w:rsidR="00A77B3E">
            <w:pPr>
              <w:spacing w:before="100" w:after="0"/>
              <w:jc w:val="start"/>
              <w:rPr>
                <w:rFonts w:ascii="TimesNewRoman" w:eastAsia="TimesNewRoman" w:hAnsi="TimesNewRoman" w:cs="TimesNewRoman"/>
                <w:b w:val="0"/>
                <w:i w:val="0"/>
                <w:vanish w:val="0"/>
                <w:color w:val="000000"/>
                <w:sz w:val="24"/>
              </w:rPr>
            </w:pPr>
            <w:r>
              <w:rPr>
                <w:rFonts w:ascii="TimesNewRoman" w:eastAsia="TimesNewRoman" w:hAnsi="TimesNewRoman" w:cs="TimesNewRoman"/>
                <w:b w:val="0"/>
                <w:i w:val="0"/>
                <w:vanish w:val="0"/>
                <w:color w:val="000000"/>
                <w:sz w:val="24"/>
              </w:rPr>
              <w:t>Pričakovani rezultati:</w:t>
            </w:r>
          </w:p>
          <w:p w:rsidR="00A77B3E">
            <w:pPr>
              <w:numPr>
                <w:ilvl w:val="0"/>
                <w:numId w:val="2"/>
              </w:numPr>
              <w:spacing w:before="100" w:after="0"/>
              <w:ind w:start="720" w:hanging="360"/>
              <w:jc w:val="start"/>
              <w:rPr>
                <w:rFonts w:ascii="TimesNewRoman" w:eastAsia="TimesNewRoman" w:hAnsi="TimesNewRoman" w:cs="TimesNewRoman"/>
                <w:b w:val="0"/>
                <w:i w:val="0"/>
                <w:vanish w:val="0"/>
                <w:color w:val="000000"/>
                <w:sz w:val="24"/>
              </w:rPr>
            </w:pPr>
            <w:r>
              <w:rPr>
                <w:rFonts w:ascii="TimesNewRoman" w:eastAsia="TimesNewRoman" w:hAnsi="TimesNewRoman" w:cs="TimesNewRoman"/>
                <w:b w:val="0"/>
                <w:i w:val="0"/>
                <w:vanish w:val="0"/>
                <w:color w:val="000000"/>
                <w:sz w:val="24"/>
              </w:rPr>
              <w:t>Širitev izmenjave DNK in drugih podatkov z državami ZB, s čimer pričakujemo uspešno identificiranje storilcev, ki izvirajo iz Balkana.</w:t>
            </w:r>
          </w:p>
          <w:p w:rsidR="00A77B3E">
            <w:pPr>
              <w:numPr>
                <w:ilvl w:val="0"/>
                <w:numId w:val="2"/>
              </w:numPr>
              <w:spacing w:before="100" w:after="0"/>
              <w:ind w:start="720" w:hanging="360"/>
              <w:jc w:val="start"/>
              <w:rPr>
                <w:rFonts w:ascii="TimesNewRoman" w:eastAsia="TimesNewRoman" w:hAnsi="TimesNewRoman" w:cs="TimesNewRoman"/>
                <w:b w:val="0"/>
                <w:i w:val="0"/>
                <w:vanish w:val="0"/>
                <w:color w:val="000000"/>
                <w:sz w:val="24"/>
              </w:rPr>
            </w:pPr>
            <w:r>
              <w:rPr>
                <w:rFonts w:ascii="TimesNewRoman" w:eastAsia="TimesNewRoman" w:hAnsi="TimesNewRoman" w:cs="TimesNewRoman"/>
                <w:b w:val="0"/>
                <w:i w:val="0"/>
                <w:vanish w:val="0"/>
                <w:color w:val="000000"/>
                <w:sz w:val="24"/>
              </w:rPr>
              <w:t>Z izmenjavo dodatnih vsebin z DČ npr. slik osumljencev uspešna identifikacija osumljencev, kar do sedaj ni bilo uspešno.</w:t>
            </w:r>
          </w:p>
          <w:p w:rsidR="00A77B3E">
            <w:pPr>
              <w:numPr>
                <w:ilvl w:val="0"/>
                <w:numId w:val="2"/>
              </w:numPr>
              <w:spacing w:before="100" w:after="0"/>
              <w:ind w:start="720" w:hanging="360"/>
              <w:jc w:val="start"/>
              <w:rPr>
                <w:rFonts w:ascii="TimesNewRoman" w:eastAsia="TimesNewRoman" w:hAnsi="TimesNewRoman" w:cs="TimesNewRoman"/>
                <w:b w:val="0"/>
                <w:i w:val="0"/>
                <w:vanish w:val="0"/>
                <w:color w:val="000000"/>
                <w:sz w:val="24"/>
              </w:rPr>
            </w:pPr>
            <w:r>
              <w:rPr>
                <w:rFonts w:ascii="TimesNewRoman" w:eastAsia="TimesNewRoman" w:hAnsi="TimesNewRoman" w:cs="TimesNewRoman"/>
                <w:b w:val="0"/>
                <w:i w:val="0"/>
                <w:vanish w:val="0"/>
                <w:color w:val="000000"/>
                <w:sz w:val="24"/>
              </w:rPr>
              <w:t>V skladu z novo uredbo Prüm izvedena povezava in integracija nacionalne rešitve s centralnim sistemom (Prüm II Router).</w:t>
            </w:r>
          </w:p>
          <w:p w:rsidR="00A77B3E">
            <w:pPr>
              <w:numPr>
                <w:ilvl w:val="0"/>
                <w:numId w:val="2"/>
              </w:numPr>
              <w:spacing w:before="100" w:after="0"/>
              <w:ind w:start="720" w:hanging="360"/>
              <w:jc w:val="start"/>
              <w:rPr>
                <w:rFonts w:ascii="TimesNewRoman" w:eastAsia="TimesNewRoman" w:hAnsi="TimesNewRoman" w:cs="TimesNewRoman"/>
                <w:b w:val="0"/>
                <w:i w:val="0"/>
                <w:vanish w:val="0"/>
                <w:color w:val="000000"/>
                <w:sz w:val="24"/>
              </w:rPr>
            </w:pPr>
            <w:r>
              <w:rPr>
                <w:rFonts w:ascii="TimesNewRoman" w:eastAsia="TimesNewRoman" w:hAnsi="TimesNewRoman" w:cs="TimesNewRoman"/>
                <w:b w:val="0"/>
                <w:i w:val="0"/>
                <w:vanish w:val="0"/>
                <w:color w:val="000000"/>
                <w:sz w:val="24"/>
              </w:rPr>
              <w:t>Izvedena nadgradnja nacionalne rešitve Prüm.</w:t>
            </w:r>
          </w:p>
          <w:p w:rsidR="00A77B3E">
            <w:pPr>
              <w:spacing w:before="100" w:after="0"/>
              <w:jc w:val="start"/>
              <w:rPr>
                <w:rFonts w:ascii="TimesNewRoman" w:eastAsia="TimesNewRoman" w:hAnsi="TimesNewRoman" w:cs="TimesNewRoman"/>
                <w:b w:val="0"/>
                <w:i w:val="0"/>
                <w:vanish w:val="0"/>
                <w:color w:val="000000"/>
                <w:sz w:val="24"/>
              </w:rPr>
            </w:pPr>
          </w:p>
          <w:p w:rsidR="00A77B3E">
            <w:pPr>
              <w:spacing w:before="100" w:after="0"/>
              <w:jc w:val="start"/>
              <w:rPr>
                <w:rFonts w:ascii="TimesNewRoman" w:eastAsia="TimesNewRoman" w:hAnsi="TimesNewRoman" w:cs="TimesNewRoman"/>
                <w:b w:val="0"/>
                <w:i w:val="0"/>
                <w:vanish w:val="0"/>
                <w:color w:val="000000"/>
                <w:sz w:val="24"/>
              </w:rPr>
            </w:pPr>
            <w:r>
              <w:rPr>
                <w:rFonts w:ascii="TimesNewRoman" w:eastAsia="TimesNewRoman" w:hAnsi="TimesNewRoman" w:cs="TimesNewRoman"/>
                <w:b/>
                <w:bCs/>
                <w:i w:val="0"/>
                <w:vanish w:val="0"/>
                <w:color w:val="000000"/>
                <w:sz w:val="24"/>
              </w:rPr>
              <w:t>- Povečanje nacionalnih zmogljivosti za zbiranje, analizo in izmenjavo podatkov DNK v skladu s Prümskimi sklepi</w:t>
            </w:r>
          </w:p>
          <w:p w:rsidR="00A77B3E">
            <w:pPr>
              <w:spacing w:before="100" w:after="0"/>
              <w:jc w:val="start"/>
              <w:rPr>
                <w:rFonts w:ascii="TimesNewRoman" w:eastAsia="TimesNewRoman" w:hAnsi="TimesNewRoman" w:cs="TimesNewRoman"/>
                <w:b w:val="0"/>
                <w:i w:val="0"/>
                <w:vanish w:val="0"/>
                <w:color w:val="000000"/>
                <w:sz w:val="24"/>
              </w:rPr>
            </w:pPr>
            <w:r>
              <w:rPr>
                <w:rFonts w:ascii="TimesNewRoman" w:eastAsia="TimesNewRoman" w:hAnsi="TimesNewRoman" w:cs="TimesNewRoman"/>
                <w:b w:val="0"/>
                <w:i w:val="0"/>
                <w:vanish w:val="0"/>
                <w:color w:val="000000"/>
                <w:sz w:val="24"/>
              </w:rPr>
              <w:t>Na oddelku za biološke preiskave v Nacionalnem forenzičnem laboratoriju je oprema, ki je ključna za nemoteno delo na oddelku, že precej zastarela, zato je potrebno dodatno preverjanje delovanja aparatur in njihovo čiščenje. Za nemoteno delo z evidencami in mednarodno izmenjavo podatkov je potrebno izboljšati kapacitete za delo in predvsem zmanjšati zaostanke v analizi sledi in poročanju o opravljenih analizah. Vsa prizadevanja bodo namenjena varnemu zbiranju, hrambi, obdelavi, analizi in izmenjavi informacij pri preprečevanju, odkrivanju, preiskovanju in pregonu kaznivih dejanj znotraj EU in s tretjimi državami ter mednarodnimi deležniki.</w:t>
            </w:r>
          </w:p>
          <w:p w:rsidR="00A77B3E">
            <w:pPr>
              <w:spacing w:before="100" w:after="0"/>
              <w:jc w:val="start"/>
              <w:rPr>
                <w:rFonts w:ascii="TimesNewRoman" w:eastAsia="TimesNewRoman" w:hAnsi="TimesNewRoman" w:cs="TimesNewRoman"/>
                <w:b w:val="0"/>
                <w:i w:val="0"/>
                <w:vanish w:val="0"/>
                <w:color w:val="000000"/>
                <w:sz w:val="24"/>
              </w:rPr>
            </w:pPr>
            <w:r>
              <w:rPr>
                <w:rFonts w:ascii="TimesNewRoman" w:eastAsia="TimesNewRoman" w:hAnsi="TimesNewRoman" w:cs="TimesNewRoman"/>
                <w:b w:val="0"/>
                <w:i w:val="0"/>
                <w:vanish w:val="0"/>
                <w:color w:val="000000"/>
                <w:sz w:val="24"/>
              </w:rPr>
              <w:t>Glavni izzivi: posodobitev zastarele opreme, povečanje učinkovitosti dela na oddelku in zmanjševanje večletnega zaostanka.</w:t>
            </w:r>
          </w:p>
          <w:p w:rsidR="00A77B3E">
            <w:pPr>
              <w:spacing w:before="100" w:after="0"/>
              <w:jc w:val="start"/>
              <w:rPr>
                <w:rFonts w:ascii="TimesNewRoman" w:eastAsia="TimesNewRoman" w:hAnsi="TimesNewRoman" w:cs="TimesNewRoman"/>
                <w:b w:val="0"/>
                <w:i w:val="0"/>
                <w:vanish w:val="0"/>
                <w:color w:val="000000"/>
                <w:sz w:val="24"/>
              </w:rPr>
            </w:pPr>
            <w:r>
              <w:rPr>
                <w:rFonts w:ascii="TimesNewRoman" w:eastAsia="TimesNewRoman" w:hAnsi="TimesNewRoman" w:cs="TimesNewRoman"/>
                <w:b w:val="0"/>
                <w:i w:val="0"/>
                <w:vanish w:val="0"/>
                <w:color w:val="000000"/>
                <w:sz w:val="24"/>
              </w:rPr>
              <w:t>Aktivnosti:</w:t>
            </w:r>
          </w:p>
          <w:p w:rsidR="00A77B3E">
            <w:pPr>
              <w:numPr>
                <w:ilvl w:val="0"/>
                <w:numId w:val="3"/>
              </w:numPr>
              <w:spacing w:before="100" w:after="0"/>
              <w:ind w:start="720" w:hanging="360"/>
              <w:jc w:val="start"/>
              <w:rPr>
                <w:rFonts w:ascii="TimesNewRoman" w:eastAsia="TimesNewRoman" w:hAnsi="TimesNewRoman" w:cs="TimesNewRoman"/>
                <w:b w:val="0"/>
                <w:i w:val="0"/>
                <w:vanish w:val="0"/>
                <w:color w:val="000000"/>
                <w:sz w:val="24"/>
              </w:rPr>
            </w:pPr>
            <w:r>
              <w:rPr>
                <w:rFonts w:ascii="TimesNewRoman" w:eastAsia="TimesNewRoman" w:hAnsi="TimesNewRoman" w:cs="TimesNewRoman"/>
                <w:b w:val="0"/>
                <w:i w:val="0"/>
                <w:vanish w:val="0"/>
                <w:color w:val="000000"/>
                <w:sz w:val="24"/>
              </w:rPr>
              <w:t>Nabava najsodobnejše opreme (robot za izolacijo DNK, aparatura za določanje koncentracije DNK in dva genetska analizatorja).</w:t>
            </w:r>
          </w:p>
          <w:p w:rsidR="00A77B3E">
            <w:pPr>
              <w:numPr>
                <w:ilvl w:val="0"/>
                <w:numId w:val="3"/>
              </w:numPr>
              <w:spacing w:before="100" w:after="0"/>
              <w:ind w:start="720" w:hanging="360"/>
              <w:jc w:val="start"/>
              <w:rPr>
                <w:rFonts w:ascii="TimesNewRoman" w:eastAsia="TimesNewRoman" w:hAnsi="TimesNewRoman" w:cs="TimesNewRoman"/>
                <w:b w:val="0"/>
                <w:i w:val="0"/>
                <w:vanish w:val="0"/>
                <w:color w:val="000000"/>
                <w:sz w:val="24"/>
              </w:rPr>
            </w:pPr>
            <w:r>
              <w:rPr>
                <w:rFonts w:ascii="TimesNewRoman" w:eastAsia="TimesNewRoman" w:hAnsi="TimesNewRoman" w:cs="TimesNewRoman"/>
                <w:b w:val="0"/>
                <w:i w:val="0"/>
                <w:vanish w:val="0"/>
                <w:color w:val="000000"/>
                <w:sz w:val="24"/>
              </w:rPr>
              <w:t>Usposabljanje osebja (splošnega in specializiranega) za uporabo nove opreme opreme NGS (nacionalne ali mednarodne delavnice, oziroma obiski drugih evropskih laboratorijev).</w:t>
            </w:r>
          </w:p>
          <w:p w:rsidR="00A77B3E">
            <w:pPr>
              <w:numPr>
                <w:ilvl w:val="0"/>
                <w:numId w:val="3"/>
              </w:numPr>
              <w:spacing w:before="100" w:after="0"/>
              <w:ind w:start="720" w:hanging="360"/>
              <w:jc w:val="start"/>
              <w:rPr>
                <w:rFonts w:ascii="TimesNewRoman" w:eastAsia="TimesNewRoman" w:hAnsi="TimesNewRoman" w:cs="TimesNewRoman"/>
                <w:b w:val="0"/>
                <w:i w:val="0"/>
                <w:vanish w:val="0"/>
                <w:color w:val="000000"/>
                <w:sz w:val="24"/>
              </w:rPr>
            </w:pPr>
            <w:r>
              <w:rPr>
                <w:rFonts w:ascii="TimesNewRoman" w:eastAsia="TimesNewRoman" w:hAnsi="TimesNewRoman" w:cs="TimesNewRoman"/>
                <w:b w:val="0"/>
                <w:i w:val="0"/>
                <w:vanish w:val="0"/>
                <w:color w:val="000000"/>
                <w:sz w:val="24"/>
              </w:rPr>
              <w:t>Usposabljanje osebja za interpretacijo rezultatov, pridobljenih z novo opremo (nacionalne ali mednarodne delavnice, oziroma obiski drugih evropskih laboratorijev).</w:t>
            </w:r>
          </w:p>
          <w:p w:rsidR="00A77B3E">
            <w:pPr>
              <w:numPr>
                <w:ilvl w:val="0"/>
                <w:numId w:val="3"/>
              </w:numPr>
              <w:spacing w:before="100" w:after="0"/>
              <w:ind w:start="720" w:hanging="360"/>
              <w:jc w:val="start"/>
              <w:rPr>
                <w:rFonts w:ascii="TimesNewRoman" w:eastAsia="TimesNewRoman" w:hAnsi="TimesNewRoman" w:cs="TimesNewRoman"/>
                <w:b w:val="0"/>
                <w:i w:val="0"/>
                <w:vanish w:val="0"/>
                <w:color w:val="000000"/>
                <w:sz w:val="24"/>
              </w:rPr>
            </w:pPr>
            <w:r>
              <w:rPr>
                <w:rFonts w:ascii="TimesNewRoman" w:eastAsia="TimesNewRoman" w:hAnsi="TimesNewRoman" w:cs="TimesNewRoman"/>
                <w:b w:val="0"/>
                <w:i w:val="0"/>
                <w:vanish w:val="0"/>
                <w:color w:val="000000"/>
                <w:sz w:val="24"/>
              </w:rPr>
              <w:t>Zaposlitev osebe na projektu, ki bi opravljala validacije novih aparatur, poleg tega pa vzpostavila sistem hitrejše analize primerjalnih vzorcev in s tem bolj učinkovito in hitrejšo izmenjavo podatkov s tujimi varnostnimi organi (Prüm, Interpol).</w:t>
            </w:r>
          </w:p>
          <w:p w:rsidR="00A77B3E">
            <w:pPr>
              <w:numPr>
                <w:ilvl w:val="0"/>
                <w:numId w:val="3"/>
              </w:numPr>
              <w:spacing w:before="100" w:after="0"/>
              <w:ind w:start="720" w:hanging="360"/>
              <w:jc w:val="start"/>
              <w:rPr>
                <w:rFonts w:ascii="TimesNewRoman" w:eastAsia="TimesNewRoman" w:hAnsi="TimesNewRoman" w:cs="TimesNewRoman"/>
                <w:b w:val="0"/>
                <w:i w:val="0"/>
                <w:vanish w:val="0"/>
                <w:color w:val="000000"/>
                <w:sz w:val="24"/>
              </w:rPr>
            </w:pPr>
            <w:r>
              <w:rPr>
                <w:rFonts w:ascii="TimesNewRoman" w:eastAsia="TimesNewRoman" w:hAnsi="TimesNewRoman" w:cs="TimesNewRoman"/>
                <w:b w:val="0"/>
                <w:i w:val="0"/>
                <w:vanish w:val="0"/>
                <w:color w:val="000000"/>
                <w:sz w:val="24"/>
              </w:rPr>
              <w:t>Nabava materialnih sredstev za nove aparature in njihovo servisiranje.</w:t>
            </w:r>
          </w:p>
          <w:p w:rsidR="00A77B3E">
            <w:pPr>
              <w:spacing w:before="100" w:after="0"/>
              <w:jc w:val="start"/>
              <w:rPr>
                <w:rFonts w:ascii="TimesNewRoman" w:eastAsia="TimesNewRoman" w:hAnsi="TimesNewRoman" w:cs="TimesNewRoman"/>
                <w:b w:val="0"/>
                <w:i w:val="0"/>
                <w:vanish w:val="0"/>
                <w:color w:val="000000"/>
                <w:sz w:val="24"/>
              </w:rPr>
            </w:pPr>
            <w:r>
              <w:rPr>
                <w:rFonts w:ascii="TimesNewRoman" w:eastAsia="TimesNewRoman" w:hAnsi="TimesNewRoman" w:cs="TimesNewRoman"/>
                <w:b w:val="0"/>
                <w:i w:val="0"/>
                <w:vanish w:val="0"/>
                <w:color w:val="000000"/>
                <w:sz w:val="24"/>
              </w:rPr>
              <w:t>Pričakovani rezultati:</w:t>
            </w:r>
          </w:p>
          <w:p w:rsidR="00A77B3E">
            <w:pPr>
              <w:numPr>
                <w:ilvl w:val="0"/>
                <w:numId w:val="4"/>
              </w:numPr>
              <w:spacing w:before="100" w:after="0"/>
              <w:ind w:start="720" w:hanging="360"/>
              <w:jc w:val="start"/>
              <w:rPr>
                <w:rFonts w:ascii="TimesNewRoman" w:eastAsia="TimesNewRoman" w:hAnsi="TimesNewRoman" w:cs="TimesNewRoman"/>
                <w:b w:val="0"/>
                <w:i w:val="0"/>
                <w:vanish w:val="0"/>
                <w:color w:val="000000"/>
                <w:sz w:val="24"/>
              </w:rPr>
            </w:pPr>
            <w:r>
              <w:rPr>
                <w:rFonts w:ascii="TimesNewRoman" w:eastAsia="TimesNewRoman" w:hAnsi="TimesNewRoman" w:cs="TimesNewRoman"/>
                <w:b w:val="0"/>
                <w:i w:val="0"/>
                <w:vanish w:val="0"/>
                <w:color w:val="000000"/>
                <w:sz w:val="24"/>
              </w:rPr>
              <w:t>Izboljšane in okrepljene kapacitete za analizo DNK</w:t>
            </w:r>
          </w:p>
          <w:p w:rsidR="00A77B3E">
            <w:pPr>
              <w:numPr>
                <w:ilvl w:val="0"/>
                <w:numId w:val="4"/>
              </w:numPr>
              <w:spacing w:before="100" w:after="0"/>
              <w:ind w:start="720" w:hanging="360"/>
              <w:jc w:val="start"/>
              <w:rPr>
                <w:rFonts w:ascii="TimesNewRoman" w:eastAsia="TimesNewRoman" w:hAnsi="TimesNewRoman" w:cs="TimesNewRoman"/>
                <w:b w:val="0"/>
                <w:i w:val="0"/>
                <w:vanish w:val="0"/>
                <w:color w:val="000000"/>
                <w:sz w:val="24"/>
              </w:rPr>
            </w:pPr>
            <w:r>
              <w:rPr>
                <w:rFonts w:ascii="TimesNewRoman" w:eastAsia="TimesNewRoman" w:hAnsi="TimesNewRoman" w:cs="TimesNewRoman"/>
                <w:b w:val="0"/>
                <w:i w:val="0"/>
                <w:vanish w:val="0"/>
                <w:color w:val="000000"/>
                <w:sz w:val="24"/>
              </w:rPr>
              <w:t>Najsodobnejša laboratorijska oprema</w:t>
            </w:r>
          </w:p>
          <w:p w:rsidR="00A77B3E">
            <w:pPr>
              <w:numPr>
                <w:ilvl w:val="0"/>
                <w:numId w:val="4"/>
              </w:numPr>
              <w:spacing w:before="100" w:after="0"/>
              <w:ind w:start="720" w:hanging="360"/>
              <w:jc w:val="start"/>
              <w:rPr>
                <w:rFonts w:ascii="TimesNewRoman" w:eastAsia="TimesNewRoman" w:hAnsi="TimesNewRoman" w:cs="TimesNewRoman"/>
                <w:b w:val="0"/>
                <w:i w:val="0"/>
                <w:vanish w:val="0"/>
                <w:color w:val="000000"/>
                <w:sz w:val="24"/>
              </w:rPr>
            </w:pPr>
            <w:r>
              <w:rPr>
                <w:rFonts w:ascii="TimesNewRoman" w:eastAsia="TimesNewRoman" w:hAnsi="TimesNewRoman" w:cs="TimesNewRoman"/>
                <w:b w:val="0"/>
                <w:i w:val="0"/>
                <w:vanish w:val="0"/>
                <w:color w:val="000000"/>
                <w:sz w:val="24"/>
              </w:rPr>
              <w:t>Usposobljeno, kvalificirano osebje</w:t>
            </w:r>
          </w:p>
          <w:p w:rsidR="00A77B3E">
            <w:pPr>
              <w:numPr>
                <w:ilvl w:val="0"/>
                <w:numId w:val="4"/>
              </w:numPr>
              <w:spacing w:before="100" w:after="0"/>
              <w:ind w:start="720" w:hanging="360"/>
              <w:jc w:val="start"/>
              <w:rPr>
                <w:rFonts w:ascii="TimesNewRoman" w:eastAsia="TimesNewRoman" w:hAnsi="TimesNewRoman" w:cs="TimesNewRoman"/>
                <w:b w:val="0"/>
                <w:i w:val="0"/>
                <w:vanish w:val="0"/>
                <w:color w:val="000000"/>
                <w:sz w:val="24"/>
              </w:rPr>
            </w:pPr>
            <w:r>
              <w:rPr>
                <w:rFonts w:ascii="TimesNewRoman" w:eastAsia="TimesNewRoman" w:hAnsi="TimesNewRoman" w:cs="TimesNewRoman"/>
                <w:b w:val="0"/>
                <w:i w:val="0"/>
                <w:vanish w:val="0"/>
                <w:color w:val="000000"/>
                <w:sz w:val="24"/>
              </w:rPr>
              <w:t>Izboljšana zmogljivost analiz DNK</w:t>
            </w:r>
          </w:p>
          <w:p w:rsidR="00A77B3E">
            <w:pPr>
              <w:spacing w:before="100" w:after="0"/>
              <w:jc w:val="start"/>
              <w:rPr>
                <w:rFonts w:ascii="TimesNewRoman" w:eastAsia="TimesNewRoman" w:hAnsi="TimesNewRoman" w:cs="TimesNewRoman"/>
                <w:b w:val="0"/>
                <w:i w:val="0"/>
                <w:vanish w:val="0"/>
                <w:color w:val="000000"/>
                <w:sz w:val="24"/>
              </w:rPr>
            </w:pPr>
          </w:p>
          <w:p w:rsidR="00A77B3E">
            <w:pPr>
              <w:spacing w:before="100" w:after="0"/>
              <w:jc w:val="start"/>
              <w:rPr>
                <w:rFonts w:ascii="TimesNewRoman" w:eastAsia="TimesNewRoman" w:hAnsi="TimesNewRoman" w:cs="TimesNewRoman"/>
                <w:b w:val="0"/>
                <w:i w:val="0"/>
                <w:vanish w:val="0"/>
                <w:color w:val="000000"/>
                <w:sz w:val="24"/>
              </w:rPr>
            </w:pPr>
            <w:r>
              <w:rPr>
                <w:rFonts w:ascii="TimesNewRoman" w:eastAsia="TimesNewRoman" w:hAnsi="TimesNewRoman" w:cs="TimesNewRoman"/>
                <w:b/>
                <w:bCs/>
                <w:i w:val="0"/>
                <w:vanish w:val="0"/>
                <w:color w:val="000000"/>
                <w:sz w:val="24"/>
              </w:rPr>
              <w:t xml:space="preserve">2) </w:t>
            </w:r>
            <w:r>
              <w:rPr>
                <w:rFonts w:ascii="TimesNewRoman" w:eastAsia="TimesNewRoman" w:hAnsi="TimesNewRoman" w:cs="TimesNewRoman"/>
                <w:b/>
                <w:bCs/>
                <w:i w:val="0"/>
                <w:vanish w:val="0"/>
                <w:color w:val="000000"/>
                <w:sz w:val="24"/>
                <w:u w:val="single"/>
              </w:rPr>
              <w:t>Izvedbeni ukrep 1d): Podpiranje nacionalnih ukrepov</w:t>
            </w:r>
          </w:p>
          <w:p w:rsidR="00A77B3E">
            <w:pPr>
              <w:spacing w:before="100" w:after="0"/>
              <w:jc w:val="start"/>
              <w:rPr>
                <w:rFonts w:ascii="TimesNewRoman" w:eastAsia="TimesNewRoman" w:hAnsi="TimesNewRoman" w:cs="TimesNewRoman"/>
                <w:b w:val="0"/>
                <w:i w:val="0"/>
                <w:vanish w:val="0"/>
                <w:color w:val="000000"/>
                <w:sz w:val="24"/>
              </w:rPr>
            </w:pPr>
          </w:p>
          <w:p w:rsidR="00A77B3E">
            <w:pPr>
              <w:spacing w:before="100" w:after="0"/>
              <w:jc w:val="start"/>
              <w:rPr>
                <w:rFonts w:ascii="TimesNewRoman" w:eastAsia="TimesNewRoman" w:hAnsi="TimesNewRoman" w:cs="TimesNewRoman"/>
                <w:b w:val="0"/>
                <w:i w:val="0"/>
                <w:vanish w:val="0"/>
                <w:color w:val="000000"/>
                <w:sz w:val="24"/>
              </w:rPr>
            </w:pPr>
            <w:r>
              <w:rPr>
                <w:rFonts w:ascii="TimesNewRoman" w:eastAsia="TimesNewRoman" w:hAnsi="TimesNewRoman" w:cs="TimesNewRoman"/>
                <w:b/>
                <w:bCs/>
                <w:i w:val="0"/>
                <w:vanish w:val="0"/>
                <w:color w:val="000000"/>
                <w:sz w:val="24"/>
              </w:rPr>
              <w:t xml:space="preserve">- Krepitev zmogljivosti za identifikacijo tarčnih analitov za izboljšano podporo operativnemu delu in izboljšano mednarodno sodelovanje </w:t>
            </w:r>
          </w:p>
          <w:p w:rsidR="00A77B3E">
            <w:pPr>
              <w:spacing w:before="100" w:after="0"/>
              <w:jc w:val="start"/>
              <w:rPr>
                <w:rFonts w:ascii="TimesNewRoman" w:eastAsia="TimesNewRoman" w:hAnsi="TimesNewRoman" w:cs="TimesNewRoman"/>
                <w:b w:val="0"/>
                <w:i w:val="0"/>
                <w:vanish w:val="0"/>
                <w:color w:val="000000"/>
                <w:sz w:val="24"/>
              </w:rPr>
            </w:pPr>
            <w:r>
              <w:rPr>
                <w:rFonts w:ascii="TimesNewRoman" w:eastAsia="TimesNewRoman" w:hAnsi="TimesNewRoman" w:cs="TimesNewRoman"/>
                <w:b w:val="0"/>
                <w:i w:val="0"/>
                <w:vanish w:val="0"/>
                <w:color w:val="000000"/>
                <w:sz w:val="24"/>
              </w:rPr>
              <w:t xml:space="preserve">Policija, Nacionalni forenzični laboratorij se bo zaradi problematike kemijske identifikacije novih psihoaktivnih substanc, ki jih policija zasega, usmeril v krepitev zmogljivosti za </w:t>
            </w:r>
            <w:r>
              <w:rPr>
                <w:rFonts w:ascii="TimesNewRoman" w:eastAsia="TimesNewRoman" w:hAnsi="TimesNewRoman" w:cs="TimesNewRoman"/>
                <w:b/>
                <w:bCs/>
                <w:i w:val="0"/>
                <w:vanish w:val="0"/>
                <w:color w:val="000000"/>
                <w:sz w:val="24"/>
              </w:rPr>
              <w:t>identifikacijo tarčnih analitov</w:t>
            </w:r>
            <w:r>
              <w:rPr>
                <w:rFonts w:ascii="TimesNewRoman" w:eastAsia="TimesNewRoman" w:hAnsi="TimesNewRoman" w:cs="TimesNewRoman"/>
                <w:b w:val="0"/>
                <w:i w:val="0"/>
                <w:vanish w:val="0"/>
                <w:color w:val="000000"/>
                <w:sz w:val="24"/>
              </w:rPr>
              <w:t>, boljšo podporo policijskemu operativnemu delu in izboljšano sodelovanje z nacionalnimi in mednarodnimi deležniki z izmenjavo forenzično kredibilnih informacij, in sicer z nabavo UPLC-HRMS sistema ter razvojem metod za kemijske preiskave vzorcev, monitoring drog in sorodnih snovi, razvojem podatkovnih zbirk in izmenjavo informacij.</w:t>
            </w:r>
          </w:p>
          <w:p w:rsidR="00A77B3E">
            <w:pPr>
              <w:spacing w:before="100" w:after="0"/>
              <w:jc w:val="start"/>
              <w:rPr>
                <w:rFonts w:ascii="TimesNewRoman" w:eastAsia="TimesNewRoman" w:hAnsi="TimesNewRoman" w:cs="TimesNewRoman"/>
                <w:b w:val="0"/>
                <w:i w:val="0"/>
                <w:vanish w:val="0"/>
                <w:color w:val="000000"/>
                <w:sz w:val="24"/>
              </w:rPr>
            </w:pPr>
            <w:r>
              <w:rPr>
                <w:rFonts w:ascii="TimesNewRoman" w:eastAsia="TimesNewRoman" w:hAnsi="TimesNewRoman" w:cs="TimesNewRoman"/>
                <w:b w:val="0"/>
                <w:i w:val="0"/>
                <w:vanish w:val="0"/>
                <w:color w:val="000000"/>
                <w:sz w:val="24"/>
              </w:rPr>
              <w:t>Glavni izzivi: izboljšanje kemijske karakterizacije in baz podatkov o še neanaliziranih novih psihotropnih snoveh – NPS z obstoječim referenčnim materialom ter učinkovito izmenjavo informacij in znanja.</w:t>
            </w:r>
          </w:p>
          <w:p w:rsidR="00A77B3E">
            <w:pPr>
              <w:spacing w:before="100" w:after="0"/>
              <w:jc w:val="start"/>
              <w:rPr>
                <w:rFonts w:ascii="TimesNewRoman" w:eastAsia="TimesNewRoman" w:hAnsi="TimesNewRoman" w:cs="TimesNewRoman"/>
                <w:b w:val="0"/>
                <w:i w:val="0"/>
                <w:vanish w:val="0"/>
                <w:color w:val="000000"/>
                <w:sz w:val="24"/>
              </w:rPr>
            </w:pPr>
            <w:r>
              <w:rPr>
                <w:rFonts w:ascii="TimesNewRoman" w:eastAsia="TimesNewRoman" w:hAnsi="TimesNewRoman" w:cs="TimesNewRoman"/>
                <w:b w:val="0"/>
                <w:i w:val="0"/>
                <w:vanish w:val="0"/>
                <w:color w:val="000000"/>
                <w:sz w:val="24"/>
              </w:rPr>
              <w:t>Aktivnosti:</w:t>
            </w:r>
          </w:p>
          <w:p w:rsidR="00A77B3E">
            <w:pPr>
              <w:numPr>
                <w:ilvl w:val="0"/>
                <w:numId w:val="5"/>
              </w:numPr>
              <w:spacing w:before="100" w:after="0"/>
              <w:ind w:start="720" w:hanging="360"/>
              <w:jc w:val="start"/>
              <w:rPr>
                <w:rFonts w:ascii="TimesNewRoman" w:eastAsia="TimesNewRoman" w:hAnsi="TimesNewRoman" w:cs="TimesNewRoman"/>
                <w:b w:val="0"/>
                <w:i w:val="0"/>
                <w:vanish w:val="0"/>
                <w:color w:val="000000"/>
                <w:sz w:val="24"/>
              </w:rPr>
            </w:pPr>
            <w:r>
              <w:rPr>
                <w:rFonts w:ascii="TimesNewRoman" w:eastAsia="TimesNewRoman" w:hAnsi="TimesNewRoman" w:cs="TimesNewRoman"/>
                <w:b w:val="0"/>
                <w:i w:val="0"/>
                <w:vanish w:val="0"/>
                <w:color w:val="000000"/>
                <w:sz w:val="24"/>
              </w:rPr>
              <w:t>Nabava opreme.</w:t>
            </w:r>
          </w:p>
          <w:p w:rsidR="00A77B3E">
            <w:pPr>
              <w:numPr>
                <w:ilvl w:val="0"/>
                <w:numId w:val="5"/>
              </w:numPr>
              <w:spacing w:before="100" w:after="0"/>
              <w:ind w:start="720" w:hanging="360"/>
              <w:jc w:val="start"/>
              <w:rPr>
                <w:rFonts w:ascii="TimesNewRoman" w:eastAsia="TimesNewRoman" w:hAnsi="TimesNewRoman" w:cs="TimesNewRoman"/>
                <w:b w:val="0"/>
                <w:i w:val="0"/>
                <w:vanish w:val="0"/>
                <w:color w:val="000000"/>
                <w:sz w:val="24"/>
              </w:rPr>
            </w:pPr>
            <w:r>
              <w:rPr>
                <w:rFonts w:ascii="TimesNewRoman" w:eastAsia="TimesNewRoman" w:hAnsi="TimesNewRoman" w:cs="TimesNewRoman"/>
                <w:b w:val="0"/>
                <w:i w:val="0"/>
                <w:vanish w:val="0"/>
                <w:color w:val="000000"/>
                <w:sz w:val="24"/>
              </w:rPr>
              <w:t>Vzpostavitev podatkovnih baz za tarčno in ne tarčno iskanje substanc s spremljajočimi metapodatki, baz podatkov za ciljno in neciljno iskanje snovi s pripadajočimi metapodatki.</w:t>
            </w:r>
          </w:p>
          <w:p w:rsidR="00A77B3E">
            <w:pPr>
              <w:numPr>
                <w:ilvl w:val="0"/>
                <w:numId w:val="5"/>
              </w:numPr>
              <w:spacing w:before="100" w:after="0"/>
              <w:ind w:start="720" w:hanging="360"/>
              <w:jc w:val="start"/>
              <w:rPr>
                <w:rFonts w:ascii="TimesNewRoman" w:eastAsia="TimesNewRoman" w:hAnsi="TimesNewRoman" w:cs="TimesNewRoman"/>
                <w:b w:val="0"/>
                <w:i w:val="0"/>
                <w:vanish w:val="0"/>
                <w:color w:val="000000"/>
                <w:sz w:val="24"/>
              </w:rPr>
            </w:pPr>
            <w:r>
              <w:rPr>
                <w:rFonts w:ascii="TimesNewRoman" w:eastAsia="TimesNewRoman" w:hAnsi="TimesNewRoman" w:cs="TimesNewRoman"/>
                <w:b w:val="0"/>
                <w:i w:val="0"/>
                <w:vanish w:val="0"/>
                <w:color w:val="000000"/>
                <w:sz w:val="24"/>
              </w:rPr>
              <w:t>Razvoj analitičnih metod za identifikacijo tarčnih analitov (različna forenzična področja).</w:t>
            </w:r>
          </w:p>
          <w:p w:rsidR="00A77B3E">
            <w:pPr>
              <w:numPr>
                <w:ilvl w:val="0"/>
                <w:numId w:val="5"/>
              </w:numPr>
              <w:spacing w:before="100" w:after="0"/>
              <w:ind w:start="720" w:hanging="360"/>
              <w:jc w:val="start"/>
              <w:rPr>
                <w:rFonts w:ascii="TimesNewRoman" w:eastAsia="TimesNewRoman" w:hAnsi="TimesNewRoman" w:cs="TimesNewRoman"/>
                <w:b w:val="0"/>
                <w:i w:val="0"/>
                <w:vanish w:val="0"/>
                <w:color w:val="000000"/>
                <w:sz w:val="24"/>
              </w:rPr>
            </w:pPr>
            <w:r>
              <w:rPr>
                <w:rFonts w:ascii="TimesNewRoman" w:eastAsia="TimesNewRoman" w:hAnsi="TimesNewRoman" w:cs="TimesNewRoman"/>
                <w:b w:val="0"/>
                <w:i w:val="0"/>
                <w:vanish w:val="0"/>
                <w:color w:val="000000"/>
                <w:sz w:val="24"/>
              </w:rPr>
              <w:t>Redni letni monitoring prepovedanih drog, ki se običajno pojavljajo na trgu (heroin, kokain, konoplja, MDMA, itd.) in novih psihoaktivnih snovi zaseženih v SI, statistične obdelave ter poročanje.</w:t>
            </w:r>
          </w:p>
          <w:p w:rsidR="00A77B3E">
            <w:pPr>
              <w:numPr>
                <w:ilvl w:val="0"/>
                <w:numId w:val="5"/>
              </w:numPr>
              <w:spacing w:before="100" w:after="0"/>
              <w:ind w:start="720" w:hanging="360"/>
              <w:jc w:val="start"/>
              <w:rPr>
                <w:rFonts w:ascii="TimesNewRoman" w:eastAsia="TimesNewRoman" w:hAnsi="TimesNewRoman" w:cs="TimesNewRoman"/>
                <w:b w:val="0"/>
                <w:i w:val="0"/>
                <w:vanish w:val="0"/>
                <w:color w:val="000000"/>
                <w:sz w:val="24"/>
              </w:rPr>
            </w:pPr>
            <w:r>
              <w:rPr>
                <w:rFonts w:ascii="TimesNewRoman" w:eastAsia="TimesNewRoman" w:hAnsi="TimesNewRoman" w:cs="TimesNewRoman"/>
                <w:b w:val="0"/>
                <w:i w:val="0"/>
                <w:vanish w:val="0"/>
                <w:color w:val="000000"/>
                <w:sz w:val="24"/>
              </w:rPr>
              <w:t>Mednarodna izmenjava informacij s forenzičnimi laboratoriji v EU, EMCDDA in EUROPOL, izmenjava z nacionalnimi deležniki (Ministrstvo za zdravje in v okviru sistema za zgodnje obveščanje EWS), ozaveščanje javnosti, nacionalne ali mednarodne delavnice in seminarji.</w:t>
            </w:r>
          </w:p>
          <w:p w:rsidR="00A77B3E">
            <w:pPr>
              <w:numPr>
                <w:ilvl w:val="0"/>
                <w:numId w:val="5"/>
              </w:numPr>
              <w:spacing w:before="100" w:after="0"/>
              <w:ind w:start="720" w:hanging="360"/>
              <w:jc w:val="start"/>
              <w:rPr>
                <w:rFonts w:ascii="TimesNewRoman" w:eastAsia="TimesNewRoman" w:hAnsi="TimesNewRoman" w:cs="TimesNewRoman"/>
                <w:b w:val="0"/>
                <w:i w:val="0"/>
                <w:vanish w:val="0"/>
                <w:color w:val="000000"/>
                <w:sz w:val="24"/>
              </w:rPr>
            </w:pPr>
            <w:r>
              <w:rPr>
                <w:rFonts w:ascii="TimesNewRoman" w:eastAsia="TimesNewRoman" w:hAnsi="TimesNewRoman" w:cs="TimesNewRoman"/>
                <w:b w:val="0"/>
                <w:i w:val="0"/>
                <w:vanish w:val="0"/>
                <w:color w:val="000000"/>
                <w:sz w:val="24"/>
              </w:rPr>
              <w:t>Podpora operativnemu delu policije.</w:t>
            </w:r>
          </w:p>
          <w:p w:rsidR="00A77B3E">
            <w:pPr>
              <w:numPr>
                <w:ilvl w:val="0"/>
                <w:numId w:val="5"/>
              </w:numPr>
              <w:spacing w:before="100" w:after="0"/>
              <w:ind w:start="720" w:hanging="360"/>
              <w:jc w:val="start"/>
              <w:rPr>
                <w:rFonts w:ascii="TimesNewRoman" w:eastAsia="TimesNewRoman" w:hAnsi="TimesNewRoman" w:cs="TimesNewRoman"/>
                <w:b w:val="0"/>
                <w:i w:val="0"/>
                <w:vanish w:val="0"/>
                <w:color w:val="000000"/>
                <w:sz w:val="24"/>
              </w:rPr>
            </w:pPr>
            <w:r>
              <w:rPr>
                <w:rFonts w:ascii="TimesNewRoman" w:eastAsia="TimesNewRoman" w:hAnsi="TimesNewRoman" w:cs="TimesNewRoman"/>
                <w:b w:val="0"/>
                <w:i w:val="0"/>
                <w:vanish w:val="0"/>
                <w:color w:val="000000"/>
                <w:sz w:val="24"/>
              </w:rPr>
              <w:t>Podpora nacionalnim deležnikom pri pripravi sprememb zakonodaje na področju drog in sorodnih substanc.</w:t>
            </w:r>
          </w:p>
          <w:p w:rsidR="00A77B3E">
            <w:pPr>
              <w:spacing w:before="100" w:after="0"/>
              <w:jc w:val="start"/>
              <w:rPr>
                <w:rFonts w:ascii="TimesNewRoman" w:eastAsia="TimesNewRoman" w:hAnsi="TimesNewRoman" w:cs="TimesNewRoman"/>
                <w:b w:val="0"/>
                <w:i w:val="0"/>
                <w:vanish w:val="0"/>
                <w:color w:val="000000"/>
                <w:sz w:val="24"/>
              </w:rPr>
            </w:pPr>
            <w:r>
              <w:rPr>
                <w:rFonts w:ascii="TimesNewRoman" w:eastAsia="TimesNewRoman" w:hAnsi="TimesNewRoman" w:cs="TimesNewRoman"/>
                <w:b w:val="0"/>
                <w:i w:val="0"/>
                <w:vanish w:val="0"/>
                <w:color w:val="000000"/>
                <w:sz w:val="24"/>
              </w:rPr>
              <w:t>Pričakovani rezultati:</w:t>
            </w:r>
            <w:r>
              <w:rPr>
                <w:rFonts w:ascii="TimesNewRoman" w:eastAsia="TimesNewRoman" w:hAnsi="TimesNewRoman" w:cs="TimesNewRoman"/>
                <w:b/>
                <w:bCs/>
                <w:i w:val="0"/>
                <w:vanish w:val="0"/>
                <w:color w:val="000000"/>
                <w:sz w:val="24"/>
              </w:rPr>
              <w:t xml:space="preserve"> </w:t>
            </w:r>
            <w:r>
              <w:rPr>
                <w:rFonts w:ascii="TimesNewRoman" w:eastAsia="TimesNewRoman" w:hAnsi="TimesNewRoman" w:cs="TimesNewRoman"/>
                <w:b w:val="0"/>
                <w:i w:val="0"/>
                <w:vanish w:val="0"/>
                <w:color w:val="000000"/>
                <w:sz w:val="24"/>
              </w:rPr>
              <w:t>okrepljene zmogljivosti, boljša podpora policijskemu operativnemu delu in izboljšano sodelovanje z nacionalnimi in mednarodnimi deležniki pri izmenjavi forenzičnih informacij.</w:t>
            </w:r>
          </w:p>
          <w:p w:rsidR="00A77B3E">
            <w:pPr>
              <w:spacing w:before="100" w:after="0"/>
              <w:jc w:val="start"/>
              <w:rPr>
                <w:rFonts w:ascii="TimesNewRoman" w:eastAsia="TimesNewRoman" w:hAnsi="TimesNewRoman" w:cs="TimesNewRoman"/>
                <w:b w:val="0"/>
                <w:i w:val="0"/>
                <w:vanish w:val="0"/>
                <w:color w:val="000000"/>
                <w:sz w:val="24"/>
              </w:rPr>
            </w:pPr>
          </w:p>
          <w:p w:rsidR="00A77B3E">
            <w:pPr>
              <w:spacing w:before="100" w:after="0"/>
              <w:jc w:val="start"/>
              <w:rPr>
                <w:rFonts w:ascii="TimesNewRoman" w:eastAsia="TimesNewRoman" w:hAnsi="TimesNewRoman" w:cs="TimesNewRoman"/>
                <w:b w:val="0"/>
                <w:i w:val="0"/>
                <w:vanish w:val="0"/>
                <w:color w:val="000000"/>
                <w:sz w:val="24"/>
              </w:rPr>
            </w:pPr>
            <w:r>
              <w:rPr>
                <w:rFonts w:ascii="TimesNewRoman" w:eastAsia="TimesNewRoman" w:hAnsi="TimesNewRoman" w:cs="TimesNewRoman"/>
                <w:b/>
                <w:bCs/>
                <w:i w:val="0"/>
                <w:vanish w:val="0"/>
                <w:color w:val="000000"/>
                <w:sz w:val="24"/>
              </w:rPr>
              <w:t xml:space="preserve">- Povečanje zmogljivosti in posodobitev podatkovnega in govornega omrežja Policije </w:t>
            </w:r>
          </w:p>
          <w:p w:rsidR="00A77B3E">
            <w:pPr>
              <w:spacing w:before="100" w:after="0"/>
              <w:jc w:val="start"/>
              <w:rPr>
                <w:rFonts w:ascii="TimesNewRoman" w:eastAsia="TimesNewRoman" w:hAnsi="TimesNewRoman" w:cs="TimesNewRoman"/>
                <w:b w:val="0"/>
                <w:i w:val="0"/>
                <w:vanish w:val="0"/>
                <w:color w:val="000000"/>
                <w:sz w:val="24"/>
              </w:rPr>
            </w:pPr>
            <w:r>
              <w:rPr>
                <w:rFonts w:ascii="TimesNewRoman" w:eastAsia="TimesNewRoman" w:hAnsi="TimesNewRoman" w:cs="TimesNewRoman"/>
                <w:b w:val="0"/>
                <w:i w:val="0"/>
                <w:vanish w:val="0"/>
                <w:color w:val="000000"/>
                <w:sz w:val="24"/>
              </w:rPr>
              <w:t>Širokopasovno podatkovno omrežje ITSP služi dostopu vseh policijskih lokacij od Generalne policijske uprave (GPU), policijskih uprav (PU), policijskih postaj (PP), mejnih prehodov (MP) do maloobmejnih prehodov, do storitev, vsebin in podatkov potrebnih za operativno policijsko delo. Kot tako, le-to predstavlja temelj za uporabo vseh policijskih informacijskih storitev in omogoča povezavo na različne EU in druge zunanje sisteme. Sodobno in zmogljivo omrežje omogoča tudi prenos podatkov stacionarnih in pomorskih radarjev, video posnetkov nadzornih sistemov, videonadzor na schengenski meji in postopkov na morski meji, idr. Podatkovno omrežje je tudi del infrastrukture za govorno omrežje, ki služi za operativno govorno komunikacijo med vsemi enotami policije in je povezano z drugimi operativnimi sistemi policije, kot so Tetra, operativni štabi, formirani ob nacionalno in mednarodno varnostno zahtevnih dogodkih. Del govornega omrežja, je tudi omrežje registrafonskih naprav, ki služijo snemanju operativnih komunikacij policije.</w:t>
            </w:r>
          </w:p>
          <w:p w:rsidR="00A77B3E">
            <w:pPr>
              <w:spacing w:before="100" w:after="0"/>
              <w:jc w:val="start"/>
              <w:rPr>
                <w:rFonts w:ascii="TimesNewRoman" w:eastAsia="TimesNewRoman" w:hAnsi="TimesNewRoman" w:cs="TimesNewRoman"/>
                <w:b w:val="0"/>
                <w:i w:val="0"/>
                <w:vanish w:val="0"/>
                <w:color w:val="000000"/>
                <w:sz w:val="24"/>
              </w:rPr>
            </w:pPr>
            <w:r>
              <w:rPr>
                <w:rFonts w:ascii="TimesNewRoman" w:eastAsia="TimesNewRoman" w:hAnsi="TimesNewRoman" w:cs="TimesNewRoman"/>
                <w:b w:val="0"/>
                <w:i w:val="0"/>
                <w:vanish w:val="0"/>
                <w:color w:val="000000"/>
                <w:sz w:val="24"/>
              </w:rPr>
              <w:t>Glavni izzivi in pripadajoče aktivnosti za njihovo reševanje:</w:t>
            </w:r>
          </w:p>
          <w:p w:rsidR="00A77B3E">
            <w:pPr>
              <w:numPr>
                <w:ilvl w:val="0"/>
                <w:numId w:val="6"/>
              </w:numPr>
              <w:spacing w:before="100" w:after="0"/>
              <w:ind w:start="720" w:hanging="360"/>
              <w:jc w:val="start"/>
              <w:rPr>
                <w:rFonts w:ascii="TimesNewRoman" w:eastAsia="TimesNewRoman" w:hAnsi="TimesNewRoman" w:cs="TimesNewRoman"/>
                <w:b w:val="0"/>
                <w:i w:val="0"/>
                <w:vanish w:val="0"/>
                <w:color w:val="000000"/>
                <w:sz w:val="24"/>
              </w:rPr>
            </w:pPr>
            <w:r>
              <w:rPr>
                <w:rFonts w:ascii="TimesNewRoman" w:eastAsia="TimesNewRoman" w:hAnsi="TimesNewRoman" w:cs="TimesNewRoman"/>
                <w:b w:val="0"/>
                <w:i w:val="0"/>
                <w:vanish w:val="0"/>
                <w:color w:val="000000"/>
                <w:sz w:val="24"/>
              </w:rPr>
              <w:t>Nadomestiti zastarelo omrežno opremo z nabavo najsodobnejše opreme.</w:t>
            </w:r>
          </w:p>
          <w:p w:rsidR="00A77B3E">
            <w:pPr>
              <w:numPr>
                <w:ilvl w:val="0"/>
                <w:numId w:val="6"/>
              </w:numPr>
              <w:spacing w:before="100" w:after="0"/>
              <w:ind w:start="720" w:hanging="360"/>
              <w:jc w:val="start"/>
              <w:rPr>
                <w:rFonts w:ascii="TimesNewRoman" w:eastAsia="TimesNewRoman" w:hAnsi="TimesNewRoman" w:cs="TimesNewRoman"/>
                <w:b w:val="0"/>
                <w:i w:val="0"/>
                <w:vanish w:val="0"/>
                <w:color w:val="000000"/>
                <w:sz w:val="24"/>
              </w:rPr>
            </w:pPr>
            <w:r>
              <w:rPr>
                <w:rFonts w:ascii="TimesNewRoman" w:eastAsia="TimesNewRoman" w:hAnsi="TimesNewRoman" w:cs="TimesNewRoman"/>
                <w:b w:val="0"/>
                <w:i w:val="0"/>
                <w:vanish w:val="0"/>
                <w:color w:val="000000"/>
                <w:sz w:val="24"/>
              </w:rPr>
              <w:t>Nabava opreme za povečanje zmogljivosti komunikacijskih povezav.</w:t>
            </w:r>
          </w:p>
          <w:p w:rsidR="00A77B3E">
            <w:pPr>
              <w:numPr>
                <w:ilvl w:val="0"/>
                <w:numId w:val="6"/>
              </w:numPr>
              <w:spacing w:before="100" w:after="0"/>
              <w:ind w:start="720" w:hanging="360"/>
              <w:jc w:val="start"/>
              <w:rPr>
                <w:rFonts w:ascii="TimesNewRoman" w:eastAsia="TimesNewRoman" w:hAnsi="TimesNewRoman" w:cs="TimesNewRoman"/>
                <w:b w:val="0"/>
                <w:i w:val="0"/>
                <w:vanish w:val="0"/>
                <w:color w:val="000000"/>
                <w:sz w:val="24"/>
              </w:rPr>
            </w:pPr>
            <w:r>
              <w:rPr>
                <w:rFonts w:ascii="TimesNewRoman" w:eastAsia="TimesNewRoman" w:hAnsi="TimesNewRoman" w:cs="TimesNewRoman"/>
                <w:b w:val="0"/>
                <w:i w:val="0"/>
                <w:vanish w:val="0"/>
                <w:color w:val="000000"/>
                <w:sz w:val="24"/>
              </w:rPr>
              <w:t>Ukrepi in oprema za omogočitev implementacije ustrezne kriptografske zaščite podatkov in komunikacij.</w:t>
            </w:r>
          </w:p>
          <w:p w:rsidR="00A77B3E">
            <w:pPr>
              <w:numPr>
                <w:ilvl w:val="0"/>
                <w:numId w:val="6"/>
              </w:numPr>
              <w:spacing w:before="100" w:after="0"/>
              <w:ind w:start="720" w:hanging="360"/>
              <w:jc w:val="start"/>
              <w:rPr>
                <w:rFonts w:ascii="TimesNewRoman" w:eastAsia="TimesNewRoman" w:hAnsi="TimesNewRoman" w:cs="TimesNewRoman"/>
                <w:b w:val="0"/>
                <w:i w:val="0"/>
                <w:vanish w:val="0"/>
                <w:color w:val="000000"/>
                <w:sz w:val="24"/>
              </w:rPr>
            </w:pPr>
            <w:r>
              <w:rPr>
                <w:rFonts w:ascii="TimesNewRoman" w:eastAsia="TimesNewRoman" w:hAnsi="TimesNewRoman" w:cs="TimesNewRoman"/>
                <w:b w:val="0"/>
                <w:i w:val="0"/>
                <w:vanish w:val="0"/>
                <w:color w:val="000000"/>
                <w:sz w:val="24"/>
              </w:rPr>
              <w:t>Nabava opreme, ki omogoča varno ločevanje zunanjih omrežij in povezav na EU in druge zunanje sisteme.</w:t>
            </w:r>
          </w:p>
          <w:p w:rsidR="00A77B3E">
            <w:pPr>
              <w:numPr>
                <w:ilvl w:val="0"/>
                <w:numId w:val="6"/>
              </w:numPr>
              <w:spacing w:before="100" w:after="0"/>
              <w:ind w:start="720" w:hanging="360"/>
              <w:jc w:val="start"/>
              <w:rPr>
                <w:rFonts w:ascii="TimesNewRoman" w:eastAsia="TimesNewRoman" w:hAnsi="TimesNewRoman" w:cs="TimesNewRoman"/>
                <w:b w:val="0"/>
                <w:i w:val="0"/>
                <w:vanish w:val="0"/>
                <w:color w:val="000000"/>
                <w:sz w:val="24"/>
              </w:rPr>
            </w:pPr>
            <w:r>
              <w:rPr>
                <w:rFonts w:ascii="TimesNewRoman" w:eastAsia="TimesNewRoman" w:hAnsi="TimesNewRoman" w:cs="TimesNewRoman"/>
                <w:b w:val="0"/>
                <w:i w:val="0"/>
                <w:vanish w:val="0"/>
                <w:color w:val="000000"/>
                <w:sz w:val="24"/>
              </w:rPr>
              <w:t>Nabava opreme za izboljšanje obrambe pred kibernetskimi napadi.</w:t>
            </w:r>
          </w:p>
          <w:p w:rsidR="00A77B3E">
            <w:pPr>
              <w:spacing w:before="100" w:after="0"/>
              <w:jc w:val="start"/>
              <w:rPr>
                <w:rFonts w:ascii="TimesNewRoman" w:eastAsia="TimesNewRoman" w:hAnsi="TimesNewRoman" w:cs="TimesNewRoman"/>
                <w:b w:val="0"/>
                <w:i w:val="0"/>
                <w:vanish w:val="0"/>
                <w:color w:val="000000"/>
                <w:sz w:val="24"/>
              </w:rPr>
            </w:pPr>
            <w:r>
              <w:rPr>
                <w:rFonts w:ascii="TimesNewRoman" w:eastAsia="TimesNewRoman" w:hAnsi="TimesNewRoman" w:cs="TimesNewRoman"/>
                <w:b w:val="0"/>
                <w:i w:val="0"/>
                <w:vanish w:val="0"/>
                <w:color w:val="000000"/>
                <w:sz w:val="24"/>
              </w:rPr>
              <w:t>Pomemben izziv je tudi nadomestitev iztrošene in zastarele opreme govornega področja in omogočiti varno in zanesljivo operativno komunikacijo policije in sodelovanje z drugimi varnostnimi organi.</w:t>
            </w:r>
          </w:p>
          <w:p w:rsidR="00A77B3E">
            <w:pPr>
              <w:spacing w:before="100" w:after="0"/>
              <w:jc w:val="start"/>
              <w:rPr>
                <w:rFonts w:ascii="TimesNewRoman" w:eastAsia="TimesNewRoman" w:hAnsi="TimesNewRoman" w:cs="TimesNewRoman"/>
                <w:b w:val="0"/>
                <w:i w:val="0"/>
                <w:vanish w:val="0"/>
                <w:color w:val="000000"/>
                <w:sz w:val="24"/>
              </w:rPr>
            </w:pPr>
            <w:r>
              <w:rPr>
                <w:rFonts w:ascii="TimesNewRoman" w:eastAsia="TimesNewRoman" w:hAnsi="TimesNewRoman" w:cs="TimesNewRoman"/>
                <w:b w:val="0"/>
                <w:i w:val="0"/>
                <w:vanish w:val="0"/>
                <w:color w:val="000000"/>
                <w:sz w:val="24"/>
              </w:rPr>
              <w:t>Pričakovani rezultati: zmogljive komunikacijske povezave s pomočjo širokopasovnega omrežja in uporabo kriptografske zaščite; varno in zanesljivo govorno omrežje policije.</w:t>
            </w:r>
          </w:p>
          <w:p w:rsidR="00A77B3E">
            <w:pPr>
              <w:spacing w:before="100" w:after="0"/>
              <w:jc w:val="start"/>
              <w:rPr>
                <w:rFonts w:ascii="TimesNewRoman" w:eastAsia="TimesNewRoman" w:hAnsi="TimesNewRoman" w:cs="TimesNewRoman"/>
                <w:b w:val="0"/>
                <w:i w:val="0"/>
                <w:vanish w:val="0"/>
                <w:color w:val="000000"/>
                <w:sz w:val="24"/>
              </w:rPr>
            </w:pPr>
          </w:p>
          <w:p w:rsidR="00A77B3E">
            <w:pPr>
              <w:spacing w:before="100" w:after="0"/>
              <w:jc w:val="start"/>
              <w:rPr>
                <w:rFonts w:ascii="TimesNewRoman" w:eastAsia="TimesNewRoman" w:hAnsi="TimesNewRoman" w:cs="TimesNewRoman"/>
                <w:b w:val="0"/>
                <w:i w:val="0"/>
                <w:vanish w:val="0"/>
                <w:color w:val="000000"/>
                <w:sz w:val="24"/>
              </w:rPr>
            </w:pPr>
            <w:r>
              <w:rPr>
                <w:rFonts w:ascii="TimesNewRoman" w:eastAsia="TimesNewRoman" w:hAnsi="TimesNewRoman" w:cs="TimesNewRoman"/>
                <w:b/>
                <w:bCs/>
                <w:i w:val="0"/>
                <w:vanish w:val="0"/>
                <w:color w:val="000000"/>
                <w:sz w:val="24"/>
              </w:rPr>
              <w:t>- Posodobitev informacijske strojne in programske opreme</w:t>
            </w:r>
          </w:p>
          <w:p w:rsidR="00A77B3E">
            <w:pPr>
              <w:spacing w:before="100" w:after="0"/>
              <w:jc w:val="start"/>
              <w:rPr>
                <w:rFonts w:ascii="TimesNewRoman" w:eastAsia="TimesNewRoman" w:hAnsi="TimesNewRoman" w:cs="TimesNewRoman"/>
                <w:b w:val="0"/>
                <w:i w:val="0"/>
                <w:vanish w:val="0"/>
                <w:color w:val="000000"/>
                <w:sz w:val="24"/>
              </w:rPr>
            </w:pPr>
            <w:r>
              <w:rPr>
                <w:rFonts w:ascii="TimesNewRoman" w:eastAsia="TimesNewRoman" w:hAnsi="TimesNewRoman" w:cs="TimesNewRoman"/>
                <w:b w:val="0"/>
                <w:i w:val="0"/>
                <w:vanish w:val="0"/>
                <w:color w:val="000000"/>
                <w:sz w:val="24"/>
              </w:rPr>
              <w:t>Primarni centralni računalnik predstavlja jedro informacijskega sistema SI policije. Do podatkov in aplikacij pa uporabniki dostopajo z uporabo namizne in prenosne informacijske opreme. Na centralnem računalniku delujejo številni sklopi aplikacij za podporo dela Policije, komunikacijo z zunanjimi partnerji, mednarodno izmenjavo podatkov in paketne obdelave.</w:t>
            </w:r>
          </w:p>
          <w:p w:rsidR="00A77B3E">
            <w:pPr>
              <w:spacing w:before="100" w:after="0"/>
              <w:jc w:val="start"/>
              <w:rPr>
                <w:rFonts w:ascii="TimesNewRoman" w:eastAsia="TimesNewRoman" w:hAnsi="TimesNewRoman" w:cs="TimesNewRoman"/>
                <w:b w:val="0"/>
                <w:i w:val="0"/>
                <w:vanish w:val="0"/>
                <w:color w:val="000000"/>
                <w:sz w:val="24"/>
              </w:rPr>
            </w:pPr>
            <w:r>
              <w:rPr>
                <w:rFonts w:ascii="TimesNewRoman" w:eastAsia="TimesNewRoman" w:hAnsi="TimesNewRoman" w:cs="TimesNewRoman"/>
                <w:b w:val="0"/>
                <w:i w:val="0"/>
                <w:vanish w:val="0"/>
                <w:color w:val="000000"/>
                <w:sz w:val="24"/>
              </w:rPr>
              <w:t>Z namenom zniževanja operativnih stroškov je policija v 2018 začela z uvajanjem odprtokodnih rešitev. Vzpostavljena je bila nova platforma CEPIS (Centralni Policijski Informacijski Sistem), kamor bodo v prihodnjih letih postopoma preseljene prej naštete aplikacije in storitve. Do takrat pa bodo še vedno delovale na centralnem računalniku. Na področju namizne in prenosne opreme je stanje slabo, ker je večinoma že stara in potrebna menjave z novejšo.</w:t>
            </w:r>
          </w:p>
          <w:p w:rsidR="00A77B3E">
            <w:pPr>
              <w:spacing w:before="100" w:after="0"/>
              <w:jc w:val="start"/>
              <w:rPr>
                <w:rFonts w:ascii="TimesNewRoman" w:eastAsia="TimesNewRoman" w:hAnsi="TimesNewRoman" w:cs="TimesNewRoman"/>
                <w:b w:val="0"/>
                <w:i w:val="0"/>
                <w:vanish w:val="0"/>
                <w:color w:val="000000"/>
                <w:sz w:val="24"/>
              </w:rPr>
            </w:pPr>
            <w:r>
              <w:rPr>
                <w:rFonts w:ascii="TimesNewRoman" w:eastAsia="TimesNewRoman" w:hAnsi="TimesNewRoman" w:cs="TimesNewRoman"/>
                <w:b w:val="0"/>
                <w:i w:val="0"/>
                <w:vanish w:val="0"/>
                <w:color w:val="000000"/>
                <w:sz w:val="24"/>
              </w:rPr>
              <w:t>Glavni izzivi in pripadajoče aktivnosti za njihovo reševanje: uskladitev strojne in programske opreme informacijskega sistema z regulativnimi zahtevami skozi nabavo in najem opreme za zamenjavo zastarele informacijske opreme ter nabava in najem ustrezne programske opreme, s čimer bo omogočena zanesljiva in varna uporaba sodobnih informacijskih storitev in mednarodna izmenjava podatkov. Posodobitve so nujne na področju strojne in programske opreme, ker le na ta način lahko zagotavljamo nemoten dostop in uporabo schengenskih podatkov ter zaščito podatkov in konsistentnosti podatkovnih baz.</w:t>
            </w:r>
          </w:p>
          <w:p w:rsidR="00A77B3E">
            <w:pPr>
              <w:spacing w:before="100" w:after="0"/>
              <w:jc w:val="start"/>
              <w:rPr>
                <w:rFonts w:ascii="TimesNewRoman" w:eastAsia="TimesNewRoman" w:hAnsi="TimesNewRoman" w:cs="TimesNewRoman"/>
                <w:b w:val="0"/>
                <w:i w:val="0"/>
                <w:vanish w:val="0"/>
                <w:color w:val="000000"/>
                <w:sz w:val="24"/>
              </w:rPr>
            </w:pPr>
            <w:r>
              <w:rPr>
                <w:rFonts w:ascii="TimesNewRoman" w:eastAsia="TimesNewRoman" w:hAnsi="TimesNewRoman" w:cs="TimesNewRoman"/>
                <w:b w:val="0"/>
                <w:i w:val="0"/>
                <w:vanish w:val="0"/>
                <w:color w:val="000000"/>
                <w:sz w:val="24"/>
              </w:rPr>
              <w:t xml:space="preserve">Smo v fazi prehoda iz centralnega računalnika </w:t>
            </w:r>
            <w:r>
              <w:rPr>
                <w:rFonts w:ascii="TimesNewRoman" w:eastAsia="TimesNewRoman" w:hAnsi="TimesNewRoman" w:cs="TimesNewRoman"/>
                <w:b w:val="0"/>
                <w:i/>
                <w:iCs/>
                <w:vanish w:val="0"/>
                <w:color w:val="000000"/>
                <w:sz w:val="24"/>
              </w:rPr>
              <w:t>(Mainframe)</w:t>
            </w:r>
            <w:r>
              <w:rPr>
                <w:rFonts w:ascii="TimesNewRoman" w:eastAsia="TimesNewRoman" w:hAnsi="TimesNewRoman" w:cs="TimesNewRoman"/>
                <w:b w:val="0"/>
                <w:i w:val="0"/>
                <w:vanish w:val="0"/>
                <w:color w:val="000000"/>
                <w:sz w:val="24"/>
              </w:rPr>
              <w:t xml:space="preserve"> na nov sistem CEPIS, ki temelji na odprtokodnem okolju. Trenutno večina policijskih informacijskih storitev še vedno deluje na centralnem računalniku. Za dostop do obeh sistemov bosta uporabljeni namizna in mobilna oprema. Sam sistem CEPIS ni del financiranja iz SNV sredstev.</w:t>
            </w:r>
          </w:p>
          <w:p w:rsidR="00A77B3E">
            <w:pPr>
              <w:spacing w:before="100" w:after="0"/>
              <w:jc w:val="start"/>
              <w:rPr>
                <w:rFonts w:ascii="TimesNewRoman" w:eastAsia="TimesNewRoman" w:hAnsi="TimesNewRoman" w:cs="TimesNewRoman"/>
                <w:b w:val="0"/>
                <w:i w:val="0"/>
                <w:vanish w:val="0"/>
                <w:color w:val="000000"/>
                <w:sz w:val="24"/>
              </w:rPr>
            </w:pPr>
            <w:r>
              <w:rPr>
                <w:rFonts w:ascii="TimesNewRoman" w:eastAsia="TimesNewRoman" w:hAnsi="TimesNewRoman" w:cs="TimesNewRoman"/>
                <w:b w:val="0"/>
                <w:i w:val="0"/>
                <w:vanish w:val="0"/>
                <w:color w:val="000000"/>
                <w:sz w:val="24"/>
              </w:rPr>
              <w:t>Pričakovani rezultati: učinkovit, okrepljen in varen informacijski sistem Policije in s tem učinkovito in varno delo na področju mednarodne izmenjave podatkov.</w:t>
            </w:r>
          </w:p>
          <w:p w:rsidR="00A77B3E">
            <w:pPr>
              <w:spacing w:before="100" w:after="0"/>
              <w:jc w:val="start"/>
              <w:rPr>
                <w:rFonts w:ascii="TimesNewRoman" w:eastAsia="TimesNewRoman" w:hAnsi="TimesNewRoman" w:cs="TimesNewRoman"/>
                <w:b w:val="0"/>
                <w:i w:val="0"/>
                <w:vanish w:val="0"/>
                <w:color w:val="000000"/>
                <w:sz w:val="24"/>
              </w:rPr>
            </w:pPr>
          </w:p>
          <w:p w:rsidR="00A77B3E">
            <w:pPr>
              <w:spacing w:before="100" w:after="0"/>
              <w:jc w:val="start"/>
              <w:rPr>
                <w:rFonts w:ascii="TimesNewRoman" w:eastAsia="TimesNewRoman" w:hAnsi="TimesNewRoman" w:cs="TimesNewRoman"/>
                <w:b w:val="0"/>
                <w:i w:val="0"/>
                <w:vanish w:val="0"/>
                <w:color w:val="000000"/>
                <w:sz w:val="24"/>
              </w:rPr>
            </w:pPr>
            <w:r>
              <w:rPr>
                <w:rFonts w:ascii="TimesNewRoman" w:eastAsia="TimesNewRoman" w:hAnsi="TimesNewRoman" w:cs="TimesNewRoman"/>
                <w:b/>
                <w:bCs/>
                <w:i w:val="0"/>
                <w:vanish w:val="0"/>
                <w:color w:val="000000"/>
                <w:sz w:val="24"/>
              </w:rPr>
              <w:t xml:space="preserve">- Upravljanje mobilnih naprav </w:t>
            </w:r>
          </w:p>
          <w:p w:rsidR="00A77B3E">
            <w:pPr>
              <w:spacing w:before="100" w:after="0"/>
              <w:jc w:val="start"/>
              <w:rPr>
                <w:rFonts w:ascii="TimesNewRoman" w:eastAsia="TimesNewRoman" w:hAnsi="TimesNewRoman" w:cs="TimesNewRoman"/>
                <w:b w:val="0"/>
                <w:i w:val="0"/>
                <w:vanish w:val="0"/>
                <w:color w:val="000000"/>
                <w:sz w:val="24"/>
              </w:rPr>
            </w:pPr>
            <w:r>
              <w:rPr>
                <w:rFonts w:ascii="TimesNewRoman" w:eastAsia="TimesNewRoman" w:hAnsi="TimesNewRoman" w:cs="TimesNewRoman"/>
                <w:b w:val="0"/>
                <w:i w:val="0"/>
                <w:vanish w:val="0"/>
                <w:color w:val="000000"/>
                <w:sz w:val="24"/>
              </w:rPr>
              <w:t>Policija ima v skladu z informacijsko varnostno politiko, vzpostavljen sistem za upravljanje mobilnih naprav (EMM Enterprise Mobility Managment) na platformi MobileIron MDM. To omogoča policistom in kriminalistom, da na varen način dostopajo do podatkov in informacij Policije in EU sistemov s katerimi je povezan informacijski sistem Policije. S tem so postavljeni temelji varnega komuniciranja.</w:t>
            </w:r>
          </w:p>
          <w:p w:rsidR="00A77B3E">
            <w:pPr>
              <w:spacing w:before="100" w:after="0"/>
              <w:jc w:val="start"/>
              <w:rPr>
                <w:rFonts w:ascii="TimesNewRoman" w:eastAsia="TimesNewRoman" w:hAnsi="TimesNewRoman" w:cs="TimesNewRoman"/>
                <w:b w:val="0"/>
                <w:i w:val="0"/>
                <w:vanish w:val="0"/>
                <w:color w:val="000000"/>
                <w:sz w:val="24"/>
              </w:rPr>
            </w:pPr>
            <w:r>
              <w:rPr>
                <w:rFonts w:ascii="TimesNewRoman" w:eastAsia="TimesNewRoman" w:hAnsi="TimesNewRoman" w:cs="TimesNewRoman"/>
                <w:b w:val="0"/>
                <w:i w:val="0"/>
                <w:vanish w:val="0"/>
                <w:color w:val="000000"/>
                <w:sz w:val="24"/>
              </w:rPr>
              <w:t>Glavni izzivi in pripadajoče aktivnosti za njihovo reševanje:</w:t>
            </w:r>
          </w:p>
          <w:p w:rsidR="00A77B3E">
            <w:pPr>
              <w:numPr>
                <w:ilvl w:val="0"/>
                <w:numId w:val="7"/>
              </w:numPr>
              <w:spacing w:before="100" w:after="0"/>
              <w:ind w:start="720" w:hanging="360"/>
              <w:jc w:val="start"/>
              <w:rPr>
                <w:rFonts w:ascii="TimesNewRoman" w:eastAsia="TimesNewRoman" w:hAnsi="TimesNewRoman" w:cs="TimesNewRoman"/>
                <w:b w:val="0"/>
                <w:i w:val="0"/>
                <w:vanish w:val="0"/>
                <w:color w:val="000000"/>
                <w:sz w:val="24"/>
              </w:rPr>
            </w:pPr>
            <w:r>
              <w:rPr>
                <w:rFonts w:ascii="TimesNewRoman" w:eastAsia="TimesNewRoman" w:hAnsi="TimesNewRoman" w:cs="TimesNewRoman"/>
                <w:b w:val="0"/>
                <w:i w:val="0"/>
                <w:vanish w:val="0"/>
                <w:color w:val="000000"/>
                <w:sz w:val="24"/>
              </w:rPr>
              <w:t>Omogočiti varno komunikacijo in povezovanje v IKT sistem Policije.</w:t>
            </w:r>
          </w:p>
          <w:p w:rsidR="00A77B3E">
            <w:pPr>
              <w:numPr>
                <w:ilvl w:val="0"/>
                <w:numId w:val="7"/>
              </w:numPr>
              <w:spacing w:before="100" w:after="0"/>
              <w:ind w:start="720" w:hanging="360"/>
              <w:jc w:val="start"/>
              <w:rPr>
                <w:rFonts w:ascii="TimesNewRoman" w:eastAsia="TimesNewRoman" w:hAnsi="TimesNewRoman" w:cs="TimesNewRoman"/>
                <w:b w:val="0"/>
                <w:i w:val="0"/>
                <w:vanish w:val="0"/>
                <w:color w:val="000000"/>
                <w:sz w:val="24"/>
              </w:rPr>
            </w:pPr>
            <w:r>
              <w:rPr>
                <w:rFonts w:ascii="TimesNewRoman" w:eastAsia="TimesNewRoman" w:hAnsi="TimesNewRoman" w:cs="TimesNewRoman"/>
                <w:b w:val="0"/>
                <w:i w:val="0"/>
                <w:vanish w:val="0"/>
                <w:color w:val="000000"/>
                <w:sz w:val="24"/>
              </w:rPr>
              <w:t>Omogočiti varno in zanesljivo implementacijo varnostnih politik Policije.</w:t>
            </w:r>
          </w:p>
          <w:p w:rsidR="00A77B3E">
            <w:pPr>
              <w:spacing w:before="100" w:after="0"/>
              <w:jc w:val="start"/>
              <w:rPr>
                <w:rFonts w:ascii="TimesNewRoman" w:eastAsia="TimesNewRoman" w:hAnsi="TimesNewRoman" w:cs="TimesNewRoman"/>
                <w:b w:val="0"/>
                <w:i w:val="0"/>
                <w:vanish w:val="0"/>
                <w:color w:val="000000"/>
                <w:sz w:val="24"/>
              </w:rPr>
            </w:pPr>
            <w:r>
              <w:rPr>
                <w:rFonts w:ascii="TimesNewRoman" w:eastAsia="TimesNewRoman" w:hAnsi="TimesNewRoman" w:cs="TimesNewRoman"/>
                <w:b w:val="0"/>
                <w:i w:val="0"/>
                <w:vanish w:val="0"/>
                <w:color w:val="000000"/>
                <w:sz w:val="24"/>
              </w:rPr>
              <w:t>Varnost podatkov na mobilnih napravah lahko zagotavljamo le v primeru, če je mobilna naprava vključena v sistem za upravljanje mobilnih naprav, kar je tudi minimalna varnostna zahteva za uporabo tovrstnih naprav v Policiji.</w:t>
            </w:r>
          </w:p>
          <w:p w:rsidR="00A77B3E">
            <w:pPr>
              <w:spacing w:before="100" w:after="0"/>
              <w:jc w:val="start"/>
              <w:rPr>
                <w:rFonts w:ascii="TimesNewRoman" w:eastAsia="TimesNewRoman" w:hAnsi="TimesNewRoman" w:cs="TimesNewRoman"/>
                <w:b w:val="0"/>
                <w:i w:val="0"/>
                <w:vanish w:val="0"/>
                <w:color w:val="000000"/>
                <w:sz w:val="24"/>
              </w:rPr>
            </w:pPr>
            <w:r>
              <w:rPr>
                <w:rFonts w:ascii="TimesNewRoman" w:eastAsia="TimesNewRoman" w:hAnsi="TimesNewRoman" w:cs="TimesNewRoman"/>
                <w:b w:val="0"/>
                <w:i w:val="0"/>
                <w:vanish w:val="0"/>
                <w:color w:val="000000"/>
                <w:sz w:val="24"/>
              </w:rPr>
              <w:t>Pričakovani rezultati: vse mobilne naprave bodo vključene v sistem upravljanja.</w:t>
            </w:r>
          </w:p>
          <w:p w:rsidR="00A77B3E">
            <w:pPr>
              <w:spacing w:before="100" w:after="0"/>
              <w:jc w:val="start"/>
              <w:rPr>
                <w:rFonts w:ascii="TimesNewRoman" w:eastAsia="TimesNewRoman" w:hAnsi="TimesNewRoman" w:cs="TimesNewRoman"/>
                <w:b w:val="0"/>
                <w:i w:val="0"/>
                <w:vanish w:val="0"/>
                <w:color w:val="000000"/>
                <w:sz w:val="24"/>
              </w:rPr>
            </w:pPr>
          </w:p>
          <w:p w:rsidR="00A77B3E">
            <w:pPr>
              <w:spacing w:before="100" w:after="0"/>
              <w:jc w:val="start"/>
              <w:rPr>
                <w:rFonts w:ascii="TimesNewRoman" w:eastAsia="TimesNewRoman" w:hAnsi="TimesNewRoman" w:cs="TimesNewRoman"/>
                <w:b w:val="0"/>
                <w:i w:val="0"/>
                <w:vanish w:val="0"/>
                <w:color w:val="000000"/>
                <w:sz w:val="24"/>
              </w:rPr>
            </w:pPr>
            <w:r>
              <w:rPr>
                <w:rFonts w:ascii="TimesNewRoman" w:eastAsia="TimesNewRoman" w:hAnsi="TimesNewRoman" w:cs="TimesNewRoman"/>
                <w:b/>
                <w:bCs/>
                <w:i w:val="0"/>
                <w:vanish w:val="0"/>
                <w:color w:val="000000"/>
                <w:sz w:val="24"/>
              </w:rPr>
              <w:t>Operativna podpora</w:t>
            </w:r>
          </w:p>
          <w:p w:rsidR="00A77B3E">
            <w:pPr>
              <w:spacing w:before="100" w:after="0"/>
              <w:jc w:val="start"/>
              <w:rPr>
                <w:rFonts w:ascii="TimesNewRoman" w:eastAsia="TimesNewRoman" w:hAnsi="TimesNewRoman" w:cs="TimesNewRoman"/>
                <w:b w:val="0"/>
                <w:i w:val="0"/>
                <w:vanish w:val="0"/>
                <w:color w:val="000000"/>
                <w:sz w:val="24"/>
              </w:rPr>
            </w:pPr>
          </w:p>
          <w:p w:rsidR="00A77B3E">
            <w:pPr>
              <w:spacing w:before="100" w:after="0"/>
              <w:jc w:val="start"/>
              <w:rPr>
                <w:rFonts w:ascii="TimesNewRoman" w:eastAsia="TimesNewRoman" w:hAnsi="TimesNewRoman" w:cs="TimesNewRoman"/>
                <w:b w:val="0"/>
                <w:i w:val="0"/>
                <w:vanish w:val="0"/>
                <w:color w:val="000000"/>
                <w:sz w:val="24"/>
              </w:rPr>
            </w:pPr>
            <w:r>
              <w:rPr>
                <w:rFonts w:ascii="TimesNewRoman" w:eastAsia="TimesNewRoman" w:hAnsi="TimesNewRoman" w:cs="TimesNewRoman"/>
                <w:b w:val="0"/>
                <w:i w:val="0"/>
                <w:vanish w:val="0"/>
                <w:color w:val="000000"/>
                <w:sz w:val="24"/>
              </w:rPr>
              <w:t>Na podlagi Zakona o nalogah in pooblastilih policije SI policija opravlja naloge zagotavljanja varnosti, spoštovanja človekovih pravic in temeljnih svoboščin, krepitev pravne države ter naloge preprečevanja in odpravljanja nevarnosti. Za krepitev notranje varnosti je torej pristojna policija, kamor sodi tudi izmenjava informacij med pristojnimi organi in mednarodnimi organizacijami, vključno s povečanjem komunikacijskih povezav. Operativna podpora v okviru SO1 vezano na izboljšanje in okrepitev izmenjave informacij zajema vzdrževanje omrežnih sistemov in stroške zaposlenih.</w:t>
            </w:r>
          </w:p>
          <w:p w:rsidR="00A77B3E">
            <w:pPr>
              <w:spacing w:before="100" w:after="0"/>
              <w:jc w:val="start"/>
              <w:rPr>
                <w:rFonts w:ascii="TimesNewRoman" w:eastAsia="TimesNewRoman" w:hAnsi="TimesNewRoman" w:cs="TimesNewRoman"/>
                <w:b w:val="0"/>
                <w:i w:val="0"/>
                <w:vanish w:val="0"/>
                <w:color w:val="000000"/>
                <w:sz w:val="24"/>
              </w:rPr>
            </w:pPr>
            <w:r>
              <w:rPr>
                <w:rFonts w:ascii="TimesNewRoman" w:eastAsia="TimesNewRoman" w:hAnsi="TimesNewRoman" w:cs="TimesNewRoman"/>
                <w:b/>
                <w:bCs/>
                <w:i w:val="0"/>
                <w:vanish w:val="0"/>
                <w:color w:val="000000"/>
                <w:sz w:val="24"/>
              </w:rPr>
              <w:t>Vzdrževanje omrežnih sistemov</w:t>
            </w:r>
          </w:p>
          <w:p w:rsidR="00A77B3E">
            <w:pPr>
              <w:spacing w:before="100" w:after="0"/>
              <w:jc w:val="start"/>
              <w:rPr>
                <w:rFonts w:ascii="TimesNewRoman" w:eastAsia="TimesNewRoman" w:hAnsi="TimesNewRoman" w:cs="TimesNewRoman"/>
                <w:b w:val="0"/>
                <w:i w:val="0"/>
                <w:vanish w:val="0"/>
                <w:color w:val="000000"/>
                <w:sz w:val="24"/>
              </w:rPr>
            </w:pPr>
            <w:r>
              <w:rPr>
                <w:rFonts w:ascii="TimesNewRoman" w:eastAsia="TimesNewRoman" w:hAnsi="TimesNewRoman" w:cs="TimesNewRoman"/>
                <w:b w:val="0"/>
                <w:i w:val="0"/>
                <w:vanish w:val="0"/>
                <w:color w:val="000000"/>
                <w:sz w:val="24"/>
              </w:rPr>
              <w:t>Za zagotavljanje delovanja omrežnih sistemov, ki so temelj za delovanje in uporabo informacijskih storitev policije in storitev za povezovanje z EU informacijskimi sistemi, je potrebno vzdrževati nameščeno opremo.</w:t>
            </w:r>
          </w:p>
          <w:p w:rsidR="00A77B3E">
            <w:pPr>
              <w:spacing w:before="100" w:after="0"/>
              <w:jc w:val="start"/>
              <w:rPr>
                <w:rFonts w:ascii="TimesNewRoman" w:eastAsia="TimesNewRoman" w:hAnsi="TimesNewRoman" w:cs="TimesNewRoman"/>
                <w:b w:val="0"/>
                <w:i w:val="0"/>
                <w:vanish w:val="0"/>
                <w:color w:val="000000"/>
                <w:sz w:val="24"/>
              </w:rPr>
            </w:pPr>
            <w:r>
              <w:rPr>
                <w:rFonts w:ascii="TimesNewRoman" w:eastAsia="TimesNewRoman" w:hAnsi="TimesNewRoman" w:cs="TimesNewRoman"/>
                <w:b/>
                <w:bCs/>
                <w:i w:val="0"/>
                <w:vanish w:val="0"/>
                <w:color w:val="000000"/>
                <w:sz w:val="24"/>
              </w:rPr>
              <w:t>Sredstva za osebje, ki je v pripravljenosti</w:t>
            </w:r>
          </w:p>
          <w:p w:rsidR="00A77B3E">
            <w:pPr>
              <w:spacing w:before="100" w:after="0"/>
              <w:jc w:val="start"/>
              <w:rPr>
                <w:rFonts w:ascii="TimesNewRoman" w:eastAsia="TimesNewRoman" w:hAnsi="TimesNewRoman" w:cs="TimesNewRoman"/>
                <w:b w:val="0"/>
                <w:i w:val="0"/>
                <w:vanish w:val="0"/>
                <w:color w:val="000000"/>
                <w:sz w:val="24"/>
              </w:rPr>
            </w:pPr>
            <w:r>
              <w:rPr>
                <w:rFonts w:ascii="TimesNewRoman" w:eastAsia="TimesNewRoman" w:hAnsi="TimesNewRoman" w:cs="TimesNewRoman"/>
                <w:b w:val="0"/>
                <w:i w:val="0"/>
                <w:vanish w:val="0"/>
                <w:color w:val="000000"/>
                <w:sz w:val="24"/>
              </w:rPr>
              <w:t>Za podpiranje področij podpore a, b, d, e, f, k in l iz Priloge III uredbe o SNV bo financirana pripravljenost strokovnjakov na posameznem področju za zagotavljanje podpore nemotenega delovanja informacijsko telekomunikacijskega sistema policije.</w:t>
            </w:r>
          </w:p>
          <w:p w:rsidR="00A77B3E">
            <w:pPr>
              <w:spacing w:before="100" w:after="0"/>
              <w:jc w:val="start"/>
              <w:rPr>
                <w:rFonts w:ascii="TimesNewRoman" w:eastAsia="TimesNewRoman" w:hAnsi="TimesNewRoman" w:cs="TimesNewRoman"/>
                <w:b w:val="0"/>
                <w:i w:val="0"/>
                <w:vanish w:val="0"/>
                <w:color w:val="000000"/>
                <w:sz w:val="6"/>
              </w:rPr>
            </w:pPr>
          </w:p>
          <w:p w:rsidR="00A77B3E">
            <w:pPr>
              <w:spacing w:before="100" w:after="0"/>
              <w:jc w:val="start"/>
              <w:rPr>
                <w:rFonts w:ascii="TimesNewRoman" w:eastAsia="TimesNewRoman" w:hAnsi="TimesNewRoman" w:cs="TimesNewRoman"/>
                <w:b w:val="0"/>
                <w:i w:val="0"/>
                <w:vanish w:val="0"/>
                <w:color w:val="000000"/>
                <w:sz w:val="6"/>
              </w:rPr>
            </w:pPr>
          </w:p>
        </w:tc>
      </w:tr>
    </w:tbl>
    <w:p w:rsidR="00A77B3E">
      <w:pPr>
        <w:spacing w:before="100" w:after="0"/>
        <w:jc w:val="start"/>
        <w:rPr>
          <w:rFonts w:ascii="TimesNewRoman" w:eastAsia="TimesNewRoman" w:hAnsi="TimesNewRoman" w:cs="TimesNewRoman"/>
          <w:b w:val="0"/>
          <w:i w:val="0"/>
          <w:vanish w:val="0"/>
          <w:color w:val="000000"/>
          <w:sz w:val="24"/>
        </w:rPr>
        <w:sectPr>
          <w:headerReference w:type="even" r:id="rId16"/>
          <w:headerReference w:type="default" r:id="rId17"/>
          <w:footerReference w:type="even" r:id="rId18"/>
          <w:footerReference w:type="default" r:id="rId19"/>
          <w:headerReference w:type="first" r:id="rId20"/>
          <w:footerReference w:type="first" r:id="rId21"/>
          <w:type w:val="nextPage"/>
          <w:pgSz w:w="11906" w:h="16838"/>
          <w:pgMar w:top="720" w:right="936" w:bottom="864" w:left="720" w:header="0" w:footer="72" w:gutter="0"/>
          <w:cols w:space="720"/>
          <w:noEndnote/>
          <w:docGrid w:linePitch="360"/>
        </w:sectPr>
      </w:pPr>
    </w:p>
    <w:p w:rsidR="00A77B3E">
      <w:pPr>
        <w:spacing w:before="100" w:after="0"/>
        <w:jc w:val="start"/>
        <w:rPr>
          <w:rFonts w:ascii="Times New Roman" w:eastAsia="Times New Roman" w:hAnsi="Times New Roman" w:cs="Times New Roman"/>
          <w:b w:val="0"/>
          <w:i w:val="0"/>
          <w:vanish w:val="0"/>
          <w:color w:val="000000"/>
          <w:sz w:val="24"/>
        </w:rPr>
      </w:pPr>
      <w:r>
        <w:rPr>
          <w:rFonts w:ascii="Times New Roman" w:eastAsia="Times New Roman" w:hAnsi="Times New Roman" w:cs="Times New Roman"/>
          <w:b w:val="0"/>
          <w:i w:val="0"/>
          <w:vanish w:val="0"/>
          <w:color w:val="000000"/>
          <w:sz w:val="24"/>
        </w:rPr>
        <w:t>2.1. Specifični cilj 1. Izmenjava informacij</w:t>
      </w:r>
    </w:p>
    <w:p w:rsidR="00A77B3E">
      <w:pPr>
        <w:pStyle w:val="Heading3"/>
        <w:spacing w:before="100" w:after="0"/>
        <w:jc w:val="start"/>
        <w:rPr>
          <w:rFonts w:ascii="Times New Roman" w:eastAsia="Times New Roman" w:hAnsi="Times New Roman" w:cs="Times New Roman"/>
          <w:b w:val="0"/>
          <w:i w:val="0"/>
          <w:vanish w:val="0"/>
          <w:color w:val="000000"/>
          <w:sz w:val="24"/>
        </w:rPr>
      </w:pPr>
      <w:bookmarkStart w:id="4" w:name="_Toc256000059"/>
      <w:r>
        <w:rPr>
          <w:rFonts w:ascii="Times New Roman" w:eastAsia="Times New Roman" w:hAnsi="Times New Roman" w:cs="Times New Roman"/>
          <w:b w:val="0"/>
          <w:i w:val="0"/>
          <w:vanish w:val="0"/>
          <w:color w:val="000000"/>
          <w:sz w:val="24"/>
        </w:rPr>
        <w:t>2.1.2. Kazalniki</w:t>
      </w:r>
      <w:bookmarkEnd w:id="4"/>
    </w:p>
    <w:p w:rsidR="00A77B3E">
      <w:pPr>
        <w:spacing w:before="100" w:after="0"/>
        <w:jc w:val="star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24"/>
        </w:rPr>
        <w:t>Sklic: člen 22(4)(e) uredbe o skupnih določbah</w:t>
      </w:r>
    </w:p>
    <w:p w:rsidR="00A77B3E">
      <w:pPr>
        <w:pStyle w:val="Heading4"/>
        <w:spacing w:before="100" w:after="0"/>
        <w:jc w:val="start"/>
        <w:rPr>
          <w:rFonts w:ascii="Times New Roman" w:eastAsia="Times New Roman" w:hAnsi="Times New Roman" w:cs="Times New Roman"/>
          <w:b w:val="0"/>
          <w:i w:val="0"/>
          <w:vanish w:val="0"/>
          <w:color w:val="000000"/>
          <w:sz w:val="24"/>
        </w:rPr>
      </w:pPr>
      <w:bookmarkStart w:id="5" w:name="_Toc256000060"/>
      <w:r>
        <w:rPr>
          <w:rFonts w:ascii="Times New Roman" w:eastAsia="Times New Roman" w:hAnsi="Times New Roman" w:cs="Times New Roman"/>
          <w:b w:val="0"/>
          <w:i w:val="0"/>
          <w:vanish w:val="0"/>
          <w:color w:val="000000"/>
          <w:sz w:val="24"/>
        </w:rPr>
        <w:t>Tabela 1: Kazalniki učinka</w:t>
      </w:r>
      <w:bookmarkEnd w:id="5"/>
    </w:p>
    <w:p w:rsidR="00A77B3E">
      <w:pPr>
        <w:spacing w:before="100" w:after="0"/>
        <w:jc w:val="start"/>
        <w:rPr>
          <w:rFonts w:ascii="Times New Roman" w:eastAsia="Times New Roman" w:hAnsi="Times New Roman" w:cs="Times New Roman"/>
          <w:b w:val="0"/>
          <w:i w:val="0"/>
          <w:vanish w:val="0"/>
          <w:color w:val="000000"/>
          <w:sz w:val="0"/>
        </w:rPr>
      </w:pPr>
    </w:p>
    <w:tbl>
      <w:tblPr>
        <w:tblW w:w="100%" w:type="pct"/>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CellMar>
          <w:start w:w="5.4pt" w:type="dxa"/>
          <w:end w:w="5.4pt" w:type="dxa"/>
        </w:tblCellMar>
      </w:tblPr>
      <w:tblGrid>
        <w:gridCol w:w="1764"/>
        <w:gridCol w:w="8041"/>
        <w:gridCol w:w="1896"/>
        <w:gridCol w:w="2019"/>
        <w:gridCol w:w="1582"/>
      </w:tblGrid>
      <w:tr>
        <w:tblPrEx>
          <w:tblW w:w="100%" w:type="pct"/>
        </w:tblPrEx>
        <w:trPr>
          <w:cantSplit w:val="0"/>
          <w:trHeight w:hRule="auto" w:val="0"/>
          <w:tblHeader/>
        </w:trPr>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rsidR="00A77B3E">
            <w:pPr>
              <w:spacing w:before="100" w:after="0"/>
              <w:jc w:val="center"/>
              <w:rPr>
                <w:rFonts w:ascii="Times New Roman" w:eastAsia="Times New Roman" w:hAnsi="Times New Roman" w:cs="Times New Roman"/>
                <w:b w:val="0"/>
                <w:i w:val="0"/>
                <w:vanish w:val="0"/>
                <w:color w:val="000000"/>
                <w:sz w:val="20"/>
              </w:rPr>
            </w:pPr>
            <w:r>
              <w:rPr>
                <w:rFonts w:ascii="Times New Roman" w:eastAsia="Times New Roman" w:hAnsi="Times New Roman" w:cs="Times New Roman"/>
                <w:b w:val="0"/>
                <w:i w:val="0"/>
                <w:vanish w:val="0"/>
                <w:color w:val="000000"/>
                <w:sz w:val="20"/>
              </w:rPr>
              <w:t>Identifikator</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rsidR="00A77B3E">
            <w:pPr>
              <w:spacing w:before="100" w:after="0"/>
              <w:jc w:val="center"/>
              <w:rPr>
                <w:rFonts w:ascii="Times New Roman" w:eastAsia="Times New Roman" w:hAnsi="Times New Roman" w:cs="Times New Roman"/>
                <w:b w:val="0"/>
                <w:i w:val="0"/>
                <w:vanish w:val="0"/>
                <w:color w:val="000000"/>
                <w:sz w:val="20"/>
              </w:rPr>
            </w:pPr>
            <w:r>
              <w:rPr>
                <w:rFonts w:ascii="Times New Roman" w:eastAsia="Times New Roman" w:hAnsi="Times New Roman" w:cs="Times New Roman"/>
                <w:b w:val="0"/>
                <w:i w:val="0"/>
                <w:vanish w:val="0"/>
                <w:color w:val="000000"/>
                <w:sz w:val="20"/>
              </w:rPr>
              <w:t>Kazalnik</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rsidR="00A77B3E">
            <w:pPr>
              <w:spacing w:before="100" w:after="0"/>
              <w:jc w:val="center"/>
              <w:rPr>
                <w:rFonts w:ascii="Times New Roman" w:eastAsia="Times New Roman" w:hAnsi="Times New Roman" w:cs="Times New Roman"/>
                <w:b w:val="0"/>
                <w:i w:val="0"/>
                <w:vanish w:val="0"/>
                <w:color w:val="000000"/>
                <w:sz w:val="20"/>
              </w:rPr>
            </w:pPr>
            <w:r>
              <w:rPr>
                <w:rFonts w:ascii="Times New Roman" w:eastAsia="Times New Roman" w:hAnsi="Times New Roman" w:cs="Times New Roman"/>
                <w:b w:val="0"/>
                <w:i w:val="0"/>
                <w:vanish w:val="0"/>
                <w:color w:val="000000"/>
                <w:sz w:val="20"/>
              </w:rPr>
              <w:t>Merska enota</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rsidR="00A77B3E">
            <w:pPr>
              <w:spacing w:before="100" w:after="0"/>
              <w:jc w:val="center"/>
              <w:rPr>
                <w:rFonts w:ascii="Times New Roman" w:eastAsia="Times New Roman" w:hAnsi="Times New Roman" w:cs="Times New Roman"/>
                <w:b w:val="0"/>
                <w:i w:val="0"/>
                <w:vanish w:val="0"/>
                <w:color w:val="000000"/>
                <w:sz w:val="20"/>
              </w:rPr>
            </w:pPr>
            <w:r>
              <w:rPr>
                <w:rFonts w:ascii="Times New Roman" w:eastAsia="Times New Roman" w:hAnsi="Times New Roman" w:cs="Times New Roman"/>
                <w:b w:val="0"/>
                <w:i w:val="0"/>
                <w:vanish w:val="0"/>
                <w:color w:val="000000"/>
                <w:sz w:val="20"/>
              </w:rPr>
              <w:t>Mejnik (2024)</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rsidR="00A77B3E">
            <w:pPr>
              <w:spacing w:before="100" w:after="0"/>
              <w:jc w:val="center"/>
              <w:rPr>
                <w:rFonts w:ascii="Times New Roman" w:eastAsia="Times New Roman" w:hAnsi="Times New Roman" w:cs="Times New Roman"/>
                <w:b w:val="0"/>
                <w:i w:val="0"/>
                <w:vanish w:val="0"/>
                <w:color w:val="000000"/>
                <w:sz w:val="20"/>
              </w:rPr>
            </w:pPr>
            <w:r>
              <w:rPr>
                <w:rFonts w:ascii="Times New Roman" w:eastAsia="Times New Roman" w:hAnsi="Times New Roman" w:cs="Times New Roman"/>
                <w:b w:val="0"/>
                <w:i w:val="0"/>
                <w:vanish w:val="0"/>
                <w:color w:val="000000"/>
                <w:sz w:val="20"/>
              </w:rPr>
              <w:t>Cilj (2029)</w:t>
            </w:r>
          </w:p>
        </w:tc>
      </w:tr>
      <w:tr>
        <w:tblPrEx>
          <w:tblW w:w="100%" w:type="pct"/>
        </w:tblPrEx>
        <w:trPr>
          <w:cantSplit w:val="0"/>
          <w:trHeight w:hRule="auto" w:val="0"/>
          <w:tblHeader w:val="0"/>
        </w:trPr>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rsidR="00A77B3E">
            <w:pPr>
              <w:spacing w:before="100" w:after="0"/>
              <w:jc w:val="start"/>
              <w:rPr>
                <w:rFonts w:ascii="Times New Roman" w:eastAsia="Times New Roman" w:hAnsi="Times New Roman" w:cs="Times New Roman"/>
                <w:b w:val="0"/>
                <w:i w:val="0"/>
                <w:vanish w:val="0"/>
                <w:color w:val="000000"/>
                <w:sz w:val="20"/>
              </w:rPr>
            </w:pPr>
            <w:r>
              <w:rPr>
                <w:rFonts w:ascii="Times New Roman" w:eastAsia="Times New Roman" w:hAnsi="Times New Roman" w:cs="Times New Roman"/>
                <w:b w:val="0"/>
                <w:i w:val="0"/>
                <w:vanish w:val="0"/>
                <w:color w:val="000000"/>
                <w:sz w:val="20"/>
              </w:rPr>
              <w:t>O.1.1</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rsidR="00A77B3E">
            <w:pPr>
              <w:spacing w:before="100" w:after="0"/>
              <w:jc w:val="start"/>
              <w:rPr>
                <w:rFonts w:ascii="Times New Roman" w:eastAsia="Times New Roman" w:hAnsi="Times New Roman" w:cs="Times New Roman"/>
                <w:b w:val="0"/>
                <w:i w:val="0"/>
                <w:vanish w:val="0"/>
                <w:color w:val="000000"/>
                <w:sz w:val="20"/>
              </w:rPr>
            </w:pPr>
            <w:r>
              <w:rPr>
                <w:rFonts w:ascii="Times New Roman" w:eastAsia="Times New Roman" w:hAnsi="Times New Roman" w:cs="Times New Roman"/>
                <w:b w:val="0"/>
                <w:i w:val="0"/>
                <w:vanish w:val="0"/>
                <w:color w:val="000000"/>
                <w:sz w:val="20"/>
              </w:rPr>
              <w:t xml:space="preserve">Število udeležencev dejavnosti usposabljanja </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rsidR="00A77B3E">
            <w:pPr>
              <w:spacing w:before="100" w:after="0"/>
              <w:jc w:val="start"/>
              <w:rPr>
                <w:rFonts w:ascii="Times New Roman" w:eastAsia="Times New Roman" w:hAnsi="Times New Roman" w:cs="Times New Roman"/>
                <w:b w:val="0"/>
                <w:i w:val="0"/>
                <w:vanish w:val="0"/>
                <w:color w:val="000000"/>
                <w:sz w:val="20"/>
              </w:rPr>
            </w:pPr>
            <w:r>
              <w:rPr>
                <w:rFonts w:ascii="Times New Roman" w:eastAsia="Times New Roman" w:hAnsi="Times New Roman" w:cs="Times New Roman"/>
                <w:b w:val="0"/>
                <w:i w:val="0"/>
                <w:vanish w:val="0"/>
                <w:color w:val="000000"/>
                <w:sz w:val="20"/>
              </w:rPr>
              <w:t>število</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rsidR="00A77B3E">
            <w:pPr>
              <w:spacing w:before="100" w:after="0"/>
              <w:jc w:val="end"/>
              <w:rPr>
                <w:rFonts w:ascii="Times New Roman" w:eastAsia="Times New Roman" w:hAnsi="Times New Roman" w:cs="Times New Roman"/>
                <w:b w:val="0"/>
                <w:i w:val="0"/>
                <w:vanish w:val="0"/>
                <w:color w:val="000000"/>
                <w:sz w:val="20"/>
              </w:rPr>
            </w:pPr>
            <w:r>
              <w:rPr>
                <w:rFonts w:ascii="Times New Roman" w:eastAsia="Times New Roman" w:hAnsi="Times New Roman" w:cs="Times New Roman"/>
                <w:b w:val="0"/>
                <w:i w:val="0"/>
                <w:vanish w:val="0"/>
                <w:color w:val="000000"/>
                <w:sz w:val="20"/>
              </w:rPr>
              <w:t>39</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rsidR="00A77B3E">
            <w:pPr>
              <w:spacing w:before="100" w:after="0"/>
              <w:jc w:val="end"/>
              <w:rPr>
                <w:rFonts w:ascii="Times New Roman" w:eastAsia="Times New Roman" w:hAnsi="Times New Roman" w:cs="Times New Roman"/>
                <w:b w:val="0"/>
                <w:i w:val="0"/>
                <w:vanish w:val="0"/>
                <w:color w:val="000000"/>
                <w:sz w:val="20"/>
              </w:rPr>
            </w:pPr>
            <w:r>
              <w:rPr>
                <w:rFonts w:ascii="Times New Roman" w:eastAsia="Times New Roman" w:hAnsi="Times New Roman" w:cs="Times New Roman"/>
                <w:b w:val="0"/>
                <w:i w:val="0"/>
                <w:vanish w:val="0"/>
                <w:color w:val="000000"/>
                <w:sz w:val="20"/>
              </w:rPr>
              <w:t>93</w:t>
            </w:r>
          </w:p>
        </w:tc>
      </w:tr>
      <w:tr>
        <w:tblPrEx>
          <w:tblW w:w="100%" w:type="pct"/>
        </w:tblPrEx>
        <w:trPr>
          <w:cantSplit w:val="0"/>
          <w:trHeight w:hRule="auto" w:val="0"/>
          <w:tblHeader w:val="0"/>
        </w:trPr>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rsidR="00A77B3E">
            <w:pPr>
              <w:spacing w:before="100" w:after="0"/>
              <w:jc w:val="start"/>
              <w:rPr>
                <w:rFonts w:ascii="Times New Roman" w:eastAsia="Times New Roman" w:hAnsi="Times New Roman" w:cs="Times New Roman"/>
                <w:b w:val="0"/>
                <w:i w:val="0"/>
                <w:vanish w:val="0"/>
                <w:color w:val="000000"/>
                <w:sz w:val="20"/>
              </w:rPr>
            </w:pPr>
            <w:r>
              <w:rPr>
                <w:rFonts w:ascii="Times New Roman" w:eastAsia="Times New Roman" w:hAnsi="Times New Roman" w:cs="Times New Roman"/>
                <w:b w:val="0"/>
                <w:i w:val="0"/>
                <w:vanish w:val="0"/>
                <w:color w:val="000000"/>
                <w:sz w:val="20"/>
              </w:rPr>
              <w:t>O.1.2</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rsidR="00A77B3E">
            <w:pPr>
              <w:spacing w:before="100" w:after="0"/>
              <w:jc w:val="start"/>
              <w:rPr>
                <w:rFonts w:ascii="Times New Roman" w:eastAsia="Times New Roman" w:hAnsi="Times New Roman" w:cs="Times New Roman"/>
                <w:b w:val="0"/>
                <w:i w:val="0"/>
                <w:vanish w:val="0"/>
                <w:color w:val="000000"/>
                <w:sz w:val="20"/>
              </w:rPr>
            </w:pPr>
            <w:r>
              <w:rPr>
                <w:rFonts w:ascii="Times New Roman" w:eastAsia="Times New Roman" w:hAnsi="Times New Roman" w:cs="Times New Roman"/>
                <w:b w:val="0"/>
                <w:i w:val="0"/>
                <w:vanish w:val="0"/>
                <w:color w:val="000000"/>
                <w:sz w:val="20"/>
              </w:rPr>
              <w:t xml:space="preserve">Število strokovnih srečanj/delavnic/študijskih obiskov </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rsidR="00A77B3E">
            <w:pPr>
              <w:spacing w:before="100" w:after="0"/>
              <w:jc w:val="start"/>
              <w:rPr>
                <w:rFonts w:ascii="Times New Roman" w:eastAsia="Times New Roman" w:hAnsi="Times New Roman" w:cs="Times New Roman"/>
                <w:b w:val="0"/>
                <w:i w:val="0"/>
                <w:vanish w:val="0"/>
                <w:color w:val="000000"/>
                <w:sz w:val="20"/>
              </w:rPr>
            </w:pPr>
            <w:r>
              <w:rPr>
                <w:rFonts w:ascii="Times New Roman" w:eastAsia="Times New Roman" w:hAnsi="Times New Roman" w:cs="Times New Roman"/>
                <w:b w:val="0"/>
                <w:i w:val="0"/>
                <w:vanish w:val="0"/>
                <w:color w:val="000000"/>
                <w:sz w:val="20"/>
              </w:rPr>
              <w:t>število</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rsidR="00A77B3E">
            <w:pPr>
              <w:spacing w:before="100" w:after="0"/>
              <w:jc w:val="end"/>
              <w:rPr>
                <w:rFonts w:ascii="Times New Roman" w:eastAsia="Times New Roman" w:hAnsi="Times New Roman" w:cs="Times New Roman"/>
                <w:b w:val="0"/>
                <w:i w:val="0"/>
                <w:vanish w:val="0"/>
                <w:color w:val="000000"/>
                <w:sz w:val="20"/>
              </w:rPr>
            </w:pPr>
            <w:r>
              <w:rPr>
                <w:rFonts w:ascii="Times New Roman" w:eastAsia="Times New Roman" w:hAnsi="Times New Roman" w:cs="Times New Roman"/>
                <w:b w:val="0"/>
                <w:i w:val="0"/>
                <w:vanish w:val="0"/>
                <w:color w:val="000000"/>
                <w:sz w:val="20"/>
              </w:rPr>
              <w:t>17</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rsidR="00A77B3E">
            <w:pPr>
              <w:spacing w:before="100" w:after="0"/>
              <w:jc w:val="end"/>
              <w:rPr>
                <w:rFonts w:ascii="Times New Roman" w:eastAsia="Times New Roman" w:hAnsi="Times New Roman" w:cs="Times New Roman"/>
                <w:b w:val="0"/>
                <w:i w:val="0"/>
                <w:vanish w:val="0"/>
                <w:color w:val="000000"/>
                <w:sz w:val="20"/>
              </w:rPr>
            </w:pPr>
            <w:r>
              <w:rPr>
                <w:rFonts w:ascii="Times New Roman" w:eastAsia="Times New Roman" w:hAnsi="Times New Roman" w:cs="Times New Roman"/>
                <w:b w:val="0"/>
                <w:i w:val="0"/>
                <w:vanish w:val="0"/>
                <w:color w:val="000000"/>
                <w:sz w:val="20"/>
              </w:rPr>
              <w:t>67</w:t>
            </w:r>
          </w:p>
        </w:tc>
      </w:tr>
      <w:tr>
        <w:tblPrEx>
          <w:tblW w:w="100%" w:type="pct"/>
        </w:tblPrEx>
        <w:trPr>
          <w:cantSplit w:val="0"/>
          <w:trHeight w:hRule="auto" w:val="0"/>
          <w:tblHeader w:val="0"/>
        </w:trPr>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rsidR="00A77B3E">
            <w:pPr>
              <w:spacing w:before="100" w:after="0"/>
              <w:jc w:val="start"/>
              <w:rPr>
                <w:rFonts w:ascii="Times New Roman" w:eastAsia="Times New Roman" w:hAnsi="Times New Roman" w:cs="Times New Roman"/>
                <w:b w:val="0"/>
                <w:i w:val="0"/>
                <w:vanish w:val="0"/>
                <w:color w:val="000000"/>
                <w:sz w:val="20"/>
              </w:rPr>
            </w:pPr>
            <w:r>
              <w:rPr>
                <w:rFonts w:ascii="Times New Roman" w:eastAsia="Times New Roman" w:hAnsi="Times New Roman" w:cs="Times New Roman"/>
                <w:b w:val="0"/>
                <w:i w:val="0"/>
                <w:vanish w:val="0"/>
                <w:color w:val="000000"/>
                <w:sz w:val="20"/>
              </w:rPr>
              <w:t>O.1.3</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rsidR="00A77B3E">
            <w:pPr>
              <w:spacing w:before="100" w:after="0"/>
              <w:jc w:val="start"/>
              <w:rPr>
                <w:rFonts w:ascii="Times New Roman" w:eastAsia="Times New Roman" w:hAnsi="Times New Roman" w:cs="Times New Roman"/>
                <w:b w:val="0"/>
                <w:i w:val="0"/>
                <w:vanish w:val="0"/>
                <w:color w:val="000000"/>
                <w:sz w:val="20"/>
              </w:rPr>
            </w:pPr>
            <w:r>
              <w:rPr>
                <w:rFonts w:ascii="Times New Roman" w:eastAsia="Times New Roman" w:hAnsi="Times New Roman" w:cs="Times New Roman"/>
                <w:b w:val="0"/>
                <w:i w:val="0"/>
                <w:vanish w:val="0"/>
                <w:color w:val="000000"/>
                <w:sz w:val="20"/>
              </w:rPr>
              <w:t>Število vzpostavljenih/prilagojenih/vzdrževanih sistemov IKT</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rsidR="00A77B3E">
            <w:pPr>
              <w:spacing w:before="100" w:after="0"/>
              <w:jc w:val="start"/>
              <w:rPr>
                <w:rFonts w:ascii="Times New Roman" w:eastAsia="Times New Roman" w:hAnsi="Times New Roman" w:cs="Times New Roman"/>
                <w:b w:val="0"/>
                <w:i w:val="0"/>
                <w:vanish w:val="0"/>
                <w:color w:val="000000"/>
                <w:sz w:val="20"/>
              </w:rPr>
            </w:pPr>
            <w:r>
              <w:rPr>
                <w:rFonts w:ascii="Times New Roman" w:eastAsia="Times New Roman" w:hAnsi="Times New Roman" w:cs="Times New Roman"/>
                <w:b w:val="0"/>
                <w:i w:val="0"/>
                <w:vanish w:val="0"/>
                <w:color w:val="000000"/>
                <w:sz w:val="20"/>
              </w:rPr>
              <w:t>število</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rsidR="00A77B3E">
            <w:pPr>
              <w:spacing w:before="100" w:after="0"/>
              <w:jc w:val="end"/>
              <w:rPr>
                <w:rFonts w:ascii="Times New Roman" w:eastAsia="Times New Roman" w:hAnsi="Times New Roman" w:cs="Times New Roman"/>
                <w:b w:val="0"/>
                <w:i w:val="0"/>
                <w:vanish w:val="0"/>
                <w:color w:val="000000"/>
                <w:sz w:val="20"/>
              </w:rPr>
            </w:pPr>
            <w:r>
              <w:rPr>
                <w:rFonts w:ascii="Times New Roman" w:eastAsia="Times New Roman" w:hAnsi="Times New Roman" w:cs="Times New Roman"/>
                <w:b w:val="0"/>
                <w:i w:val="0"/>
                <w:vanish w:val="0"/>
                <w:color w:val="000000"/>
                <w:sz w:val="20"/>
              </w:rPr>
              <w:t>6</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rsidR="00A77B3E">
            <w:pPr>
              <w:spacing w:before="100" w:after="0"/>
              <w:jc w:val="end"/>
              <w:rPr>
                <w:rFonts w:ascii="Times New Roman" w:eastAsia="Times New Roman" w:hAnsi="Times New Roman" w:cs="Times New Roman"/>
                <w:b w:val="0"/>
                <w:i w:val="0"/>
                <w:vanish w:val="0"/>
                <w:color w:val="000000"/>
                <w:sz w:val="20"/>
              </w:rPr>
            </w:pPr>
            <w:r>
              <w:rPr>
                <w:rFonts w:ascii="Times New Roman" w:eastAsia="Times New Roman" w:hAnsi="Times New Roman" w:cs="Times New Roman"/>
                <w:b w:val="0"/>
                <w:i w:val="0"/>
                <w:vanish w:val="0"/>
                <w:color w:val="000000"/>
                <w:sz w:val="20"/>
              </w:rPr>
              <w:t>6</w:t>
            </w:r>
          </w:p>
        </w:tc>
      </w:tr>
      <w:tr>
        <w:tblPrEx>
          <w:tblW w:w="100%" w:type="pct"/>
        </w:tblPrEx>
        <w:trPr>
          <w:cantSplit w:val="0"/>
          <w:trHeight w:hRule="auto" w:val="0"/>
          <w:tblHeader w:val="0"/>
        </w:trPr>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rsidR="00A77B3E">
            <w:pPr>
              <w:spacing w:before="100" w:after="0"/>
              <w:jc w:val="start"/>
              <w:rPr>
                <w:rFonts w:ascii="Times New Roman" w:eastAsia="Times New Roman" w:hAnsi="Times New Roman" w:cs="Times New Roman"/>
                <w:b w:val="0"/>
                <w:i w:val="0"/>
                <w:vanish w:val="0"/>
                <w:color w:val="000000"/>
                <w:sz w:val="20"/>
              </w:rPr>
            </w:pPr>
            <w:r>
              <w:rPr>
                <w:rFonts w:ascii="Times New Roman" w:eastAsia="Times New Roman" w:hAnsi="Times New Roman" w:cs="Times New Roman"/>
                <w:b w:val="0"/>
                <w:i w:val="0"/>
                <w:vanish w:val="0"/>
                <w:color w:val="000000"/>
                <w:sz w:val="20"/>
              </w:rPr>
              <w:t>O.1.4</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rsidR="00A77B3E">
            <w:pPr>
              <w:spacing w:before="100" w:after="0"/>
              <w:jc w:val="start"/>
              <w:rPr>
                <w:rFonts w:ascii="Times New Roman" w:eastAsia="Times New Roman" w:hAnsi="Times New Roman" w:cs="Times New Roman"/>
                <w:b w:val="0"/>
                <w:i w:val="0"/>
                <w:vanish w:val="0"/>
                <w:color w:val="000000"/>
                <w:sz w:val="20"/>
              </w:rPr>
            </w:pPr>
            <w:r>
              <w:rPr>
                <w:rFonts w:ascii="Times New Roman" w:eastAsia="Times New Roman" w:hAnsi="Times New Roman" w:cs="Times New Roman"/>
                <w:b w:val="0"/>
                <w:i w:val="0"/>
                <w:vanish w:val="0"/>
                <w:color w:val="000000"/>
                <w:sz w:val="20"/>
              </w:rPr>
              <w:t>Število kupljenih kosov opreme</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rsidR="00A77B3E">
            <w:pPr>
              <w:spacing w:before="100" w:after="0"/>
              <w:jc w:val="start"/>
              <w:rPr>
                <w:rFonts w:ascii="Times New Roman" w:eastAsia="Times New Roman" w:hAnsi="Times New Roman" w:cs="Times New Roman"/>
                <w:b w:val="0"/>
                <w:i w:val="0"/>
                <w:vanish w:val="0"/>
                <w:color w:val="000000"/>
                <w:sz w:val="20"/>
              </w:rPr>
            </w:pPr>
            <w:r>
              <w:rPr>
                <w:rFonts w:ascii="Times New Roman" w:eastAsia="Times New Roman" w:hAnsi="Times New Roman" w:cs="Times New Roman"/>
                <w:b w:val="0"/>
                <w:i w:val="0"/>
                <w:vanish w:val="0"/>
                <w:color w:val="000000"/>
                <w:sz w:val="20"/>
              </w:rPr>
              <w:t>število</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rsidR="00A77B3E">
            <w:pPr>
              <w:spacing w:before="100" w:after="0"/>
              <w:jc w:val="end"/>
              <w:rPr>
                <w:rFonts w:ascii="Times New Roman" w:eastAsia="Times New Roman" w:hAnsi="Times New Roman" w:cs="Times New Roman"/>
                <w:b w:val="0"/>
                <w:i w:val="0"/>
                <w:vanish w:val="0"/>
                <w:color w:val="000000"/>
                <w:sz w:val="20"/>
              </w:rPr>
            </w:pPr>
            <w:r>
              <w:rPr>
                <w:rFonts w:ascii="Times New Roman" w:eastAsia="Times New Roman" w:hAnsi="Times New Roman" w:cs="Times New Roman"/>
                <w:b w:val="0"/>
                <w:i w:val="0"/>
                <w:vanish w:val="0"/>
                <w:color w:val="000000"/>
                <w:sz w:val="20"/>
              </w:rPr>
              <w:t>1.224</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rsidR="00A77B3E">
            <w:pPr>
              <w:spacing w:before="100" w:after="0"/>
              <w:jc w:val="end"/>
              <w:rPr>
                <w:rFonts w:ascii="Times New Roman" w:eastAsia="Times New Roman" w:hAnsi="Times New Roman" w:cs="Times New Roman"/>
                <w:b w:val="0"/>
                <w:i w:val="0"/>
                <w:vanish w:val="0"/>
                <w:color w:val="000000"/>
                <w:sz w:val="20"/>
              </w:rPr>
            </w:pPr>
            <w:r>
              <w:rPr>
                <w:rFonts w:ascii="Times New Roman" w:eastAsia="Times New Roman" w:hAnsi="Times New Roman" w:cs="Times New Roman"/>
                <w:b w:val="0"/>
                <w:i w:val="0"/>
                <w:vanish w:val="0"/>
                <w:color w:val="000000"/>
                <w:sz w:val="20"/>
              </w:rPr>
              <w:t>3.679</w:t>
            </w:r>
          </w:p>
        </w:tc>
      </w:tr>
    </w:tbl>
    <w:p w:rsidR="00A77B3E">
      <w:pPr>
        <w:spacing w:before="100" w:after="0"/>
        <w:jc w:val="start"/>
        <w:rPr>
          <w:rFonts w:ascii="Times New Roman" w:eastAsia="Times New Roman" w:hAnsi="Times New Roman" w:cs="Times New Roman"/>
          <w:b w:val="0"/>
          <w:i w:val="0"/>
          <w:vanish w:val="0"/>
          <w:color w:val="000000"/>
          <w:sz w:val="24"/>
        </w:rPr>
      </w:pPr>
      <w:r>
        <w:rPr>
          <w:rFonts w:ascii="Times New Roman" w:eastAsia="Times New Roman" w:hAnsi="Times New Roman" w:cs="Times New Roman"/>
          <w:b w:val="0"/>
          <w:i w:val="0"/>
          <w:vanish w:val="0"/>
          <w:color w:val="000000"/>
          <w:sz w:val="20"/>
        </w:rPr>
        <w:br w:type="page"/>
      </w:r>
      <w:r>
        <w:rPr>
          <w:rFonts w:ascii="Times New Roman" w:eastAsia="Times New Roman" w:hAnsi="Times New Roman" w:cs="Times New Roman"/>
          <w:b w:val="0"/>
          <w:i w:val="0"/>
          <w:vanish w:val="0"/>
          <w:color w:val="000000"/>
          <w:sz w:val="24"/>
        </w:rPr>
        <w:t>2.1. Specifični cilj 1. Izmenjava informacij</w:t>
      </w:r>
    </w:p>
    <w:p w:rsidR="00A77B3E">
      <w:pPr>
        <w:spacing w:before="100" w:after="0"/>
        <w:jc w:val="start"/>
        <w:rPr>
          <w:rFonts w:ascii="Times New Roman" w:eastAsia="Times New Roman" w:hAnsi="Times New Roman" w:cs="Times New Roman"/>
          <w:b w:val="0"/>
          <w:i w:val="0"/>
          <w:vanish w:val="0"/>
          <w:color w:val="000000"/>
          <w:sz w:val="0"/>
        </w:rPr>
      </w:pPr>
      <w:r>
        <w:rPr>
          <w:rFonts w:ascii="Times New Roman" w:eastAsia="Times New Roman" w:hAnsi="Times New Roman" w:cs="Times New Roman"/>
          <w:b w:val="0"/>
          <w:i w:val="0"/>
          <w:vanish w:val="0"/>
          <w:color w:val="000000"/>
          <w:sz w:val="24"/>
        </w:rPr>
        <w:t>2.1.2. Kazalniki</w:t>
      </w:r>
    </w:p>
    <w:p w:rsidR="00A77B3E">
      <w:pPr>
        <w:spacing w:before="100" w:after="0"/>
        <w:jc w:val="star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24"/>
        </w:rPr>
        <w:t>Sklic: člen 22(4)(e) uredbe o skupnih določbah</w:t>
      </w:r>
    </w:p>
    <w:p w:rsidR="00A77B3E">
      <w:pPr>
        <w:pStyle w:val="Heading4"/>
        <w:spacing w:before="100" w:after="0"/>
        <w:jc w:val="start"/>
        <w:rPr>
          <w:rFonts w:ascii="Times New Roman" w:eastAsia="Times New Roman" w:hAnsi="Times New Roman" w:cs="Times New Roman"/>
          <w:b w:val="0"/>
          <w:i w:val="0"/>
          <w:vanish w:val="0"/>
          <w:color w:val="000000"/>
          <w:sz w:val="24"/>
        </w:rPr>
      </w:pPr>
      <w:bookmarkStart w:id="6" w:name="_Toc256000061"/>
      <w:r>
        <w:rPr>
          <w:rFonts w:ascii="Times New Roman" w:eastAsia="Times New Roman" w:hAnsi="Times New Roman" w:cs="Times New Roman"/>
          <w:b w:val="0"/>
          <w:i w:val="0"/>
          <w:vanish w:val="0"/>
          <w:color w:val="000000"/>
          <w:sz w:val="24"/>
        </w:rPr>
        <w:t>Tabela 2: Kazalniki rezultatov</w:t>
      </w:r>
      <w:bookmarkEnd w:id="6"/>
    </w:p>
    <w:p w:rsidR="00A77B3E">
      <w:pPr>
        <w:spacing w:before="100" w:after="0"/>
        <w:jc w:val="start"/>
        <w:rPr>
          <w:rFonts w:ascii="Times New Roman" w:eastAsia="Times New Roman" w:hAnsi="Times New Roman" w:cs="Times New Roman"/>
          <w:b w:val="0"/>
          <w:i w:val="0"/>
          <w:vanish w:val="0"/>
          <w:color w:val="000000"/>
          <w:sz w:val="0"/>
        </w:rPr>
      </w:pPr>
    </w:p>
    <w:tbl>
      <w:tblPr>
        <w:tblW w:w="100%" w:type="pct"/>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Layout w:type="fixed"/>
        <w:tblCellMar>
          <w:start w:w="5.4pt" w:type="dxa"/>
          <w:end w:w="5.4pt" w:type="dxa"/>
        </w:tblCellMar>
      </w:tblPr>
      <w:tblGrid>
        <w:gridCol w:w="760"/>
        <w:gridCol w:w="2276"/>
        <w:gridCol w:w="1517"/>
        <w:gridCol w:w="1517"/>
        <w:gridCol w:w="1517"/>
        <w:gridCol w:w="1517"/>
        <w:gridCol w:w="1517"/>
        <w:gridCol w:w="1517"/>
        <w:gridCol w:w="1517"/>
        <w:gridCol w:w="1517"/>
      </w:tblGrid>
      <w:tr>
        <w:tblPrEx>
          <w:tblW w:w="100%" w:type="pct"/>
          <w:tblLayout w:type="fixed"/>
        </w:tblPrEx>
        <w:trPr>
          <w:cantSplit w:val="0"/>
          <w:trHeight w:hRule="auto" w:val="0"/>
          <w:tblHeader/>
        </w:trPr>
        <w:tc>
          <w:tcPr>
            <w:tcW w:w="5%" w:type="pct"/>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rsidR="00A77B3E">
            <w:pPr>
              <w:spacing w:before="100" w:after="0"/>
              <w:jc w:val="center"/>
              <w:rPr>
                <w:rFonts w:ascii="Times New Roman" w:eastAsia="Times New Roman" w:hAnsi="Times New Roman" w:cs="Times New Roman"/>
                <w:b w:val="0"/>
                <w:i w:val="0"/>
                <w:vanish w:val="0"/>
                <w:color w:val="000000"/>
                <w:sz w:val="20"/>
              </w:rPr>
            </w:pPr>
            <w:r>
              <w:rPr>
                <w:rFonts w:ascii="Times New Roman" w:eastAsia="Times New Roman" w:hAnsi="Times New Roman" w:cs="Times New Roman"/>
                <w:b w:val="0"/>
                <w:i w:val="0"/>
                <w:vanish w:val="0"/>
                <w:color w:val="000000"/>
                <w:sz w:val="20"/>
              </w:rPr>
              <w:t>Identifikator</w:t>
            </w:r>
          </w:p>
        </w:tc>
        <w:tc>
          <w:tcPr>
            <w:tcW w:w="15%" w:type="pct"/>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rsidR="00A77B3E">
            <w:pPr>
              <w:spacing w:before="100" w:after="0"/>
              <w:jc w:val="center"/>
              <w:rPr>
                <w:rFonts w:ascii="Times New Roman" w:eastAsia="Times New Roman" w:hAnsi="Times New Roman" w:cs="Times New Roman"/>
                <w:b w:val="0"/>
                <w:i w:val="0"/>
                <w:vanish w:val="0"/>
                <w:color w:val="000000"/>
                <w:sz w:val="20"/>
              </w:rPr>
            </w:pPr>
            <w:r>
              <w:rPr>
                <w:rFonts w:ascii="Times New Roman" w:eastAsia="Times New Roman" w:hAnsi="Times New Roman" w:cs="Times New Roman"/>
                <w:b w:val="0"/>
                <w:i w:val="0"/>
                <w:vanish w:val="0"/>
                <w:color w:val="000000"/>
                <w:sz w:val="20"/>
              </w:rPr>
              <w:t>Kazalnik</w:t>
            </w:r>
          </w:p>
        </w:tc>
        <w:tc>
          <w:tcPr>
            <w:tcW w:w="10%" w:type="pct"/>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rsidR="00A77B3E">
            <w:pPr>
              <w:spacing w:before="100" w:after="0"/>
              <w:jc w:val="center"/>
              <w:rPr>
                <w:rFonts w:ascii="Times New Roman" w:eastAsia="Times New Roman" w:hAnsi="Times New Roman" w:cs="Times New Roman"/>
                <w:b w:val="0"/>
                <w:i w:val="0"/>
                <w:vanish w:val="0"/>
                <w:color w:val="000000"/>
                <w:sz w:val="20"/>
              </w:rPr>
            </w:pPr>
            <w:r>
              <w:rPr>
                <w:rFonts w:ascii="Times New Roman" w:eastAsia="Times New Roman" w:hAnsi="Times New Roman" w:cs="Times New Roman"/>
                <w:b w:val="0"/>
                <w:i w:val="0"/>
                <w:vanish w:val="0"/>
                <w:color w:val="000000"/>
                <w:sz w:val="20"/>
              </w:rPr>
              <w:t>Merska enota</w:t>
            </w:r>
          </w:p>
        </w:tc>
        <w:tc>
          <w:tcPr>
            <w:tcW w:w="10%" w:type="pct"/>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rsidR="00A77B3E">
            <w:pPr>
              <w:spacing w:before="100" w:after="0"/>
              <w:jc w:val="center"/>
              <w:rPr>
                <w:rFonts w:ascii="Times New Roman" w:eastAsia="Times New Roman" w:hAnsi="Times New Roman" w:cs="Times New Roman"/>
                <w:b w:val="0"/>
                <w:i w:val="0"/>
                <w:vanish w:val="0"/>
                <w:color w:val="000000"/>
                <w:sz w:val="20"/>
              </w:rPr>
            </w:pPr>
            <w:r>
              <w:rPr>
                <w:rFonts w:ascii="Times New Roman" w:eastAsia="Times New Roman" w:hAnsi="Times New Roman" w:cs="Times New Roman"/>
                <w:b w:val="0"/>
                <w:i w:val="0"/>
                <w:vanish w:val="0"/>
                <w:color w:val="000000"/>
                <w:sz w:val="20"/>
              </w:rPr>
              <w:t>Izhodišče</w:t>
            </w:r>
          </w:p>
        </w:tc>
        <w:tc>
          <w:tcPr>
            <w:tcW w:w="10%" w:type="pct"/>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rsidR="00A77B3E">
            <w:pPr>
              <w:spacing w:before="100" w:after="0"/>
              <w:jc w:val="center"/>
              <w:rPr>
                <w:rFonts w:ascii="Times New Roman" w:eastAsia="Times New Roman" w:hAnsi="Times New Roman" w:cs="Times New Roman"/>
                <w:b w:val="0"/>
                <w:i w:val="0"/>
                <w:vanish w:val="0"/>
                <w:color w:val="000000"/>
                <w:sz w:val="20"/>
              </w:rPr>
            </w:pPr>
            <w:r>
              <w:rPr>
                <w:rFonts w:ascii="Times New Roman" w:eastAsia="Times New Roman" w:hAnsi="Times New Roman" w:cs="Times New Roman"/>
                <w:b w:val="0"/>
                <w:i w:val="0"/>
                <w:vanish w:val="0"/>
                <w:color w:val="000000"/>
                <w:sz w:val="20"/>
              </w:rPr>
              <w:t>Merska enota za izhodišče</w:t>
            </w:r>
          </w:p>
        </w:tc>
        <w:tc>
          <w:tcPr>
            <w:tcW w:w="10%" w:type="pct"/>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rsidR="00A77B3E">
            <w:pPr>
              <w:spacing w:before="100" w:after="0"/>
              <w:jc w:val="center"/>
              <w:rPr>
                <w:rFonts w:ascii="Times New Roman" w:eastAsia="Times New Roman" w:hAnsi="Times New Roman" w:cs="Times New Roman"/>
                <w:b w:val="0"/>
                <w:i w:val="0"/>
                <w:vanish w:val="0"/>
                <w:color w:val="000000"/>
                <w:sz w:val="20"/>
              </w:rPr>
            </w:pPr>
            <w:r>
              <w:rPr>
                <w:rFonts w:ascii="Times New Roman" w:eastAsia="Times New Roman" w:hAnsi="Times New Roman" w:cs="Times New Roman"/>
                <w:b w:val="0"/>
                <w:i w:val="0"/>
                <w:vanish w:val="0"/>
                <w:color w:val="000000"/>
                <w:sz w:val="20"/>
              </w:rPr>
              <w:t>Referenčna leta</w:t>
            </w:r>
          </w:p>
        </w:tc>
        <w:tc>
          <w:tcPr>
            <w:tcW w:w="10%" w:type="pct"/>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rsidR="00A77B3E">
            <w:pPr>
              <w:spacing w:before="100" w:after="0"/>
              <w:jc w:val="center"/>
              <w:rPr>
                <w:rFonts w:ascii="Times New Roman" w:eastAsia="Times New Roman" w:hAnsi="Times New Roman" w:cs="Times New Roman"/>
                <w:b w:val="0"/>
                <w:i w:val="0"/>
                <w:vanish w:val="0"/>
                <w:color w:val="000000"/>
                <w:sz w:val="20"/>
              </w:rPr>
            </w:pPr>
            <w:r>
              <w:rPr>
                <w:rFonts w:ascii="Times New Roman" w:eastAsia="Times New Roman" w:hAnsi="Times New Roman" w:cs="Times New Roman"/>
                <w:b w:val="0"/>
                <w:i w:val="0"/>
                <w:vanish w:val="0"/>
                <w:color w:val="000000"/>
                <w:sz w:val="20"/>
              </w:rPr>
              <w:t>Cilj (2029)</w:t>
            </w:r>
          </w:p>
        </w:tc>
        <w:tc>
          <w:tcPr>
            <w:tcW w:w="10%" w:type="pct"/>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rsidR="00A77B3E">
            <w:pPr>
              <w:spacing w:before="100" w:after="0"/>
              <w:jc w:val="center"/>
              <w:rPr>
                <w:rFonts w:ascii="Times New Roman" w:eastAsia="Times New Roman" w:hAnsi="Times New Roman" w:cs="Times New Roman"/>
                <w:b w:val="0"/>
                <w:i w:val="0"/>
                <w:vanish w:val="0"/>
                <w:color w:val="000000"/>
                <w:sz w:val="20"/>
              </w:rPr>
            </w:pPr>
            <w:r>
              <w:rPr>
                <w:rFonts w:ascii="Times New Roman" w:eastAsia="Times New Roman" w:hAnsi="Times New Roman" w:cs="Times New Roman"/>
                <w:b w:val="0"/>
                <w:i w:val="0"/>
                <w:vanish w:val="0"/>
                <w:color w:val="000000"/>
                <w:sz w:val="20"/>
              </w:rPr>
              <w:t>Merska enota za cilj</w:t>
            </w:r>
          </w:p>
        </w:tc>
        <w:tc>
          <w:tcPr>
            <w:tcW w:w="10%" w:type="pct"/>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rsidR="00A77B3E">
            <w:pPr>
              <w:spacing w:before="100" w:after="0"/>
              <w:jc w:val="center"/>
              <w:rPr>
                <w:rFonts w:ascii="Times New Roman" w:eastAsia="Times New Roman" w:hAnsi="Times New Roman" w:cs="Times New Roman"/>
                <w:b w:val="0"/>
                <w:i w:val="0"/>
                <w:vanish w:val="0"/>
                <w:color w:val="000000"/>
                <w:sz w:val="20"/>
              </w:rPr>
            </w:pPr>
            <w:r>
              <w:rPr>
                <w:rFonts w:ascii="Times New Roman" w:eastAsia="Times New Roman" w:hAnsi="Times New Roman" w:cs="Times New Roman"/>
                <w:b w:val="0"/>
                <w:i w:val="0"/>
                <w:vanish w:val="0"/>
                <w:color w:val="000000"/>
                <w:sz w:val="20"/>
              </w:rPr>
              <w:t>Vir podatkov</w:t>
            </w:r>
          </w:p>
        </w:tc>
        <w:tc>
          <w:tcPr>
            <w:tcW w:w="10%" w:type="pct"/>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rsidR="00A77B3E">
            <w:pPr>
              <w:spacing w:before="100" w:after="0"/>
              <w:jc w:val="start"/>
              <w:rPr>
                <w:rFonts w:ascii="Times New Roman" w:eastAsia="Times New Roman" w:hAnsi="Times New Roman" w:cs="Times New Roman"/>
                <w:b w:val="0"/>
                <w:i w:val="0"/>
                <w:vanish w:val="0"/>
                <w:color w:val="000000"/>
                <w:sz w:val="20"/>
              </w:rPr>
            </w:pPr>
            <w:r>
              <w:rPr>
                <w:rFonts w:ascii="Times New Roman" w:eastAsia="Times New Roman" w:hAnsi="Times New Roman" w:cs="Times New Roman"/>
                <w:b w:val="0"/>
                <w:i w:val="0"/>
                <w:vanish w:val="0"/>
                <w:color w:val="000000"/>
                <w:sz w:val="20"/>
              </w:rPr>
              <w:t>Opombe</w:t>
            </w:r>
          </w:p>
        </w:tc>
      </w:tr>
      <w:tr>
        <w:tblPrEx>
          <w:tblW w:w="100%" w:type="pct"/>
          <w:tblLayout w:type="fixed"/>
        </w:tblPrEx>
        <w:trPr>
          <w:cantSplit w:val="0"/>
          <w:trHeight w:hRule="auto" w:val="0"/>
          <w:tblHeader w:val="0"/>
        </w:trPr>
        <w:tc>
          <w:tcPr>
            <w:tcW w:w="5%" w:type="pct"/>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20"/>
              </w:rPr>
            </w:pPr>
            <w:r>
              <w:rPr>
                <w:rFonts w:ascii="Times New Roman" w:eastAsia="Times New Roman" w:hAnsi="Times New Roman" w:cs="Times New Roman"/>
                <w:b w:val="0"/>
                <w:i w:val="0"/>
                <w:vanish w:val="0"/>
                <w:color w:val="000000"/>
                <w:sz w:val="20"/>
              </w:rPr>
              <w:t>R.1.5</w:t>
            </w:r>
          </w:p>
        </w:tc>
        <w:tc>
          <w:tcPr>
            <w:tcW w:w="15%" w:type="pct"/>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20"/>
              </w:rPr>
            </w:pPr>
            <w:r>
              <w:rPr>
                <w:rFonts w:ascii="Times New Roman" w:eastAsia="Times New Roman" w:hAnsi="Times New Roman" w:cs="Times New Roman"/>
                <w:b w:val="0"/>
                <w:i w:val="0"/>
                <w:vanish w:val="0"/>
                <w:color w:val="000000"/>
                <w:sz w:val="20"/>
              </w:rPr>
              <w:t>Število sistemov IKT, ki so interoperabilni v državah članicah/z za varnost pomembnimi informacijskimi sistemi na ravni EU in decentralizirani ravni/z mednarodnimi podatkovnimi zbirkami</w:t>
            </w:r>
          </w:p>
        </w:tc>
        <w:tc>
          <w:tcPr>
            <w:tcW w:w="10%" w:type="pct"/>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20"/>
              </w:rPr>
            </w:pPr>
            <w:r>
              <w:rPr>
                <w:rFonts w:ascii="Times New Roman" w:eastAsia="Times New Roman" w:hAnsi="Times New Roman" w:cs="Times New Roman"/>
                <w:b w:val="0"/>
                <w:i w:val="0"/>
                <w:vanish w:val="0"/>
                <w:color w:val="000000"/>
                <w:sz w:val="20"/>
              </w:rPr>
              <w:t>število</w:t>
            </w:r>
          </w:p>
        </w:tc>
        <w:tc>
          <w:tcPr>
            <w:tcW w:w="10%" w:type="pct"/>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20"/>
              </w:rPr>
            </w:pPr>
            <w:r>
              <w:rPr>
                <w:rFonts w:ascii="Times New Roman" w:eastAsia="Times New Roman" w:hAnsi="Times New Roman" w:cs="Times New Roman"/>
                <w:b w:val="0"/>
                <w:i w:val="0"/>
                <w:vanish w:val="0"/>
                <w:color w:val="000000"/>
                <w:sz w:val="20"/>
              </w:rPr>
              <w:t>0</w:t>
            </w:r>
          </w:p>
        </w:tc>
        <w:tc>
          <w:tcPr>
            <w:tcW w:w="10%" w:type="pct"/>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20"/>
              </w:rPr>
            </w:pPr>
            <w:r>
              <w:rPr>
                <w:rFonts w:ascii="Times New Roman" w:eastAsia="Times New Roman" w:hAnsi="Times New Roman" w:cs="Times New Roman"/>
                <w:b w:val="0"/>
                <w:i w:val="0"/>
                <w:vanish w:val="0"/>
                <w:color w:val="000000"/>
                <w:sz w:val="20"/>
              </w:rPr>
              <w:t>število</w:t>
            </w:r>
          </w:p>
        </w:tc>
        <w:tc>
          <w:tcPr>
            <w:tcW w:w="10%" w:type="pct"/>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center"/>
              <w:rPr>
                <w:rFonts w:ascii="Times New Roman" w:eastAsia="Times New Roman" w:hAnsi="Times New Roman" w:cs="Times New Roman"/>
                <w:b w:val="0"/>
                <w:i w:val="0"/>
                <w:vanish w:val="0"/>
                <w:color w:val="000000"/>
                <w:sz w:val="20"/>
              </w:rPr>
            </w:pPr>
            <w:r>
              <w:rPr>
                <w:rFonts w:ascii="Times New Roman" w:eastAsia="Times New Roman" w:hAnsi="Times New Roman" w:cs="Times New Roman"/>
                <w:b w:val="0"/>
                <w:i w:val="0"/>
                <w:vanish w:val="0"/>
                <w:color w:val="000000"/>
                <w:sz w:val="20"/>
              </w:rPr>
              <w:t>2021-2022</w:t>
            </w:r>
          </w:p>
        </w:tc>
        <w:tc>
          <w:tcPr>
            <w:tcW w:w="10%" w:type="pct"/>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center"/>
              <w:rPr>
                <w:rFonts w:ascii="Times New Roman" w:eastAsia="Times New Roman" w:hAnsi="Times New Roman" w:cs="Times New Roman"/>
                <w:b w:val="0"/>
                <w:i w:val="0"/>
                <w:vanish w:val="0"/>
                <w:color w:val="000000"/>
                <w:sz w:val="20"/>
              </w:rPr>
            </w:pPr>
            <w:r>
              <w:rPr>
                <w:rFonts w:ascii="Times New Roman" w:eastAsia="Times New Roman" w:hAnsi="Times New Roman" w:cs="Times New Roman"/>
                <w:b w:val="0"/>
                <w:i w:val="0"/>
                <w:vanish w:val="0"/>
                <w:color w:val="000000"/>
                <w:sz w:val="20"/>
              </w:rPr>
              <w:t>0</w:t>
            </w:r>
          </w:p>
        </w:tc>
        <w:tc>
          <w:tcPr>
            <w:tcW w:w="10%" w:type="pct"/>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20"/>
              </w:rPr>
            </w:pPr>
            <w:r>
              <w:rPr>
                <w:rFonts w:ascii="Times New Roman" w:eastAsia="Times New Roman" w:hAnsi="Times New Roman" w:cs="Times New Roman"/>
                <w:b w:val="0"/>
                <w:i w:val="0"/>
                <w:vanish w:val="0"/>
                <w:color w:val="000000"/>
                <w:sz w:val="20"/>
              </w:rPr>
              <w:t>število</w:t>
            </w:r>
          </w:p>
        </w:tc>
        <w:tc>
          <w:tcPr>
            <w:tcW w:w="10%" w:type="pct"/>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20"/>
              </w:rPr>
            </w:pPr>
            <w:r>
              <w:rPr>
                <w:rFonts w:ascii="Times New Roman" w:eastAsia="Times New Roman" w:hAnsi="Times New Roman" w:cs="Times New Roman"/>
                <w:b w:val="0"/>
                <w:i w:val="0"/>
                <w:vanish w:val="0"/>
                <w:color w:val="000000"/>
                <w:sz w:val="20"/>
              </w:rPr>
              <w:t>Evidenca Policije.</w:t>
            </w:r>
          </w:p>
        </w:tc>
        <w:tc>
          <w:tcPr>
            <w:tcW w:w="10%" w:type="pct"/>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20"/>
              </w:rPr>
            </w:pPr>
          </w:p>
        </w:tc>
      </w:tr>
      <w:tr>
        <w:tblPrEx>
          <w:tblW w:w="100%" w:type="pct"/>
          <w:tblLayout w:type="fixed"/>
        </w:tblPrEx>
        <w:trPr>
          <w:cantSplit w:val="0"/>
          <w:trHeight w:hRule="auto" w:val="0"/>
          <w:tblHeader w:val="0"/>
        </w:trPr>
        <w:tc>
          <w:tcPr>
            <w:tcW w:w="5%" w:type="pct"/>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20"/>
              </w:rPr>
            </w:pPr>
            <w:r>
              <w:rPr>
                <w:rFonts w:ascii="Times New Roman" w:eastAsia="Times New Roman" w:hAnsi="Times New Roman" w:cs="Times New Roman"/>
                <w:b w:val="0"/>
                <w:i w:val="0"/>
                <w:vanish w:val="0"/>
                <w:color w:val="000000"/>
                <w:sz w:val="20"/>
              </w:rPr>
              <w:t>R.1.6</w:t>
            </w:r>
          </w:p>
        </w:tc>
        <w:tc>
          <w:tcPr>
            <w:tcW w:w="15%" w:type="pct"/>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20"/>
              </w:rPr>
            </w:pPr>
            <w:r>
              <w:rPr>
                <w:rFonts w:ascii="Times New Roman" w:eastAsia="Times New Roman" w:hAnsi="Times New Roman" w:cs="Times New Roman"/>
                <w:b w:val="0"/>
                <w:i w:val="0"/>
                <w:vanish w:val="0"/>
                <w:color w:val="000000"/>
                <w:sz w:val="20"/>
              </w:rPr>
              <w:t>Število upravnih enot, ki so vzpostavile nove ali posodobile obstoječe mehanizme/postopke/orodja/smernice za izmenjavo informacij z drugimi državami članicami/agencijami EU/mednarodnimi organizacijami/tretjimi državami</w:t>
            </w:r>
          </w:p>
        </w:tc>
        <w:tc>
          <w:tcPr>
            <w:tcW w:w="10%" w:type="pct"/>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20"/>
              </w:rPr>
            </w:pPr>
            <w:r>
              <w:rPr>
                <w:rFonts w:ascii="Times New Roman" w:eastAsia="Times New Roman" w:hAnsi="Times New Roman" w:cs="Times New Roman"/>
                <w:b w:val="0"/>
                <w:i w:val="0"/>
                <w:vanish w:val="0"/>
                <w:color w:val="000000"/>
                <w:sz w:val="20"/>
              </w:rPr>
              <w:t>število</w:t>
            </w:r>
          </w:p>
        </w:tc>
        <w:tc>
          <w:tcPr>
            <w:tcW w:w="10%" w:type="pct"/>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20"/>
              </w:rPr>
            </w:pPr>
            <w:r>
              <w:rPr>
                <w:rFonts w:ascii="Times New Roman" w:eastAsia="Times New Roman" w:hAnsi="Times New Roman" w:cs="Times New Roman"/>
                <w:b w:val="0"/>
                <w:i w:val="0"/>
                <w:vanish w:val="0"/>
                <w:color w:val="000000"/>
                <w:sz w:val="20"/>
              </w:rPr>
              <w:t>0</w:t>
            </w:r>
          </w:p>
        </w:tc>
        <w:tc>
          <w:tcPr>
            <w:tcW w:w="10%" w:type="pct"/>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20"/>
              </w:rPr>
            </w:pPr>
            <w:r>
              <w:rPr>
                <w:rFonts w:ascii="Times New Roman" w:eastAsia="Times New Roman" w:hAnsi="Times New Roman" w:cs="Times New Roman"/>
                <w:b w:val="0"/>
                <w:i w:val="0"/>
                <w:vanish w:val="0"/>
                <w:color w:val="000000"/>
                <w:sz w:val="20"/>
              </w:rPr>
              <w:t>število</w:t>
            </w:r>
          </w:p>
        </w:tc>
        <w:tc>
          <w:tcPr>
            <w:tcW w:w="10%" w:type="pct"/>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center"/>
              <w:rPr>
                <w:rFonts w:ascii="Times New Roman" w:eastAsia="Times New Roman" w:hAnsi="Times New Roman" w:cs="Times New Roman"/>
                <w:b w:val="0"/>
                <w:i w:val="0"/>
                <w:vanish w:val="0"/>
                <w:color w:val="000000"/>
                <w:sz w:val="20"/>
              </w:rPr>
            </w:pPr>
            <w:r>
              <w:rPr>
                <w:rFonts w:ascii="Times New Roman" w:eastAsia="Times New Roman" w:hAnsi="Times New Roman" w:cs="Times New Roman"/>
                <w:b w:val="0"/>
                <w:i w:val="0"/>
                <w:vanish w:val="0"/>
                <w:color w:val="000000"/>
                <w:sz w:val="20"/>
              </w:rPr>
              <w:t>2021</w:t>
            </w:r>
          </w:p>
        </w:tc>
        <w:tc>
          <w:tcPr>
            <w:tcW w:w="10%" w:type="pct"/>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center"/>
              <w:rPr>
                <w:rFonts w:ascii="Times New Roman" w:eastAsia="Times New Roman" w:hAnsi="Times New Roman" w:cs="Times New Roman"/>
                <w:b w:val="0"/>
                <w:i w:val="0"/>
                <w:vanish w:val="0"/>
                <w:color w:val="000000"/>
                <w:sz w:val="20"/>
              </w:rPr>
            </w:pPr>
            <w:r>
              <w:rPr>
                <w:rFonts w:ascii="Times New Roman" w:eastAsia="Times New Roman" w:hAnsi="Times New Roman" w:cs="Times New Roman"/>
                <w:b w:val="0"/>
                <w:i w:val="0"/>
                <w:vanish w:val="0"/>
                <w:color w:val="000000"/>
                <w:sz w:val="20"/>
              </w:rPr>
              <w:t>3</w:t>
            </w:r>
          </w:p>
        </w:tc>
        <w:tc>
          <w:tcPr>
            <w:tcW w:w="10%" w:type="pct"/>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20"/>
              </w:rPr>
            </w:pPr>
            <w:r>
              <w:rPr>
                <w:rFonts w:ascii="Times New Roman" w:eastAsia="Times New Roman" w:hAnsi="Times New Roman" w:cs="Times New Roman"/>
                <w:b w:val="0"/>
                <w:i w:val="0"/>
                <w:vanish w:val="0"/>
                <w:color w:val="000000"/>
                <w:sz w:val="20"/>
              </w:rPr>
              <w:t>število</w:t>
            </w:r>
          </w:p>
        </w:tc>
        <w:tc>
          <w:tcPr>
            <w:tcW w:w="10%" w:type="pct"/>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20"/>
              </w:rPr>
            </w:pPr>
            <w:r>
              <w:rPr>
                <w:rFonts w:ascii="Times New Roman" w:eastAsia="Times New Roman" w:hAnsi="Times New Roman" w:cs="Times New Roman"/>
                <w:b w:val="0"/>
                <w:i w:val="0"/>
                <w:vanish w:val="0"/>
                <w:color w:val="000000"/>
                <w:sz w:val="20"/>
              </w:rPr>
              <w:t>Poročila o zaključku projekta.</w:t>
            </w:r>
          </w:p>
        </w:tc>
        <w:tc>
          <w:tcPr>
            <w:tcW w:w="10%" w:type="pct"/>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20"/>
              </w:rPr>
            </w:pPr>
          </w:p>
        </w:tc>
      </w:tr>
      <w:tr>
        <w:tblPrEx>
          <w:tblW w:w="100%" w:type="pct"/>
          <w:tblLayout w:type="fixed"/>
        </w:tblPrEx>
        <w:trPr>
          <w:cantSplit w:val="0"/>
          <w:trHeight w:hRule="auto" w:val="0"/>
          <w:tblHeader w:val="0"/>
        </w:trPr>
        <w:tc>
          <w:tcPr>
            <w:tcW w:w="5%" w:type="pct"/>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20"/>
              </w:rPr>
            </w:pPr>
            <w:r>
              <w:rPr>
                <w:rFonts w:ascii="Times New Roman" w:eastAsia="Times New Roman" w:hAnsi="Times New Roman" w:cs="Times New Roman"/>
                <w:b w:val="0"/>
                <w:i w:val="0"/>
                <w:vanish w:val="0"/>
                <w:color w:val="000000"/>
                <w:sz w:val="20"/>
              </w:rPr>
              <w:t>R.1.7</w:t>
            </w:r>
          </w:p>
        </w:tc>
        <w:tc>
          <w:tcPr>
            <w:tcW w:w="15%" w:type="pct"/>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20"/>
              </w:rPr>
            </w:pPr>
            <w:r>
              <w:rPr>
                <w:rFonts w:ascii="Times New Roman" w:eastAsia="Times New Roman" w:hAnsi="Times New Roman" w:cs="Times New Roman"/>
                <w:b w:val="0"/>
                <w:i w:val="0"/>
                <w:vanish w:val="0"/>
                <w:color w:val="000000"/>
                <w:sz w:val="20"/>
              </w:rPr>
              <w:t>Število udeležencev, ki menijo, da je usposabljanje koristno za njihovo delo</w:t>
            </w:r>
          </w:p>
        </w:tc>
        <w:tc>
          <w:tcPr>
            <w:tcW w:w="10%" w:type="pct"/>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20"/>
              </w:rPr>
            </w:pPr>
            <w:r>
              <w:rPr>
                <w:rFonts w:ascii="Times New Roman" w:eastAsia="Times New Roman" w:hAnsi="Times New Roman" w:cs="Times New Roman"/>
                <w:b w:val="0"/>
                <w:i w:val="0"/>
                <w:vanish w:val="0"/>
                <w:color w:val="000000"/>
                <w:sz w:val="20"/>
              </w:rPr>
              <w:t>število</w:t>
            </w:r>
          </w:p>
        </w:tc>
        <w:tc>
          <w:tcPr>
            <w:tcW w:w="10%" w:type="pct"/>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20"/>
              </w:rPr>
            </w:pPr>
            <w:r>
              <w:rPr>
                <w:rFonts w:ascii="Times New Roman" w:eastAsia="Times New Roman" w:hAnsi="Times New Roman" w:cs="Times New Roman"/>
                <w:b w:val="0"/>
                <w:i w:val="0"/>
                <w:vanish w:val="0"/>
                <w:color w:val="000000"/>
                <w:sz w:val="20"/>
              </w:rPr>
              <w:t>0</w:t>
            </w:r>
          </w:p>
        </w:tc>
        <w:tc>
          <w:tcPr>
            <w:tcW w:w="10%" w:type="pct"/>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20"/>
              </w:rPr>
            </w:pPr>
            <w:r>
              <w:rPr>
                <w:rFonts w:ascii="Times New Roman" w:eastAsia="Times New Roman" w:hAnsi="Times New Roman" w:cs="Times New Roman"/>
                <w:b w:val="0"/>
                <w:i w:val="0"/>
                <w:vanish w:val="0"/>
                <w:color w:val="000000"/>
                <w:sz w:val="20"/>
              </w:rPr>
              <w:t>delež</w:t>
            </w:r>
          </w:p>
        </w:tc>
        <w:tc>
          <w:tcPr>
            <w:tcW w:w="10%" w:type="pct"/>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center"/>
              <w:rPr>
                <w:rFonts w:ascii="Times New Roman" w:eastAsia="Times New Roman" w:hAnsi="Times New Roman" w:cs="Times New Roman"/>
                <w:b w:val="0"/>
                <w:i w:val="0"/>
                <w:vanish w:val="0"/>
                <w:color w:val="000000"/>
                <w:sz w:val="20"/>
              </w:rPr>
            </w:pPr>
            <w:r>
              <w:rPr>
                <w:rFonts w:ascii="Times New Roman" w:eastAsia="Times New Roman" w:hAnsi="Times New Roman" w:cs="Times New Roman"/>
                <w:b w:val="0"/>
                <w:i w:val="0"/>
                <w:vanish w:val="0"/>
                <w:color w:val="000000"/>
                <w:sz w:val="20"/>
              </w:rPr>
              <w:t>2021</w:t>
            </w:r>
          </w:p>
        </w:tc>
        <w:tc>
          <w:tcPr>
            <w:tcW w:w="10%" w:type="pct"/>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center"/>
              <w:rPr>
                <w:rFonts w:ascii="Times New Roman" w:eastAsia="Times New Roman" w:hAnsi="Times New Roman" w:cs="Times New Roman"/>
                <w:b w:val="0"/>
                <w:i w:val="0"/>
                <w:vanish w:val="0"/>
                <w:color w:val="000000"/>
                <w:sz w:val="20"/>
              </w:rPr>
            </w:pPr>
            <w:r>
              <w:rPr>
                <w:rFonts w:ascii="Times New Roman" w:eastAsia="Times New Roman" w:hAnsi="Times New Roman" w:cs="Times New Roman"/>
                <w:b w:val="0"/>
                <w:i w:val="0"/>
                <w:vanish w:val="0"/>
                <w:color w:val="000000"/>
                <w:sz w:val="20"/>
              </w:rPr>
              <w:t>83</w:t>
            </w:r>
          </w:p>
        </w:tc>
        <w:tc>
          <w:tcPr>
            <w:tcW w:w="10%" w:type="pct"/>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20"/>
              </w:rPr>
            </w:pPr>
            <w:r>
              <w:rPr>
                <w:rFonts w:ascii="Times New Roman" w:eastAsia="Times New Roman" w:hAnsi="Times New Roman" w:cs="Times New Roman"/>
                <w:b w:val="0"/>
                <w:i w:val="0"/>
                <w:vanish w:val="0"/>
                <w:color w:val="000000"/>
                <w:sz w:val="20"/>
              </w:rPr>
              <w:t>število</w:t>
            </w:r>
          </w:p>
        </w:tc>
        <w:tc>
          <w:tcPr>
            <w:tcW w:w="10%" w:type="pct"/>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20"/>
              </w:rPr>
            </w:pPr>
            <w:r>
              <w:rPr>
                <w:rFonts w:ascii="Times New Roman" w:eastAsia="Times New Roman" w:hAnsi="Times New Roman" w:cs="Times New Roman"/>
                <w:b w:val="0"/>
                <w:i w:val="0"/>
                <w:vanish w:val="0"/>
                <w:color w:val="000000"/>
                <w:sz w:val="20"/>
              </w:rPr>
              <w:t>Podatki nacionalne PNR enote in ISCIU, liste prisotnosti na usposabljanjih, anketni listi.</w:t>
            </w:r>
          </w:p>
        </w:tc>
        <w:tc>
          <w:tcPr>
            <w:tcW w:w="10%" w:type="pct"/>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20"/>
              </w:rPr>
            </w:pPr>
          </w:p>
        </w:tc>
      </w:tr>
      <w:tr>
        <w:tblPrEx>
          <w:tblW w:w="100%" w:type="pct"/>
          <w:tblLayout w:type="fixed"/>
        </w:tblPrEx>
        <w:trPr>
          <w:cantSplit w:val="0"/>
          <w:trHeight w:hRule="auto" w:val="0"/>
          <w:tblHeader w:val="0"/>
        </w:trPr>
        <w:tc>
          <w:tcPr>
            <w:tcW w:w="5%" w:type="pct"/>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20"/>
              </w:rPr>
            </w:pPr>
            <w:r>
              <w:rPr>
                <w:rFonts w:ascii="Times New Roman" w:eastAsia="Times New Roman" w:hAnsi="Times New Roman" w:cs="Times New Roman"/>
                <w:b w:val="0"/>
                <w:i w:val="0"/>
                <w:vanish w:val="0"/>
                <w:color w:val="000000"/>
                <w:sz w:val="20"/>
              </w:rPr>
              <w:t>R.1.8</w:t>
            </w:r>
          </w:p>
        </w:tc>
        <w:tc>
          <w:tcPr>
            <w:tcW w:w="15%" w:type="pct"/>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20"/>
              </w:rPr>
            </w:pPr>
            <w:r>
              <w:rPr>
                <w:rFonts w:ascii="Times New Roman" w:eastAsia="Times New Roman" w:hAnsi="Times New Roman" w:cs="Times New Roman"/>
                <w:b w:val="0"/>
                <w:i w:val="0"/>
                <w:vanish w:val="0"/>
                <w:color w:val="000000"/>
                <w:sz w:val="20"/>
              </w:rPr>
              <w:t>Število udeležencev, ki tri mesece po usposabljanju poročajo, da uporabljajo spretnosti in kompetence, pridobljene med usposabljanjem</w:t>
            </w:r>
          </w:p>
        </w:tc>
        <w:tc>
          <w:tcPr>
            <w:tcW w:w="10%" w:type="pct"/>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20"/>
              </w:rPr>
            </w:pPr>
            <w:r>
              <w:rPr>
                <w:rFonts w:ascii="Times New Roman" w:eastAsia="Times New Roman" w:hAnsi="Times New Roman" w:cs="Times New Roman"/>
                <w:b w:val="0"/>
                <w:i w:val="0"/>
                <w:vanish w:val="0"/>
                <w:color w:val="000000"/>
                <w:sz w:val="20"/>
              </w:rPr>
              <w:t>število</w:t>
            </w:r>
          </w:p>
        </w:tc>
        <w:tc>
          <w:tcPr>
            <w:tcW w:w="10%" w:type="pct"/>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20"/>
              </w:rPr>
            </w:pPr>
            <w:r>
              <w:rPr>
                <w:rFonts w:ascii="Times New Roman" w:eastAsia="Times New Roman" w:hAnsi="Times New Roman" w:cs="Times New Roman"/>
                <w:b w:val="0"/>
                <w:i w:val="0"/>
                <w:vanish w:val="0"/>
                <w:color w:val="000000"/>
                <w:sz w:val="20"/>
              </w:rPr>
              <w:t>0</w:t>
            </w:r>
          </w:p>
        </w:tc>
        <w:tc>
          <w:tcPr>
            <w:tcW w:w="10%" w:type="pct"/>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20"/>
              </w:rPr>
            </w:pPr>
            <w:r>
              <w:rPr>
                <w:rFonts w:ascii="Times New Roman" w:eastAsia="Times New Roman" w:hAnsi="Times New Roman" w:cs="Times New Roman"/>
                <w:b w:val="0"/>
                <w:i w:val="0"/>
                <w:vanish w:val="0"/>
                <w:color w:val="000000"/>
                <w:sz w:val="20"/>
              </w:rPr>
              <w:t>delež</w:t>
            </w:r>
          </w:p>
        </w:tc>
        <w:tc>
          <w:tcPr>
            <w:tcW w:w="10%" w:type="pct"/>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center"/>
              <w:rPr>
                <w:rFonts w:ascii="Times New Roman" w:eastAsia="Times New Roman" w:hAnsi="Times New Roman" w:cs="Times New Roman"/>
                <w:b w:val="0"/>
                <w:i w:val="0"/>
                <w:vanish w:val="0"/>
                <w:color w:val="000000"/>
                <w:sz w:val="20"/>
              </w:rPr>
            </w:pPr>
            <w:r>
              <w:rPr>
                <w:rFonts w:ascii="Times New Roman" w:eastAsia="Times New Roman" w:hAnsi="Times New Roman" w:cs="Times New Roman"/>
                <w:b w:val="0"/>
                <w:i w:val="0"/>
                <w:vanish w:val="0"/>
                <w:color w:val="000000"/>
                <w:sz w:val="20"/>
              </w:rPr>
              <w:t>2021</w:t>
            </w:r>
          </w:p>
        </w:tc>
        <w:tc>
          <w:tcPr>
            <w:tcW w:w="10%" w:type="pct"/>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center"/>
              <w:rPr>
                <w:rFonts w:ascii="Times New Roman" w:eastAsia="Times New Roman" w:hAnsi="Times New Roman" w:cs="Times New Roman"/>
                <w:b w:val="0"/>
                <w:i w:val="0"/>
                <w:vanish w:val="0"/>
                <w:color w:val="000000"/>
                <w:sz w:val="20"/>
              </w:rPr>
            </w:pPr>
            <w:r>
              <w:rPr>
                <w:rFonts w:ascii="Times New Roman" w:eastAsia="Times New Roman" w:hAnsi="Times New Roman" w:cs="Times New Roman"/>
                <w:b w:val="0"/>
                <w:i w:val="0"/>
                <w:vanish w:val="0"/>
                <w:color w:val="000000"/>
                <w:sz w:val="20"/>
              </w:rPr>
              <w:t>76</w:t>
            </w:r>
          </w:p>
        </w:tc>
        <w:tc>
          <w:tcPr>
            <w:tcW w:w="10%" w:type="pct"/>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20"/>
              </w:rPr>
            </w:pPr>
            <w:r>
              <w:rPr>
                <w:rFonts w:ascii="Times New Roman" w:eastAsia="Times New Roman" w:hAnsi="Times New Roman" w:cs="Times New Roman"/>
                <w:b w:val="0"/>
                <w:i w:val="0"/>
                <w:vanish w:val="0"/>
                <w:color w:val="000000"/>
                <w:sz w:val="20"/>
              </w:rPr>
              <w:t>število</w:t>
            </w:r>
          </w:p>
        </w:tc>
        <w:tc>
          <w:tcPr>
            <w:tcW w:w="10%" w:type="pct"/>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20"/>
              </w:rPr>
            </w:pPr>
            <w:r>
              <w:rPr>
                <w:rFonts w:ascii="Times New Roman" w:eastAsia="Times New Roman" w:hAnsi="Times New Roman" w:cs="Times New Roman"/>
                <w:b w:val="0"/>
                <w:i w:val="0"/>
                <w:vanish w:val="0"/>
                <w:color w:val="000000"/>
                <w:sz w:val="20"/>
              </w:rPr>
              <w:t xml:space="preserve">Podatki nacionalne PNR enote in ISCIU, liste prisotnosti </w:t>
            </w:r>
          </w:p>
        </w:tc>
        <w:tc>
          <w:tcPr>
            <w:tcW w:w="10%" w:type="pct"/>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20"/>
              </w:rPr>
            </w:pPr>
          </w:p>
        </w:tc>
      </w:tr>
    </w:tbl>
    <w:p w:rsidR="00A77B3E">
      <w:pPr>
        <w:spacing w:before="100" w:after="0"/>
        <w:jc w:val="start"/>
        <w:rPr>
          <w:rFonts w:ascii="Times New Roman" w:eastAsia="Times New Roman" w:hAnsi="Times New Roman" w:cs="Times New Roman"/>
          <w:b w:val="0"/>
          <w:i w:val="0"/>
          <w:vanish w:val="0"/>
          <w:color w:val="000000"/>
          <w:sz w:val="20"/>
        </w:rPr>
        <w:sectPr>
          <w:headerReference w:type="even" r:id="rId22"/>
          <w:headerReference w:type="default" r:id="rId23"/>
          <w:footerReference w:type="even" r:id="rId24"/>
          <w:footerReference w:type="default" r:id="rId25"/>
          <w:headerReference w:type="first" r:id="rId26"/>
          <w:footerReference w:type="first" r:id="rId27"/>
          <w:type w:val="nextPage"/>
          <w:pgSz w:w="16838" w:h="11906" w:orient="landscape"/>
          <w:pgMar w:top="720" w:right="720" w:bottom="864" w:left="936" w:header="288" w:footer="72" w:gutter="0"/>
          <w:cols w:space="720"/>
          <w:noEndnote/>
          <w:docGrid w:linePitch="360"/>
        </w:sectPr>
      </w:pPr>
    </w:p>
    <w:p w:rsidR="00A77B3E">
      <w:pPr>
        <w:spacing w:before="100" w:after="0"/>
        <w:jc w:val="start"/>
        <w:rPr>
          <w:rFonts w:ascii="Times New Roman" w:eastAsia="Times New Roman" w:hAnsi="Times New Roman" w:cs="Times New Roman"/>
          <w:b w:val="0"/>
          <w:i w:val="0"/>
          <w:vanish w:val="0"/>
          <w:color w:val="000000"/>
          <w:sz w:val="0"/>
        </w:rPr>
      </w:pPr>
      <w:r>
        <w:rPr>
          <w:rFonts w:ascii="Times New Roman" w:eastAsia="Times New Roman" w:hAnsi="Times New Roman" w:cs="Times New Roman"/>
          <w:b w:val="0"/>
          <w:i w:val="0"/>
          <w:vanish w:val="0"/>
          <w:color w:val="000000"/>
          <w:sz w:val="24"/>
        </w:rPr>
        <w:t>2.1. Specifični cilj 1. Izmenjava informacij</w:t>
      </w:r>
    </w:p>
    <w:p w:rsidR="00A77B3E">
      <w:pPr>
        <w:pStyle w:val="Heading3"/>
        <w:spacing w:before="100" w:after="0"/>
        <w:jc w:val="start"/>
        <w:rPr>
          <w:rFonts w:ascii="Times New Roman" w:eastAsia="Times New Roman" w:hAnsi="Times New Roman" w:cs="Times New Roman"/>
          <w:b w:val="0"/>
          <w:i w:val="0"/>
          <w:vanish w:val="0"/>
          <w:color w:val="000000"/>
          <w:sz w:val="24"/>
        </w:rPr>
      </w:pPr>
      <w:bookmarkStart w:id="7" w:name="_Toc256000062"/>
      <w:r>
        <w:rPr>
          <w:rFonts w:ascii="Times New Roman" w:eastAsia="Times New Roman" w:hAnsi="Times New Roman" w:cs="Times New Roman"/>
          <w:b w:val="0"/>
          <w:i w:val="0"/>
          <w:vanish w:val="0"/>
          <w:color w:val="000000"/>
          <w:sz w:val="24"/>
        </w:rPr>
        <w:t>2.1.3. Okvirna razčlenitev programskih sredstev (EU) po vrsti ukrepa</w:t>
      </w:r>
      <w:bookmarkEnd w:id="7"/>
    </w:p>
    <w:p w:rsidR="00A77B3E">
      <w:pPr>
        <w:spacing w:before="100" w:after="0"/>
        <w:jc w:val="start"/>
        <w:rPr>
          <w:rFonts w:ascii="Times New Roman" w:eastAsia="Times New Roman" w:hAnsi="Times New Roman" w:cs="Times New Roman"/>
          <w:b w:val="0"/>
          <w:i w:val="0"/>
          <w:vanish w:val="0"/>
          <w:color w:val="000000"/>
          <w:sz w:val="24"/>
        </w:rPr>
      </w:pPr>
      <w:r>
        <w:rPr>
          <w:rFonts w:ascii="Times New Roman" w:eastAsia="Times New Roman" w:hAnsi="Times New Roman" w:cs="Times New Roman"/>
          <w:b w:val="0"/>
          <w:i w:val="0"/>
          <w:vanish w:val="0"/>
          <w:color w:val="000000"/>
          <w:sz w:val="24"/>
        </w:rPr>
        <w:t>Sklic: člen 22(5) uredbe o skupnih določbah, člen 16(2) uredbe o AMIF, člen 13(12) uredbe o SNV ali člen 13(18) uredbe o IUMV</w:t>
      </w:r>
    </w:p>
    <w:p w:rsidR="00A77B3E">
      <w:pPr>
        <w:pStyle w:val="Heading4"/>
        <w:spacing w:before="100" w:after="0"/>
        <w:jc w:val="start"/>
        <w:rPr>
          <w:rFonts w:ascii="Times New Roman" w:eastAsia="Times New Roman" w:hAnsi="Times New Roman" w:cs="Times New Roman"/>
          <w:b w:val="0"/>
          <w:i w:val="0"/>
          <w:vanish w:val="0"/>
          <w:color w:val="000000"/>
          <w:sz w:val="24"/>
        </w:rPr>
      </w:pPr>
      <w:bookmarkStart w:id="8" w:name="_Toc256000063"/>
      <w:r>
        <w:rPr>
          <w:rFonts w:ascii="Times New Roman" w:eastAsia="Times New Roman" w:hAnsi="Times New Roman" w:cs="Times New Roman"/>
          <w:b w:val="0"/>
          <w:i w:val="0"/>
          <w:vanish w:val="0"/>
          <w:color w:val="000000"/>
          <w:sz w:val="24"/>
        </w:rPr>
        <w:t>Tabela 3: Okvirna razčlenitev</w:t>
      </w:r>
      <w:bookmarkEnd w:id="8"/>
    </w:p>
    <w:p w:rsidR="00A77B3E">
      <w:pPr>
        <w:spacing w:before="100" w:after="0"/>
        <w:jc w:val="start"/>
        <w:rPr>
          <w:rFonts w:ascii="Times New Roman" w:eastAsia="Times New Roman" w:hAnsi="Times New Roman" w:cs="Times New Roman"/>
          <w:b w:val="0"/>
          <w:i w:val="0"/>
          <w:vanish w:val="0"/>
          <w:color w:val="000000"/>
          <w:sz w:val="0"/>
        </w:rPr>
      </w:pPr>
    </w:p>
    <w:tbl>
      <w:tblPr>
        <w:tblW w:w="100%" w:type="pct"/>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CellMar>
          <w:start w:w="5.4pt" w:type="dxa"/>
          <w:end w:w="5.4pt" w:type="dxa"/>
        </w:tblCellMar>
      </w:tblPr>
      <w:tblGrid>
        <w:gridCol w:w="1845"/>
        <w:gridCol w:w="10989"/>
        <w:gridCol w:w="2468"/>
      </w:tblGrid>
      <w:tr>
        <w:tblPrEx>
          <w:tblW w:w="100%" w:type="pct"/>
        </w:tblPrEx>
        <w:trPr>
          <w:cantSplit w:val="0"/>
          <w:trHeight w:hRule="auto" w:val="0"/>
          <w:tblHeader/>
        </w:trPr>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20"/>
              </w:rPr>
            </w:pPr>
            <w:r>
              <w:rPr>
                <w:rFonts w:ascii="Times New Roman" w:eastAsia="Times New Roman" w:hAnsi="Times New Roman" w:cs="Times New Roman"/>
                <w:b w:val="0"/>
                <w:i w:val="0"/>
                <w:vanish w:val="0"/>
                <w:color w:val="000000"/>
                <w:sz w:val="20"/>
              </w:rPr>
              <w:t>Vrsta intervencije</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20"/>
              </w:rPr>
            </w:pPr>
            <w:r>
              <w:rPr>
                <w:rFonts w:ascii="Times New Roman" w:eastAsia="Times New Roman" w:hAnsi="Times New Roman" w:cs="Times New Roman"/>
                <w:b w:val="0"/>
                <w:i w:val="0"/>
                <w:vanish w:val="0"/>
                <w:color w:val="000000"/>
                <w:sz w:val="20"/>
              </w:rPr>
              <w:t>Oznaka</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20"/>
              </w:rPr>
            </w:pPr>
            <w:r>
              <w:rPr>
                <w:rFonts w:ascii="Times New Roman" w:eastAsia="Times New Roman" w:hAnsi="Times New Roman" w:cs="Times New Roman"/>
                <w:b w:val="0"/>
                <w:i w:val="0"/>
                <w:vanish w:val="0"/>
                <w:color w:val="000000"/>
                <w:sz w:val="20"/>
              </w:rPr>
              <w:t>Okvirni znesek (v EUR)</w:t>
            </w:r>
          </w:p>
        </w:tc>
      </w:tr>
      <w:tr>
        <w:tblPrEx>
          <w:tblW w:w="100%" w:type="pct"/>
        </w:tblPrEx>
        <w:trPr>
          <w:cantSplit w:val="0"/>
          <w:trHeight w:hRule="auto" w:val="0"/>
          <w:tblHeader w:val="0"/>
        </w:trPr>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20"/>
              </w:rPr>
            </w:pPr>
            <w:r>
              <w:rPr>
                <w:rFonts w:ascii="Times New Roman" w:eastAsia="Times New Roman" w:hAnsi="Times New Roman" w:cs="Times New Roman"/>
                <w:b w:val="0"/>
                <w:i w:val="0"/>
                <w:vanish w:val="0"/>
                <w:color w:val="000000"/>
                <w:sz w:val="20"/>
              </w:rPr>
              <w:t>Vrsta ukrepa</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20"/>
              </w:rPr>
            </w:pPr>
            <w:r>
              <w:rPr>
                <w:rFonts w:ascii="Times New Roman" w:eastAsia="Times New Roman" w:hAnsi="Times New Roman" w:cs="Times New Roman"/>
                <w:b w:val="0"/>
                <w:i w:val="0"/>
                <w:vanish w:val="0"/>
                <w:color w:val="000000"/>
                <w:sz w:val="20"/>
              </w:rPr>
              <w:t>001.Sistemi IKT, interoperabilnost, kakovost podatkov (razen opreme)</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20"/>
              </w:rPr>
            </w:pPr>
            <w:r>
              <w:rPr>
                <w:rFonts w:ascii="Times New Roman" w:eastAsia="Times New Roman" w:hAnsi="Times New Roman" w:cs="Times New Roman"/>
                <w:b w:val="0"/>
                <w:i w:val="0"/>
                <w:vanish w:val="0"/>
                <w:color w:val="000000"/>
                <w:sz w:val="20"/>
              </w:rPr>
              <w:t>6.253.772,31</w:t>
            </w:r>
          </w:p>
        </w:tc>
      </w:tr>
      <w:tr>
        <w:tblPrEx>
          <w:tblW w:w="100%" w:type="pct"/>
        </w:tblPrEx>
        <w:trPr>
          <w:cantSplit w:val="0"/>
          <w:trHeight w:hRule="auto" w:val="0"/>
          <w:tblHeader w:val="0"/>
        </w:trPr>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20"/>
              </w:rPr>
            </w:pPr>
            <w:r>
              <w:rPr>
                <w:rFonts w:ascii="Times New Roman" w:eastAsia="Times New Roman" w:hAnsi="Times New Roman" w:cs="Times New Roman"/>
                <w:b w:val="0"/>
                <w:i w:val="0"/>
                <w:vanish w:val="0"/>
                <w:color w:val="000000"/>
                <w:sz w:val="20"/>
              </w:rPr>
              <w:t>Vrsta ukrepa</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20"/>
              </w:rPr>
            </w:pPr>
            <w:r>
              <w:rPr>
                <w:rFonts w:ascii="Times New Roman" w:eastAsia="Times New Roman" w:hAnsi="Times New Roman" w:cs="Times New Roman"/>
                <w:b w:val="0"/>
                <w:i w:val="0"/>
                <w:vanish w:val="0"/>
                <w:color w:val="000000"/>
                <w:sz w:val="20"/>
              </w:rPr>
              <w:t>002.Omrežja, centri odličnosti, strukture sodelovanja, skupni ukrepi in operacije</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20"/>
              </w:rPr>
            </w:pPr>
            <w:r>
              <w:rPr>
                <w:rFonts w:ascii="Times New Roman" w:eastAsia="Times New Roman" w:hAnsi="Times New Roman" w:cs="Times New Roman"/>
                <w:b w:val="0"/>
                <w:i w:val="0"/>
                <w:vanish w:val="0"/>
                <w:color w:val="000000"/>
                <w:sz w:val="20"/>
              </w:rPr>
              <w:t>0,00</w:t>
            </w:r>
          </w:p>
        </w:tc>
      </w:tr>
      <w:tr>
        <w:tblPrEx>
          <w:tblW w:w="100%" w:type="pct"/>
        </w:tblPrEx>
        <w:trPr>
          <w:cantSplit w:val="0"/>
          <w:trHeight w:hRule="auto" w:val="0"/>
          <w:tblHeader w:val="0"/>
        </w:trPr>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20"/>
              </w:rPr>
            </w:pPr>
            <w:r>
              <w:rPr>
                <w:rFonts w:ascii="Times New Roman" w:eastAsia="Times New Roman" w:hAnsi="Times New Roman" w:cs="Times New Roman"/>
                <w:b w:val="0"/>
                <w:i w:val="0"/>
                <w:vanish w:val="0"/>
                <w:color w:val="000000"/>
                <w:sz w:val="20"/>
              </w:rPr>
              <w:t>Vrsta ukrepa</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20"/>
              </w:rPr>
            </w:pPr>
            <w:r>
              <w:rPr>
                <w:rFonts w:ascii="Times New Roman" w:eastAsia="Times New Roman" w:hAnsi="Times New Roman" w:cs="Times New Roman"/>
                <w:b w:val="0"/>
                <w:i w:val="0"/>
                <w:vanish w:val="0"/>
                <w:color w:val="000000"/>
                <w:sz w:val="20"/>
              </w:rPr>
              <w:t>003.Skupne preiskovalne skupine ali druge skupne operacije</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20"/>
              </w:rPr>
            </w:pPr>
            <w:r>
              <w:rPr>
                <w:rFonts w:ascii="Times New Roman" w:eastAsia="Times New Roman" w:hAnsi="Times New Roman" w:cs="Times New Roman"/>
                <w:b w:val="0"/>
                <w:i w:val="0"/>
                <w:vanish w:val="0"/>
                <w:color w:val="000000"/>
                <w:sz w:val="20"/>
              </w:rPr>
              <w:t>0,00</w:t>
            </w:r>
          </w:p>
        </w:tc>
      </w:tr>
      <w:tr>
        <w:tblPrEx>
          <w:tblW w:w="100%" w:type="pct"/>
        </w:tblPrEx>
        <w:trPr>
          <w:cantSplit w:val="0"/>
          <w:trHeight w:hRule="auto" w:val="0"/>
          <w:tblHeader w:val="0"/>
        </w:trPr>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20"/>
              </w:rPr>
            </w:pPr>
            <w:r>
              <w:rPr>
                <w:rFonts w:ascii="Times New Roman" w:eastAsia="Times New Roman" w:hAnsi="Times New Roman" w:cs="Times New Roman"/>
                <w:b w:val="0"/>
                <w:i w:val="0"/>
                <w:vanish w:val="0"/>
                <w:color w:val="000000"/>
                <w:sz w:val="20"/>
              </w:rPr>
              <w:t>Vrsta ukrepa</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20"/>
              </w:rPr>
            </w:pPr>
            <w:r>
              <w:rPr>
                <w:rFonts w:ascii="Times New Roman" w:eastAsia="Times New Roman" w:hAnsi="Times New Roman" w:cs="Times New Roman"/>
                <w:b w:val="0"/>
                <w:i w:val="0"/>
                <w:vanish w:val="0"/>
                <w:color w:val="000000"/>
                <w:sz w:val="20"/>
              </w:rPr>
              <w:t>004.Napotitev ali premestitev strokovnjakov</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20"/>
              </w:rPr>
            </w:pPr>
            <w:r>
              <w:rPr>
                <w:rFonts w:ascii="Times New Roman" w:eastAsia="Times New Roman" w:hAnsi="Times New Roman" w:cs="Times New Roman"/>
                <w:b w:val="0"/>
                <w:i w:val="0"/>
                <w:vanish w:val="0"/>
                <w:color w:val="000000"/>
                <w:sz w:val="20"/>
              </w:rPr>
              <w:t>0,00</w:t>
            </w:r>
          </w:p>
        </w:tc>
      </w:tr>
      <w:tr>
        <w:tblPrEx>
          <w:tblW w:w="100%" w:type="pct"/>
        </w:tblPrEx>
        <w:trPr>
          <w:cantSplit w:val="0"/>
          <w:trHeight w:hRule="auto" w:val="0"/>
          <w:tblHeader w:val="0"/>
        </w:trPr>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20"/>
              </w:rPr>
            </w:pPr>
            <w:r>
              <w:rPr>
                <w:rFonts w:ascii="Times New Roman" w:eastAsia="Times New Roman" w:hAnsi="Times New Roman" w:cs="Times New Roman"/>
                <w:b w:val="0"/>
                <w:i w:val="0"/>
                <w:vanish w:val="0"/>
                <w:color w:val="000000"/>
                <w:sz w:val="20"/>
              </w:rPr>
              <w:t>Vrsta ukrepa</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20"/>
              </w:rPr>
            </w:pPr>
            <w:r>
              <w:rPr>
                <w:rFonts w:ascii="Times New Roman" w:eastAsia="Times New Roman" w:hAnsi="Times New Roman" w:cs="Times New Roman"/>
                <w:b w:val="0"/>
                <w:i w:val="0"/>
                <w:vanish w:val="0"/>
                <w:color w:val="000000"/>
                <w:sz w:val="20"/>
              </w:rPr>
              <w:t>005.Usposabljanje</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20"/>
              </w:rPr>
            </w:pPr>
            <w:r>
              <w:rPr>
                <w:rFonts w:ascii="Times New Roman" w:eastAsia="Times New Roman" w:hAnsi="Times New Roman" w:cs="Times New Roman"/>
                <w:b w:val="0"/>
                <w:i w:val="0"/>
                <w:vanish w:val="0"/>
                <w:color w:val="000000"/>
                <w:sz w:val="20"/>
              </w:rPr>
              <w:t>99.675,00</w:t>
            </w:r>
          </w:p>
        </w:tc>
      </w:tr>
      <w:tr>
        <w:tblPrEx>
          <w:tblW w:w="100%" w:type="pct"/>
        </w:tblPrEx>
        <w:trPr>
          <w:cantSplit w:val="0"/>
          <w:trHeight w:hRule="auto" w:val="0"/>
          <w:tblHeader w:val="0"/>
        </w:trPr>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20"/>
              </w:rPr>
            </w:pPr>
            <w:r>
              <w:rPr>
                <w:rFonts w:ascii="Times New Roman" w:eastAsia="Times New Roman" w:hAnsi="Times New Roman" w:cs="Times New Roman"/>
                <w:b w:val="0"/>
                <w:i w:val="0"/>
                <w:vanish w:val="0"/>
                <w:color w:val="000000"/>
                <w:sz w:val="20"/>
              </w:rPr>
              <w:t>Vrsta ukrepa</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20"/>
              </w:rPr>
            </w:pPr>
            <w:r>
              <w:rPr>
                <w:rFonts w:ascii="Times New Roman" w:eastAsia="Times New Roman" w:hAnsi="Times New Roman" w:cs="Times New Roman"/>
                <w:b w:val="0"/>
                <w:i w:val="0"/>
                <w:vanish w:val="0"/>
                <w:color w:val="000000"/>
                <w:sz w:val="20"/>
              </w:rPr>
              <w:t>006.Izmenjava dobrih praks, delavnice, konference, dogodki, kampanje za ozaveščanje, dejavnosti komuniciranja</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20"/>
              </w:rPr>
            </w:pPr>
            <w:r>
              <w:rPr>
                <w:rFonts w:ascii="Times New Roman" w:eastAsia="Times New Roman" w:hAnsi="Times New Roman" w:cs="Times New Roman"/>
                <w:b w:val="0"/>
                <w:i w:val="0"/>
                <w:vanish w:val="0"/>
                <w:color w:val="000000"/>
                <w:sz w:val="20"/>
              </w:rPr>
              <w:t>30.000,00</w:t>
            </w:r>
          </w:p>
        </w:tc>
      </w:tr>
      <w:tr>
        <w:tblPrEx>
          <w:tblW w:w="100%" w:type="pct"/>
        </w:tblPrEx>
        <w:trPr>
          <w:cantSplit w:val="0"/>
          <w:trHeight w:hRule="auto" w:val="0"/>
          <w:tblHeader w:val="0"/>
        </w:trPr>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20"/>
              </w:rPr>
            </w:pPr>
            <w:r>
              <w:rPr>
                <w:rFonts w:ascii="Times New Roman" w:eastAsia="Times New Roman" w:hAnsi="Times New Roman" w:cs="Times New Roman"/>
                <w:b w:val="0"/>
                <w:i w:val="0"/>
                <w:vanish w:val="0"/>
                <w:color w:val="000000"/>
                <w:sz w:val="20"/>
              </w:rPr>
              <w:t>Vrsta ukrepa</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20"/>
              </w:rPr>
            </w:pPr>
            <w:r>
              <w:rPr>
                <w:rFonts w:ascii="Times New Roman" w:eastAsia="Times New Roman" w:hAnsi="Times New Roman" w:cs="Times New Roman"/>
                <w:b w:val="0"/>
                <w:i w:val="0"/>
                <w:vanish w:val="0"/>
                <w:color w:val="000000"/>
                <w:sz w:val="20"/>
              </w:rPr>
              <w:t>007.Študije, pilotni projekti, ocene tveganja</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20"/>
              </w:rPr>
            </w:pPr>
            <w:r>
              <w:rPr>
                <w:rFonts w:ascii="Times New Roman" w:eastAsia="Times New Roman" w:hAnsi="Times New Roman" w:cs="Times New Roman"/>
                <w:b w:val="0"/>
                <w:i w:val="0"/>
                <w:vanish w:val="0"/>
                <w:color w:val="000000"/>
                <w:sz w:val="20"/>
              </w:rPr>
              <w:t>188.450,00</w:t>
            </w:r>
          </w:p>
        </w:tc>
      </w:tr>
      <w:tr>
        <w:tblPrEx>
          <w:tblW w:w="100%" w:type="pct"/>
        </w:tblPrEx>
        <w:trPr>
          <w:cantSplit w:val="0"/>
          <w:trHeight w:hRule="auto" w:val="0"/>
          <w:tblHeader w:val="0"/>
        </w:trPr>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20"/>
              </w:rPr>
            </w:pPr>
            <w:r>
              <w:rPr>
                <w:rFonts w:ascii="Times New Roman" w:eastAsia="Times New Roman" w:hAnsi="Times New Roman" w:cs="Times New Roman"/>
                <w:b w:val="0"/>
                <w:i w:val="0"/>
                <w:vanish w:val="0"/>
                <w:color w:val="000000"/>
                <w:sz w:val="20"/>
              </w:rPr>
              <w:t>Vrsta ukrepa</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20"/>
              </w:rPr>
            </w:pPr>
            <w:r>
              <w:rPr>
                <w:rFonts w:ascii="Times New Roman" w:eastAsia="Times New Roman" w:hAnsi="Times New Roman" w:cs="Times New Roman"/>
                <w:b w:val="0"/>
                <w:i w:val="0"/>
                <w:vanish w:val="0"/>
                <w:color w:val="000000"/>
                <w:sz w:val="20"/>
              </w:rPr>
              <w:t>008.Oprema</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20"/>
              </w:rPr>
            </w:pPr>
            <w:r>
              <w:rPr>
                <w:rFonts w:ascii="Times New Roman" w:eastAsia="Times New Roman" w:hAnsi="Times New Roman" w:cs="Times New Roman"/>
                <w:b w:val="0"/>
                <w:i w:val="0"/>
                <w:vanish w:val="0"/>
                <w:color w:val="000000"/>
                <w:sz w:val="20"/>
              </w:rPr>
              <w:t>2.197.200,00</w:t>
            </w:r>
          </w:p>
        </w:tc>
      </w:tr>
      <w:tr>
        <w:tblPrEx>
          <w:tblW w:w="100%" w:type="pct"/>
        </w:tblPrEx>
        <w:trPr>
          <w:cantSplit w:val="0"/>
          <w:trHeight w:hRule="auto" w:val="0"/>
          <w:tblHeader w:val="0"/>
        </w:trPr>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20"/>
              </w:rPr>
            </w:pPr>
            <w:r>
              <w:rPr>
                <w:rFonts w:ascii="Times New Roman" w:eastAsia="Times New Roman" w:hAnsi="Times New Roman" w:cs="Times New Roman"/>
                <w:b w:val="0"/>
                <w:i w:val="0"/>
                <w:vanish w:val="0"/>
                <w:color w:val="000000"/>
                <w:sz w:val="20"/>
              </w:rPr>
              <w:t>Vrsta ukrepa</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20"/>
              </w:rPr>
            </w:pPr>
            <w:r>
              <w:rPr>
                <w:rFonts w:ascii="Times New Roman" w:eastAsia="Times New Roman" w:hAnsi="Times New Roman" w:cs="Times New Roman"/>
                <w:b w:val="0"/>
                <w:i w:val="0"/>
                <w:vanish w:val="0"/>
                <w:color w:val="000000"/>
                <w:sz w:val="20"/>
              </w:rPr>
              <w:t>009.Prevozna sredstva</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20"/>
              </w:rPr>
            </w:pPr>
            <w:r>
              <w:rPr>
                <w:rFonts w:ascii="Times New Roman" w:eastAsia="Times New Roman" w:hAnsi="Times New Roman" w:cs="Times New Roman"/>
                <w:b w:val="0"/>
                <w:i w:val="0"/>
                <w:vanish w:val="0"/>
                <w:color w:val="000000"/>
                <w:sz w:val="20"/>
              </w:rPr>
              <w:t>0,00</w:t>
            </w:r>
          </w:p>
        </w:tc>
      </w:tr>
      <w:tr>
        <w:tblPrEx>
          <w:tblW w:w="100%" w:type="pct"/>
        </w:tblPrEx>
        <w:trPr>
          <w:cantSplit w:val="0"/>
          <w:trHeight w:hRule="auto" w:val="0"/>
          <w:tblHeader w:val="0"/>
        </w:trPr>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20"/>
              </w:rPr>
            </w:pPr>
            <w:r>
              <w:rPr>
                <w:rFonts w:ascii="Times New Roman" w:eastAsia="Times New Roman" w:hAnsi="Times New Roman" w:cs="Times New Roman"/>
                <w:b w:val="0"/>
                <w:i w:val="0"/>
                <w:vanish w:val="0"/>
                <w:color w:val="000000"/>
                <w:sz w:val="20"/>
              </w:rPr>
              <w:t>Vrsta ukrepa</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20"/>
              </w:rPr>
            </w:pPr>
            <w:r>
              <w:rPr>
                <w:rFonts w:ascii="Times New Roman" w:eastAsia="Times New Roman" w:hAnsi="Times New Roman" w:cs="Times New Roman"/>
                <w:b w:val="0"/>
                <w:i w:val="0"/>
                <w:vanish w:val="0"/>
                <w:color w:val="000000"/>
                <w:sz w:val="20"/>
              </w:rPr>
              <w:t>010.Stavbe, objekti</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20"/>
              </w:rPr>
            </w:pPr>
            <w:r>
              <w:rPr>
                <w:rFonts w:ascii="Times New Roman" w:eastAsia="Times New Roman" w:hAnsi="Times New Roman" w:cs="Times New Roman"/>
                <w:b w:val="0"/>
                <w:i w:val="0"/>
                <w:vanish w:val="0"/>
                <w:color w:val="000000"/>
                <w:sz w:val="20"/>
              </w:rPr>
              <w:t>0,00</w:t>
            </w:r>
          </w:p>
        </w:tc>
      </w:tr>
      <w:tr>
        <w:tblPrEx>
          <w:tblW w:w="100%" w:type="pct"/>
        </w:tblPrEx>
        <w:trPr>
          <w:cantSplit w:val="0"/>
          <w:trHeight w:hRule="auto" w:val="0"/>
          <w:tblHeader w:val="0"/>
        </w:trPr>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20"/>
              </w:rPr>
            </w:pPr>
            <w:r>
              <w:rPr>
                <w:rFonts w:ascii="Times New Roman" w:eastAsia="Times New Roman" w:hAnsi="Times New Roman" w:cs="Times New Roman"/>
                <w:b w:val="0"/>
                <w:i w:val="0"/>
                <w:vanish w:val="0"/>
                <w:color w:val="000000"/>
                <w:sz w:val="20"/>
              </w:rPr>
              <w:t>Vrsta ukrepa</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20"/>
              </w:rPr>
            </w:pPr>
            <w:r>
              <w:rPr>
                <w:rFonts w:ascii="Times New Roman" w:eastAsia="Times New Roman" w:hAnsi="Times New Roman" w:cs="Times New Roman"/>
                <w:b w:val="0"/>
                <w:i w:val="0"/>
                <w:vanish w:val="0"/>
                <w:color w:val="000000"/>
                <w:sz w:val="20"/>
              </w:rPr>
              <w:t>011.Uporaba raziskovalnih projektov ali drugi nadaljnji ukrepi na podlagi teh projektov</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20"/>
              </w:rPr>
            </w:pPr>
            <w:r>
              <w:rPr>
                <w:rFonts w:ascii="Times New Roman" w:eastAsia="Times New Roman" w:hAnsi="Times New Roman" w:cs="Times New Roman"/>
                <w:b w:val="0"/>
                <w:i w:val="0"/>
                <w:vanish w:val="0"/>
                <w:color w:val="000000"/>
                <w:sz w:val="20"/>
              </w:rPr>
              <w:t>0,00</w:t>
            </w:r>
          </w:p>
        </w:tc>
      </w:tr>
    </w:tbl>
    <w:p w:rsidR="00A77B3E">
      <w:pPr>
        <w:spacing w:before="100" w:after="0"/>
        <w:jc w:val="start"/>
        <w:rPr>
          <w:rFonts w:ascii="Times New Roman" w:eastAsia="Times New Roman" w:hAnsi="Times New Roman" w:cs="Times New Roman"/>
          <w:b w:val="0"/>
          <w:i w:val="0"/>
          <w:vanish w:val="0"/>
          <w:color w:val="000000"/>
          <w:sz w:val="20"/>
        </w:rPr>
        <w:sectPr>
          <w:type w:val="nextPage"/>
          <w:pgSz w:w="16838" w:h="11906" w:orient="landscape"/>
          <w:pgMar w:top="720" w:right="720" w:bottom="864" w:left="936" w:header="288" w:footer="72" w:gutter="0"/>
          <w:cols w:space="720"/>
          <w:noEndnote/>
          <w:docGrid w:linePitch="360"/>
        </w:sectPr>
      </w:pPr>
    </w:p>
    <w:p w:rsidR="00A77B3E">
      <w:pPr>
        <w:pStyle w:val="Heading2"/>
        <w:spacing w:before="100" w:after="0"/>
        <w:jc w:val="start"/>
        <w:rPr>
          <w:rFonts w:ascii="TimesNewRoman" w:eastAsia="TimesNewRoman" w:hAnsi="TimesNewRoman" w:cs="TimesNewRoman"/>
          <w:b w:val="0"/>
          <w:i w:val="0"/>
          <w:vanish w:val="0"/>
          <w:color w:val="000000"/>
          <w:sz w:val="24"/>
        </w:rPr>
      </w:pPr>
      <w:bookmarkStart w:id="9" w:name="_Toc256000064"/>
      <w:r>
        <w:rPr>
          <w:rFonts w:ascii="TimesNewRoman" w:eastAsia="TimesNewRoman" w:hAnsi="TimesNewRoman" w:cs="TimesNewRoman"/>
          <w:b w:val="0"/>
          <w:i w:val="0"/>
          <w:vanish w:val="0"/>
          <w:color w:val="000000"/>
          <w:sz w:val="24"/>
        </w:rPr>
        <w:t>2.1. Specifični cilj: 2. Čezmejno sodelovanje</w:t>
      </w:r>
      <w:bookmarkEnd w:id="9"/>
    </w:p>
    <w:p w:rsidR="00A77B3E">
      <w:pPr>
        <w:spacing w:before="100" w:after="0"/>
        <w:jc w:val="start"/>
        <w:rPr>
          <w:rFonts w:ascii="TimesNewRoman" w:eastAsia="TimesNewRoman" w:hAnsi="TimesNewRoman" w:cs="TimesNewRoman"/>
          <w:b w:val="0"/>
          <w:i w:val="0"/>
          <w:vanish w:val="0"/>
          <w:color w:val="000000"/>
          <w:sz w:val="0"/>
        </w:rPr>
      </w:pPr>
    </w:p>
    <w:p w:rsidR="00A77B3E">
      <w:pPr>
        <w:pStyle w:val="Heading3"/>
        <w:spacing w:before="100" w:after="0"/>
        <w:jc w:val="start"/>
        <w:rPr>
          <w:rFonts w:ascii="TimesNewRoman" w:eastAsia="TimesNewRoman" w:hAnsi="TimesNewRoman" w:cs="TimesNewRoman"/>
          <w:b w:val="0"/>
          <w:i w:val="0"/>
          <w:vanish w:val="0"/>
          <w:color w:val="000000"/>
          <w:sz w:val="24"/>
        </w:rPr>
      </w:pPr>
      <w:bookmarkStart w:id="10" w:name="_Toc256000065"/>
      <w:r>
        <w:rPr>
          <w:rFonts w:ascii="TimesNewRoman" w:eastAsia="TimesNewRoman" w:hAnsi="TimesNewRoman" w:cs="TimesNewRoman"/>
          <w:b w:val="0"/>
          <w:i w:val="0"/>
          <w:vanish w:val="0"/>
          <w:color w:val="000000"/>
          <w:sz w:val="24"/>
        </w:rPr>
        <w:t>2.1.1. Opis specifičnega cilja</w:t>
      </w:r>
      <w:bookmarkEnd w:id="10"/>
    </w:p>
    <w:p w:rsidR="00A77B3E">
      <w:pPr>
        <w:spacing w:before="100" w:after="0"/>
        <w:jc w:val="start"/>
        <w:rPr>
          <w:rFonts w:ascii="TimesNewRoman" w:eastAsia="TimesNewRoman" w:hAnsi="TimesNewRoman" w:cs="TimesNewRoman"/>
          <w:b w:val="0"/>
          <w:i w:val="0"/>
          <w:vanish w:val="0"/>
          <w:color w:val="000000"/>
          <w:sz w:val="0"/>
        </w:rPr>
      </w:pPr>
    </w:p>
    <w:tbl>
      <w:tblPr>
        <w:tblW w:w="100%" w:type="pct"/>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Layout w:type="fixed"/>
        <w:tblCellMar>
          <w:start w:w="5.4pt" w:type="dxa"/>
          <w:end w:w="5.4pt" w:type="dxa"/>
        </w:tblCellMar>
      </w:tblPr>
      <w:tblGrid>
        <w:gridCol w:w="10240"/>
      </w:tblGrid>
      <w:tr>
        <w:tblPrEx>
          <w:tblW w:w="100%" w:type="pct"/>
          <w:tblLayout w:type="fixed"/>
        </w:tblPrEx>
        <w:trPr>
          <w:cantSplit w:val="0"/>
          <w:trHeight w:hRule="auto" w:val="0"/>
          <w:tblHeader w:val="0"/>
        </w:trPr>
        <w:tc>
          <w:tcPr>
            <w:tcW w:w="100%" w:type="pct"/>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NewRoman" w:eastAsia="TimesNewRoman" w:hAnsi="TimesNewRoman" w:cs="TimesNewRoman"/>
                <w:b w:val="0"/>
                <w:i w:val="0"/>
                <w:vanish w:val="0"/>
                <w:color w:val="000000"/>
                <w:sz w:val="0"/>
              </w:rPr>
            </w:pPr>
          </w:p>
          <w:p w:rsidR="00A77B3E">
            <w:pPr>
              <w:spacing w:before="100" w:after="0"/>
              <w:jc w:val="start"/>
              <w:rPr>
                <w:rFonts w:ascii="TimesNewRoman" w:eastAsia="TimesNewRoman" w:hAnsi="TimesNewRoman" w:cs="TimesNewRoman"/>
                <w:b w:val="0"/>
                <w:i w:val="0"/>
                <w:vanish w:val="0"/>
                <w:color w:val="000000"/>
                <w:sz w:val="24"/>
              </w:rPr>
            </w:pPr>
            <w:r>
              <w:rPr>
                <w:rFonts w:ascii="TimesNewRoman" w:eastAsia="TimesNewRoman" w:hAnsi="TimesNewRoman" w:cs="TimesNewRoman"/>
                <w:b w:val="0"/>
                <w:i w:val="0"/>
                <w:vanish w:val="0"/>
                <w:color w:val="000000"/>
                <w:sz w:val="24"/>
              </w:rPr>
              <w:t>Ukrepi SI bodo v okviru SO2 še naprej osredotočeni na krepitev sodelovanja. SI v okviru tega posebnega cilja pričakuje nadaljevanje aktivnosti iz pretekle finančne sheme, kot opisano v prvem delu Programa, nove aktivnosti, opisane v nadaljevanju in s tem reševanje izzivov in vrzeli, ki so nastali na tem področju. Zaradi geografske lege Slovenije bo sodelovanje potekalo v okviru vseh prednostnih nalog EMPACT, ki podpirajo operativne aktivnosti in prizadevanja v boju proti organiziranemu kriminalu, terorizmu in skupnim dejavnostim, s poudarkom na odkrivanju kriminala na zahodno-balkanski poti.</w:t>
            </w:r>
          </w:p>
          <w:p w:rsidR="00A77B3E">
            <w:pPr>
              <w:spacing w:before="100" w:after="0"/>
              <w:jc w:val="start"/>
              <w:rPr>
                <w:rFonts w:ascii="TimesNewRoman" w:eastAsia="TimesNewRoman" w:hAnsi="TimesNewRoman" w:cs="TimesNewRoman"/>
                <w:b w:val="0"/>
                <w:i w:val="0"/>
                <w:vanish w:val="0"/>
                <w:color w:val="000000"/>
                <w:sz w:val="24"/>
              </w:rPr>
            </w:pPr>
            <w:r>
              <w:rPr>
                <w:rFonts w:ascii="TimesNewRoman" w:eastAsia="TimesNewRoman" w:hAnsi="TimesNewRoman" w:cs="TimesNewRoman"/>
                <w:b w:val="0"/>
                <w:i w:val="0"/>
                <w:vanish w:val="0"/>
                <w:color w:val="000000"/>
                <w:sz w:val="24"/>
              </w:rPr>
              <w:t>Ključni resor je MNZ RS, Policija (policija), ki je pristojno za področje čezmejnega in medagencijskega sodelovanja za zagotavljanje notranje varnosti ter operacije kazenskega pregona. Sredstva sklada bodo dodeljena preko neposredne dodelitve, zaradi zakonskih pristojnosti s predmetnega področja. Sredstva SNV predstavljajo le del sredstev za uresničevanje zastavljenih ciljev na predmetnem področju. Drugi del pa bo zagotovljen iz nacionalnega proračuna SI in bo namenjen predvsem plačam zaposlenih ter drugim materialnim stroškom.</w:t>
            </w:r>
          </w:p>
          <w:p w:rsidR="00A77B3E">
            <w:pPr>
              <w:spacing w:before="100" w:after="0"/>
              <w:jc w:val="start"/>
              <w:rPr>
                <w:rFonts w:ascii="TimesNewRoman" w:eastAsia="TimesNewRoman" w:hAnsi="TimesNewRoman" w:cs="TimesNewRoman"/>
                <w:b w:val="0"/>
                <w:i w:val="0"/>
                <w:vanish w:val="0"/>
                <w:color w:val="000000"/>
                <w:sz w:val="24"/>
              </w:rPr>
            </w:pPr>
            <w:r>
              <w:rPr>
                <w:rFonts w:ascii="TimesNewRoman" w:eastAsia="TimesNewRoman" w:hAnsi="TimesNewRoman" w:cs="TimesNewRoman"/>
                <w:b w:val="0"/>
                <w:i w:val="0"/>
                <w:vanish w:val="0"/>
                <w:color w:val="000000"/>
                <w:sz w:val="24"/>
              </w:rPr>
              <w:t>Znotraj spodaj navedenih izvedbenih ukrepov iz Priloge II (a, b, c) bo SI usmerjena na področja podpore h, f, k, l iz Priloge III.</w:t>
            </w:r>
          </w:p>
          <w:p w:rsidR="00A77B3E">
            <w:pPr>
              <w:spacing w:before="100" w:after="0"/>
              <w:jc w:val="start"/>
              <w:rPr>
                <w:rFonts w:ascii="TimesNewRoman" w:eastAsia="TimesNewRoman" w:hAnsi="TimesNewRoman" w:cs="TimesNewRoman"/>
                <w:b w:val="0"/>
                <w:i w:val="0"/>
                <w:vanish w:val="0"/>
                <w:color w:val="000000"/>
                <w:sz w:val="24"/>
              </w:rPr>
            </w:pPr>
            <w:r>
              <w:rPr>
                <w:rFonts w:ascii="TimesNewRoman" w:eastAsia="TimesNewRoman" w:hAnsi="TimesNewRoman" w:cs="TimesNewRoman"/>
                <w:b w:val="0"/>
                <w:i w:val="0"/>
                <w:vanish w:val="0"/>
                <w:color w:val="000000"/>
                <w:sz w:val="24"/>
              </w:rPr>
              <w:t>V okviru svojih vsakodnevnih operacij bo SI nadaljevala in planirala sodelovanje v predmetnih aktivnostih EMPACT. Načrtovanje in delovanje bodo predmet usklajevanja z nacionalnimi koordinatorji EMPACT (NEC), z EUROPOL in podporno skupino EMPACT ter z vsemi drugimi agencijami, institucijami in organi EU, ki so vključeni ali podpirajo EMPACT (Frontex, Eurojust, CEPOL, EK, itd.).</w:t>
            </w:r>
          </w:p>
          <w:p w:rsidR="00A77B3E">
            <w:pPr>
              <w:spacing w:before="100" w:after="0"/>
              <w:jc w:val="start"/>
              <w:rPr>
                <w:rFonts w:ascii="TimesNewRoman" w:eastAsia="TimesNewRoman" w:hAnsi="TimesNewRoman" w:cs="TimesNewRoman"/>
                <w:b w:val="0"/>
                <w:i w:val="0"/>
                <w:vanish w:val="0"/>
                <w:color w:val="000000"/>
                <w:sz w:val="24"/>
              </w:rPr>
            </w:pPr>
            <w:r>
              <w:rPr>
                <w:rFonts w:ascii="TimesNewRoman" w:eastAsia="TimesNewRoman" w:hAnsi="TimesNewRoman" w:cs="TimesNewRoman"/>
                <w:b w:val="0"/>
                <w:i w:val="0"/>
                <w:vanish w:val="0"/>
                <w:color w:val="000000"/>
                <w:sz w:val="24"/>
              </w:rPr>
              <w:t>Slovenija bo nadaljevala z aktivnim članstvom v trenutnih (EMPACT 2022+) prioritetah. V sodelovanju z nacionalnim koordinatorjem EMPACT EUROPOL in njegovo podporno enoto EMPACT ter drugimi agencijami EU načrtujemo aktivnejšo vlogo slovenske policije pri izvajanju konkretnih operativnih aktivnosti (nacionalne in mednarodne policijske operacije). Aktivno sodelujemo pri pripravi operativnih akcijskih načrtov, predvsem na področjih prepovedanih drog, tihotapljenja migrantov in trgovine z ljudmi (predvsem v povezavi z ZB), okoljskega kriminala in kibernetske kriminalitete, vključno s spletno spolno zlorabo otrok. Ker te prednostne naloge označujejo tudi naše nacionalne prednostne naloge, bomo v sodelovanju z nosilci teh prednostnih nalog v celoti izkoristili orodja, ki so na voljo, tako za naše nacionalne preiskave, kot tudi mednarodne preiskave, ki jih izvajamo.</w:t>
            </w:r>
          </w:p>
          <w:p w:rsidR="00A77B3E">
            <w:pPr>
              <w:spacing w:before="100" w:after="0"/>
              <w:jc w:val="start"/>
              <w:rPr>
                <w:rFonts w:ascii="TimesNewRoman" w:eastAsia="TimesNewRoman" w:hAnsi="TimesNewRoman" w:cs="TimesNewRoman"/>
                <w:b w:val="0"/>
                <w:i w:val="0"/>
                <w:vanish w:val="0"/>
                <w:color w:val="000000"/>
                <w:sz w:val="24"/>
              </w:rPr>
            </w:pPr>
            <w:r>
              <w:rPr>
                <w:rFonts w:ascii="TimesNewRoman" w:eastAsia="TimesNewRoman" w:hAnsi="TimesNewRoman" w:cs="TimesNewRoman"/>
                <w:b w:val="0"/>
                <w:i w:val="0"/>
                <w:vanish w:val="0"/>
                <w:color w:val="000000"/>
                <w:sz w:val="24"/>
              </w:rPr>
              <w:t>SI sodeluje pri posebnem ukrepu EMPACT ISF/2022/SA/2.2.1/012 s sodelovanjem v enem projektu (glej dodatek 3).</w:t>
            </w:r>
          </w:p>
          <w:p w:rsidR="00A77B3E">
            <w:pPr>
              <w:spacing w:before="100" w:after="0"/>
              <w:jc w:val="start"/>
              <w:rPr>
                <w:rFonts w:ascii="TimesNewRoman" w:eastAsia="TimesNewRoman" w:hAnsi="TimesNewRoman" w:cs="TimesNewRoman"/>
                <w:b w:val="0"/>
                <w:i w:val="0"/>
                <w:vanish w:val="0"/>
                <w:color w:val="000000"/>
                <w:sz w:val="24"/>
              </w:rPr>
            </w:pPr>
            <w:r>
              <w:rPr>
                <w:rFonts w:ascii="TimesNewRoman" w:eastAsia="TimesNewRoman" w:hAnsi="TimesNewRoman" w:cs="TimesNewRoman"/>
                <w:b w:val="0"/>
                <w:i w:val="0"/>
                <w:vanish w:val="0"/>
                <w:color w:val="000000"/>
                <w:sz w:val="24"/>
              </w:rPr>
              <w:t>Pričakovani rezultati:</w:t>
            </w:r>
          </w:p>
          <w:p w:rsidR="00A77B3E">
            <w:pPr>
              <w:numPr>
                <w:ilvl w:val="0"/>
                <w:numId w:val="8"/>
              </w:numPr>
              <w:spacing w:before="100" w:after="0"/>
              <w:ind w:start="720" w:hanging="360"/>
              <w:jc w:val="start"/>
              <w:rPr>
                <w:rFonts w:ascii="TimesNewRoman" w:eastAsia="TimesNewRoman" w:hAnsi="TimesNewRoman" w:cs="TimesNewRoman"/>
                <w:b w:val="0"/>
                <w:i w:val="0"/>
                <w:vanish w:val="0"/>
                <w:color w:val="000000"/>
                <w:sz w:val="24"/>
              </w:rPr>
            </w:pPr>
            <w:r>
              <w:rPr>
                <w:rFonts w:ascii="TimesNewRoman" w:eastAsia="TimesNewRoman" w:hAnsi="TimesNewRoman" w:cs="TimesNewRoman"/>
                <w:b w:val="0"/>
                <w:i w:val="0"/>
                <w:vanish w:val="0"/>
                <w:color w:val="000000"/>
                <w:sz w:val="24"/>
              </w:rPr>
              <w:t>Okrepitev mednarodnega policijskega sodelovanja z izvajanjem skupnih čezmejnih operacij in JIT ter prikritih preiskovalnih ukrepov za preiskovanje hudih in organiziranih oblik čezmejne kriminalitete.</w:t>
            </w:r>
          </w:p>
          <w:p w:rsidR="00A77B3E">
            <w:pPr>
              <w:numPr>
                <w:ilvl w:val="0"/>
                <w:numId w:val="8"/>
              </w:numPr>
              <w:spacing w:before="100" w:after="0"/>
              <w:ind w:start="720" w:hanging="360"/>
              <w:jc w:val="start"/>
              <w:rPr>
                <w:rFonts w:ascii="TimesNewRoman" w:eastAsia="TimesNewRoman" w:hAnsi="TimesNewRoman" w:cs="TimesNewRoman"/>
                <w:b w:val="0"/>
                <w:i w:val="0"/>
                <w:vanish w:val="0"/>
                <w:color w:val="000000"/>
                <w:sz w:val="24"/>
              </w:rPr>
            </w:pPr>
            <w:r>
              <w:rPr>
                <w:rFonts w:ascii="TimesNewRoman" w:eastAsia="TimesNewRoman" w:hAnsi="TimesNewRoman" w:cs="TimesNewRoman"/>
                <w:b w:val="0"/>
                <w:i w:val="0"/>
                <w:vanish w:val="0"/>
                <w:color w:val="000000"/>
                <w:sz w:val="24"/>
              </w:rPr>
              <w:t>Funkcionalna opremljenost centrov za mednarodno sodelovanje.</w:t>
            </w:r>
          </w:p>
          <w:p w:rsidR="00A77B3E">
            <w:pPr>
              <w:numPr>
                <w:ilvl w:val="0"/>
                <w:numId w:val="8"/>
              </w:numPr>
              <w:spacing w:before="100" w:after="0"/>
              <w:ind w:start="720" w:hanging="360"/>
              <w:jc w:val="start"/>
              <w:rPr>
                <w:rFonts w:ascii="TimesNewRoman" w:eastAsia="TimesNewRoman" w:hAnsi="TimesNewRoman" w:cs="TimesNewRoman"/>
                <w:b w:val="0"/>
                <w:i w:val="0"/>
                <w:vanish w:val="0"/>
                <w:color w:val="000000"/>
                <w:sz w:val="24"/>
              </w:rPr>
            </w:pPr>
            <w:r>
              <w:rPr>
                <w:rFonts w:ascii="TimesNewRoman" w:eastAsia="TimesNewRoman" w:hAnsi="TimesNewRoman" w:cs="TimesNewRoman"/>
                <w:b w:val="0"/>
                <w:i w:val="0"/>
                <w:vanish w:val="0"/>
                <w:color w:val="000000"/>
                <w:sz w:val="24"/>
              </w:rPr>
              <w:t>V okviru sodelovanja z ENFSI bo ohranjena strokovnost in okrepljeno operativno sodelovanje na forenzični ravni. Z izmenjavo znanja, dobrih praks in sodelovanjem v usposabljanjih in raziskovalnih operacijah ENFSI bo zagotovljena višja kakovost dela in metod, hkrati pa se bo prispevalo k nadaljnjim razvojnim korakom združenja ENFSI in širše evropske forenzične skupnosti.</w:t>
            </w:r>
          </w:p>
          <w:p w:rsidR="00A77B3E">
            <w:pPr>
              <w:numPr>
                <w:ilvl w:val="0"/>
                <w:numId w:val="8"/>
              </w:numPr>
              <w:spacing w:before="100" w:after="0"/>
              <w:ind w:start="720" w:hanging="360"/>
              <w:jc w:val="start"/>
              <w:rPr>
                <w:rFonts w:ascii="TimesNewRoman" w:eastAsia="TimesNewRoman" w:hAnsi="TimesNewRoman" w:cs="TimesNewRoman"/>
                <w:b w:val="0"/>
                <w:i w:val="0"/>
                <w:vanish w:val="0"/>
                <w:color w:val="000000"/>
                <w:sz w:val="24"/>
              </w:rPr>
            </w:pPr>
            <w:r>
              <w:rPr>
                <w:rFonts w:ascii="TimesNewRoman" w:eastAsia="TimesNewRoman" w:hAnsi="TimesNewRoman" w:cs="TimesNewRoman"/>
                <w:b w:val="0"/>
                <w:i w:val="0"/>
                <w:vanish w:val="0"/>
                <w:color w:val="000000"/>
                <w:sz w:val="24"/>
              </w:rPr>
              <w:t>V okviru sodelovanja z mednarodno povezavo ATLAS bo ohranjena strokovnost in okrepljena operativna zmogljivosti na področju protiteroristične dejavnosti. Z izmenjavo znanja, dobrih praks in sodelovanjem v delovnih skupinah in forumih mednarodnega združenja ATLAS (BUILDING, ENTRY, C4, Commanders forum) se bo dosegla višja strokovna usposobljenosti Specialne enote Policije za delovanje v SI, kot tudi krepitev za delovanje na področju EU in zagotavljanje najvišjega nivoja človekovih pravic.</w:t>
            </w:r>
          </w:p>
          <w:p w:rsidR="00A77B3E">
            <w:pPr>
              <w:spacing w:before="100" w:after="0"/>
              <w:jc w:val="start"/>
              <w:rPr>
                <w:rFonts w:ascii="TimesNewRoman" w:eastAsia="TimesNewRoman" w:hAnsi="TimesNewRoman" w:cs="TimesNewRoman"/>
                <w:b w:val="0"/>
                <w:i w:val="0"/>
                <w:vanish w:val="0"/>
                <w:color w:val="000000"/>
                <w:sz w:val="24"/>
              </w:rPr>
            </w:pPr>
          </w:p>
          <w:p w:rsidR="00A77B3E">
            <w:pPr>
              <w:spacing w:before="100" w:after="0"/>
              <w:jc w:val="start"/>
              <w:rPr>
                <w:rFonts w:ascii="TimesNewRoman" w:eastAsia="TimesNewRoman" w:hAnsi="TimesNewRoman" w:cs="TimesNewRoman"/>
                <w:b w:val="0"/>
                <w:i w:val="0"/>
                <w:vanish w:val="0"/>
                <w:color w:val="000000"/>
                <w:sz w:val="24"/>
              </w:rPr>
            </w:pPr>
            <w:r>
              <w:rPr>
                <w:rFonts w:ascii="TimesNewRoman" w:eastAsia="TimesNewRoman" w:hAnsi="TimesNewRoman" w:cs="TimesNewRoman"/>
                <w:b/>
                <w:bCs/>
                <w:i w:val="0"/>
                <w:vanish w:val="0"/>
                <w:color w:val="000000"/>
                <w:sz w:val="24"/>
              </w:rPr>
              <w:t xml:space="preserve">1) </w:t>
            </w:r>
            <w:r>
              <w:rPr>
                <w:rFonts w:ascii="TimesNewRoman" w:eastAsia="TimesNewRoman" w:hAnsi="TimesNewRoman" w:cs="TimesNewRoman"/>
                <w:b/>
                <w:bCs/>
                <w:i w:val="0"/>
                <w:vanish w:val="0"/>
                <w:color w:val="000000"/>
                <w:sz w:val="24"/>
                <w:u w:val="single"/>
              </w:rPr>
              <w:t>Izvedbeni ukrep 2a): Čezmejne operacije kazenskega pregona</w:t>
            </w:r>
          </w:p>
          <w:p w:rsidR="00A77B3E">
            <w:pPr>
              <w:spacing w:before="100" w:after="0"/>
              <w:jc w:val="start"/>
              <w:rPr>
                <w:rFonts w:ascii="TimesNewRoman" w:eastAsia="TimesNewRoman" w:hAnsi="TimesNewRoman" w:cs="TimesNewRoman"/>
                <w:b w:val="0"/>
                <w:i w:val="0"/>
                <w:vanish w:val="0"/>
                <w:color w:val="000000"/>
                <w:sz w:val="24"/>
              </w:rPr>
            </w:pPr>
          </w:p>
          <w:p w:rsidR="00A77B3E">
            <w:pPr>
              <w:spacing w:before="100" w:after="0"/>
              <w:jc w:val="start"/>
              <w:rPr>
                <w:rFonts w:ascii="TimesNewRoman" w:eastAsia="TimesNewRoman" w:hAnsi="TimesNewRoman" w:cs="TimesNewRoman"/>
                <w:b w:val="0"/>
                <w:i w:val="0"/>
                <w:vanish w:val="0"/>
                <w:color w:val="000000"/>
                <w:sz w:val="24"/>
              </w:rPr>
            </w:pPr>
            <w:r>
              <w:rPr>
                <w:rFonts w:ascii="TimesNewRoman" w:eastAsia="TimesNewRoman" w:hAnsi="TimesNewRoman" w:cs="TimesNewRoman"/>
                <w:b w:val="0"/>
                <w:i w:val="0"/>
                <w:vanish w:val="0"/>
                <w:color w:val="000000"/>
                <w:sz w:val="24"/>
              </w:rPr>
              <w:t>- </w:t>
            </w:r>
            <w:r>
              <w:rPr>
                <w:rFonts w:ascii="TimesNewRoman" w:eastAsia="TimesNewRoman" w:hAnsi="TimesNewRoman" w:cs="TimesNewRoman"/>
                <w:b/>
                <w:bCs/>
                <w:i w:val="0"/>
                <w:vanish w:val="0"/>
                <w:color w:val="000000"/>
                <w:sz w:val="24"/>
              </w:rPr>
              <w:t>Okrepitev operativnega sodelovanja z DČ EU in ZB pri preprečevanju, odkrivanju in preiskovanju hudih in organiziranih oblik kriminalitete</w:t>
            </w:r>
          </w:p>
          <w:p w:rsidR="00A77B3E">
            <w:pPr>
              <w:spacing w:before="100" w:after="0"/>
              <w:jc w:val="start"/>
              <w:rPr>
                <w:rFonts w:ascii="TimesNewRoman" w:eastAsia="TimesNewRoman" w:hAnsi="TimesNewRoman" w:cs="TimesNewRoman"/>
                <w:b w:val="0"/>
                <w:i w:val="0"/>
                <w:vanish w:val="0"/>
                <w:color w:val="000000"/>
                <w:sz w:val="24"/>
              </w:rPr>
            </w:pPr>
            <w:r>
              <w:rPr>
                <w:rFonts w:ascii="TimesNewRoman" w:eastAsia="TimesNewRoman" w:hAnsi="TimesNewRoman" w:cs="TimesNewRoman"/>
                <w:b w:val="0"/>
                <w:i w:val="0"/>
                <w:vanish w:val="0"/>
                <w:color w:val="000000"/>
                <w:sz w:val="24"/>
              </w:rPr>
              <w:t xml:space="preserve">V skladu s priporočili EU Strategije za boj proti organiziranemu kriminalu 2021-2025 bodo v sodelovanju z varnostnimi organi DČ EU, tretjimi državami in EUROPOLom načrtovane in izvedene </w:t>
            </w:r>
            <w:r>
              <w:rPr>
                <w:rFonts w:ascii="TimesNewRoman" w:eastAsia="TimesNewRoman" w:hAnsi="TimesNewRoman" w:cs="TimesNewRoman"/>
                <w:b/>
                <w:bCs/>
                <w:i w:val="0"/>
                <w:vanish w:val="0"/>
                <w:color w:val="000000"/>
                <w:sz w:val="24"/>
              </w:rPr>
              <w:t>čezmejne operacije za odkrivanje in preprečevanje delovanja kriminalnih združb</w:t>
            </w:r>
            <w:r>
              <w:rPr>
                <w:rFonts w:ascii="TimesNewRoman" w:eastAsia="TimesNewRoman" w:hAnsi="TimesNewRoman" w:cs="TimesNewRoman"/>
                <w:b w:val="0"/>
                <w:i w:val="0"/>
                <w:vanish w:val="0"/>
                <w:color w:val="000000"/>
                <w:sz w:val="24"/>
              </w:rPr>
              <w:t>, ki se ukvarjajo s prepovedanimi drogami, tihotapstvom in trgovino z ljudmi in orožjem, premoženjskimi KD, goljufijami z udeležbo neplačujočih gospodarskih subjektov, davčnimi utajami pri trošarinah, ponaredki, pranjem denarja in kibernetsko kriminaliteto. Čezmejno operativno sodelovanje bo izvedeno v obliki skupnih čezmejnih operacij, vključno s skupnimi preiskovalnimi skupinami (JIT).</w:t>
            </w:r>
          </w:p>
          <w:p w:rsidR="00A77B3E">
            <w:pPr>
              <w:spacing w:before="100" w:after="0"/>
              <w:jc w:val="start"/>
              <w:rPr>
                <w:rFonts w:ascii="TimesNewRoman" w:eastAsia="TimesNewRoman" w:hAnsi="TimesNewRoman" w:cs="TimesNewRoman"/>
                <w:b w:val="0"/>
                <w:i w:val="0"/>
                <w:vanish w:val="0"/>
                <w:color w:val="000000"/>
                <w:sz w:val="24"/>
              </w:rPr>
            </w:pPr>
            <w:r>
              <w:rPr>
                <w:rFonts w:ascii="TimesNewRoman" w:eastAsia="TimesNewRoman" w:hAnsi="TimesNewRoman" w:cs="TimesNewRoman"/>
                <w:b w:val="0"/>
                <w:i w:val="0"/>
                <w:vanish w:val="0"/>
                <w:color w:val="000000"/>
                <w:sz w:val="24"/>
              </w:rPr>
              <w:t>Glavni izzivi so odkrivanje, preprečevanje in boj proti nezakonitemu delovanju hudodelskih združb v okviru mednarodnega policijskega sodelovanja. Ti izzivi bodo obravnavani z ustreznimi operativnimi dejavnostmi, financirani s podporo SNV.</w:t>
            </w:r>
          </w:p>
          <w:p w:rsidR="00A77B3E">
            <w:pPr>
              <w:spacing w:before="100" w:after="0"/>
              <w:jc w:val="start"/>
              <w:rPr>
                <w:rFonts w:ascii="TimesNewRoman" w:eastAsia="TimesNewRoman" w:hAnsi="TimesNewRoman" w:cs="TimesNewRoman"/>
                <w:b w:val="0"/>
                <w:i w:val="0"/>
                <w:vanish w:val="0"/>
                <w:color w:val="000000"/>
                <w:sz w:val="24"/>
              </w:rPr>
            </w:pPr>
            <w:r>
              <w:rPr>
                <w:rFonts w:ascii="TimesNewRoman" w:eastAsia="TimesNewRoman" w:hAnsi="TimesNewRoman" w:cs="TimesNewRoman"/>
                <w:b w:val="0"/>
                <w:i w:val="0"/>
                <w:vanish w:val="0"/>
                <w:color w:val="000000"/>
                <w:sz w:val="24"/>
              </w:rPr>
              <w:t>Pričakovani rezultati:</w:t>
            </w:r>
            <w:r>
              <w:rPr>
                <w:rFonts w:ascii="TimesNewRoman" w:eastAsia="TimesNewRoman" w:hAnsi="TimesNewRoman" w:cs="TimesNewRoman"/>
                <w:b/>
                <w:bCs/>
                <w:i w:val="0"/>
                <w:vanish w:val="0"/>
                <w:color w:val="000000"/>
                <w:sz w:val="24"/>
              </w:rPr>
              <w:t xml:space="preserve"> </w:t>
            </w:r>
            <w:r>
              <w:rPr>
                <w:rFonts w:ascii="TimesNewRoman" w:eastAsia="TimesNewRoman" w:hAnsi="TimesNewRoman" w:cs="TimesNewRoman"/>
                <w:b w:val="0"/>
                <w:i w:val="0"/>
                <w:vanish w:val="0"/>
                <w:color w:val="000000"/>
                <w:sz w:val="24"/>
              </w:rPr>
              <w:t xml:space="preserve">okrepljeno operativno sodelovanje z EUROPOL, DČ EU in ZB pri preprečevanju, odkrivanju in preiskovanju hudih in organiziranih oblik kriminalitete in povečano </w:t>
            </w:r>
            <w:r>
              <w:rPr>
                <w:rFonts w:ascii="TimesNewRoman" w:eastAsia="TimesNewRoman" w:hAnsi="TimesNewRoman" w:cs="TimesNewRoman"/>
                <w:b/>
                <w:bCs/>
                <w:i w:val="0"/>
                <w:vanish w:val="0"/>
                <w:color w:val="000000"/>
                <w:sz w:val="24"/>
              </w:rPr>
              <w:t>število skupnih čezmejnih operacij in JIT-ov glede na 2018-2020.</w:t>
            </w:r>
          </w:p>
          <w:p w:rsidR="00A77B3E">
            <w:pPr>
              <w:spacing w:before="100" w:after="0"/>
              <w:jc w:val="start"/>
              <w:rPr>
                <w:rFonts w:ascii="TimesNewRoman" w:eastAsia="TimesNewRoman" w:hAnsi="TimesNewRoman" w:cs="TimesNewRoman"/>
                <w:b w:val="0"/>
                <w:i w:val="0"/>
                <w:vanish w:val="0"/>
                <w:color w:val="000000"/>
                <w:sz w:val="24"/>
              </w:rPr>
            </w:pPr>
          </w:p>
          <w:p w:rsidR="00A77B3E">
            <w:pPr>
              <w:spacing w:before="100" w:after="0"/>
              <w:jc w:val="start"/>
              <w:rPr>
                <w:rFonts w:ascii="TimesNewRoman" w:eastAsia="TimesNewRoman" w:hAnsi="TimesNewRoman" w:cs="TimesNewRoman"/>
                <w:b w:val="0"/>
                <w:i w:val="0"/>
                <w:vanish w:val="0"/>
                <w:color w:val="000000"/>
                <w:sz w:val="24"/>
              </w:rPr>
            </w:pPr>
            <w:r>
              <w:rPr>
                <w:rFonts w:ascii="TimesNewRoman" w:eastAsia="TimesNewRoman" w:hAnsi="TimesNewRoman" w:cs="TimesNewRoman"/>
                <w:b w:val="0"/>
                <w:i w:val="0"/>
                <w:vanish w:val="0"/>
                <w:color w:val="000000"/>
                <w:sz w:val="24"/>
              </w:rPr>
              <w:t>-      </w:t>
            </w:r>
            <w:r>
              <w:rPr>
                <w:rFonts w:ascii="TimesNewRoman" w:eastAsia="TimesNewRoman" w:hAnsi="TimesNewRoman" w:cs="TimesNewRoman"/>
                <w:b/>
                <w:bCs/>
                <w:i w:val="0"/>
                <w:vanish w:val="0"/>
                <w:color w:val="000000"/>
                <w:sz w:val="24"/>
              </w:rPr>
              <w:t>Učinkovito izvajanje prikritih preiskovalnih ukrepov za preiskovanje hudih in organiziranih oblik čezmejne kriminalitete</w:t>
            </w:r>
          </w:p>
          <w:p w:rsidR="00A77B3E">
            <w:pPr>
              <w:spacing w:before="100" w:after="0"/>
              <w:jc w:val="start"/>
              <w:rPr>
                <w:rFonts w:ascii="TimesNewRoman" w:eastAsia="TimesNewRoman" w:hAnsi="TimesNewRoman" w:cs="TimesNewRoman"/>
                <w:b w:val="0"/>
                <w:i w:val="0"/>
                <w:vanish w:val="0"/>
                <w:color w:val="000000"/>
                <w:sz w:val="24"/>
              </w:rPr>
            </w:pPr>
            <w:r>
              <w:rPr>
                <w:rFonts w:ascii="TimesNewRoman" w:eastAsia="TimesNewRoman" w:hAnsi="TimesNewRoman" w:cs="TimesNewRoman"/>
                <w:b w:val="0"/>
                <w:i w:val="0"/>
                <w:vanish w:val="0"/>
                <w:color w:val="000000"/>
                <w:sz w:val="24"/>
              </w:rPr>
              <w:t xml:space="preserve">S spremembami Zakona o sodelovanju v kazenskih zadevah z DČ EU se je povečalo število preiskovalnih dejanj na podlagi evropskih preiskovalnih nalogov. Predvidevamo, da se bo trend izvajanj tajnih opazovanj na podlagi zaprosil oz. evropskih preiskovalnih nalogov še povečeval. Iz vidika delovanja mednarodnih kriminalnih združb, predvsem tistih vzdolž balkanske poti, SI ostaja tranzitno-logistična država za tihotapstvo prepovedanih drog, orožja in ljudi v države EU. Okrepljene bodo operativne zmogljivosti za izvajanje </w:t>
            </w:r>
            <w:r>
              <w:rPr>
                <w:rFonts w:ascii="TimesNewRoman" w:eastAsia="TimesNewRoman" w:hAnsi="TimesNewRoman" w:cs="TimesNewRoman"/>
                <w:b/>
                <w:bCs/>
                <w:i w:val="0"/>
                <w:vanish w:val="0"/>
                <w:color w:val="000000"/>
                <w:sz w:val="24"/>
              </w:rPr>
              <w:t>kriminalističnoobveščevalne dejavnosti in prikritih preiskovalnih ukrepov</w:t>
            </w:r>
            <w:r>
              <w:rPr>
                <w:rFonts w:ascii="TimesNewRoman" w:eastAsia="TimesNewRoman" w:hAnsi="TimesNewRoman" w:cs="TimesNewRoman"/>
                <w:b w:val="0"/>
                <w:i w:val="0"/>
                <w:vanish w:val="0"/>
                <w:color w:val="000000"/>
                <w:sz w:val="24"/>
              </w:rPr>
              <w:t xml:space="preserve"> ter uveljavljene nove metode, taktike in tehnike za učinkovitejše preprečevanje, odkrivanje in preiskovanje vseh oblik hudega in organiziranega kriminala, kar bo prispevalo k odkrivanju in preiskovanju kriminalnih združb, ki predstavljajo varnostno grožnjo za EU.</w:t>
            </w:r>
          </w:p>
          <w:p w:rsidR="00A77B3E">
            <w:pPr>
              <w:spacing w:before="100" w:after="0"/>
              <w:jc w:val="start"/>
              <w:rPr>
                <w:rFonts w:ascii="TimesNewRoman" w:eastAsia="TimesNewRoman" w:hAnsi="TimesNewRoman" w:cs="TimesNewRoman"/>
                <w:b w:val="0"/>
                <w:i w:val="0"/>
                <w:vanish w:val="0"/>
                <w:color w:val="000000"/>
                <w:sz w:val="24"/>
              </w:rPr>
            </w:pPr>
            <w:r>
              <w:rPr>
                <w:rFonts w:ascii="TimesNewRoman" w:eastAsia="TimesNewRoman" w:hAnsi="TimesNewRoman" w:cs="TimesNewRoman"/>
                <w:b w:val="0"/>
                <w:i w:val="0"/>
                <w:vanish w:val="0"/>
                <w:color w:val="000000"/>
                <w:sz w:val="24"/>
              </w:rPr>
              <w:t>Glavni izzivi: krepitev operativnih zmogljivosti policijskih enot za učinkovito izvajanje prikritih preiskovalnih ukrepov, z izvajanjem katerih bo SI pomembno prispevala k večjemu številu skupnih čezmejnih operacij in skupnih preiskovalnih skupin (JIT).</w:t>
            </w:r>
          </w:p>
          <w:p w:rsidR="00A77B3E">
            <w:pPr>
              <w:spacing w:before="100" w:after="0"/>
              <w:jc w:val="start"/>
              <w:rPr>
                <w:rFonts w:ascii="TimesNewRoman" w:eastAsia="TimesNewRoman" w:hAnsi="TimesNewRoman" w:cs="TimesNewRoman"/>
                <w:b w:val="0"/>
                <w:i w:val="0"/>
                <w:vanish w:val="0"/>
                <w:color w:val="000000"/>
                <w:sz w:val="24"/>
              </w:rPr>
            </w:pPr>
            <w:r>
              <w:rPr>
                <w:rFonts w:ascii="TimesNewRoman" w:eastAsia="TimesNewRoman" w:hAnsi="TimesNewRoman" w:cs="TimesNewRoman"/>
                <w:b w:val="0"/>
                <w:i w:val="0"/>
                <w:vanish w:val="0"/>
                <w:color w:val="000000"/>
                <w:sz w:val="24"/>
              </w:rPr>
              <w:t>Sredstva SNV bodo uporabljena za podporo izvajanju prikritih preiskovalnih ukrepov (tajno opazovanje, tajno delovanje [</w:t>
            </w:r>
            <w:r>
              <w:rPr>
                <w:rFonts w:ascii="TimesNewRoman" w:eastAsia="TimesNewRoman" w:hAnsi="TimesNewRoman" w:cs="TimesNewRoman"/>
                <w:b w:val="0"/>
                <w:i/>
                <w:iCs/>
                <w:vanish w:val="0"/>
                <w:color w:val="000000"/>
                <w:sz w:val="24"/>
              </w:rPr>
              <w:t>undercover operation</w:t>
            </w:r>
            <w:r>
              <w:rPr>
                <w:rFonts w:ascii="TimesNewRoman" w:eastAsia="TimesNewRoman" w:hAnsi="TimesNewRoman" w:cs="TimesNewRoman"/>
                <w:b w:val="0"/>
                <w:i w:val="0"/>
                <w:vanish w:val="0"/>
                <w:color w:val="000000"/>
                <w:sz w:val="24"/>
              </w:rPr>
              <w:t>], navideznega odkupa predmetov [</w:t>
            </w:r>
            <w:r>
              <w:rPr>
                <w:rFonts w:ascii="TimesNewRoman" w:eastAsia="TimesNewRoman" w:hAnsi="TimesNewRoman" w:cs="TimesNewRoman"/>
                <w:b w:val="0"/>
                <w:i/>
                <w:iCs/>
                <w:vanish w:val="0"/>
                <w:color w:val="000000"/>
                <w:sz w:val="24"/>
              </w:rPr>
              <w:t>pseudo purchase</w:t>
            </w:r>
            <w:r>
              <w:rPr>
                <w:rFonts w:ascii="TimesNewRoman" w:eastAsia="TimesNewRoman" w:hAnsi="TimesNewRoman" w:cs="TimesNewRoman"/>
                <w:b w:val="0"/>
                <w:i w:val="0"/>
                <w:vanish w:val="0"/>
                <w:color w:val="000000"/>
                <w:sz w:val="24"/>
              </w:rPr>
              <w:t>], nadzorovane pošiljke in nakup vozil za čezmejno prikrito opazovanje, kar bo pomembno prispevalo k povečanju števila skupnih čezmejnih operacij in JIT.</w:t>
            </w:r>
          </w:p>
          <w:p w:rsidR="00A77B3E">
            <w:pPr>
              <w:spacing w:before="100" w:after="0"/>
              <w:jc w:val="start"/>
              <w:rPr>
                <w:rFonts w:ascii="TimesNewRoman" w:eastAsia="TimesNewRoman" w:hAnsi="TimesNewRoman" w:cs="TimesNewRoman"/>
                <w:b w:val="0"/>
                <w:i w:val="0"/>
                <w:vanish w:val="0"/>
                <w:color w:val="000000"/>
                <w:sz w:val="24"/>
              </w:rPr>
            </w:pPr>
            <w:r>
              <w:rPr>
                <w:rFonts w:ascii="TimesNewRoman" w:eastAsia="TimesNewRoman" w:hAnsi="TimesNewRoman" w:cs="TimesNewRoman"/>
                <w:b w:val="0"/>
                <w:i w:val="0"/>
                <w:vanish w:val="0"/>
                <w:color w:val="000000"/>
                <w:sz w:val="24"/>
              </w:rPr>
              <w:t>Finančna podpora izvajanju prikritih preiskovalnih ukrepov (vključno z nakupom specialnih vozil za izvajanje teh ukrepov), ki so namenjeni odkrivanju in preiskovanju organiziranih oblik čezmejnega kriminala, tesno povezanega z ZB, pomeni uresničevanje prednostnih nalog EU v boju proti hudem in organiziranem kriminalu za EMPACT v obdobju 2022-2025 (9184/21), ki ga je Svet odobril na svoji 3796. seji 26. maja 2021. Vozila se bodo uporabljala za izvajanje tajnega opazovanja, tajnega delovanja, navideznih odkupov in nadzorovanih pošiljk.</w:t>
            </w:r>
          </w:p>
          <w:p w:rsidR="00A77B3E">
            <w:pPr>
              <w:spacing w:before="100" w:after="0"/>
              <w:jc w:val="start"/>
              <w:rPr>
                <w:rFonts w:ascii="TimesNewRoman" w:eastAsia="TimesNewRoman" w:hAnsi="TimesNewRoman" w:cs="TimesNewRoman"/>
                <w:b w:val="0"/>
                <w:i w:val="0"/>
                <w:vanish w:val="0"/>
                <w:color w:val="000000"/>
                <w:sz w:val="24"/>
              </w:rPr>
            </w:pPr>
            <w:r>
              <w:rPr>
                <w:rFonts w:ascii="TimesNewRoman" w:eastAsia="TimesNewRoman" w:hAnsi="TimesNewRoman" w:cs="TimesNewRoman"/>
                <w:b w:val="0"/>
                <w:i w:val="0"/>
                <w:vanish w:val="0"/>
                <w:color w:val="000000"/>
                <w:sz w:val="24"/>
              </w:rPr>
              <w:t>Pričakovani rezultati: izboljšane kapacitete na področju izvajanja prikritih preiskovalnih ukrepov za preiskovanje hudih in organiziranih oblik čezmejne kriminalitete ter večje količine prepovedanih drog in orožja, zaseženih v čezmejnih operacijah glede na 2014-2020.</w:t>
            </w:r>
          </w:p>
          <w:p w:rsidR="00A77B3E">
            <w:pPr>
              <w:spacing w:before="100" w:after="0"/>
              <w:jc w:val="start"/>
              <w:rPr>
                <w:rFonts w:ascii="TimesNewRoman" w:eastAsia="TimesNewRoman" w:hAnsi="TimesNewRoman" w:cs="TimesNewRoman"/>
                <w:b w:val="0"/>
                <w:i w:val="0"/>
                <w:vanish w:val="0"/>
                <w:color w:val="000000"/>
                <w:sz w:val="24"/>
              </w:rPr>
            </w:pPr>
          </w:p>
          <w:p w:rsidR="00A77B3E">
            <w:pPr>
              <w:spacing w:before="100" w:after="0"/>
              <w:jc w:val="start"/>
              <w:rPr>
                <w:rFonts w:ascii="TimesNewRoman" w:eastAsia="TimesNewRoman" w:hAnsi="TimesNewRoman" w:cs="TimesNewRoman"/>
                <w:b w:val="0"/>
                <w:i w:val="0"/>
                <w:vanish w:val="0"/>
                <w:color w:val="000000"/>
                <w:sz w:val="24"/>
              </w:rPr>
            </w:pPr>
            <w:r>
              <w:rPr>
                <w:rFonts w:ascii="TimesNewRoman" w:eastAsia="TimesNewRoman" w:hAnsi="TimesNewRoman" w:cs="TimesNewRoman"/>
                <w:b/>
                <w:bCs/>
                <w:i w:val="0"/>
                <w:vanish w:val="0"/>
                <w:color w:val="000000"/>
                <w:sz w:val="24"/>
              </w:rPr>
              <w:t xml:space="preserve">2) </w:t>
            </w:r>
            <w:r>
              <w:rPr>
                <w:rFonts w:ascii="TimesNewRoman" w:eastAsia="TimesNewRoman" w:hAnsi="TimesNewRoman" w:cs="TimesNewRoman"/>
                <w:b/>
                <w:bCs/>
                <w:i w:val="0"/>
                <w:vanish w:val="0"/>
                <w:color w:val="000000"/>
                <w:sz w:val="24"/>
                <w:u w:val="single"/>
              </w:rPr>
              <w:t>Izvedbeni ukrep 2b): Izboljšati usklajevanje in okrepiti sodelovanje pristojnih organov v državah članicah in med njimi ter z drugimi zadevnimi akterji</w:t>
            </w:r>
          </w:p>
          <w:p w:rsidR="00A77B3E">
            <w:pPr>
              <w:spacing w:before="100" w:after="0"/>
              <w:jc w:val="start"/>
              <w:rPr>
                <w:rFonts w:ascii="TimesNewRoman" w:eastAsia="TimesNewRoman" w:hAnsi="TimesNewRoman" w:cs="TimesNewRoman"/>
                <w:b w:val="0"/>
                <w:i w:val="0"/>
                <w:vanish w:val="0"/>
                <w:color w:val="000000"/>
                <w:sz w:val="24"/>
              </w:rPr>
            </w:pPr>
          </w:p>
          <w:p w:rsidR="00A77B3E">
            <w:pPr>
              <w:spacing w:before="100" w:after="0"/>
              <w:jc w:val="start"/>
              <w:rPr>
                <w:rFonts w:ascii="TimesNewRoman" w:eastAsia="TimesNewRoman" w:hAnsi="TimesNewRoman" w:cs="TimesNewRoman"/>
                <w:b w:val="0"/>
                <w:i w:val="0"/>
                <w:vanish w:val="0"/>
                <w:color w:val="000000"/>
                <w:sz w:val="24"/>
              </w:rPr>
            </w:pPr>
            <w:r>
              <w:rPr>
                <w:rFonts w:ascii="TimesNewRoman" w:eastAsia="TimesNewRoman" w:hAnsi="TimesNewRoman" w:cs="TimesNewRoman"/>
                <w:b/>
                <w:bCs/>
                <w:i w:val="0"/>
                <w:vanish w:val="0"/>
                <w:color w:val="000000"/>
                <w:sz w:val="24"/>
              </w:rPr>
              <w:t>- Sodelovanje v različnih evropskih mrežah, specializiranih mrežah in strukturah sodelovanja EU ter centrov EU</w:t>
            </w:r>
          </w:p>
          <w:p w:rsidR="00A77B3E">
            <w:pPr>
              <w:spacing w:before="100" w:after="0"/>
              <w:jc w:val="start"/>
              <w:rPr>
                <w:rFonts w:ascii="TimesNewRoman" w:eastAsia="TimesNewRoman" w:hAnsi="TimesNewRoman" w:cs="TimesNewRoman"/>
                <w:b w:val="0"/>
                <w:i w:val="0"/>
                <w:vanish w:val="0"/>
                <w:color w:val="000000"/>
                <w:sz w:val="24"/>
              </w:rPr>
            </w:pPr>
            <w:r>
              <w:rPr>
                <w:rFonts w:ascii="TimesNewRoman" w:eastAsia="TimesNewRoman" w:hAnsi="TimesNewRoman" w:cs="TimesNewRoman"/>
                <w:b w:val="0"/>
                <w:i w:val="0"/>
                <w:vanish w:val="0"/>
                <w:color w:val="000000"/>
                <w:sz w:val="24"/>
              </w:rPr>
              <w:t>Na ravni EU so oblikovane številne mreže strokovnjakov (npr. PENP-MP, idr), institucij (npr. ENFSI, idr.) ali nacionalnih enot (npr. ATLAS), v katerih je sodelovanje SI strokovnjakov nujno za strokovno sodelovanje, operativno sodelovanje, izmenjavo znanj in dobrih praks ter izkušenj. V okviru te prioritete so predvidena sredstva za udeležbo, organizacijo sestankov, strokovnih srečanj in konferenc.</w:t>
            </w:r>
          </w:p>
          <w:p w:rsidR="00A77B3E">
            <w:pPr>
              <w:spacing w:before="100" w:after="0"/>
              <w:jc w:val="start"/>
              <w:rPr>
                <w:rFonts w:ascii="TimesNewRoman" w:eastAsia="TimesNewRoman" w:hAnsi="TimesNewRoman" w:cs="TimesNewRoman"/>
                <w:b w:val="0"/>
                <w:i w:val="0"/>
                <w:vanish w:val="0"/>
                <w:color w:val="000000"/>
                <w:sz w:val="24"/>
              </w:rPr>
            </w:pPr>
            <w:r>
              <w:rPr>
                <w:rFonts w:ascii="TimesNewRoman" w:eastAsia="TimesNewRoman" w:hAnsi="TimesNewRoman" w:cs="TimesNewRoman"/>
                <w:b w:val="0"/>
                <w:i w:val="0"/>
                <w:vanish w:val="0"/>
                <w:color w:val="000000"/>
                <w:sz w:val="24"/>
              </w:rPr>
              <w:t>Pričakovani rezultat: strokovno sodelovanje, operativno sodelovanje, izmenjava znanj in dobrih praks ter izkušenj v okviru evropski mrež.</w:t>
            </w:r>
          </w:p>
          <w:p w:rsidR="00A77B3E">
            <w:pPr>
              <w:spacing w:before="100" w:after="0"/>
              <w:jc w:val="start"/>
              <w:rPr>
                <w:rFonts w:ascii="TimesNewRoman" w:eastAsia="TimesNewRoman" w:hAnsi="TimesNewRoman" w:cs="TimesNewRoman"/>
                <w:b w:val="0"/>
                <w:i w:val="0"/>
                <w:vanish w:val="0"/>
                <w:color w:val="000000"/>
                <w:sz w:val="24"/>
              </w:rPr>
            </w:pPr>
          </w:p>
          <w:p w:rsidR="00A77B3E">
            <w:pPr>
              <w:spacing w:before="100" w:after="0"/>
              <w:jc w:val="start"/>
              <w:rPr>
                <w:rFonts w:ascii="TimesNewRoman" w:eastAsia="TimesNewRoman" w:hAnsi="TimesNewRoman" w:cs="TimesNewRoman"/>
                <w:b w:val="0"/>
                <w:i w:val="0"/>
                <w:vanish w:val="0"/>
                <w:color w:val="000000"/>
                <w:sz w:val="24"/>
              </w:rPr>
            </w:pPr>
            <w:r>
              <w:rPr>
                <w:rFonts w:ascii="TimesNewRoman" w:eastAsia="TimesNewRoman" w:hAnsi="TimesNewRoman" w:cs="TimesNewRoman"/>
                <w:b/>
                <w:bCs/>
                <w:i w:val="0"/>
                <w:vanish w:val="0"/>
                <w:color w:val="000000"/>
                <w:sz w:val="24"/>
              </w:rPr>
              <w:t xml:space="preserve">3) </w:t>
            </w:r>
            <w:r>
              <w:rPr>
                <w:rFonts w:ascii="TimesNewRoman" w:eastAsia="TimesNewRoman" w:hAnsi="TimesNewRoman" w:cs="TimesNewRoman"/>
                <w:b/>
                <w:bCs/>
                <w:i w:val="0"/>
                <w:vanish w:val="0"/>
                <w:color w:val="000000"/>
                <w:sz w:val="24"/>
                <w:u w:val="single"/>
              </w:rPr>
              <w:t>Izvedbeni ukrep 2c): Okrepljeno medagencijsko sodelovanje</w:t>
            </w:r>
          </w:p>
          <w:p w:rsidR="00A77B3E">
            <w:pPr>
              <w:spacing w:before="100" w:after="0"/>
              <w:jc w:val="start"/>
              <w:rPr>
                <w:rFonts w:ascii="TimesNewRoman" w:eastAsia="TimesNewRoman" w:hAnsi="TimesNewRoman" w:cs="TimesNewRoman"/>
                <w:b w:val="0"/>
                <w:i w:val="0"/>
                <w:vanish w:val="0"/>
                <w:color w:val="000000"/>
                <w:sz w:val="24"/>
              </w:rPr>
            </w:pPr>
          </w:p>
          <w:p w:rsidR="00A77B3E">
            <w:pPr>
              <w:spacing w:before="100" w:after="0"/>
              <w:jc w:val="start"/>
              <w:rPr>
                <w:rFonts w:ascii="TimesNewRoman" w:eastAsia="TimesNewRoman" w:hAnsi="TimesNewRoman" w:cs="TimesNewRoman"/>
                <w:b w:val="0"/>
                <w:i w:val="0"/>
                <w:vanish w:val="0"/>
                <w:color w:val="000000"/>
                <w:sz w:val="24"/>
              </w:rPr>
            </w:pPr>
            <w:r>
              <w:rPr>
                <w:rFonts w:ascii="TimesNewRoman" w:eastAsia="TimesNewRoman" w:hAnsi="TimesNewRoman" w:cs="TimesNewRoman"/>
                <w:b/>
                <w:bCs/>
                <w:i w:val="0"/>
                <w:vanish w:val="0"/>
                <w:color w:val="000000"/>
                <w:sz w:val="24"/>
              </w:rPr>
              <w:t>- Okrepitev kapacitet in izboljšanje usposobljenosti specializiranih služb na področju terorističnih groženj s komponento CBRN</w:t>
            </w:r>
          </w:p>
          <w:p w:rsidR="00A77B3E">
            <w:pPr>
              <w:spacing w:before="100" w:after="0"/>
              <w:jc w:val="start"/>
              <w:rPr>
                <w:rFonts w:ascii="TimesNewRoman" w:eastAsia="TimesNewRoman" w:hAnsi="TimesNewRoman" w:cs="TimesNewRoman"/>
                <w:b w:val="0"/>
                <w:i w:val="0"/>
                <w:vanish w:val="0"/>
                <w:color w:val="000000"/>
                <w:sz w:val="24"/>
              </w:rPr>
            </w:pPr>
            <w:r>
              <w:rPr>
                <w:rFonts w:ascii="TimesNewRoman" w:eastAsia="TimesNewRoman" w:hAnsi="TimesNewRoman" w:cs="TimesNewRoman"/>
                <w:b w:val="0"/>
                <w:i w:val="0"/>
                <w:vanish w:val="0"/>
                <w:color w:val="000000"/>
                <w:sz w:val="24"/>
              </w:rPr>
              <w:t xml:space="preserve">Zavedanje, da organizirani kriminal in terorizem poleg klasičnih sredstev lahko vključujeta </w:t>
            </w:r>
            <w:r>
              <w:rPr>
                <w:rFonts w:ascii="TimesNewRoman" w:eastAsia="TimesNewRoman" w:hAnsi="TimesNewRoman" w:cs="TimesNewRoman"/>
                <w:b/>
                <w:bCs/>
                <w:i w:val="0"/>
                <w:vanish w:val="0"/>
                <w:color w:val="000000"/>
                <w:sz w:val="24"/>
              </w:rPr>
              <w:t>tudi sredstva za množično uničevanje</w:t>
            </w:r>
            <w:r>
              <w:rPr>
                <w:rFonts w:ascii="TimesNewRoman" w:eastAsia="TimesNewRoman" w:hAnsi="TimesNewRoman" w:cs="TimesNewRoman"/>
                <w:b w:val="0"/>
                <w:i w:val="0"/>
                <w:vanish w:val="0"/>
                <w:color w:val="000000"/>
                <w:sz w:val="24"/>
              </w:rPr>
              <w:t xml:space="preserve"> je eden glavnih izzivov, ki ogrožajo EU, zato postaja odzivna zmogljivost DČ še pomembnejša. Nezakonito delovanje s kemičnimi in biološkimi sredstvi ter radioaktivnimi snovmi predstavlja nov izziv za policijo SI (v smislu opreme in strokovnega znanja). Mreža EEODN je s podporo EUROPOL dvignila stopnjo zavedanja o nevarnosti teh aktivnosti. Za hitro odzivanje je potrebno medresorsko sodelovanje, ustrezna ozaveščenost policistov in ostalih prvih posredovalcev na lokalnem nivoju (Služba za zaščito in reševanje, oborožene sile SI, Finančna uprava in drugi tuji organi). Na primer, Oddelek za protibombno zaščito je na področju dekontaminacije povsem odvisen od služb zaščite in reševanja. Pri izvajanju najbolj zahtevnih nalog policije pod in nad vodo, se pojavljajo težave z zastarelo opremo potapljačev, ki ne omogoča dolgega zadrževanja pod vodo in neopaznega približevanja kritičnim mestom. Zaradi specifične opreme in področij delovanja bo za kompleksne naloge vedno potrebna medagencijska organizacija.</w:t>
            </w:r>
          </w:p>
          <w:p w:rsidR="00A77B3E">
            <w:pPr>
              <w:spacing w:before="100" w:after="0"/>
              <w:jc w:val="start"/>
              <w:rPr>
                <w:rFonts w:ascii="TimesNewRoman" w:eastAsia="TimesNewRoman" w:hAnsi="TimesNewRoman" w:cs="TimesNewRoman"/>
                <w:b w:val="0"/>
                <w:i w:val="0"/>
                <w:vanish w:val="0"/>
                <w:color w:val="000000"/>
                <w:sz w:val="24"/>
              </w:rPr>
            </w:pPr>
            <w:r>
              <w:rPr>
                <w:rFonts w:ascii="TimesNewRoman" w:eastAsia="TimesNewRoman" w:hAnsi="TimesNewRoman" w:cs="TimesNewRoman"/>
                <w:b w:val="0"/>
                <w:i w:val="0"/>
                <w:vanish w:val="0"/>
                <w:color w:val="000000"/>
                <w:sz w:val="24"/>
              </w:rPr>
              <w:t>Glavni izzivi in aktivnosti s podporo sklada: dvig stopnje zavedanja policistov o nevarnostih, ki jih predstavljajo RKB snovi, izboljšanje stanja na področju osebne zaščitne opreme ter vzpostavitev lastnih zmogljivosti za dekontaminacijo prvih posredovalcev, nabava sodobnejše potapljaške opreme, izboljšanje strokovne usposobljenosti in izmenjava dobrih praks z medresorskim sodelovanjem v zvezi s terorističnimi napadi ter ustvarjanje okolja za učinkovito medresorsko sodelovanje pri preprečevanju napadov in prijetju najbolj nevarnih organiziranih kriminalnih združb.</w:t>
            </w:r>
          </w:p>
          <w:p w:rsidR="00A77B3E">
            <w:pPr>
              <w:spacing w:before="100" w:after="0"/>
              <w:jc w:val="start"/>
              <w:rPr>
                <w:rFonts w:ascii="TimesNewRoman" w:eastAsia="TimesNewRoman" w:hAnsi="TimesNewRoman" w:cs="TimesNewRoman"/>
                <w:b w:val="0"/>
                <w:i w:val="0"/>
                <w:vanish w:val="0"/>
                <w:color w:val="000000"/>
                <w:sz w:val="24"/>
              </w:rPr>
            </w:pPr>
            <w:r>
              <w:rPr>
                <w:rFonts w:ascii="TimesNewRoman" w:eastAsia="TimesNewRoman" w:hAnsi="TimesNewRoman" w:cs="TimesNewRoman"/>
                <w:b w:val="0"/>
                <w:i w:val="0"/>
                <w:vanish w:val="0"/>
                <w:color w:val="000000"/>
                <w:sz w:val="24"/>
              </w:rPr>
              <w:t>Pričakovani rezultati: izboljšana pripravljenost policije na odziv v primeru tovrstnih groženj ter podpora prizadevanjem za krepitev zmogljivosti v zvezi z bojem proti kriminalu, vključno s terorizmom in preprečevanjem kriminala. Izboljšana pripravljenost na medagencijsko in nadnacionalno sodelovanje, kar prispeva k izboljšani učinkovitosti in uspešnosti.</w:t>
            </w:r>
          </w:p>
          <w:p w:rsidR="00A77B3E">
            <w:pPr>
              <w:spacing w:before="100" w:after="0"/>
              <w:jc w:val="start"/>
              <w:rPr>
                <w:rFonts w:ascii="TimesNewRoman" w:eastAsia="TimesNewRoman" w:hAnsi="TimesNewRoman" w:cs="TimesNewRoman"/>
                <w:b w:val="0"/>
                <w:i w:val="0"/>
                <w:vanish w:val="0"/>
                <w:color w:val="000000"/>
                <w:sz w:val="24"/>
              </w:rPr>
            </w:pPr>
          </w:p>
          <w:p w:rsidR="00A77B3E">
            <w:pPr>
              <w:spacing w:before="100" w:after="0"/>
              <w:jc w:val="start"/>
              <w:rPr>
                <w:rFonts w:ascii="TimesNewRoman" w:eastAsia="TimesNewRoman" w:hAnsi="TimesNewRoman" w:cs="TimesNewRoman"/>
                <w:b w:val="0"/>
                <w:i w:val="0"/>
                <w:vanish w:val="0"/>
                <w:color w:val="000000"/>
                <w:sz w:val="24"/>
              </w:rPr>
            </w:pPr>
            <w:r>
              <w:rPr>
                <w:rFonts w:ascii="TimesNewRoman" w:eastAsia="TimesNewRoman" w:hAnsi="TimesNewRoman" w:cs="TimesNewRoman"/>
                <w:b/>
                <w:bCs/>
                <w:i w:val="0"/>
                <w:vanish w:val="0"/>
                <w:color w:val="000000"/>
                <w:sz w:val="24"/>
              </w:rPr>
              <w:t>- Posodobitev in širitev centrov za mednarodno policijsko sodelovanje</w:t>
            </w:r>
          </w:p>
          <w:p w:rsidR="00A77B3E">
            <w:pPr>
              <w:spacing w:before="100" w:after="0"/>
              <w:jc w:val="start"/>
              <w:rPr>
                <w:rFonts w:ascii="TimesNewRoman" w:eastAsia="TimesNewRoman" w:hAnsi="TimesNewRoman" w:cs="TimesNewRoman"/>
                <w:b w:val="0"/>
                <w:i w:val="0"/>
                <w:vanish w:val="0"/>
                <w:color w:val="000000"/>
                <w:sz w:val="24"/>
              </w:rPr>
            </w:pPr>
            <w:r>
              <w:rPr>
                <w:rFonts w:ascii="TimesNewRoman" w:eastAsia="TimesNewRoman" w:hAnsi="TimesNewRoman" w:cs="TimesNewRoman"/>
                <w:b w:val="0"/>
                <w:i w:val="0"/>
                <w:vanish w:val="0"/>
                <w:color w:val="000000"/>
                <w:sz w:val="24"/>
              </w:rPr>
              <w:t>Policija je v okviru prejšnje finančne sheme sodelovala pri vzpostavitvi in vzdrževanju dveh policijskih centrov Vrata - Megvarje (SI-AT-IT) in Dolga vas (SI-AT-HU-HR), kjer vsaka DČ skrbi za svoj del vezano na delovanje in vzdrževanje opreme. Cilj je krepitev čezmejnega sodelovanja in izmenjava informacij na področju policijskega dela, usklajevanje skupnih nalog kontrole in nadzora ter drugih operacij na skupni državni meji, prevzem oseb, ki se ilegalno zadržujejo na ozemlju držav pogodbenic, in izmenjava informacij glede zatiranja kriminalitete.</w:t>
            </w:r>
          </w:p>
          <w:p w:rsidR="00A77B3E">
            <w:pPr>
              <w:spacing w:before="100" w:after="0"/>
              <w:jc w:val="start"/>
              <w:rPr>
                <w:rFonts w:ascii="TimesNewRoman" w:eastAsia="TimesNewRoman" w:hAnsi="TimesNewRoman" w:cs="TimesNewRoman"/>
                <w:b w:val="0"/>
                <w:i w:val="0"/>
                <w:vanish w:val="0"/>
                <w:color w:val="000000"/>
                <w:sz w:val="24"/>
              </w:rPr>
            </w:pPr>
            <w:r>
              <w:rPr>
                <w:rFonts w:ascii="TimesNewRoman" w:eastAsia="TimesNewRoman" w:hAnsi="TimesNewRoman" w:cs="TimesNewRoman"/>
                <w:b w:val="0"/>
                <w:i w:val="0"/>
                <w:vanish w:val="0"/>
                <w:color w:val="000000"/>
                <w:sz w:val="24"/>
              </w:rPr>
              <w:t>Pričakovani rezultat: nabava IKT in funkcionalne opreme, posodobitev in širitev centrov.</w:t>
            </w:r>
          </w:p>
          <w:p w:rsidR="00A77B3E">
            <w:pPr>
              <w:spacing w:before="100" w:after="0"/>
              <w:jc w:val="start"/>
              <w:rPr>
                <w:rFonts w:ascii="TimesNewRoman" w:eastAsia="TimesNewRoman" w:hAnsi="TimesNewRoman" w:cs="TimesNewRoman"/>
                <w:b w:val="0"/>
                <w:i w:val="0"/>
                <w:vanish w:val="0"/>
                <w:color w:val="000000"/>
                <w:sz w:val="24"/>
              </w:rPr>
            </w:pPr>
          </w:p>
          <w:p w:rsidR="00A77B3E">
            <w:pPr>
              <w:spacing w:before="100" w:after="0"/>
              <w:jc w:val="start"/>
              <w:rPr>
                <w:rFonts w:ascii="TimesNewRoman" w:eastAsia="TimesNewRoman" w:hAnsi="TimesNewRoman" w:cs="TimesNewRoman"/>
                <w:b w:val="0"/>
                <w:i w:val="0"/>
                <w:vanish w:val="0"/>
                <w:color w:val="000000"/>
                <w:sz w:val="24"/>
              </w:rPr>
            </w:pPr>
          </w:p>
          <w:p w:rsidR="00A77B3E">
            <w:pPr>
              <w:spacing w:before="100" w:after="0"/>
              <w:jc w:val="start"/>
              <w:rPr>
                <w:rFonts w:ascii="TimesNewRoman" w:eastAsia="TimesNewRoman" w:hAnsi="TimesNewRoman" w:cs="TimesNewRoman"/>
                <w:b w:val="0"/>
                <w:i w:val="0"/>
                <w:vanish w:val="0"/>
                <w:color w:val="000000"/>
                <w:sz w:val="24"/>
              </w:rPr>
            </w:pPr>
            <w:r>
              <w:rPr>
                <w:rFonts w:ascii="TimesNewRoman" w:eastAsia="TimesNewRoman" w:hAnsi="TimesNewRoman" w:cs="TimesNewRoman"/>
                <w:b/>
                <w:bCs/>
                <w:i/>
                <w:iCs/>
                <w:vanish w:val="0"/>
                <w:color w:val="000000"/>
                <w:sz w:val="24"/>
                <w:u w:val="single"/>
              </w:rPr>
              <w:t>OPOMBA</w:t>
            </w:r>
            <w:r>
              <w:rPr>
                <w:rFonts w:ascii="TimesNewRoman" w:eastAsia="TimesNewRoman" w:hAnsi="TimesNewRoman" w:cs="TimesNewRoman"/>
                <w:b/>
                <w:bCs/>
                <w:i/>
                <w:iCs/>
                <w:vanish w:val="0"/>
                <w:color w:val="000000"/>
                <w:sz w:val="24"/>
              </w:rPr>
              <w:t>: Zaradi omejitve števila znakov in obsežnega besedila za Specifični cilj 3, se besedilo točke 2.1.1 Opis za specifični cilj 3 nadaljuje v tem odseku.</w:t>
            </w:r>
          </w:p>
          <w:p w:rsidR="00A77B3E">
            <w:pPr>
              <w:spacing w:before="100" w:after="0"/>
              <w:jc w:val="start"/>
              <w:rPr>
                <w:rFonts w:ascii="TimesNewRoman" w:eastAsia="TimesNewRoman" w:hAnsi="TimesNewRoman" w:cs="TimesNewRoman"/>
                <w:b w:val="0"/>
                <w:i w:val="0"/>
                <w:vanish w:val="0"/>
                <w:color w:val="000000"/>
                <w:sz w:val="24"/>
              </w:rPr>
            </w:pPr>
          </w:p>
          <w:p w:rsidR="00A77B3E">
            <w:pPr>
              <w:spacing w:before="100" w:after="0"/>
              <w:jc w:val="start"/>
              <w:rPr>
                <w:rFonts w:ascii="TimesNewRoman" w:eastAsia="TimesNewRoman" w:hAnsi="TimesNewRoman" w:cs="TimesNewRoman"/>
                <w:b w:val="0"/>
                <w:i w:val="0"/>
                <w:vanish w:val="0"/>
                <w:color w:val="000000"/>
                <w:sz w:val="24"/>
              </w:rPr>
            </w:pPr>
            <w:r>
              <w:rPr>
                <w:rFonts w:ascii="TimesNewRoman" w:eastAsia="TimesNewRoman" w:hAnsi="TimesNewRoman" w:cs="TimesNewRoman"/>
                <w:b/>
                <w:bCs/>
                <w:i w:val="0"/>
                <w:vanish w:val="0"/>
                <w:color w:val="000000"/>
                <w:sz w:val="24"/>
              </w:rPr>
              <w:t xml:space="preserve">4) </w:t>
            </w:r>
            <w:r>
              <w:rPr>
                <w:rFonts w:ascii="TimesNewRoman" w:eastAsia="TimesNewRoman" w:hAnsi="TimesNewRoman" w:cs="TimesNewRoman"/>
                <w:b/>
                <w:bCs/>
                <w:i w:val="0"/>
                <w:vanish w:val="0"/>
                <w:color w:val="000000"/>
                <w:sz w:val="24"/>
                <w:u w:val="single"/>
              </w:rPr>
              <w:t>Izvedbeni ukrep 3d): Odziv na varnostne grožnje</w:t>
            </w:r>
            <w:r>
              <w:rPr>
                <w:rFonts w:ascii="TimesNewRoman" w:eastAsia="TimesNewRoman" w:hAnsi="TimesNewRoman" w:cs="TimesNewRoman"/>
                <w:b w:val="0"/>
                <w:i w:val="0"/>
                <w:vanish w:val="0"/>
                <w:color w:val="000000"/>
                <w:sz w:val="24"/>
              </w:rPr>
              <w:t xml:space="preserve"> - NADALJEVANJE</w:t>
            </w:r>
          </w:p>
          <w:p w:rsidR="00A77B3E">
            <w:pPr>
              <w:spacing w:before="100" w:after="0"/>
              <w:jc w:val="start"/>
              <w:rPr>
                <w:rFonts w:ascii="TimesNewRoman" w:eastAsia="TimesNewRoman" w:hAnsi="TimesNewRoman" w:cs="TimesNewRoman"/>
                <w:b w:val="0"/>
                <w:i w:val="0"/>
                <w:vanish w:val="0"/>
                <w:color w:val="000000"/>
                <w:sz w:val="24"/>
              </w:rPr>
            </w:pPr>
            <w:r>
              <w:rPr>
                <w:rFonts w:ascii="TimesNewRoman" w:eastAsia="TimesNewRoman" w:hAnsi="TimesNewRoman" w:cs="TimesNewRoman"/>
                <w:b/>
                <w:bCs/>
                <w:i w:val="0"/>
                <w:vanish w:val="0"/>
                <w:color w:val="000000"/>
                <w:sz w:val="24"/>
              </w:rPr>
              <w:t>- Prostori za vodnike službenih psov</w:t>
            </w:r>
          </w:p>
          <w:p w:rsidR="00A77B3E">
            <w:pPr>
              <w:spacing w:before="100" w:after="0"/>
              <w:jc w:val="start"/>
              <w:rPr>
                <w:rFonts w:ascii="TimesNewRoman" w:eastAsia="TimesNewRoman" w:hAnsi="TimesNewRoman" w:cs="TimesNewRoman"/>
                <w:b w:val="0"/>
                <w:i w:val="0"/>
                <w:vanish w:val="0"/>
                <w:color w:val="000000"/>
                <w:sz w:val="24"/>
              </w:rPr>
            </w:pPr>
            <w:r>
              <w:rPr>
                <w:rFonts w:ascii="TimesNewRoman" w:eastAsia="TimesNewRoman" w:hAnsi="TimesNewRoman" w:cs="TimesNewRoman"/>
                <w:b w:val="0"/>
                <w:i w:val="0"/>
                <w:vanish w:val="0"/>
                <w:color w:val="000000"/>
                <w:sz w:val="24"/>
              </w:rPr>
              <w:t>Za uspeh kriminalističnih preiskav in forenzike potrebujejo vodniki službenih psov, ki sodelujejo pri zagotavljanju varnosti in opravljanju najzahtevnejših policijskih nalog, primerne prostore, kar se zagotovi iz sredstev sklada.</w:t>
            </w:r>
          </w:p>
          <w:p w:rsidR="00A77B3E">
            <w:pPr>
              <w:spacing w:before="100" w:after="0"/>
              <w:jc w:val="start"/>
              <w:rPr>
                <w:rFonts w:ascii="TimesNewRoman" w:eastAsia="TimesNewRoman" w:hAnsi="TimesNewRoman" w:cs="TimesNewRoman"/>
                <w:b w:val="0"/>
                <w:i w:val="0"/>
                <w:vanish w:val="0"/>
                <w:color w:val="000000"/>
                <w:sz w:val="24"/>
              </w:rPr>
            </w:pPr>
            <w:r>
              <w:rPr>
                <w:rFonts w:ascii="TimesNewRoman" w:eastAsia="TimesNewRoman" w:hAnsi="TimesNewRoman" w:cs="TimesNewRoman"/>
                <w:b w:val="0"/>
                <w:i w:val="0"/>
                <w:vanish w:val="0"/>
                <w:color w:val="000000"/>
                <w:sz w:val="24"/>
              </w:rPr>
              <w:t>Izzivi:</w:t>
            </w:r>
          </w:p>
          <w:p w:rsidR="00A77B3E">
            <w:pPr>
              <w:numPr>
                <w:ilvl w:val="0"/>
                <w:numId w:val="9"/>
              </w:numPr>
              <w:spacing w:before="100" w:after="0"/>
              <w:ind w:start="720" w:hanging="360"/>
              <w:jc w:val="start"/>
              <w:rPr>
                <w:rFonts w:ascii="TimesNewRoman" w:eastAsia="TimesNewRoman" w:hAnsi="TimesNewRoman" w:cs="TimesNewRoman"/>
                <w:b w:val="0"/>
                <w:i w:val="0"/>
                <w:vanish w:val="0"/>
                <w:color w:val="000000"/>
                <w:sz w:val="24"/>
              </w:rPr>
            </w:pPr>
            <w:r>
              <w:rPr>
                <w:rFonts w:ascii="TimesNewRoman" w:eastAsia="TimesNewRoman" w:hAnsi="TimesNewRoman" w:cs="TimesNewRoman"/>
                <w:b w:val="0"/>
                <w:i w:val="0"/>
                <w:vanish w:val="0"/>
                <w:color w:val="000000"/>
                <w:sz w:val="24"/>
              </w:rPr>
              <w:t>Ustrezni prostori za delovanje enot vodnikov službenih psov, ki sodelujejo pri zagotavljanju varnosti in opravljanju najzahtevnejših policijskih nalog (iskanje različnih snovi ali predmetov, predvsem za uspeh kriminalističnih preiskav in forenzike).</w:t>
            </w:r>
          </w:p>
          <w:p w:rsidR="00A77B3E">
            <w:pPr>
              <w:spacing w:before="100" w:after="0"/>
              <w:jc w:val="start"/>
              <w:rPr>
                <w:rFonts w:ascii="TimesNewRoman" w:eastAsia="TimesNewRoman" w:hAnsi="TimesNewRoman" w:cs="TimesNewRoman"/>
                <w:b w:val="0"/>
                <w:i w:val="0"/>
                <w:vanish w:val="0"/>
                <w:color w:val="000000"/>
                <w:sz w:val="24"/>
              </w:rPr>
            </w:pPr>
            <w:r>
              <w:rPr>
                <w:rFonts w:ascii="TimesNewRoman" w:eastAsia="TimesNewRoman" w:hAnsi="TimesNewRoman" w:cs="TimesNewRoman"/>
                <w:b w:val="0"/>
                <w:i w:val="0"/>
                <w:vanish w:val="0"/>
                <w:color w:val="000000"/>
                <w:sz w:val="24"/>
              </w:rPr>
              <w:t>Aktivnosti:</w:t>
            </w:r>
          </w:p>
          <w:p w:rsidR="00A77B3E">
            <w:pPr>
              <w:spacing w:before="100" w:after="0"/>
              <w:jc w:val="start"/>
              <w:rPr>
                <w:rFonts w:ascii="TimesNewRoman" w:eastAsia="TimesNewRoman" w:hAnsi="TimesNewRoman" w:cs="TimesNewRoman"/>
                <w:b w:val="0"/>
                <w:i w:val="0"/>
                <w:vanish w:val="0"/>
                <w:color w:val="000000"/>
                <w:sz w:val="24"/>
              </w:rPr>
            </w:pPr>
            <w:r>
              <w:rPr>
                <w:rFonts w:ascii="TimesNewRoman" w:eastAsia="TimesNewRoman" w:hAnsi="TimesNewRoman" w:cs="TimesNewRoman"/>
                <w:b w:val="0"/>
                <w:i w:val="0"/>
                <w:vanish w:val="0"/>
                <w:color w:val="000000"/>
                <w:sz w:val="24"/>
              </w:rPr>
              <w:t>Izvedba projektantskih storitev za gradnjo ter odstranitev obstoječega kontejnerskega objekta in gradnja novega montažnega objekta za potrebe Policijske postaje vodnikov službenih psov Novo mesto (do 75 m2; skupni prostor, garderobni in sanitarni prostori, skladišča ipd.).</w:t>
            </w:r>
          </w:p>
          <w:p w:rsidR="00A77B3E">
            <w:pPr>
              <w:spacing w:before="100" w:after="0"/>
              <w:jc w:val="start"/>
              <w:rPr>
                <w:rFonts w:ascii="TimesNewRoman" w:eastAsia="TimesNewRoman" w:hAnsi="TimesNewRoman" w:cs="TimesNewRoman"/>
                <w:b w:val="0"/>
                <w:i w:val="0"/>
                <w:vanish w:val="0"/>
                <w:color w:val="000000"/>
                <w:sz w:val="24"/>
              </w:rPr>
            </w:pPr>
            <w:r>
              <w:rPr>
                <w:rFonts w:ascii="TimesNewRoman" w:eastAsia="TimesNewRoman" w:hAnsi="TimesNewRoman" w:cs="TimesNewRoman"/>
                <w:b w:val="0"/>
                <w:i w:val="0"/>
                <w:vanish w:val="0"/>
                <w:color w:val="000000"/>
                <w:sz w:val="24"/>
              </w:rPr>
              <w:t>Pričakovani rezultat: Ustrezna opremljenost enot vodnikov službenih psov, ki sodelujejo pri zagotavljanju varnosti in opravljanju najzahtevnejših policijskih nalog.</w:t>
            </w:r>
          </w:p>
          <w:p w:rsidR="00A77B3E">
            <w:pPr>
              <w:spacing w:before="100" w:after="0"/>
              <w:jc w:val="start"/>
              <w:rPr>
                <w:rFonts w:ascii="TimesNewRoman" w:eastAsia="TimesNewRoman" w:hAnsi="TimesNewRoman" w:cs="TimesNewRoman"/>
                <w:b w:val="0"/>
                <w:i w:val="0"/>
                <w:vanish w:val="0"/>
                <w:color w:val="000000"/>
                <w:sz w:val="24"/>
              </w:rPr>
            </w:pPr>
          </w:p>
          <w:p w:rsidR="00A77B3E">
            <w:pPr>
              <w:spacing w:before="100" w:after="0"/>
              <w:jc w:val="start"/>
              <w:rPr>
                <w:rFonts w:ascii="TimesNewRoman" w:eastAsia="TimesNewRoman" w:hAnsi="TimesNewRoman" w:cs="TimesNewRoman"/>
                <w:b w:val="0"/>
                <w:i w:val="0"/>
                <w:vanish w:val="0"/>
                <w:color w:val="000000"/>
                <w:sz w:val="24"/>
              </w:rPr>
            </w:pPr>
            <w:r>
              <w:rPr>
                <w:rFonts w:ascii="TimesNewRoman" w:eastAsia="TimesNewRoman" w:hAnsi="TimesNewRoman" w:cs="TimesNewRoman"/>
                <w:b/>
                <w:bCs/>
                <w:i w:val="0"/>
                <w:vanish w:val="0"/>
                <w:color w:val="000000"/>
                <w:sz w:val="24"/>
              </w:rPr>
              <w:t>5)   </w:t>
            </w:r>
            <w:r>
              <w:rPr>
                <w:rFonts w:ascii="TimesNewRoman" w:eastAsia="TimesNewRoman" w:hAnsi="TimesNewRoman" w:cs="TimesNewRoman"/>
                <w:b/>
                <w:bCs/>
                <w:i w:val="0"/>
                <w:vanish w:val="0"/>
                <w:color w:val="000000"/>
                <w:sz w:val="24"/>
                <w:u w:val="single"/>
              </w:rPr>
              <w:t>Izvedbeni ukrep 3e): zaščita kritične infrastrukture</w:t>
            </w:r>
          </w:p>
          <w:p w:rsidR="00A77B3E">
            <w:pPr>
              <w:spacing w:before="100" w:after="0"/>
              <w:jc w:val="start"/>
              <w:rPr>
                <w:rFonts w:ascii="TimesNewRoman" w:eastAsia="TimesNewRoman" w:hAnsi="TimesNewRoman" w:cs="TimesNewRoman"/>
                <w:b w:val="0"/>
                <w:i w:val="0"/>
                <w:vanish w:val="0"/>
                <w:color w:val="000000"/>
                <w:sz w:val="24"/>
              </w:rPr>
            </w:pPr>
          </w:p>
          <w:p w:rsidR="00A77B3E">
            <w:pPr>
              <w:spacing w:before="100" w:after="0"/>
              <w:jc w:val="start"/>
              <w:rPr>
                <w:rFonts w:ascii="TimesNewRoman" w:eastAsia="TimesNewRoman" w:hAnsi="TimesNewRoman" w:cs="TimesNewRoman"/>
                <w:b w:val="0"/>
                <w:i w:val="0"/>
                <w:vanish w:val="0"/>
                <w:color w:val="000000"/>
                <w:sz w:val="24"/>
              </w:rPr>
            </w:pPr>
            <w:r>
              <w:rPr>
                <w:rFonts w:ascii="TimesNewRoman" w:eastAsia="TimesNewRoman" w:hAnsi="TimesNewRoman" w:cs="TimesNewRoman"/>
                <w:b/>
                <w:bCs/>
                <w:i w:val="0"/>
                <w:vanish w:val="0"/>
                <w:color w:val="000000"/>
                <w:sz w:val="24"/>
              </w:rPr>
              <w:t>- Kritična infrastruktura, krizno upravljanje in odziv na krize</w:t>
            </w:r>
          </w:p>
          <w:p w:rsidR="00A77B3E">
            <w:pPr>
              <w:spacing w:before="100" w:after="0"/>
              <w:jc w:val="start"/>
              <w:rPr>
                <w:rFonts w:ascii="TimesNewRoman" w:eastAsia="TimesNewRoman" w:hAnsi="TimesNewRoman" w:cs="TimesNewRoman"/>
                <w:b w:val="0"/>
                <w:i w:val="0"/>
                <w:vanish w:val="0"/>
                <w:color w:val="000000"/>
                <w:sz w:val="24"/>
              </w:rPr>
            </w:pPr>
            <w:r>
              <w:rPr>
                <w:rFonts w:ascii="TimesNewRoman" w:eastAsia="TimesNewRoman" w:hAnsi="TimesNewRoman" w:cs="TimesNewRoman"/>
                <w:b w:val="0"/>
                <w:i w:val="0"/>
                <w:vanish w:val="0"/>
                <w:color w:val="000000"/>
                <w:sz w:val="24"/>
              </w:rPr>
              <w:t>Obstoječi sistemi upravljanja in zaščite kritične infrastrukture ne omogočajo hitrega izmenjevanja večjih količin podatkov in odzivanja v realnem času na zaščitenih komunikacijskih kanalih (manjša odpornost in večje tveganje za razvoj kriminala v času krize). Posodobitev je nujna.</w:t>
            </w:r>
          </w:p>
          <w:p w:rsidR="00A77B3E">
            <w:pPr>
              <w:spacing w:before="100" w:after="0"/>
              <w:jc w:val="start"/>
              <w:rPr>
                <w:rFonts w:ascii="TimesNewRoman" w:eastAsia="TimesNewRoman" w:hAnsi="TimesNewRoman" w:cs="TimesNewRoman"/>
                <w:b w:val="0"/>
                <w:i w:val="0"/>
                <w:vanish w:val="0"/>
                <w:color w:val="000000"/>
                <w:sz w:val="24"/>
              </w:rPr>
            </w:pPr>
            <w:r>
              <w:rPr>
                <w:rFonts w:ascii="TimesNewRoman" w:eastAsia="TimesNewRoman" w:hAnsi="TimesNewRoman" w:cs="TimesNewRoman"/>
                <w:b w:val="0"/>
                <w:i w:val="0"/>
                <w:vanish w:val="0"/>
                <w:color w:val="000000"/>
                <w:sz w:val="24"/>
              </w:rPr>
              <w:t>Za to je potreben razvoj, nadgradnja, vzdrževanje in povezljivost IKT sistemov in centrov (sistem nacionalne varnosti), dodatno pa je potrebno pripraviti vadbene podlage in zagotoviti redno usposabljanje subjektov kriznega upravljanja in zaščite kritične infrastrukture z namenom promptnega in usklajenega odzivanja na morebitne grožnje.</w:t>
            </w:r>
          </w:p>
          <w:p w:rsidR="00A77B3E">
            <w:pPr>
              <w:spacing w:before="100" w:after="0"/>
              <w:jc w:val="start"/>
              <w:rPr>
                <w:rFonts w:ascii="TimesNewRoman" w:eastAsia="TimesNewRoman" w:hAnsi="TimesNewRoman" w:cs="TimesNewRoman"/>
                <w:b w:val="0"/>
                <w:i w:val="0"/>
                <w:vanish w:val="0"/>
                <w:color w:val="000000"/>
                <w:sz w:val="24"/>
              </w:rPr>
            </w:pPr>
            <w:r>
              <w:rPr>
                <w:rFonts w:ascii="TimesNewRoman" w:eastAsia="TimesNewRoman" w:hAnsi="TimesNewRoman" w:cs="TimesNewRoman"/>
                <w:b w:val="0"/>
                <w:i w:val="0"/>
                <w:vanish w:val="0"/>
                <w:color w:val="000000"/>
                <w:sz w:val="24"/>
              </w:rPr>
              <w:t>Cilj je krepitev zmogljivosti za zgodnje odkrivanje, preprečevanje kriz in hitro odzivanje nanje (cilj Strategije EU za varnostno unijo).</w:t>
            </w:r>
          </w:p>
          <w:p w:rsidR="00A77B3E">
            <w:pPr>
              <w:spacing w:before="100" w:after="0"/>
              <w:jc w:val="start"/>
              <w:rPr>
                <w:rFonts w:ascii="TimesNewRoman" w:eastAsia="TimesNewRoman" w:hAnsi="TimesNewRoman" w:cs="TimesNewRoman"/>
                <w:b w:val="0"/>
                <w:i w:val="0"/>
                <w:vanish w:val="0"/>
                <w:color w:val="000000"/>
                <w:sz w:val="24"/>
              </w:rPr>
            </w:pPr>
            <w:r>
              <w:rPr>
                <w:rFonts w:ascii="TimesNewRoman" w:eastAsia="TimesNewRoman" w:hAnsi="TimesNewRoman" w:cs="TimesNewRoman"/>
                <w:b w:val="0"/>
                <w:i w:val="0"/>
                <w:vanish w:val="0"/>
                <w:color w:val="000000"/>
                <w:sz w:val="24"/>
              </w:rPr>
              <w:t>Ključne aktivnosti:</w:t>
            </w:r>
          </w:p>
          <w:p w:rsidR="00A77B3E">
            <w:pPr>
              <w:numPr>
                <w:ilvl w:val="0"/>
                <w:numId w:val="10"/>
              </w:numPr>
              <w:spacing w:before="100" w:after="0"/>
              <w:ind w:start="720" w:hanging="360"/>
              <w:jc w:val="start"/>
              <w:rPr>
                <w:rFonts w:ascii="TimesNewRoman" w:eastAsia="TimesNewRoman" w:hAnsi="TimesNewRoman" w:cs="TimesNewRoman"/>
                <w:b w:val="0"/>
                <w:i w:val="0"/>
                <w:vanish w:val="0"/>
                <w:color w:val="000000"/>
                <w:sz w:val="24"/>
              </w:rPr>
            </w:pPr>
            <w:r>
              <w:rPr>
                <w:rFonts w:ascii="TimesNewRoman" w:eastAsia="TimesNewRoman" w:hAnsi="TimesNewRoman" w:cs="TimesNewRoman"/>
                <w:b w:val="0"/>
                <w:i w:val="0"/>
                <w:vanish w:val="0"/>
                <w:color w:val="000000"/>
                <w:sz w:val="24"/>
              </w:rPr>
              <w:t>Nadgradnja programskega IT za podporo odločanju</w:t>
            </w:r>
          </w:p>
          <w:p w:rsidR="00A77B3E">
            <w:pPr>
              <w:numPr>
                <w:ilvl w:val="0"/>
                <w:numId w:val="10"/>
              </w:numPr>
              <w:spacing w:before="100" w:after="0"/>
              <w:ind w:start="720" w:hanging="360"/>
              <w:jc w:val="start"/>
              <w:rPr>
                <w:rFonts w:ascii="TimesNewRoman" w:eastAsia="TimesNewRoman" w:hAnsi="TimesNewRoman" w:cs="TimesNewRoman"/>
                <w:b w:val="0"/>
                <w:i w:val="0"/>
                <w:vanish w:val="0"/>
                <w:color w:val="000000"/>
                <w:sz w:val="24"/>
              </w:rPr>
            </w:pPr>
            <w:r>
              <w:rPr>
                <w:rFonts w:ascii="TimesNewRoman" w:eastAsia="TimesNewRoman" w:hAnsi="TimesNewRoman" w:cs="TimesNewRoman"/>
                <w:b w:val="0"/>
                <w:i w:val="0"/>
                <w:vanish w:val="0"/>
                <w:color w:val="000000"/>
                <w:sz w:val="24"/>
              </w:rPr>
              <w:t>Nadgradnja analitičnih zmogljivosti sistema Nacionalnega centra za krizno upravljanje NCKU za podporo odločanju subjektom kriznega upravljanja in vodenja s pomočjo umetne inteligence</w:t>
            </w:r>
          </w:p>
          <w:p w:rsidR="00A77B3E">
            <w:pPr>
              <w:numPr>
                <w:ilvl w:val="0"/>
                <w:numId w:val="10"/>
              </w:numPr>
              <w:spacing w:before="100" w:after="0"/>
              <w:ind w:start="720" w:hanging="360"/>
              <w:jc w:val="start"/>
              <w:rPr>
                <w:rFonts w:ascii="TimesNewRoman" w:eastAsia="TimesNewRoman" w:hAnsi="TimesNewRoman" w:cs="TimesNewRoman"/>
                <w:b w:val="0"/>
                <w:i w:val="0"/>
                <w:vanish w:val="0"/>
                <w:color w:val="000000"/>
                <w:sz w:val="24"/>
              </w:rPr>
            </w:pPr>
            <w:r>
              <w:rPr>
                <w:rFonts w:ascii="TimesNewRoman" w:eastAsia="TimesNewRoman" w:hAnsi="TimesNewRoman" w:cs="TimesNewRoman"/>
                <w:b w:val="0"/>
                <w:i w:val="0"/>
                <w:vanish w:val="0"/>
                <w:color w:val="000000"/>
                <w:sz w:val="24"/>
              </w:rPr>
              <w:t>Vzpostavitev geografske podpore analitični zmogljivosti v NCKU</w:t>
            </w:r>
          </w:p>
          <w:p w:rsidR="00A77B3E">
            <w:pPr>
              <w:numPr>
                <w:ilvl w:val="0"/>
                <w:numId w:val="10"/>
              </w:numPr>
              <w:spacing w:before="100" w:after="0"/>
              <w:ind w:start="720" w:hanging="360"/>
              <w:jc w:val="start"/>
              <w:rPr>
                <w:rFonts w:ascii="TimesNewRoman" w:eastAsia="TimesNewRoman" w:hAnsi="TimesNewRoman" w:cs="TimesNewRoman"/>
                <w:b w:val="0"/>
                <w:i w:val="0"/>
                <w:vanish w:val="0"/>
                <w:color w:val="000000"/>
                <w:sz w:val="24"/>
              </w:rPr>
            </w:pPr>
            <w:r>
              <w:rPr>
                <w:rFonts w:ascii="TimesNewRoman" w:eastAsia="TimesNewRoman" w:hAnsi="TimesNewRoman" w:cs="TimesNewRoman"/>
                <w:b w:val="0"/>
                <w:i w:val="0"/>
                <w:vanish w:val="0"/>
                <w:color w:val="000000"/>
                <w:sz w:val="24"/>
              </w:rPr>
              <w:t>Usposabljanja upravljavcev kritične infrastrukture za odziv na krize, hibridne grožnje (fin. 90%)</w:t>
            </w:r>
          </w:p>
          <w:p w:rsidR="00A77B3E">
            <w:pPr>
              <w:numPr>
                <w:ilvl w:val="0"/>
                <w:numId w:val="10"/>
              </w:numPr>
              <w:spacing w:before="100" w:after="0"/>
              <w:ind w:start="720" w:hanging="360"/>
              <w:jc w:val="start"/>
              <w:rPr>
                <w:rFonts w:ascii="TimesNewRoman" w:eastAsia="TimesNewRoman" w:hAnsi="TimesNewRoman" w:cs="TimesNewRoman"/>
                <w:b w:val="0"/>
                <w:i w:val="0"/>
                <w:vanish w:val="0"/>
                <w:color w:val="000000"/>
                <w:sz w:val="24"/>
              </w:rPr>
            </w:pPr>
            <w:r>
              <w:rPr>
                <w:rFonts w:ascii="TimesNewRoman" w:eastAsia="TimesNewRoman" w:hAnsi="TimesNewRoman" w:cs="TimesNewRoman"/>
                <w:b w:val="0"/>
                <w:i w:val="0"/>
                <w:vanish w:val="0"/>
                <w:color w:val="000000"/>
                <w:sz w:val="24"/>
              </w:rPr>
              <w:t>Vaje s področja kritične infrastrukture (fin. 90%)</w:t>
            </w:r>
          </w:p>
          <w:p w:rsidR="00A77B3E">
            <w:pPr>
              <w:numPr>
                <w:ilvl w:val="0"/>
                <w:numId w:val="10"/>
              </w:numPr>
              <w:spacing w:before="100" w:after="0"/>
              <w:ind w:start="720" w:hanging="360"/>
              <w:jc w:val="start"/>
              <w:rPr>
                <w:rFonts w:ascii="TimesNewRoman" w:eastAsia="TimesNewRoman" w:hAnsi="TimesNewRoman" w:cs="TimesNewRoman"/>
                <w:b w:val="0"/>
                <w:i w:val="0"/>
                <w:vanish w:val="0"/>
                <w:color w:val="000000"/>
                <w:sz w:val="24"/>
              </w:rPr>
            </w:pPr>
            <w:r>
              <w:rPr>
                <w:rFonts w:ascii="TimesNewRoman" w:eastAsia="TimesNewRoman" w:hAnsi="TimesNewRoman" w:cs="TimesNewRoman"/>
                <w:b w:val="0"/>
                <w:i w:val="0"/>
                <w:vanish w:val="0"/>
                <w:color w:val="000000"/>
                <w:sz w:val="24"/>
              </w:rPr>
              <w:t>Kartografska podpora akterjem kriznega upravljanja in vodenja na operativni ravni, nosilcem in upravljavcem kritične infrastrukture, za potrebe obrambe, notranjih zadev in drugih</w:t>
            </w:r>
          </w:p>
          <w:p w:rsidR="00A77B3E">
            <w:pPr>
              <w:spacing w:before="100" w:after="0"/>
              <w:jc w:val="start"/>
              <w:rPr>
                <w:rFonts w:ascii="TimesNewRoman" w:eastAsia="TimesNewRoman" w:hAnsi="TimesNewRoman" w:cs="TimesNewRoman"/>
                <w:b w:val="0"/>
                <w:i w:val="0"/>
                <w:vanish w:val="0"/>
                <w:color w:val="000000"/>
                <w:sz w:val="24"/>
              </w:rPr>
            </w:pPr>
            <w:r>
              <w:rPr>
                <w:rFonts w:ascii="TimesNewRoman" w:eastAsia="TimesNewRoman" w:hAnsi="TimesNewRoman" w:cs="TimesNewRoman"/>
                <w:b w:val="0"/>
                <w:i w:val="0"/>
                <w:vanish w:val="0"/>
                <w:color w:val="000000"/>
                <w:sz w:val="24"/>
              </w:rPr>
              <w:t> </w:t>
            </w:r>
          </w:p>
          <w:p w:rsidR="00A77B3E">
            <w:pPr>
              <w:spacing w:before="100" w:after="0"/>
              <w:jc w:val="start"/>
              <w:rPr>
                <w:rFonts w:ascii="TimesNewRoman" w:eastAsia="TimesNewRoman" w:hAnsi="TimesNewRoman" w:cs="TimesNewRoman"/>
                <w:b w:val="0"/>
                <w:i w:val="0"/>
                <w:vanish w:val="0"/>
                <w:color w:val="000000"/>
                <w:sz w:val="6"/>
              </w:rPr>
            </w:pPr>
          </w:p>
          <w:p w:rsidR="00A77B3E">
            <w:pPr>
              <w:spacing w:before="100" w:after="0"/>
              <w:jc w:val="start"/>
              <w:rPr>
                <w:rFonts w:ascii="TimesNewRoman" w:eastAsia="TimesNewRoman" w:hAnsi="TimesNewRoman" w:cs="TimesNewRoman"/>
                <w:b w:val="0"/>
                <w:i w:val="0"/>
                <w:vanish w:val="0"/>
                <w:color w:val="000000"/>
                <w:sz w:val="6"/>
              </w:rPr>
            </w:pPr>
          </w:p>
        </w:tc>
      </w:tr>
    </w:tbl>
    <w:p w:rsidR="00A77B3E">
      <w:pPr>
        <w:spacing w:before="100" w:after="0"/>
        <w:jc w:val="start"/>
        <w:rPr>
          <w:rFonts w:ascii="TimesNewRoman" w:eastAsia="TimesNewRoman" w:hAnsi="TimesNewRoman" w:cs="TimesNewRoman"/>
          <w:b w:val="0"/>
          <w:i w:val="0"/>
          <w:vanish w:val="0"/>
          <w:color w:val="000000"/>
          <w:sz w:val="24"/>
        </w:rPr>
        <w:sectPr>
          <w:headerReference w:type="even" r:id="rId28"/>
          <w:headerReference w:type="default" r:id="rId29"/>
          <w:footerReference w:type="even" r:id="rId30"/>
          <w:footerReference w:type="default" r:id="rId31"/>
          <w:headerReference w:type="first" r:id="rId32"/>
          <w:footerReference w:type="first" r:id="rId33"/>
          <w:type w:val="nextPage"/>
          <w:pgSz w:w="11906" w:h="16838" w:orient="portrait"/>
          <w:pgMar w:top="720" w:right="936" w:bottom="864" w:left="720" w:header="0" w:footer="72" w:gutter="0"/>
          <w:cols w:space="720"/>
          <w:noEndnote/>
          <w:docGrid w:linePitch="360"/>
        </w:sectPr>
      </w:pPr>
    </w:p>
    <w:p w:rsidR="00A77B3E">
      <w:pPr>
        <w:spacing w:before="100" w:after="0"/>
        <w:jc w:val="start"/>
        <w:rPr>
          <w:rFonts w:ascii="Times New Roman" w:eastAsia="Times New Roman" w:hAnsi="Times New Roman" w:cs="Times New Roman"/>
          <w:b w:val="0"/>
          <w:i w:val="0"/>
          <w:vanish w:val="0"/>
          <w:color w:val="000000"/>
          <w:sz w:val="24"/>
        </w:rPr>
      </w:pPr>
      <w:r>
        <w:rPr>
          <w:rFonts w:ascii="Times New Roman" w:eastAsia="Times New Roman" w:hAnsi="Times New Roman" w:cs="Times New Roman"/>
          <w:b w:val="0"/>
          <w:i w:val="0"/>
          <w:vanish w:val="0"/>
          <w:color w:val="000000"/>
          <w:sz w:val="24"/>
        </w:rPr>
        <w:t>2.1. Specifični cilj 2. Čezmejno sodelovanje</w:t>
      </w:r>
    </w:p>
    <w:p w:rsidR="00A77B3E">
      <w:pPr>
        <w:pStyle w:val="Heading3"/>
        <w:spacing w:before="100" w:after="0"/>
        <w:jc w:val="start"/>
        <w:rPr>
          <w:rFonts w:ascii="Times New Roman" w:eastAsia="Times New Roman" w:hAnsi="Times New Roman" w:cs="Times New Roman"/>
          <w:b w:val="0"/>
          <w:i w:val="0"/>
          <w:vanish w:val="0"/>
          <w:color w:val="000000"/>
          <w:sz w:val="24"/>
        </w:rPr>
      </w:pPr>
      <w:bookmarkStart w:id="11" w:name="_Toc256000066"/>
      <w:r>
        <w:rPr>
          <w:rFonts w:ascii="Times New Roman" w:eastAsia="Times New Roman" w:hAnsi="Times New Roman" w:cs="Times New Roman"/>
          <w:b w:val="0"/>
          <w:i w:val="0"/>
          <w:vanish w:val="0"/>
          <w:color w:val="000000"/>
          <w:sz w:val="24"/>
        </w:rPr>
        <w:t>2.1.2. Kazalniki</w:t>
      </w:r>
      <w:bookmarkEnd w:id="11"/>
    </w:p>
    <w:p w:rsidR="00A77B3E">
      <w:pPr>
        <w:spacing w:before="100" w:after="0"/>
        <w:jc w:val="star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24"/>
        </w:rPr>
        <w:t>Sklic: člen 22(4)(e) uredbe o skupnih določbah</w:t>
      </w:r>
    </w:p>
    <w:p w:rsidR="00A77B3E">
      <w:pPr>
        <w:pStyle w:val="Heading4"/>
        <w:spacing w:before="100" w:after="0"/>
        <w:jc w:val="start"/>
        <w:rPr>
          <w:rFonts w:ascii="Times New Roman" w:eastAsia="Times New Roman" w:hAnsi="Times New Roman" w:cs="Times New Roman"/>
          <w:b w:val="0"/>
          <w:i w:val="0"/>
          <w:vanish w:val="0"/>
          <w:color w:val="000000"/>
          <w:sz w:val="24"/>
        </w:rPr>
      </w:pPr>
      <w:bookmarkStart w:id="12" w:name="_Toc256000067"/>
      <w:r>
        <w:rPr>
          <w:rFonts w:ascii="Times New Roman" w:eastAsia="Times New Roman" w:hAnsi="Times New Roman" w:cs="Times New Roman"/>
          <w:b w:val="0"/>
          <w:i w:val="0"/>
          <w:vanish w:val="0"/>
          <w:color w:val="000000"/>
          <w:sz w:val="24"/>
        </w:rPr>
        <w:t>Tabela 1: Kazalniki učinka</w:t>
      </w:r>
      <w:bookmarkEnd w:id="12"/>
    </w:p>
    <w:p w:rsidR="00A77B3E">
      <w:pPr>
        <w:spacing w:before="100" w:after="0"/>
        <w:jc w:val="start"/>
        <w:rPr>
          <w:rFonts w:ascii="Times New Roman" w:eastAsia="Times New Roman" w:hAnsi="Times New Roman" w:cs="Times New Roman"/>
          <w:b w:val="0"/>
          <w:i w:val="0"/>
          <w:vanish w:val="0"/>
          <w:color w:val="000000"/>
          <w:sz w:val="0"/>
        </w:rPr>
      </w:pPr>
    </w:p>
    <w:tbl>
      <w:tblPr>
        <w:tblW w:w="100%" w:type="pct"/>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CellMar>
          <w:start w:w="5.4pt" w:type="dxa"/>
          <w:end w:w="5.4pt" w:type="dxa"/>
        </w:tblCellMar>
      </w:tblPr>
      <w:tblGrid>
        <w:gridCol w:w="1699"/>
        <w:gridCol w:w="8309"/>
        <w:gridCol w:w="1826"/>
        <w:gridCol w:w="1944"/>
        <w:gridCol w:w="1524"/>
      </w:tblGrid>
      <w:tr>
        <w:tblPrEx>
          <w:tblW w:w="100%" w:type="pct"/>
        </w:tblPrEx>
        <w:trPr>
          <w:cantSplit w:val="0"/>
          <w:trHeight w:hRule="auto" w:val="0"/>
          <w:tblHeader/>
        </w:trPr>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rsidR="00A77B3E">
            <w:pPr>
              <w:spacing w:before="100" w:after="0"/>
              <w:jc w:val="center"/>
              <w:rPr>
                <w:rFonts w:ascii="Times New Roman" w:eastAsia="Times New Roman" w:hAnsi="Times New Roman" w:cs="Times New Roman"/>
                <w:b w:val="0"/>
                <w:i w:val="0"/>
                <w:vanish w:val="0"/>
                <w:color w:val="000000"/>
                <w:sz w:val="20"/>
              </w:rPr>
            </w:pPr>
            <w:r>
              <w:rPr>
                <w:rFonts w:ascii="Times New Roman" w:eastAsia="Times New Roman" w:hAnsi="Times New Roman" w:cs="Times New Roman"/>
                <w:b w:val="0"/>
                <w:i w:val="0"/>
                <w:vanish w:val="0"/>
                <w:color w:val="000000"/>
                <w:sz w:val="20"/>
              </w:rPr>
              <w:t>Identifikator</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rsidR="00A77B3E">
            <w:pPr>
              <w:spacing w:before="100" w:after="0"/>
              <w:jc w:val="center"/>
              <w:rPr>
                <w:rFonts w:ascii="Times New Roman" w:eastAsia="Times New Roman" w:hAnsi="Times New Roman" w:cs="Times New Roman"/>
                <w:b w:val="0"/>
                <w:i w:val="0"/>
                <w:vanish w:val="0"/>
                <w:color w:val="000000"/>
                <w:sz w:val="20"/>
              </w:rPr>
            </w:pPr>
            <w:r>
              <w:rPr>
                <w:rFonts w:ascii="Times New Roman" w:eastAsia="Times New Roman" w:hAnsi="Times New Roman" w:cs="Times New Roman"/>
                <w:b w:val="0"/>
                <w:i w:val="0"/>
                <w:vanish w:val="0"/>
                <w:color w:val="000000"/>
                <w:sz w:val="20"/>
              </w:rPr>
              <w:t>Kazalnik</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rsidR="00A77B3E">
            <w:pPr>
              <w:spacing w:before="100" w:after="0"/>
              <w:jc w:val="center"/>
              <w:rPr>
                <w:rFonts w:ascii="Times New Roman" w:eastAsia="Times New Roman" w:hAnsi="Times New Roman" w:cs="Times New Roman"/>
                <w:b w:val="0"/>
                <w:i w:val="0"/>
                <w:vanish w:val="0"/>
                <w:color w:val="000000"/>
                <w:sz w:val="20"/>
              </w:rPr>
            </w:pPr>
            <w:r>
              <w:rPr>
                <w:rFonts w:ascii="Times New Roman" w:eastAsia="Times New Roman" w:hAnsi="Times New Roman" w:cs="Times New Roman"/>
                <w:b w:val="0"/>
                <w:i w:val="0"/>
                <w:vanish w:val="0"/>
                <w:color w:val="000000"/>
                <w:sz w:val="20"/>
              </w:rPr>
              <w:t>Merska enota</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rsidR="00A77B3E">
            <w:pPr>
              <w:spacing w:before="100" w:after="0"/>
              <w:jc w:val="center"/>
              <w:rPr>
                <w:rFonts w:ascii="Times New Roman" w:eastAsia="Times New Roman" w:hAnsi="Times New Roman" w:cs="Times New Roman"/>
                <w:b w:val="0"/>
                <w:i w:val="0"/>
                <w:vanish w:val="0"/>
                <w:color w:val="000000"/>
                <w:sz w:val="20"/>
              </w:rPr>
            </w:pPr>
            <w:r>
              <w:rPr>
                <w:rFonts w:ascii="Times New Roman" w:eastAsia="Times New Roman" w:hAnsi="Times New Roman" w:cs="Times New Roman"/>
                <w:b w:val="0"/>
                <w:i w:val="0"/>
                <w:vanish w:val="0"/>
                <w:color w:val="000000"/>
                <w:sz w:val="20"/>
              </w:rPr>
              <w:t>Mejnik (2024)</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rsidR="00A77B3E">
            <w:pPr>
              <w:spacing w:before="100" w:after="0"/>
              <w:jc w:val="center"/>
              <w:rPr>
                <w:rFonts w:ascii="Times New Roman" w:eastAsia="Times New Roman" w:hAnsi="Times New Roman" w:cs="Times New Roman"/>
                <w:b w:val="0"/>
                <w:i w:val="0"/>
                <w:vanish w:val="0"/>
                <w:color w:val="000000"/>
                <w:sz w:val="20"/>
              </w:rPr>
            </w:pPr>
            <w:r>
              <w:rPr>
                <w:rFonts w:ascii="Times New Roman" w:eastAsia="Times New Roman" w:hAnsi="Times New Roman" w:cs="Times New Roman"/>
                <w:b w:val="0"/>
                <w:i w:val="0"/>
                <w:vanish w:val="0"/>
                <w:color w:val="000000"/>
                <w:sz w:val="20"/>
              </w:rPr>
              <w:t>Cilj (2029)</w:t>
            </w:r>
          </w:p>
        </w:tc>
      </w:tr>
      <w:tr>
        <w:tblPrEx>
          <w:tblW w:w="100%" w:type="pct"/>
        </w:tblPrEx>
        <w:trPr>
          <w:cantSplit w:val="0"/>
          <w:trHeight w:hRule="auto" w:val="0"/>
          <w:tblHeader w:val="0"/>
        </w:trPr>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rsidR="00A77B3E">
            <w:pPr>
              <w:spacing w:before="100" w:after="0"/>
              <w:jc w:val="start"/>
              <w:rPr>
                <w:rFonts w:ascii="Times New Roman" w:eastAsia="Times New Roman" w:hAnsi="Times New Roman" w:cs="Times New Roman"/>
                <w:b w:val="0"/>
                <w:i w:val="0"/>
                <w:vanish w:val="0"/>
                <w:color w:val="000000"/>
                <w:sz w:val="20"/>
              </w:rPr>
            </w:pPr>
            <w:r>
              <w:rPr>
                <w:rFonts w:ascii="Times New Roman" w:eastAsia="Times New Roman" w:hAnsi="Times New Roman" w:cs="Times New Roman"/>
                <w:b w:val="0"/>
                <w:i w:val="0"/>
                <w:vanish w:val="0"/>
                <w:color w:val="000000"/>
                <w:sz w:val="20"/>
              </w:rPr>
              <w:t>O.2.1</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rsidR="00A77B3E">
            <w:pPr>
              <w:spacing w:before="100" w:after="0"/>
              <w:jc w:val="start"/>
              <w:rPr>
                <w:rFonts w:ascii="Times New Roman" w:eastAsia="Times New Roman" w:hAnsi="Times New Roman" w:cs="Times New Roman"/>
                <w:b w:val="0"/>
                <w:i w:val="0"/>
                <w:vanish w:val="0"/>
                <w:color w:val="000000"/>
                <w:sz w:val="20"/>
              </w:rPr>
            </w:pPr>
            <w:r>
              <w:rPr>
                <w:rFonts w:ascii="Times New Roman" w:eastAsia="Times New Roman" w:hAnsi="Times New Roman" w:cs="Times New Roman"/>
                <w:b w:val="0"/>
                <w:i w:val="0"/>
                <w:vanish w:val="0"/>
                <w:color w:val="000000"/>
                <w:sz w:val="20"/>
              </w:rPr>
              <w:t>Število čezmejnih operacij</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rsidR="00A77B3E">
            <w:pPr>
              <w:spacing w:before="100" w:after="0"/>
              <w:jc w:val="start"/>
              <w:rPr>
                <w:rFonts w:ascii="Times New Roman" w:eastAsia="Times New Roman" w:hAnsi="Times New Roman" w:cs="Times New Roman"/>
                <w:b w:val="0"/>
                <w:i w:val="0"/>
                <w:vanish w:val="0"/>
                <w:color w:val="000000"/>
                <w:sz w:val="20"/>
              </w:rPr>
            </w:pPr>
            <w:r>
              <w:rPr>
                <w:rFonts w:ascii="Times New Roman" w:eastAsia="Times New Roman" w:hAnsi="Times New Roman" w:cs="Times New Roman"/>
                <w:b w:val="0"/>
                <w:i w:val="0"/>
                <w:vanish w:val="0"/>
                <w:color w:val="000000"/>
                <w:sz w:val="20"/>
              </w:rPr>
              <w:t>število</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rsidR="00A77B3E">
            <w:pPr>
              <w:spacing w:before="100" w:after="0"/>
              <w:jc w:val="end"/>
              <w:rPr>
                <w:rFonts w:ascii="Times New Roman" w:eastAsia="Times New Roman" w:hAnsi="Times New Roman" w:cs="Times New Roman"/>
                <w:b w:val="0"/>
                <w:i w:val="0"/>
                <w:vanish w:val="0"/>
                <w:color w:val="000000"/>
                <w:sz w:val="20"/>
              </w:rPr>
            </w:pPr>
            <w:r>
              <w:rPr>
                <w:rFonts w:ascii="Times New Roman" w:eastAsia="Times New Roman" w:hAnsi="Times New Roman" w:cs="Times New Roman"/>
                <w:b w:val="0"/>
                <w:i w:val="0"/>
                <w:vanish w:val="0"/>
                <w:color w:val="000000"/>
                <w:sz w:val="20"/>
              </w:rPr>
              <w:t>60</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rsidR="00A77B3E">
            <w:pPr>
              <w:spacing w:before="100" w:after="0"/>
              <w:jc w:val="end"/>
              <w:rPr>
                <w:rFonts w:ascii="Times New Roman" w:eastAsia="Times New Roman" w:hAnsi="Times New Roman" w:cs="Times New Roman"/>
                <w:b w:val="0"/>
                <w:i w:val="0"/>
                <w:vanish w:val="0"/>
                <w:color w:val="000000"/>
                <w:sz w:val="20"/>
              </w:rPr>
            </w:pPr>
            <w:r>
              <w:rPr>
                <w:rFonts w:ascii="Times New Roman" w:eastAsia="Times New Roman" w:hAnsi="Times New Roman" w:cs="Times New Roman"/>
                <w:b w:val="0"/>
                <w:i w:val="0"/>
                <w:vanish w:val="0"/>
                <w:color w:val="000000"/>
                <w:sz w:val="20"/>
              </w:rPr>
              <w:t>320</w:t>
            </w:r>
          </w:p>
        </w:tc>
      </w:tr>
      <w:tr>
        <w:tblPrEx>
          <w:tblW w:w="100%" w:type="pct"/>
        </w:tblPrEx>
        <w:trPr>
          <w:cantSplit w:val="0"/>
          <w:trHeight w:hRule="auto" w:val="0"/>
          <w:tblHeader w:val="0"/>
        </w:trPr>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rsidR="00A77B3E">
            <w:pPr>
              <w:spacing w:before="100" w:after="0"/>
              <w:jc w:val="start"/>
              <w:rPr>
                <w:rFonts w:ascii="Times New Roman" w:eastAsia="Times New Roman" w:hAnsi="Times New Roman" w:cs="Times New Roman"/>
                <w:b w:val="0"/>
                <w:i w:val="0"/>
                <w:vanish w:val="0"/>
                <w:color w:val="000000"/>
                <w:sz w:val="20"/>
              </w:rPr>
            </w:pPr>
            <w:r>
              <w:rPr>
                <w:rFonts w:ascii="Times New Roman" w:eastAsia="Times New Roman" w:hAnsi="Times New Roman" w:cs="Times New Roman"/>
                <w:b w:val="0"/>
                <w:i w:val="0"/>
                <w:vanish w:val="0"/>
                <w:color w:val="000000"/>
                <w:sz w:val="20"/>
              </w:rPr>
              <w:t>O.2.1.1</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rsidR="00A77B3E">
            <w:pPr>
              <w:spacing w:before="100" w:after="0"/>
              <w:jc w:val="start"/>
              <w:rPr>
                <w:rFonts w:ascii="Times New Roman" w:eastAsia="Times New Roman" w:hAnsi="Times New Roman" w:cs="Times New Roman"/>
                <w:b w:val="0"/>
                <w:i w:val="0"/>
                <w:vanish w:val="0"/>
                <w:color w:val="000000"/>
                <w:sz w:val="20"/>
              </w:rPr>
            </w:pPr>
            <w:r>
              <w:rPr>
                <w:rFonts w:ascii="Times New Roman" w:eastAsia="Times New Roman" w:hAnsi="Times New Roman" w:cs="Times New Roman"/>
                <w:b w:val="0"/>
                <w:i w:val="0"/>
                <w:vanish w:val="0"/>
                <w:color w:val="000000"/>
                <w:sz w:val="20"/>
              </w:rPr>
              <w:t>Od tega število skupnih preiskovalnih skupin</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rsidR="00A77B3E">
            <w:pPr>
              <w:spacing w:before="100" w:after="0"/>
              <w:jc w:val="start"/>
              <w:rPr>
                <w:rFonts w:ascii="Times New Roman" w:eastAsia="Times New Roman" w:hAnsi="Times New Roman" w:cs="Times New Roman"/>
                <w:b w:val="0"/>
                <w:i w:val="0"/>
                <w:vanish w:val="0"/>
                <w:color w:val="000000"/>
                <w:sz w:val="20"/>
              </w:rPr>
            </w:pPr>
            <w:r>
              <w:rPr>
                <w:rFonts w:ascii="Times New Roman" w:eastAsia="Times New Roman" w:hAnsi="Times New Roman" w:cs="Times New Roman"/>
                <w:b w:val="0"/>
                <w:i w:val="0"/>
                <w:vanish w:val="0"/>
                <w:color w:val="000000"/>
                <w:sz w:val="20"/>
              </w:rPr>
              <w:t>število</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rsidR="00A77B3E">
            <w:pPr>
              <w:spacing w:before="100" w:after="0"/>
              <w:jc w:val="end"/>
              <w:rPr>
                <w:rFonts w:ascii="Times New Roman" w:eastAsia="Times New Roman" w:hAnsi="Times New Roman" w:cs="Times New Roman"/>
                <w:b w:val="0"/>
                <w:i w:val="0"/>
                <w:vanish w:val="0"/>
                <w:color w:val="000000"/>
                <w:sz w:val="20"/>
              </w:rPr>
            </w:pPr>
            <w:r>
              <w:rPr>
                <w:rFonts w:ascii="Times New Roman" w:eastAsia="Times New Roman" w:hAnsi="Times New Roman" w:cs="Times New Roman"/>
                <w:b w:val="0"/>
                <w:i w:val="0"/>
                <w:vanish w:val="0"/>
                <w:color w:val="000000"/>
                <w:sz w:val="20"/>
              </w:rPr>
              <w:t>5</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rsidR="00A77B3E">
            <w:pPr>
              <w:spacing w:before="100" w:after="0"/>
              <w:jc w:val="end"/>
              <w:rPr>
                <w:rFonts w:ascii="Times New Roman" w:eastAsia="Times New Roman" w:hAnsi="Times New Roman" w:cs="Times New Roman"/>
                <w:b w:val="0"/>
                <w:i w:val="0"/>
                <w:vanish w:val="0"/>
                <w:color w:val="000000"/>
                <w:sz w:val="20"/>
              </w:rPr>
            </w:pPr>
            <w:r>
              <w:rPr>
                <w:rFonts w:ascii="Times New Roman" w:eastAsia="Times New Roman" w:hAnsi="Times New Roman" w:cs="Times New Roman"/>
                <w:b w:val="0"/>
                <w:i w:val="0"/>
                <w:vanish w:val="0"/>
                <w:color w:val="000000"/>
                <w:sz w:val="20"/>
              </w:rPr>
              <w:t>20</w:t>
            </w:r>
          </w:p>
        </w:tc>
      </w:tr>
      <w:tr>
        <w:tblPrEx>
          <w:tblW w:w="100%" w:type="pct"/>
        </w:tblPrEx>
        <w:trPr>
          <w:cantSplit w:val="0"/>
          <w:trHeight w:hRule="auto" w:val="0"/>
          <w:tblHeader w:val="0"/>
        </w:trPr>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rsidR="00A77B3E">
            <w:pPr>
              <w:spacing w:before="100" w:after="0"/>
              <w:jc w:val="start"/>
              <w:rPr>
                <w:rFonts w:ascii="Times New Roman" w:eastAsia="Times New Roman" w:hAnsi="Times New Roman" w:cs="Times New Roman"/>
                <w:b w:val="0"/>
                <w:i w:val="0"/>
                <w:vanish w:val="0"/>
                <w:color w:val="000000"/>
                <w:sz w:val="20"/>
              </w:rPr>
            </w:pPr>
            <w:r>
              <w:rPr>
                <w:rFonts w:ascii="Times New Roman" w:eastAsia="Times New Roman" w:hAnsi="Times New Roman" w:cs="Times New Roman"/>
                <w:b w:val="0"/>
                <w:i w:val="0"/>
                <w:vanish w:val="0"/>
                <w:color w:val="000000"/>
                <w:sz w:val="20"/>
              </w:rPr>
              <w:t>O.2.1.2</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rsidR="00A77B3E">
            <w:pPr>
              <w:spacing w:before="100" w:after="0"/>
              <w:jc w:val="start"/>
              <w:rPr>
                <w:rFonts w:ascii="Times New Roman" w:eastAsia="Times New Roman" w:hAnsi="Times New Roman" w:cs="Times New Roman"/>
                <w:b w:val="0"/>
                <w:i w:val="0"/>
                <w:vanish w:val="0"/>
                <w:color w:val="000000"/>
                <w:sz w:val="20"/>
              </w:rPr>
            </w:pPr>
            <w:r>
              <w:rPr>
                <w:rFonts w:ascii="Times New Roman" w:eastAsia="Times New Roman" w:hAnsi="Times New Roman" w:cs="Times New Roman"/>
                <w:b w:val="0"/>
                <w:i w:val="0"/>
                <w:vanish w:val="0"/>
                <w:color w:val="000000"/>
                <w:sz w:val="20"/>
              </w:rPr>
              <w:t>Od tega število operativnih ukrepov iz cikla politike EU/EMPACT</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rsidR="00A77B3E">
            <w:pPr>
              <w:spacing w:before="100" w:after="0"/>
              <w:jc w:val="start"/>
              <w:rPr>
                <w:rFonts w:ascii="Times New Roman" w:eastAsia="Times New Roman" w:hAnsi="Times New Roman" w:cs="Times New Roman"/>
                <w:b w:val="0"/>
                <w:i w:val="0"/>
                <w:vanish w:val="0"/>
                <w:color w:val="000000"/>
                <w:sz w:val="20"/>
              </w:rPr>
            </w:pPr>
            <w:r>
              <w:rPr>
                <w:rFonts w:ascii="Times New Roman" w:eastAsia="Times New Roman" w:hAnsi="Times New Roman" w:cs="Times New Roman"/>
                <w:b w:val="0"/>
                <w:i w:val="0"/>
                <w:vanish w:val="0"/>
                <w:color w:val="000000"/>
                <w:sz w:val="20"/>
              </w:rPr>
              <w:t>število</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rsidR="00A77B3E">
            <w:pPr>
              <w:spacing w:before="100" w:after="0"/>
              <w:jc w:val="end"/>
              <w:rPr>
                <w:rFonts w:ascii="Times New Roman" w:eastAsia="Times New Roman" w:hAnsi="Times New Roman" w:cs="Times New Roman"/>
                <w:b w:val="0"/>
                <w:i w:val="0"/>
                <w:vanish w:val="0"/>
                <w:color w:val="000000"/>
                <w:sz w:val="20"/>
              </w:rPr>
            </w:pPr>
            <w:r>
              <w:rPr>
                <w:rFonts w:ascii="Times New Roman" w:eastAsia="Times New Roman" w:hAnsi="Times New Roman" w:cs="Times New Roman"/>
                <w:b w:val="0"/>
                <w:i w:val="0"/>
                <w:vanish w:val="0"/>
                <w:color w:val="000000"/>
                <w:sz w:val="20"/>
              </w:rPr>
              <w:t>3</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rsidR="00A77B3E">
            <w:pPr>
              <w:spacing w:before="100" w:after="0"/>
              <w:jc w:val="end"/>
              <w:rPr>
                <w:rFonts w:ascii="Times New Roman" w:eastAsia="Times New Roman" w:hAnsi="Times New Roman" w:cs="Times New Roman"/>
                <w:b w:val="0"/>
                <w:i w:val="0"/>
                <w:vanish w:val="0"/>
                <w:color w:val="000000"/>
                <w:sz w:val="20"/>
              </w:rPr>
            </w:pPr>
            <w:r>
              <w:rPr>
                <w:rFonts w:ascii="Times New Roman" w:eastAsia="Times New Roman" w:hAnsi="Times New Roman" w:cs="Times New Roman"/>
                <w:b w:val="0"/>
                <w:i w:val="0"/>
                <w:vanish w:val="0"/>
                <w:color w:val="000000"/>
                <w:sz w:val="20"/>
              </w:rPr>
              <w:t>6</w:t>
            </w:r>
          </w:p>
        </w:tc>
      </w:tr>
      <w:tr>
        <w:tblPrEx>
          <w:tblW w:w="100%" w:type="pct"/>
        </w:tblPrEx>
        <w:trPr>
          <w:cantSplit w:val="0"/>
          <w:trHeight w:hRule="auto" w:val="0"/>
          <w:tblHeader w:val="0"/>
        </w:trPr>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rsidR="00A77B3E">
            <w:pPr>
              <w:spacing w:before="100" w:after="0"/>
              <w:jc w:val="start"/>
              <w:rPr>
                <w:rFonts w:ascii="Times New Roman" w:eastAsia="Times New Roman" w:hAnsi="Times New Roman" w:cs="Times New Roman"/>
                <w:b w:val="0"/>
                <w:i w:val="0"/>
                <w:vanish w:val="0"/>
                <w:color w:val="000000"/>
                <w:sz w:val="20"/>
              </w:rPr>
            </w:pPr>
            <w:r>
              <w:rPr>
                <w:rFonts w:ascii="Times New Roman" w:eastAsia="Times New Roman" w:hAnsi="Times New Roman" w:cs="Times New Roman"/>
                <w:b w:val="0"/>
                <w:i w:val="0"/>
                <w:vanish w:val="0"/>
                <w:color w:val="000000"/>
                <w:sz w:val="20"/>
              </w:rPr>
              <w:t>O.2.2</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rsidR="00A77B3E">
            <w:pPr>
              <w:spacing w:before="100" w:after="0"/>
              <w:jc w:val="start"/>
              <w:rPr>
                <w:rFonts w:ascii="Times New Roman" w:eastAsia="Times New Roman" w:hAnsi="Times New Roman" w:cs="Times New Roman"/>
                <w:b w:val="0"/>
                <w:i w:val="0"/>
                <w:vanish w:val="0"/>
                <w:color w:val="000000"/>
                <w:sz w:val="20"/>
              </w:rPr>
            </w:pPr>
            <w:r>
              <w:rPr>
                <w:rFonts w:ascii="Times New Roman" w:eastAsia="Times New Roman" w:hAnsi="Times New Roman" w:cs="Times New Roman"/>
                <w:b w:val="0"/>
                <w:i w:val="0"/>
                <w:vanish w:val="0"/>
                <w:color w:val="000000"/>
                <w:sz w:val="20"/>
              </w:rPr>
              <w:t>Število strokovnih srečanj/delavnic/študijskih obiskov/skupnih vaj</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rsidR="00A77B3E">
            <w:pPr>
              <w:spacing w:before="100" w:after="0"/>
              <w:jc w:val="start"/>
              <w:rPr>
                <w:rFonts w:ascii="Times New Roman" w:eastAsia="Times New Roman" w:hAnsi="Times New Roman" w:cs="Times New Roman"/>
                <w:b w:val="0"/>
                <w:i w:val="0"/>
                <w:vanish w:val="0"/>
                <w:color w:val="000000"/>
                <w:sz w:val="20"/>
              </w:rPr>
            </w:pPr>
            <w:r>
              <w:rPr>
                <w:rFonts w:ascii="Times New Roman" w:eastAsia="Times New Roman" w:hAnsi="Times New Roman" w:cs="Times New Roman"/>
                <w:b w:val="0"/>
                <w:i w:val="0"/>
                <w:vanish w:val="0"/>
                <w:color w:val="000000"/>
                <w:sz w:val="20"/>
              </w:rPr>
              <w:t>število</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rsidR="00A77B3E">
            <w:pPr>
              <w:spacing w:before="100" w:after="0"/>
              <w:jc w:val="end"/>
              <w:rPr>
                <w:rFonts w:ascii="Times New Roman" w:eastAsia="Times New Roman" w:hAnsi="Times New Roman" w:cs="Times New Roman"/>
                <w:b w:val="0"/>
                <w:i w:val="0"/>
                <w:vanish w:val="0"/>
                <w:color w:val="000000"/>
                <w:sz w:val="20"/>
              </w:rPr>
            </w:pPr>
            <w:r>
              <w:rPr>
                <w:rFonts w:ascii="Times New Roman" w:eastAsia="Times New Roman" w:hAnsi="Times New Roman" w:cs="Times New Roman"/>
                <w:b w:val="0"/>
                <w:i w:val="0"/>
                <w:vanish w:val="0"/>
                <w:color w:val="000000"/>
                <w:sz w:val="20"/>
              </w:rPr>
              <w:t>43</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rsidR="00A77B3E">
            <w:pPr>
              <w:spacing w:before="100" w:after="0"/>
              <w:jc w:val="end"/>
              <w:rPr>
                <w:rFonts w:ascii="Times New Roman" w:eastAsia="Times New Roman" w:hAnsi="Times New Roman" w:cs="Times New Roman"/>
                <w:b w:val="0"/>
                <w:i w:val="0"/>
                <w:vanish w:val="0"/>
                <w:color w:val="000000"/>
                <w:sz w:val="20"/>
              </w:rPr>
            </w:pPr>
            <w:r>
              <w:rPr>
                <w:rFonts w:ascii="Times New Roman" w:eastAsia="Times New Roman" w:hAnsi="Times New Roman" w:cs="Times New Roman"/>
                <w:b w:val="0"/>
                <w:i w:val="0"/>
                <w:vanish w:val="0"/>
                <w:color w:val="000000"/>
                <w:sz w:val="20"/>
              </w:rPr>
              <w:t>122</w:t>
            </w:r>
          </w:p>
        </w:tc>
      </w:tr>
      <w:tr>
        <w:tblPrEx>
          <w:tblW w:w="100%" w:type="pct"/>
        </w:tblPrEx>
        <w:trPr>
          <w:cantSplit w:val="0"/>
          <w:trHeight w:hRule="auto" w:val="0"/>
          <w:tblHeader w:val="0"/>
        </w:trPr>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rsidR="00A77B3E">
            <w:pPr>
              <w:spacing w:before="100" w:after="0"/>
              <w:jc w:val="start"/>
              <w:rPr>
                <w:rFonts w:ascii="Times New Roman" w:eastAsia="Times New Roman" w:hAnsi="Times New Roman" w:cs="Times New Roman"/>
                <w:b w:val="0"/>
                <w:i w:val="0"/>
                <w:vanish w:val="0"/>
                <w:color w:val="000000"/>
                <w:sz w:val="20"/>
              </w:rPr>
            </w:pPr>
            <w:r>
              <w:rPr>
                <w:rFonts w:ascii="Times New Roman" w:eastAsia="Times New Roman" w:hAnsi="Times New Roman" w:cs="Times New Roman"/>
                <w:b w:val="0"/>
                <w:i w:val="0"/>
                <w:vanish w:val="0"/>
                <w:color w:val="000000"/>
                <w:sz w:val="20"/>
              </w:rPr>
              <w:t>O.2.3</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rsidR="00A77B3E">
            <w:pPr>
              <w:spacing w:before="100" w:after="0"/>
              <w:jc w:val="start"/>
              <w:rPr>
                <w:rFonts w:ascii="Times New Roman" w:eastAsia="Times New Roman" w:hAnsi="Times New Roman" w:cs="Times New Roman"/>
                <w:b w:val="0"/>
                <w:i w:val="0"/>
                <w:vanish w:val="0"/>
                <w:color w:val="000000"/>
                <w:sz w:val="20"/>
              </w:rPr>
            </w:pPr>
            <w:r>
              <w:rPr>
                <w:rFonts w:ascii="Times New Roman" w:eastAsia="Times New Roman" w:hAnsi="Times New Roman" w:cs="Times New Roman"/>
                <w:b w:val="0"/>
                <w:i w:val="0"/>
                <w:vanish w:val="0"/>
                <w:color w:val="000000"/>
                <w:sz w:val="20"/>
              </w:rPr>
              <w:t>Število kupljenih kosov opreme</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rsidR="00A77B3E">
            <w:pPr>
              <w:spacing w:before="100" w:after="0"/>
              <w:jc w:val="start"/>
              <w:rPr>
                <w:rFonts w:ascii="Times New Roman" w:eastAsia="Times New Roman" w:hAnsi="Times New Roman" w:cs="Times New Roman"/>
                <w:b w:val="0"/>
                <w:i w:val="0"/>
                <w:vanish w:val="0"/>
                <w:color w:val="000000"/>
                <w:sz w:val="20"/>
              </w:rPr>
            </w:pPr>
            <w:r>
              <w:rPr>
                <w:rFonts w:ascii="Times New Roman" w:eastAsia="Times New Roman" w:hAnsi="Times New Roman" w:cs="Times New Roman"/>
                <w:b w:val="0"/>
                <w:i w:val="0"/>
                <w:vanish w:val="0"/>
                <w:color w:val="000000"/>
                <w:sz w:val="20"/>
              </w:rPr>
              <w:t>število</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rsidR="00A77B3E">
            <w:pPr>
              <w:spacing w:before="100" w:after="0"/>
              <w:jc w:val="end"/>
              <w:rPr>
                <w:rFonts w:ascii="Times New Roman" w:eastAsia="Times New Roman" w:hAnsi="Times New Roman" w:cs="Times New Roman"/>
                <w:b w:val="0"/>
                <w:i w:val="0"/>
                <w:vanish w:val="0"/>
                <w:color w:val="000000"/>
                <w:sz w:val="20"/>
              </w:rPr>
            </w:pPr>
            <w:r>
              <w:rPr>
                <w:rFonts w:ascii="Times New Roman" w:eastAsia="Times New Roman" w:hAnsi="Times New Roman" w:cs="Times New Roman"/>
                <w:b w:val="0"/>
                <w:i w:val="0"/>
                <w:vanish w:val="0"/>
                <w:color w:val="000000"/>
                <w:sz w:val="20"/>
              </w:rPr>
              <w:t>18</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rsidR="00A77B3E">
            <w:pPr>
              <w:spacing w:before="100" w:after="0"/>
              <w:jc w:val="end"/>
              <w:rPr>
                <w:rFonts w:ascii="Times New Roman" w:eastAsia="Times New Roman" w:hAnsi="Times New Roman" w:cs="Times New Roman"/>
                <w:b w:val="0"/>
                <w:i w:val="0"/>
                <w:vanish w:val="0"/>
                <w:color w:val="000000"/>
                <w:sz w:val="20"/>
              </w:rPr>
            </w:pPr>
            <w:r>
              <w:rPr>
                <w:rFonts w:ascii="Times New Roman" w:eastAsia="Times New Roman" w:hAnsi="Times New Roman" w:cs="Times New Roman"/>
                <w:b w:val="0"/>
                <w:i w:val="0"/>
                <w:vanish w:val="0"/>
                <w:color w:val="000000"/>
                <w:sz w:val="20"/>
              </w:rPr>
              <w:t>55</w:t>
            </w:r>
          </w:p>
        </w:tc>
      </w:tr>
      <w:tr>
        <w:tblPrEx>
          <w:tblW w:w="100%" w:type="pct"/>
        </w:tblPrEx>
        <w:trPr>
          <w:cantSplit w:val="0"/>
          <w:trHeight w:hRule="auto" w:val="0"/>
          <w:tblHeader w:val="0"/>
        </w:trPr>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rsidR="00A77B3E">
            <w:pPr>
              <w:spacing w:before="100" w:after="0"/>
              <w:jc w:val="start"/>
              <w:rPr>
                <w:rFonts w:ascii="Times New Roman" w:eastAsia="Times New Roman" w:hAnsi="Times New Roman" w:cs="Times New Roman"/>
                <w:b w:val="0"/>
                <w:i w:val="0"/>
                <w:vanish w:val="0"/>
                <w:color w:val="000000"/>
                <w:sz w:val="20"/>
              </w:rPr>
            </w:pPr>
            <w:r>
              <w:rPr>
                <w:rFonts w:ascii="Times New Roman" w:eastAsia="Times New Roman" w:hAnsi="Times New Roman" w:cs="Times New Roman"/>
                <w:b w:val="0"/>
                <w:i w:val="0"/>
                <w:vanish w:val="0"/>
                <w:color w:val="000000"/>
                <w:sz w:val="20"/>
              </w:rPr>
              <w:t>O.2.4</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rsidR="00A77B3E">
            <w:pPr>
              <w:spacing w:before="100" w:after="0"/>
              <w:jc w:val="start"/>
              <w:rPr>
                <w:rFonts w:ascii="Times New Roman" w:eastAsia="Times New Roman" w:hAnsi="Times New Roman" w:cs="Times New Roman"/>
                <w:b w:val="0"/>
                <w:i w:val="0"/>
                <w:vanish w:val="0"/>
                <w:color w:val="000000"/>
                <w:sz w:val="20"/>
              </w:rPr>
            </w:pPr>
            <w:r>
              <w:rPr>
                <w:rFonts w:ascii="Times New Roman" w:eastAsia="Times New Roman" w:hAnsi="Times New Roman" w:cs="Times New Roman"/>
                <w:b w:val="0"/>
                <w:i w:val="0"/>
                <w:vanish w:val="0"/>
                <w:color w:val="000000"/>
                <w:sz w:val="20"/>
              </w:rPr>
              <w:t>Število prevoznih sredstev, kupljenih za čezmejne operacije</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rsidR="00A77B3E">
            <w:pPr>
              <w:spacing w:before="100" w:after="0"/>
              <w:jc w:val="start"/>
              <w:rPr>
                <w:rFonts w:ascii="Times New Roman" w:eastAsia="Times New Roman" w:hAnsi="Times New Roman" w:cs="Times New Roman"/>
                <w:b w:val="0"/>
                <w:i w:val="0"/>
                <w:vanish w:val="0"/>
                <w:color w:val="000000"/>
                <w:sz w:val="20"/>
              </w:rPr>
            </w:pPr>
            <w:r>
              <w:rPr>
                <w:rFonts w:ascii="Times New Roman" w:eastAsia="Times New Roman" w:hAnsi="Times New Roman" w:cs="Times New Roman"/>
                <w:b w:val="0"/>
                <w:i w:val="0"/>
                <w:vanish w:val="0"/>
                <w:color w:val="000000"/>
                <w:sz w:val="20"/>
              </w:rPr>
              <w:t>število</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rsidR="00A77B3E">
            <w:pPr>
              <w:spacing w:before="100" w:after="0"/>
              <w:jc w:val="end"/>
              <w:rPr>
                <w:rFonts w:ascii="Times New Roman" w:eastAsia="Times New Roman" w:hAnsi="Times New Roman" w:cs="Times New Roman"/>
                <w:b w:val="0"/>
                <w:i w:val="0"/>
                <w:vanish w:val="0"/>
                <w:color w:val="000000"/>
                <w:sz w:val="20"/>
              </w:rPr>
            </w:pPr>
            <w:r>
              <w:rPr>
                <w:rFonts w:ascii="Times New Roman" w:eastAsia="Times New Roman" w:hAnsi="Times New Roman" w:cs="Times New Roman"/>
                <w:b w:val="0"/>
                <w:i w:val="0"/>
                <w:vanish w:val="0"/>
                <w:color w:val="000000"/>
                <w:sz w:val="20"/>
              </w:rPr>
              <w:t>26</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rsidR="00A77B3E">
            <w:pPr>
              <w:spacing w:before="100" w:after="0"/>
              <w:jc w:val="end"/>
              <w:rPr>
                <w:rFonts w:ascii="Times New Roman" w:eastAsia="Times New Roman" w:hAnsi="Times New Roman" w:cs="Times New Roman"/>
                <w:b w:val="0"/>
                <w:i w:val="0"/>
                <w:vanish w:val="0"/>
                <w:color w:val="000000"/>
                <w:sz w:val="20"/>
              </w:rPr>
            </w:pPr>
            <w:r>
              <w:rPr>
                <w:rFonts w:ascii="Times New Roman" w:eastAsia="Times New Roman" w:hAnsi="Times New Roman" w:cs="Times New Roman"/>
                <w:b w:val="0"/>
                <w:i w:val="0"/>
                <w:vanish w:val="0"/>
                <w:color w:val="000000"/>
                <w:sz w:val="20"/>
              </w:rPr>
              <w:t>63</w:t>
            </w:r>
          </w:p>
        </w:tc>
      </w:tr>
    </w:tbl>
    <w:p w:rsidR="00A77B3E">
      <w:pPr>
        <w:spacing w:before="100" w:after="0"/>
        <w:jc w:val="start"/>
        <w:rPr>
          <w:rFonts w:ascii="Times New Roman" w:eastAsia="Times New Roman" w:hAnsi="Times New Roman" w:cs="Times New Roman"/>
          <w:b w:val="0"/>
          <w:i w:val="0"/>
          <w:vanish w:val="0"/>
          <w:color w:val="000000"/>
          <w:sz w:val="24"/>
        </w:rPr>
      </w:pPr>
      <w:r>
        <w:rPr>
          <w:rFonts w:ascii="Times New Roman" w:eastAsia="Times New Roman" w:hAnsi="Times New Roman" w:cs="Times New Roman"/>
          <w:b w:val="0"/>
          <w:i w:val="0"/>
          <w:vanish w:val="0"/>
          <w:color w:val="000000"/>
          <w:sz w:val="20"/>
        </w:rPr>
        <w:br w:type="page"/>
      </w:r>
      <w:r>
        <w:rPr>
          <w:rFonts w:ascii="Times New Roman" w:eastAsia="Times New Roman" w:hAnsi="Times New Roman" w:cs="Times New Roman"/>
          <w:b w:val="0"/>
          <w:i w:val="0"/>
          <w:vanish w:val="0"/>
          <w:color w:val="000000"/>
          <w:sz w:val="24"/>
        </w:rPr>
        <w:t>2.1. Specifični cilj 2. Čezmejno sodelovanje</w:t>
      </w:r>
    </w:p>
    <w:p w:rsidR="00A77B3E">
      <w:pPr>
        <w:spacing w:before="100" w:after="0"/>
        <w:jc w:val="start"/>
        <w:rPr>
          <w:rFonts w:ascii="Times New Roman" w:eastAsia="Times New Roman" w:hAnsi="Times New Roman" w:cs="Times New Roman"/>
          <w:b w:val="0"/>
          <w:i w:val="0"/>
          <w:vanish w:val="0"/>
          <w:color w:val="000000"/>
          <w:sz w:val="0"/>
        </w:rPr>
      </w:pPr>
      <w:r>
        <w:rPr>
          <w:rFonts w:ascii="Times New Roman" w:eastAsia="Times New Roman" w:hAnsi="Times New Roman" w:cs="Times New Roman"/>
          <w:b w:val="0"/>
          <w:i w:val="0"/>
          <w:vanish w:val="0"/>
          <w:color w:val="000000"/>
          <w:sz w:val="24"/>
        </w:rPr>
        <w:t>2.1.2. Kazalniki</w:t>
      </w:r>
    </w:p>
    <w:p w:rsidR="00A77B3E">
      <w:pPr>
        <w:spacing w:before="100" w:after="0"/>
        <w:jc w:val="star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24"/>
        </w:rPr>
        <w:t>Sklic: člen 22(4)(e) uredbe o skupnih določbah</w:t>
      </w:r>
    </w:p>
    <w:p w:rsidR="00A77B3E">
      <w:pPr>
        <w:pStyle w:val="Heading4"/>
        <w:spacing w:before="100" w:after="0"/>
        <w:jc w:val="start"/>
        <w:rPr>
          <w:rFonts w:ascii="Times New Roman" w:eastAsia="Times New Roman" w:hAnsi="Times New Roman" w:cs="Times New Roman"/>
          <w:b w:val="0"/>
          <w:i w:val="0"/>
          <w:vanish w:val="0"/>
          <w:color w:val="000000"/>
          <w:sz w:val="24"/>
        </w:rPr>
      </w:pPr>
      <w:bookmarkStart w:id="13" w:name="_Toc256000068"/>
      <w:r>
        <w:rPr>
          <w:rFonts w:ascii="Times New Roman" w:eastAsia="Times New Roman" w:hAnsi="Times New Roman" w:cs="Times New Roman"/>
          <w:b w:val="0"/>
          <w:i w:val="0"/>
          <w:vanish w:val="0"/>
          <w:color w:val="000000"/>
          <w:sz w:val="24"/>
        </w:rPr>
        <w:t>Tabela 2: Kazalniki rezultatov</w:t>
      </w:r>
      <w:bookmarkEnd w:id="13"/>
    </w:p>
    <w:p w:rsidR="00A77B3E">
      <w:pPr>
        <w:spacing w:before="100" w:after="0"/>
        <w:jc w:val="start"/>
        <w:rPr>
          <w:rFonts w:ascii="Times New Roman" w:eastAsia="Times New Roman" w:hAnsi="Times New Roman" w:cs="Times New Roman"/>
          <w:b w:val="0"/>
          <w:i w:val="0"/>
          <w:vanish w:val="0"/>
          <w:color w:val="000000"/>
          <w:sz w:val="0"/>
        </w:rPr>
      </w:pPr>
    </w:p>
    <w:tbl>
      <w:tblPr>
        <w:tblW w:w="100%" w:type="pct"/>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Layout w:type="fixed"/>
        <w:tblCellMar>
          <w:start w:w="5.4pt" w:type="dxa"/>
          <w:end w:w="5.4pt" w:type="dxa"/>
        </w:tblCellMar>
      </w:tblPr>
      <w:tblGrid>
        <w:gridCol w:w="760"/>
        <w:gridCol w:w="2276"/>
        <w:gridCol w:w="1517"/>
        <w:gridCol w:w="1517"/>
        <w:gridCol w:w="1517"/>
        <w:gridCol w:w="1517"/>
        <w:gridCol w:w="1517"/>
        <w:gridCol w:w="1517"/>
        <w:gridCol w:w="1517"/>
        <w:gridCol w:w="1517"/>
      </w:tblGrid>
      <w:tr>
        <w:tblPrEx>
          <w:tblW w:w="100%" w:type="pct"/>
          <w:tblLayout w:type="fixed"/>
        </w:tblPrEx>
        <w:trPr>
          <w:cantSplit w:val="0"/>
          <w:trHeight w:hRule="auto" w:val="0"/>
          <w:tblHeader/>
        </w:trPr>
        <w:tc>
          <w:tcPr>
            <w:tcW w:w="5%" w:type="pct"/>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rsidR="00A77B3E">
            <w:pPr>
              <w:spacing w:before="100" w:after="0"/>
              <w:jc w:val="center"/>
              <w:rPr>
                <w:rFonts w:ascii="Times New Roman" w:eastAsia="Times New Roman" w:hAnsi="Times New Roman" w:cs="Times New Roman"/>
                <w:b w:val="0"/>
                <w:i w:val="0"/>
                <w:vanish w:val="0"/>
                <w:color w:val="000000"/>
                <w:sz w:val="20"/>
              </w:rPr>
            </w:pPr>
            <w:r>
              <w:rPr>
                <w:rFonts w:ascii="Times New Roman" w:eastAsia="Times New Roman" w:hAnsi="Times New Roman" w:cs="Times New Roman"/>
                <w:b w:val="0"/>
                <w:i w:val="0"/>
                <w:vanish w:val="0"/>
                <w:color w:val="000000"/>
                <w:sz w:val="20"/>
              </w:rPr>
              <w:t>Identifikator</w:t>
            </w:r>
          </w:p>
        </w:tc>
        <w:tc>
          <w:tcPr>
            <w:tcW w:w="15%" w:type="pct"/>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rsidR="00A77B3E">
            <w:pPr>
              <w:spacing w:before="100" w:after="0"/>
              <w:jc w:val="center"/>
              <w:rPr>
                <w:rFonts w:ascii="Times New Roman" w:eastAsia="Times New Roman" w:hAnsi="Times New Roman" w:cs="Times New Roman"/>
                <w:b w:val="0"/>
                <w:i w:val="0"/>
                <w:vanish w:val="0"/>
                <w:color w:val="000000"/>
                <w:sz w:val="20"/>
              </w:rPr>
            </w:pPr>
            <w:r>
              <w:rPr>
                <w:rFonts w:ascii="Times New Roman" w:eastAsia="Times New Roman" w:hAnsi="Times New Roman" w:cs="Times New Roman"/>
                <w:b w:val="0"/>
                <w:i w:val="0"/>
                <w:vanish w:val="0"/>
                <w:color w:val="000000"/>
                <w:sz w:val="20"/>
              </w:rPr>
              <w:t>Kazalnik</w:t>
            </w:r>
          </w:p>
        </w:tc>
        <w:tc>
          <w:tcPr>
            <w:tcW w:w="10%" w:type="pct"/>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rsidR="00A77B3E">
            <w:pPr>
              <w:spacing w:before="100" w:after="0"/>
              <w:jc w:val="center"/>
              <w:rPr>
                <w:rFonts w:ascii="Times New Roman" w:eastAsia="Times New Roman" w:hAnsi="Times New Roman" w:cs="Times New Roman"/>
                <w:b w:val="0"/>
                <w:i w:val="0"/>
                <w:vanish w:val="0"/>
                <w:color w:val="000000"/>
                <w:sz w:val="20"/>
              </w:rPr>
            </w:pPr>
            <w:r>
              <w:rPr>
                <w:rFonts w:ascii="Times New Roman" w:eastAsia="Times New Roman" w:hAnsi="Times New Roman" w:cs="Times New Roman"/>
                <w:b w:val="0"/>
                <w:i w:val="0"/>
                <w:vanish w:val="0"/>
                <w:color w:val="000000"/>
                <w:sz w:val="20"/>
              </w:rPr>
              <w:t>Merska enota</w:t>
            </w:r>
          </w:p>
        </w:tc>
        <w:tc>
          <w:tcPr>
            <w:tcW w:w="10%" w:type="pct"/>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rsidR="00A77B3E">
            <w:pPr>
              <w:spacing w:before="100" w:after="0"/>
              <w:jc w:val="center"/>
              <w:rPr>
                <w:rFonts w:ascii="Times New Roman" w:eastAsia="Times New Roman" w:hAnsi="Times New Roman" w:cs="Times New Roman"/>
                <w:b w:val="0"/>
                <w:i w:val="0"/>
                <w:vanish w:val="0"/>
                <w:color w:val="000000"/>
                <w:sz w:val="20"/>
              </w:rPr>
            </w:pPr>
            <w:r>
              <w:rPr>
                <w:rFonts w:ascii="Times New Roman" w:eastAsia="Times New Roman" w:hAnsi="Times New Roman" w:cs="Times New Roman"/>
                <w:b w:val="0"/>
                <w:i w:val="0"/>
                <w:vanish w:val="0"/>
                <w:color w:val="000000"/>
                <w:sz w:val="20"/>
              </w:rPr>
              <w:t>Izhodišče</w:t>
            </w:r>
          </w:p>
        </w:tc>
        <w:tc>
          <w:tcPr>
            <w:tcW w:w="10%" w:type="pct"/>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rsidR="00A77B3E">
            <w:pPr>
              <w:spacing w:before="100" w:after="0"/>
              <w:jc w:val="center"/>
              <w:rPr>
                <w:rFonts w:ascii="Times New Roman" w:eastAsia="Times New Roman" w:hAnsi="Times New Roman" w:cs="Times New Roman"/>
                <w:b w:val="0"/>
                <w:i w:val="0"/>
                <w:vanish w:val="0"/>
                <w:color w:val="000000"/>
                <w:sz w:val="20"/>
              </w:rPr>
            </w:pPr>
            <w:r>
              <w:rPr>
                <w:rFonts w:ascii="Times New Roman" w:eastAsia="Times New Roman" w:hAnsi="Times New Roman" w:cs="Times New Roman"/>
                <w:b w:val="0"/>
                <w:i w:val="0"/>
                <w:vanish w:val="0"/>
                <w:color w:val="000000"/>
                <w:sz w:val="20"/>
              </w:rPr>
              <w:t>Merska enota za izhodišče</w:t>
            </w:r>
          </w:p>
        </w:tc>
        <w:tc>
          <w:tcPr>
            <w:tcW w:w="10%" w:type="pct"/>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rsidR="00A77B3E">
            <w:pPr>
              <w:spacing w:before="100" w:after="0"/>
              <w:jc w:val="center"/>
              <w:rPr>
                <w:rFonts w:ascii="Times New Roman" w:eastAsia="Times New Roman" w:hAnsi="Times New Roman" w:cs="Times New Roman"/>
                <w:b w:val="0"/>
                <w:i w:val="0"/>
                <w:vanish w:val="0"/>
                <w:color w:val="000000"/>
                <w:sz w:val="20"/>
              </w:rPr>
            </w:pPr>
            <w:r>
              <w:rPr>
                <w:rFonts w:ascii="Times New Roman" w:eastAsia="Times New Roman" w:hAnsi="Times New Roman" w:cs="Times New Roman"/>
                <w:b w:val="0"/>
                <w:i w:val="0"/>
                <w:vanish w:val="0"/>
                <w:color w:val="000000"/>
                <w:sz w:val="20"/>
              </w:rPr>
              <w:t>Referenčna leta</w:t>
            </w:r>
          </w:p>
        </w:tc>
        <w:tc>
          <w:tcPr>
            <w:tcW w:w="10%" w:type="pct"/>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rsidR="00A77B3E">
            <w:pPr>
              <w:spacing w:before="100" w:after="0"/>
              <w:jc w:val="center"/>
              <w:rPr>
                <w:rFonts w:ascii="Times New Roman" w:eastAsia="Times New Roman" w:hAnsi="Times New Roman" w:cs="Times New Roman"/>
                <w:b w:val="0"/>
                <w:i w:val="0"/>
                <w:vanish w:val="0"/>
                <w:color w:val="000000"/>
                <w:sz w:val="20"/>
              </w:rPr>
            </w:pPr>
            <w:r>
              <w:rPr>
                <w:rFonts w:ascii="Times New Roman" w:eastAsia="Times New Roman" w:hAnsi="Times New Roman" w:cs="Times New Roman"/>
                <w:b w:val="0"/>
                <w:i w:val="0"/>
                <w:vanish w:val="0"/>
                <w:color w:val="000000"/>
                <w:sz w:val="20"/>
              </w:rPr>
              <w:t>Cilj (2029)</w:t>
            </w:r>
          </w:p>
        </w:tc>
        <w:tc>
          <w:tcPr>
            <w:tcW w:w="10%" w:type="pct"/>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rsidR="00A77B3E">
            <w:pPr>
              <w:spacing w:before="100" w:after="0"/>
              <w:jc w:val="center"/>
              <w:rPr>
                <w:rFonts w:ascii="Times New Roman" w:eastAsia="Times New Roman" w:hAnsi="Times New Roman" w:cs="Times New Roman"/>
                <w:b w:val="0"/>
                <w:i w:val="0"/>
                <w:vanish w:val="0"/>
                <w:color w:val="000000"/>
                <w:sz w:val="20"/>
              </w:rPr>
            </w:pPr>
            <w:r>
              <w:rPr>
                <w:rFonts w:ascii="Times New Roman" w:eastAsia="Times New Roman" w:hAnsi="Times New Roman" w:cs="Times New Roman"/>
                <w:b w:val="0"/>
                <w:i w:val="0"/>
                <w:vanish w:val="0"/>
                <w:color w:val="000000"/>
                <w:sz w:val="20"/>
              </w:rPr>
              <w:t>Merska enota za cilj</w:t>
            </w:r>
          </w:p>
        </w:tc>
        <w:tc>
          <w:tcPr>
            <w:tcW w:w="10%" w:type="pct"/>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rsidR="00A77B3E">
            <w:pPr>
              <w:spacing w:before="100" w:after="0"/>
              <w:jc w:val="center"/>
              <w:rPr>
                <w:rFonts w:ascii="Times New Roman" w:eastAsia="Times New Roman" w:hAnsi="Times New Roman" w:cs="Times New Roman"/>
                <w:b w:val="0"/>
                <w:i w:val="0"/>
                <w:vanish w:val="0"/>
                <w:color w:val="000000"/>
                <w:sz w:val="20"/>
              </w:rPr>
            </w:pPr>
            <w:r>
              <w:rPr>
                <w:rFonts w:ascii="Times New Roman" w:eastAsia="Times New Roman" w:hAnsi="Times New Roman" w:cs="Times New Roman"/>
                <w:b w:val="0"/>
                <w:i w:val="0"/>
                <w:vanish w:val="0"/>
                <w:color w:val="000000"/>
                <w:sz w:val="20"/>
              </w:rPr>
              <w:t>Vir podatkov</w:t>
            </w:r>
          </w:p>
        </w:tc>
        <w:tc>
          <w:tcPr>
            <w:tcW w:w="10%" w:type="pct"/>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rsidR="00A77B3E">
            <w:pPr>
              <w:spacing w:before="100" w:after="0"/>
              <w:jc w:val="start"/>
              <w:rPr>
                <w:rFonts w:ascii="Times New Roman" w:eastAsia="Times New Roman" w:hAnsi="Times New Roman" w:cs="Times New Roman"/>
                <w:b w:val="0"/>
                <w:i w:val="0"/>
                <w:vanish w:val="0"/>
                <w:color w:val="000000"/>
                <w:sz w:val="20"/>
              </w:rPr>
            </w:pPr>
            <w:r>
              <w:rPr>
                <w:rFonts w:ascii="Times New Roman" w:eastAsia="Times New Roman" w:hAnsi="Times New Roman" w:cs="Times New Roman"/>
                <w:b w:val="0"/>
                <w:i w:val="0"/>
                <w:vanish w:val="0"/>
                <w:color w:val="000000"/>
                <w:sz w:val="20"/>
              </w:rPr>
              <w:t>Opombe</w:t>
            </w:r>
          </w:p>
        </w:tc>
      </w:tr>
      <w:tr>
        <w:tblPrEx>
          <w:tblW w:w="100%" w:type="pct"/>
          <w:tblLayout w:type="fixed"/>
        </w:tblPrEx>
        <w:trPr>
          <w:cantSplit w:val="0"/>
          <w:trHeight w:hRule="auto" w:val="0"/>
          <w:tblHeader w:val="0"/>
        </w:trPr>
        <w:tc>
          <w:tcPr>
            <w:tcW w:w="5%" w:type="pct"/>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20"/>
              </w:rPr>
            </w:pPr>
            <w:r>
              <w:rPr>
                <w:rFonts w:ascii="Times New Roman" w:eastAsia="Times New Roman" w:hAnsi="Times New Roman" w:cs="Times New Roman"/>
                <w:b w:val="0"/>
                <w:i w:val="0"/>
                <w:vanish w:val="0"/>
                <w:color w:val="000000"/>
                <w:sz w:val="20"/>
              </w:rPr>
              <w:t>R.2.5</w:t>
            </w:r>
          </w:p>
        </w:tc>
        <w:tc>
          <w:tcPr>
            <w:tcW w:w="15%" w:type="pct"/>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20"/>
              </w:rPr>
            </w:pPr>
            <w:r>
              <w:rPr>
                <w:rFonts w:ascii="Times New Roman" w:eastAsia="Times New Roman" w:hAnsi="Times New Roman" w:cs="Times New Roman"/>
                <w:b w:val="0"/>
                <w:i w:val="0"/>
                <w:vanish w:val="0"/>
                <w:color w:val="000000"/>
                <w:sz w:val="20"/>
              </w:rPr>
              <w:t>Ocenjena vrednost sredstev, zamrznjenih v čezmejnih operacijah</w:t>
            </w:r>
          </w:p>
        </w:tc>
        <w:tc>
          <w:tcPr>
            <w:tcW w:w="10%" w:type="pct"/>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20"/>
              </w:rPr>
            </w:pPr>
            <w:r>
              <w:rPr>
                <w:rFonts w:ascii="Times New Roman" w:eastAsia="Times New Roman" w:hAnsi="Times New Roman" w:cs="Times New Roman"/>
                <w:b w:val="0"/>
                <w:i w:val="0"/>
                <w:vanish w:val="0"/>
                <w:color w:val="000000"/>
                <w:sz w:val="20"/>
              </w:rPr>
              <w:t>znesek</w:t>
            </w:r>
          </w:p>
        </w:tc>
        <w:tc>
          <w:tcPr>
            <w:tcW w:w="10%" w:type="pct"/>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20"/>
              </w:rPr>
            </w:pPr>
            <w:r>
              <w:rPr>
                <w:rFonts w:ascii="Times New Roman" w:eastAsia="Times New Roman" w:hAnsi="Times New Roman" w:cs="Times New Roman"/>
                <w:b w:val="0"/>
                <w:i w:val="0"/>
                <w:vanish w:val="0"/>
                <w:color w:val="000000"/>
                <w:sz w:val="20"/>
              </w:rPr>
              <w:t>0</w:t>
            </w:r>
          </w:p>
        </w:tc>
        <w:tc>
          <w:tcPr>
            <w:tcW w:w="10%" w:type="pct"/>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20"/>
              </w:rPr>
            </w:pPr>
            <w:r>
              <w:rPr>
                <w:rFonts w:ascii="Times New Roman" w:eastAsia="Times New Roman" w:hAnsi="Times New Roman" w:cs="Times New Roman"/>
                <w:b w:val="0"/>
                <w:i w:val="0"/>
                <w:vanish w:val="0"/>
                <w:color w:val="000000"/>
                <w:sz w:val="20"/>
              </w:rPr>
              <w:t>euro</w:t>
            </w:r>
          </w:p>
        </w:tc>
        <w:tc>
          <w:tcPr>
            <w:tcW w:w="10%" w:type="pct"/>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center"/>
              <w:rPr>
                <w:rFonts w:ascii="Times New Roman" w:eastAsia="Times New Roman" w:hAnsi="Times New Roman" w:cs="Times New Roman"/>
                <w:b w:val="0"/>
                <w:i w:val="0"/>
                <w:vanish w:val="0"/>
                <w:color w:val="000000"/>
                <w:sz w:val="20"/>
              </w:rPr>
            </w:pPr>
            <w:r>
              <w:rPr>
                <w:rFonts w:ascii="Times New Roman" w:eastAsia="Times New Roman" w:hAnsi="Times New Roman" w:cs="Times New Roman"/>
                <w:b w:val="0"/>
                <w:i w:val="0"/>
                <w:vanish w:val="0"/>
                <w:color w:val="000000"/>
                <w:sz w:val="20"/>
              </w:rPr>
              <w:t>2021</w:t>
            </w:r>
          </w:p>
        </w:tc>
        <w:tc>
          <w:tcPr>
            <w:tcW w:w="10%" w:type="pct"/>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center"/>
              <w:rPr>
                <w:rFonts w:ascii="Times New Roman" w:eastAsia="Times New Roman" w:hAnsi="Times New Roman" w:cs="Times New Roman"/>
                <w:b w:val="0"/>
                <w:i w:val="0"/>
                <w:vanish w:val="0"/>
                <w:color w:val="000000"/>
                <w:sz w:val="20"/>
              </w:rPr>
            </w:pPr>
            <w:r>
              <w:rPr>
                <w:rFonts w:ascii="Times New Roman" w:eastAsia="Times New Roman" w:hAnsi="Times New Roman" w:cs="Times New Roman"/>
                <w:b w:val="0"/>
                <w:i w:val="0"/>
                <w:vanish w:val="0"/>
                <w:color w:val="000000"/>
                <w:sz w:val="20"/>
              </w:rPr>
              <w:t>100.000.000</w:t>
            </w:r>
          </w:p>
        </w:tc>
        <w:tc>
          <w:tcPr>
            <w:tcW w:w="10%" w:type="pct"/>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20"/>
              </w:rPr>
            </w:pPr>
            <w:r>
              <w:rPr>
                <w:rFonts w:ascii="Times New Roman" w:eastAsia="Times New Roman" w:hAnsi="Times New Roman" w:cs="Times New Roman"/>
                <w:b w:val="0"/>
                <w:i w:val="0"/>
                <w:vanish w:val="0"/>
                <w:color w:val="000000"/>
                <w:sz w:val="20"/>
              </w:rPr>
              <w:t>znesek</w:t>
            </w:r>
          </w:p>
        </w:tc>
        <w:tc>
          <w:tcPr>
            <w:tcW w:w="10%" w:type="pct"/>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20"/>
              </w:rPr>
            </w:pPr>
            <w:r>
              <w:rPr>
                <w:rFonts w:ascii="Times New Roman" w:eastAsia="Times New Roman" w:hAnsi="Times New Roman" w:cs="Times New Roman"/>
                <w:b w:val="0"/>
                <w:i w:val="0"/>
                <w:vanish w:val="0"/>
                <w:color w:val="000000"/>
                <w:sz w:val="20"/>
              </w:rPr>
              <w:t xml:space="preserve">FINPR01 - Finančne preiskave – pregled. </w:t>
            </w:r>
          </w:p>
          <w:p w:rsidR="00A77B3E">
            <w:pPr>
              <w:spacing w:before="100" w:after="0"/>
              <w:jc w:val="start"/>
              <w:rPr>
                <w:rFonts w:ascii="Times New Roman" w:eastAsia="Times New Roman" w:hAnsi="Times New Roman" w:cs="Times New Roman"/>
                <w:b w:val="0"/>
                <w:i w:val="0"/>
                <w:vanish w:val="0"/>
                <w:color w:val="000000"/>
                <w:sz w:val="20"/>
              </w:rPr>
            </w:pPr>
          </w:p>
        </w:tc>
        <w:tc>
          <w:tcPr>
            <w:tcW w:w="10%" w:type="pct"/>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20"/>
              </w:rPr>
            </w:pPr>
          </w:p>
        </w:tc>
      </w:tr>
      <w:tr>
        <w:tblPrEx>
          <w:tblW w:w="100%" w:type="pct"/>
          <w:tblLayout w:type="fixed"/>
        </w:tblPrEx>
        <w:trPr>
          <w:cantSplit w:val="0"/>
          <w:trHeight w:hRule="auto" w:val="0"/>
          <w:tblHeader w:val="0"/>
        </w:trPr>
        <w:tc>
          <w:tcPr>
            <w:tcW w:w="5%" w:type="pct"/>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20"/>
              </w:rPr>
            </w:pPr>
            <w:r>
              <w:rPr>
                <w:rFonts w:ascii="Times New Roman" w:eastAsia="Times New Roman" w:hAnsi="Times New Roman" w:cs="Times New Roman"/>
                <w:b w:val="0"/>
                <w:i w:val="0"/>
                <w:vanish w:val="0"/>
                <w:color w:val="000000"/>
                <w:sz w:val="20"/>
              </w:rPr>
              <w:t>R.2.6.1</w:t>
            </w:r>
          </w:p>
        </w:tc>
        <w:tc>
          <w:tcPr>
            <w:tcW w:w="15%" w:type="pct"/>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20"/>
              </w:rPr>
            </w:pPr>
            <w:r>
              <w:rPr>
                <w:rFonts w:ascii="Times New Roman" w:eastAsia="Times New Roman" w:hAnsi="Times New Roman" w:cs="Times New Roman"/>
                <w:b w:val="0"/>
                <w:i w:val="0"/>
                <w:vanish w:val="0"/>
                <w:color w:val="000000"/>
                <w:sz w:val="20"/>
              </w:rPr>
              <w:t>Količina prepovedanih drog, zaseženih v čezmejnih operacijah – kanabis</w:t>
            </w:r>
          </w:p>
        </w:tc>
        <w:tc>
          <w:tcPr>
            <w:tcW w:w="10%" w:type="pct"/>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20"/>
              </w:rPr>
            </w:pPr>
            <w:r>
              <w:rPr>
                <w:rFonts w:ascii="Times New Roman" w:eastAsia="Times New Roman" w:hAnsi="Times New Roman" w:cs="Times New Roman"/>
                <w:b w:val="0"/>
                <w:i w:val="0"/>
                <w:vanish w:val="0"/>
                <w:color w:val="000000"/>
                <w:sz w:val="20"/>
              </w:rPr>
              <w:t>kg</w:t>
            </w:r>
          </w:p>
        </w:tc>
        <w:tc>
          <w:tcPr>
            <w:tcW w:w="10%" w:type="pct"/>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20"/>
              </w:rPr>
            </w:pPr>
            <w:r>
              <w:rPr>
                <w:rFonts w:ascii="Times New Roman" w:eastAsia="Times New Roman" w:hAnsi="Times New Roman" w:cs="Times New Roman"/>
                <w:b w:val="0"/>
                <w:i w:val="0"/>
                <w:vanish w:val="0"/>
                <w:color w:val="000000"/>
                <w:sz w:val="20"/>
              </w:rPr>
              <w:t>0</w:t>
            </w:r>
          </w:p>
        </w:tc>
        <w:tc>
          <w:tcPr>
            <w:tcW w:w="10%" w:type="pct"/>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20"/>
              </w:rPr>
            </w:pPr>
            <w:r>
              <w:rPr>
                <w:rFonts w:ascii="Times New Roman" w:eastAsia="Times New Roman" w:hAnsi="Times New Roman" w:cs="Times New Roman"/>
                <w:b w:val="0"/>
                <w:i w:val="0"/>
                <w:vanish w:val="0"/>
                <w:color w:val="000000"/>
                <w:sz w:val="20"/>
              </w:rPr>
              <w:t>kg</w:t>
            </w:r>
          </w:p>
        </w:tc>
        <w:tc>
          <w:tcPr>
            <w:tcW w:w="10%" w:type="pct"/>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center"/>
              <w:rPr>
                <w:rFonts w:ascii="Times New Roman" w:eastAsia="Times New Roman" w:hAnsi="Times New Roman" w:cs="Times New Roman"/>
                <w:b w:val="0"/>
                <w:i w:val="0"/>
                <w:vanish w:val="0"/>
                <w:color w:val="000000"/>
                <w:sz w:val="20"/>
              </w:rPr>
            </w:pPr>
            <w:r>
              <w:rPr>
                <w:rFonts w:ascii="Times New Roman" w:eastAsia="Times New Roman" w:hAnsi="Times New Roman" w:cs="Times New Roman"/>
                <w:b w:val="0"/>
                <w:i w:val="0"/>
                <w:vanish w:val="0"/>
                <w:color w:val="000000"/>
                <w:sz w:val="20"/>
              </w:rPr>
              <w:t>2021</w:t>
            </w:r>
          </w:p>
        </w:tc>
        <w:tc>
          <w:tcPr>
            <w:tcW w:w="10%" w:type="pct"/>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center"/>
              <w:rPr>
                <w:rFonts w:ascii="Times New Roman" w:eastAsia="Times New Roman" w:hAnsi="Times New Roman" w:cs="Times New Roman"/>
                <w:b w:val="0"/>
                <w:i w:val="0"/>
                <w:vanish w:val="0"/>
                <w:color w:val="000000"/>
                <w:sz w:val="20"/>
              </w:rPr>
            </w:pPr>
            <w:r>
              <w:rPr>
                <w:rFonts w:ascii="Times New Roman" w:eastAsia="Times New Roman" w:hAnsi="Times New Roman" w:cs="Times New Roman"/>
                <w:b w:val="0"/>
                <w:i w:val="0"/>
                <w:vanish w:val="0"/>
                <w:color w:val="000000"/>
                <w:sz w:val="20"/>
              </w:rPr>
              <w:t>800</w:t>
            </w:r>
          </w:p>
        </w:tc>
        <w:tc>
          <w:tcPr>
            <w:tcW w:w="10%" w:type="pct"/>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20"/>
              </w:rPr>
            </w:pPr>
            <w:r>
              <w:rPr>
                <w:rFonts w:ascii="Times New Roman" w:eastAsia="Times New Roman" w:hAnsi="Times New Roman" w:cs="Times New Roman"/>
                <w:b w:val="0"/>
                <w:i w:val="0"/>
                <w:vanish w:val="0"/>
                <w:color w:val="000000"/>
                <w:sz w:val="20"/>
              </w:rPr>
              <w:t>kg</w:t>
            </w:r>
          </w:p>
        </w:tc>
        <w:tc>
          <w:tcPr>
            <w:tcW w:w="10%" w:type="pct"/>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20"/>
              </w:rPr>
            </w:pPr>
            <w:r>
              <w:rPr>
                <w:rFonts w:ascii="Times New Roman" w:eastAsia="Times New Roman" w:hAnsi="Times New Roman" w:cs="Times New Roman"/>
                <w:b w:val="0"/>
                <w:i w:val="0"/>
                <w:vanish w:val="0"/>
                <w:color w:val="000000"/>
                <w:sz w:val="20"/>
              </w:rPr>
              <w:t>Letno in polletno poročilo o delu policije</w:t>
            </w:r>
          </w:p>
        </w:tc>
        <w:tc>
          <w:tcPr>
            <w:tcW w:w="10%" w:type="pct"/>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20"/>
              </w:rPr>
            </w:pPr>
          </w:p>
        </w:tc>
      </w:tr>
      <w:tr>
        <w:tblPrEx>
          <w:tblW w:w="100%" w:type="pct"/>
          <w:tblLayout w:type="fixed"/>
        </w:tblPrEx>
        <w:trPr>
          <w:cantSplit w:val="0"/>
          <w:trHeight w:hRule="auto" w:val="0"/>
          <w:tblHeader w:val="0"/>
        </w:trPr>
        <w:tc>
          <w:tcPr>
            <w:tcW w:w="5%" w:type="pct"/>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20"/>
              </w:rPr>
            </w:pPr>
            <w:r>
              <w:rPr>
                <w:rFonts w:ascii="Times New Roman" w:eastAsia="Times New Roman" w:hAnsi="Times New Roman" w:cs="Times New Roman"/>
                <w:b w:val="0"/>
                <w:i w:val="0"/>
                <w:vanish w:val="0"/>
                <w:color w:val="000000"/>
                <w:sz w:val="20"/>
              </w:rPr>
              <w:t>R.2.6.2</w:t>
            </w:r>
          </w:p>
        </w:tc>
        <w:tc>
          <w:tcPr>
            <w:tcW w:w="15%" w:type="pct"/>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20"/>
              </w:rPr>
            </w:pPr>
            <w:r>
              <w:rPr>
                <w:rFonts w:ascii="Times New Roman" w:eastAsia="Times New Roman" w:hAnsi="Times New Roman" w:cs="Times New Roman"/>
                <w:b w:val="0"/>
                <w:i w:val="0"/>
                <w:vanish w:val="0"/>
                <w:color w:val="000000"/>
                <w:sz w:val="20"/>
              </w:rPr>
              <w:t>Količina prepovedanih drog, zaseženih v čezmejnih operacijah – opioidi, vključno s heroinom</w:t>
            </w:r>
          </w:p>
        </w:tc>
        <w:tc>
          <w:tcPr>
            <w:tcW w:w="10%" w:type="pct"/>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20"/>
              </w:rPr>
            </w:pPr>
            <w:r>
              <w:rPr>
                <w:rFonts w:ascii="Times New Roman" w:eastAsia="Times New Roman" w:hAnsi="Times New Roman" w:cs="Times New Roman"/>
                <w:b w:val="0"/>
                <w:i w:val="0"/>
                <w:vanish w:val="0"/>
                <w:color w:val="000000"/>
                <w:sz w:val="20"/>
              </w:rPr>
              <w:t>kg</w:t>
            </w:r>
          </w:p>
        </w:tc>
        <w:tc>
          <w:tcPr>
            <w:tcW w:w="10%" w:type="pct"/>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20"/>
              </w:rPr>
            </w:pPr>
            <w:r>
              <w:rPr>
                <w:rFonts w:ascii="Times New Roman" w:eastAsia="Times New Roman" w:hAnsi="Times New Roman" w:cs="Times New Roman"/>
                <w:b w:val="0"/>
                <w:i w:val="0"/>
                <w:vanish w:val="0"/>
                <w:color w:val="000000"/>
                <w:sz w:val="20"/>
              </w:rPr>
              <w:t>0</w:t>
            </w:r>
          </w:p>
        </w:tc>
        <w:tc>
          <w:tcPr>
            <w:tcW w:w="10%" w:type="pct"/>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20"/>
              </w:rPr>
            </w:pPr>
            <w:r>
              <w:rPr>
                <w:rFonts w:ascii="Times New Roman" w:eastAsia="Times New Roman" w:hAnsi="Times New Roman" w:cs="Times New Roman"/>
                <w:b w:val="0"/>
                <w:i w:val="0"/>
                <w:vanish w:val="0"/>
                <w:color w:val="000000"/>
                <w:sz w:val="20"/>
              </w:rPr>
              <w:t>kg</w:t>
            </w:r>
          </w:p>
        </w:tc>
        <w:tc>
          <w:tcPr>
            <w:tcW w:w="10%" w:type="pct"/>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center"/>
              <w:rPr>
                <w:rFonts w:ascii="Times New Roman" w:eastAsia="Times New Roman" w:hAnsi="Times New Roman" w:cs="Times New Roman"/>
                <w:b w:val="0"/>
                <w:i w:val="0"/>
                <w:vanish w:val="0"/>
                <w:color w:val="000000"/>
                <w:sz w:val="20"/>
              </w:rPr>
            </w:pPr>
            <w:r>
              <w:rPr>
                <w:rFonts w:ascii="Times New Roman" w:eastAsia="Times New Roman" w:hAnsi="Times New Roman" w:cs="Times New Roman"/>
                <w:b w:val="0"/>
                <w:i w:val="0"/>
                <w:vanish w:val="0"/>
                <w:color w:val="000000"/>
                <w:sz w:val="20"/>
              </w:rPr>
              <w:t>2021</w:t>
            </w:r>
          </w:p>
        </w:tc>
        <w:tc>
          <w:tcPr>
            <w:tcW w:w="10%" w:type="pct"/>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center"/>
              <w:rPr>
                <w:rFonts w:ascii="Times New Roman" w:eastAsia="Times New Roman" w:hAnsi="Times New Roman" w:cs="Times New Roman"/>
                <w:b w:val="0"/>
                <w:i w:val="0"/>
                <w:vanish w:val="0"/>
                <w:color w:val="000000"/>
                <w:sz w:val="20"/>
              </w:rPr>
            </w:pPr>
            <w:r>
              <w:rPr>
                <w:rFonts w:ascii="Times New Roman" w:eastAsia="Times New Roman" w:hAnsi="Times New Roman" w:cs="Times New Roman"/>
                <w:b w:val="0"/>
                <w:i w:val="0"/>
                <w:vanish w:val="0"/>
                <w:color w:val="000000"/>
                <w:sz w:val="20"/>
              </w:rPr>
              <w:t>2.100</w:t>
            </w:r>
          </w:p>
        </w:tc>
        <w:tc>
          <w:tcPr>
            <w:tcW w:w="10%" w:type="pct"/>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20"/>
              </w:rPr>
            </w:pPr>
            <w:r>
              <w:rPr>
                <w:rFonts w:ascii="Times New Roman" w:eastAsia="Times New Roman" w:hAnsi="Times New Roman" w:cs="Times New Roman"/>
                <w:b w:val="0"/>
                <w:i w:val="0"/>
                <w:vanish w:val="0"/>
                <w:color w:val="000000"/>
                <w:sz w:val="20"/>
              </w:rPr>
              <w:t>kg</w:t>
            </w:r>
          </w:p>
        </w:tc>
        <w:tc>
          <w:tcPr>
            <w:tcW w:w="10%" w:type="pct"/>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20"/>
              </w:rPr>
            </w:pPr>
            <w:r>
              <w:rPr>
                <w:rFonts w:ascii="Times New Roman" w:eastAsia="Times New Roman" w:hAnsi="Times New Roman" w:cs="Times New Roman"/>
                <w:b w:val="0"/>
                <w:i w:val="0"/>
                <w:vanish w:val="0"/>
                <w:color w:val="000000"/>
                <w:sz w:val="20"/>
              </w:rPr>
              <w:t>Letno in polletno poročilo o delu policije</w:t>
            </w:r>
          </w:p>
        </w:tc>
        <w:tc>
          <w:tcPr>
            <w:tcW w:w="10%" w:type="pct"/>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20"/>
              </w:rPr>
            </w:pPr>
          </w:p>
        </w:tc>
      </w:tr>
      <w:tr>
        <w:tblPrEx>
          <w:tblW w:w="100%" w:type="pct"/>
          <w:tblLayout w:type="fixed"/>
        </w:tblPrEx>
        <w:trPr>
          <w:cantSplit w:val="0"/>
          <w:trHeight w:hRule="auto" w:val="0"/>
          <w:tblHeader w:val="0"/>
        </w:trPr>
        <w:tc>
          <w:tcPr>
            <w:tcW w:w="5%" w:type="pct"/>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20"/>
              </w:rPr>
            </w:pPr>
            <w:r>
              <w:rPr>
                <w:rFonts w:ascii="Times New Roman" w:eastAsia="Times New Roman" w:hAnsi="Times New Roman" w:cs="Times New Roman"/>
                <w:b w:val="0"/>
                <w:i w:val="0"/>
                <w:vanish w:val="0"/>
                <w:color w:val="000000"/>
                <w:sz w:val="20"/>
              </w:rPr>
              <w:t>R.2.6.3</w:t>
            </w:r>
          </w:p>
        </w:tc>
        <w:tc>
          <w:tcPr>
            <w:tcW w:w="15%" w:type="pct"/>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20"/>
              </w:rPr>
            </w:pPr>
            <w:r>
              <w:rPr>
                <w:rFonts w:ascii="Times New Roman" w:eastAsia="Times New Roman" w:hAnsi="Times New Roman" w:cs="Times New Roman"/>
                <w:b w:val="0"/>
                <w:i w:val="0"/>
                <w:vanish w:val="0"/>
                <w:color w:val="000000"/>
                <w:sz w:val="20"/>
              </w:rPr>
              <w:t>Količina prepovedanih drog, zaseženih v čezmejnih operacijah – kokain</w:t>
            </w:r>
          </w:p>
        </w:tc>
        <w:tc>
          <w:tcPr>
            <w:tcW w:w="10%" w:type="pct"/>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20"/>
              </w:rPr>
            </w:pPr>
            <w:r>
              <w:rPr>
                <w:rFonts w:ascii="Times New Roman" w:eastAsia="Times New Roman" w:hAnsi="Times New Roman" w:cs="Times New Roman"/>
                <w:b w:val="0"/>
                <w:i w:val="0"/>
                <w:vanish w:val="0"/>
                <w:color w:val="000000"/>
                <w:sz w:val="20"/>
              </w:rPr>
              <w:t>kg</w:t>
            </w:r>
          </w:p>
        </w:tc>
        <w:tc>
          <w:tcPr>
            <w:tcW w:w="10%" w:type="pct"/>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20"/>
              </w:rPr>
            </w:pPr>
            <w:r>
              <w:rPr>
                <w:rFonts w:ascii="Times New Roman" w:eastAsia="Times New Roman" w:hAnsi="Times New Roman" w:cs="Times New Roman"/>
                <w:b w:val="0"/>
                <w:i w:val="0"/>
                <w:vanish w:val="0"/>
                <w:color w:val="000000"/>
                <w:sz w:val="20"/>
              </w:rPr>
              <w:t>0</w:t>
            </w:r>
          </w:p>
        </w:tc>
        <w:tc>
          <w:tcPr>
            <w:tcW w:w="10%" w:type="pct"/>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20"/>
              </w:rPr>
            </w:pPr>
            <w:r>
              <w:rPr>
                <w:rFonts w:ascii="Times New Roman" w:eastAsia="Times New Roman" w:hAnsi="Times New Roman" w:cs="Times New Roman"/>
                <w:b w:val="0"/>
                <w:i w:val="0"/>
                <w:vanish w:val="0"/>
                <w:color w:val="000000"/>
                <w:sz w:val="20"/>
              </w:rPr>
              <w:t>kg</w:t>
            </w:r>
          </w:p>
        </w:tc>
        <w:tc>
          <w:tcPr>
            <w:tcW w:w="10%" w:type="pct"/>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center"/>
              <w:rPr>
                <w:rFonts w:ascii="Times New Roman" w:eastAsia="Times New Roman" w:hAnsi="Times New Roman" w:cs="Times New Roman"/>
                <w:b w:val="0"/>
                <w:i w:val="0"/>
                <w:vanish w:val="0"/>
                <w:color w:val="000000"/>
                <w:sz w:val="20"/>
              </w:rPr>
            </w:pPr>
            <w:r>
              <w:rPr>
                <w:rFonts w:ascii="Times New Roman" w:eastAsia="Times New Roman" w:hAnsi="Times New Roman" w:cs="Times New Roman"/>
                <w:b w:val="0"/>
                <w:i w:val="0"/>
                <w:vanish w:val="0"/>
                <w:color w:val="000000"/>
                <w:sz w:val="20"/>
              </w:rPr>
              <w:t>2021</w:t>
            </w:r>
          </w:p>
        </w:tc>
        <w:tc>
          <w:tcPr>
            <w:tcW w:w="10%" w:type="pct"/>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center"/>
              <w:rPr>
                <w:rFonts w:ascii="Times New Roman" w:eastAsia="Times New Roman" w:hAnsi="Times New Roman" w:cs="Times New Roman"/>
                <w:b w:val="0"/>
                <w:i w:val="0"/>
                <w:vanish w:val="0"/>
                <w:color w:val="000000"/>
                <w:sz w:val="20"/>
              </w:rPr>
            </w:pPr>
            <w:r>
              <w:rPr>
                <w:rFonts w:ascii="Times New Roman" w:eastAsia="Times New Roman" w:hAnsi="Times New Roman" w:cs="Times New Roman"/>
                <w:b w:val="0"/>
                <w:i w:val="0"/>
                <w:vanish w:val="0"/>
                <w:color w:val="000000"/>
                <w:sz w:val="20"/>
              </w:rPr>
              <w:t>35</w:t>
            </w:r>
          </w:p>
        </w:tc>
        <w:tc>
          <w:tcPr>
            <w:tcW w:w="10%" w:type="pct"/>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20"/>
              </w:rPr>
            </w:pPr>
            <w:r>
              <w:rPr>
                <w:rFonts w:ascii="Times New Roman" w:eastAsia="Times New Roman" w:hAnsi="Times New Roman" w:cs="Times New Roman"/>
                <w:b w:val="0"/>
                <w:i w:val="0"/>
                <w:vanish w:val="0"/>
                <w:color w:val="000000"/>
                <w:sz w:val="20"/>
              </w:rPr>
              <w:t>kg</w:t>
            </w:r>
          </w:p>
        </w:tc>
        <w:tc>
          <w:tcPr>
            <w:tcW w:w="10%" w:type="pct"/>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20"/>
              </w:rPr>
            </w:pPr>
            <w:r>
              <w:rPr>
                <w:rFonts w:ascii="Times New Roman" w:eastAsia="Times New Roman" w:hAnsi="Times New Roman" w:cs="Times New Roman"/>
                <w:b w:val="0"/>
                <w:i w:val="0"/>
                <w:vanish w:val="0"/>
                <w:color w:val="000000"/>
                <w:sz w:val="20"/>
              </w:rPr>
              <w:t>Letno in polletno poročilo o delu policije</w:t>
            </w:r>
          </w:p>
        </w:tc>
        <w:tc>
          <w:tcPr>
            <w:tcW w:w="10%" w:type="pct"/>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20"/>
              </w:rPr>
            </w:pPr>
          </w:p>
        </w:tc>
      </w:tr>
      <w:tr>
        <w:tblPrEx>
          <w:tblW w:w="100%" w:type="pct"/>
          <w:tblLayout w:type="fixed"/>
        </w:tblPrEx>
        <w:trPr>
          <w:cantSplit w:val="0"/>
          <w:trHeight w:hRule="auto" w:val="0"/>
          <w:tblHeader w:val="0"/>
        </w:trPr>
        <w:tc>
          <w:tcPr>
            <w:tcW w:w="5%" w:type="pct"/>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20"/>
              </w:rPr>
            </w:pPr>
            <w:r>
              <w:rPr>
                <w:rFonts w:ascii="Times New Roman" w:eastAsia="Times New Roman" w:hAnsi="Times New Roman" w:cs="Times New Roman"/>
                <w:b w:val="0"/>
                <w:i w:val="0"/>
                <w:vanish w:val="0"/>
                <w:color w:val="000000"/>
                <w:sz w:val="20"/>
              </w:rPr>
              <w:t>R.2.6.4</w:t>
            </w:r>
          </w:p>
        </w:tc>
        <w:tc>
          <w:tcPr>
            <w:tcW w:w="15%" w:type="pct"/>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20"/>
              </w:rPr>
            </w:pPr>
            <w:r>
              <w:rPr>
                <w:rFonts w:ascii="Times New Roman" w:eastAsia="Times New Roman" w:hAnsi="Times New Roman" w:cs="Times New Roman"/>
                <w:b w:val="0"/>
                <w:i w:val="0"/>
                <w:vanish w:val="0"/>
                <w:color w:val="000000"/>
                <w:sz w:val="20"/>
              </w:rPr>
              <w:t>Količina prepovedanih drog, zaseženih v čezmejnih operacijah – sintetične droge, vključno s poživili tipa amfetamin (vključno z amfetaminom in metamfetaminom) in MDMA</w:t>
            </w:r>
          </w:p>
        </w:tc>
        <w:tc>
          <w:tcPr>
            <w:tcW w:w="10%" w:type="pct"/>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20"/>
              </w:rPr>
            </w:pPr>
            <w:r>
              <w:rPr>
                <w:rFonts w:ascii="Times New Roman" w:eastAsia="Times New Roman" w:hAnsi="Times New Roman" w:cs="Times New Roman"/>
                <w:b w:val="0"/>
                <w:i w:val="0"/>
                <w:vanish w:val="0"/>
                <w:color w:val="000000"/>
                <w:sz w:val="20"/>
              </w:rPr>
              <w:t>kg</w:t>
            </w:r>
          </w:p>
        </w:tc>
        <w:tc>
          <w:tcPr>
            <w:tcW w:w="10%" w:type="pct"/>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20"/>
              </w:rPr>
            </w:pPr>
            <w:r>
              <w:rPr>
                <w:rFonts w:ascii="Times New Roman" w:eastAsia="Times New Roman" w:hAnsi="Times New Roman" w:cs="Times New Roman"/>
                <w:b w:val="0"/>
                <w:i w:val="0"/>
                <w:vanish w:val="0"/>
                <w:color w:val="000000"/>
                <w:sz w:val="20"/>
              </w:rPr>
              <w:t>0</w:t>
            </w:r>
          </w:p>
        </w:tc>
        <w:tc>
          <w:tcPr>
            <w:tcW w:w="10%" w:type="pct"/>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20"/>
              </w:rPr>
            </w:pPr>
            <w:r>
              <w:rPr>
                <w:rFonts w:ascii="Times New Roman" w:eastAsia="Times New Roman" w:hAnsi="Times New Roman" w:cs="Times New Roman"/>
                <w:b w:val="0"/>
                <w:i w:val="0"/>
                <w:vanish w:val="0"/>
                <w:color w:val="000000"/>
                <w:sz w:val="20"/>
              </w:rPr>
              <w:t>kg</w:t>
            </w:r>
          </w:p>
        </w:tc>
        <w:tc>
          <w:tcPr>
            <w:tcW w:w="10%" w:type="pct"/>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center"/>
              <w:rPr>
                <w:rFonts w:ascii="Times New Roman" w:eastAsia="Times New Roman" w:hAnsi="Times New Roman" w:cs="Times New Roman"/>
                <w:b w:val="0"/>
                <w:i w:val="0"/>
                <w:vanish w:val="0"/>
                <w:color w:val="000000"/>
                <w:sz w:val="20"/>
              </w:rPr>
            </w:pPr>
            <w:r>
              <w:rPr>
                <w:rFonts w:ascii="Times New Roman" w:eastAsia="Times New Roman" w:hAnsi="Times New Roman" w:cs="Times New Roman"/>
                <w:b w:val="0"/>
                <w:i w:val="0"/>
                <w:vanish w:val="0"/>
                <w:color w:val="000000"/>
                <w:sz w:val="20"/>
              </w:rPr>
              <w:t>2021</w:t>
            </w:r>
          </w:p>
        </w:tc>
        <w:tc>
          <w:tcPr>
            <w:tcW w:w="10%" w:type="pct"/>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center"/>
              <w:rPr>
                <w:rFonts w:ascii="Times New Roman" w:eastAsia="Times New Roman" w:hAnsi="Times New Roman" w:cs="Times New Roman"/>
                <w:b w:val="0"/>
                <w:i w:val="0"/>
                <w:vanish w:val="0"/>
                <w:color w:val="000000"/>
                <w:sz w:val="20"/>
              </w:rPr>
            </w:pPr>
            <w:r>
              <w:rPr>
                <w:rFonts w:ascii="Times New Roman" w:eastAsia="Times New Roman" w:hAnsi="Times New Roman" w:cs="Times New Roman"/>
                <w:b w:val="0"/>
                <w:i w:val="0"/>
                <w:vanish w:val="0"/>
                <w:color w:val="000000"/>
                <w:sz w:val="20"/>
              </w:rPr>
              <w:t>125</w:t>
            </w:r>
          </w:p>
        </w:tc>
        <w:tc>
          <w:tcPr>
            <w:tcW w:w="10%" w:type="pct"/>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20"/>
              </w:rPr>
            </w:pPr>
            <w:r>
              <w:rPr>
                <w:rFonts w:ascii="Times New Roman" w:eastAsia="Times New Roman" w:hAnsi="Times New Roman" w:cs="Times New Roman"/>
                <w:b w:val="0"/>
                <w:i w:val="0"/>
                <w:vanish w:val="0"/>
                <w:color w:val="000000"/>
                <w:sz w:val="20"/>
              </w:rPr>
              <w:t>kg</w:t>
            </w:r>
          </w:p>
        </w:tc>
        <w:tc>
          <w:tcPr>
            <w:tcW w:w="10%" w:type="pct"/>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20"/>
              </w:rPr>
            </w:pPr>
            <w:r>
              <w:rPr>
                <w:rFonts w:ascii="Times New Roman" w:eastAsia="Times New Roman" w:hAnsi="Times New Roman" w:cs="Times New Roman"/>
                <w:b w:val="0"/>
                <w:i w:val="0"/>
                <w:vanish w:val="0"/>
                <w:color w:val="000000"/>
                <w:sz w:val="20"/>
              </w:rPr>
              <w:t>Letno in polletno poročilo o delu policije</w:t>
            </w:r>
          </w:p>
        </w:tc>
        <w:tc>
          <w:tcPr>
            <w:tcW w:w="10%" w:type="pct"/>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20"/>
              </w:rPr>
            </w:pPr>
          </w:p>
        </w:tc>
      </w:tr>
      <w:tr>
        <w:tblPrEx>
          <w:tblW w:w="100%" w:type="pct"/>
          <w:tblLayout w:type="fixed"/>
        </w:tblPrEx>
        <w:trPr>
          <w:cantSplit w:val="0"/>
          <w:trHeight w:hRule="auto" w:val="0"/>
          <w:tblHeader w:val="0"/>
        </w:trPr>
        <w:tc>
          <w:tcPr>
            <w:tcW w:w="5%" w:type="pct"/>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20"/>
              </w:rPr>
            </w:pPr>
            <w:r>
              <w:rPr>
                <w:rFonts w:ascii="Times New Roman" w:eastAsia="Times New Roman" w:hAnsi="Times New Roman" w:cs="Times New Roman"/>
                <w:b w:val="0"/>
                <w:i w:val="0"/>
                <w:vanish w:val="0"/>
                <w:color w:val="000000"/>
                <w:sz w:val="20"/>
              </w:rPr>
              <w:t>R.2.6.5</w:t>
            </w:r>
          </w:p>
        </w:tc>
        <w:tc>
          <w:tcPr>
            <w:tcW w:w="15%" w:type="pct"/>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20"/>
              </w:rPr>
            </w:pPr>
            <w:r>
              <w:rPr>
                <w:rFonts w:ascii="Times New Roman" w:eastAsia="Times New Roman" w:hAnsi="Times New Roman" w:cs="Times New Roman"/>
                <w:b w:val="0"/>
                <w:i w:val="0"/>
                <w:vanish w:val="0"/>
                <w:color w:val="000000"/>
                <w:sz w:val="20"/>
              </w:rPr>
              <w:t>Količina prepovedanih drog, zaseženih v čezmejnih operacijah – nove psihoaktivne snovi</w:t>
            </w:r>
          </w:p>
        </w:tc>
        <w:tc>
          <w:tcPr>
            <w:tcW w:w="10%" w:type="pct"/>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20"/>
              </w:rPr>
            </w:pPr>
            <w:r>
              <w:rPr>
                <w:rFonts w:ascii="Times New Roman" w:eastAsia="Times New Roman" w:hAnsi="Times New Roman" w:cs="Times New Roman"/>
                <w:b w:val="0"/>
                <w:i w:val="0"/>
                <w:vanish w:val="0"/>
                <w:color w:val="000000"/>
                <w:sz w:val="20"/>
              </w:rPr>
              <w:t>kg</w:t>
            </w:r>
          </w:p>
        </w:tc>
        <w:tc>
          <w:tcPr>
            <w:tcW w:w="10%" w:type="pct"/>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20"/>
              </w:rPr>
            </w:pPr>
            <w:r>
              <w:rPr>
                <w:rFonts w:ascii="Times New Roman" w:eastAsia="Times New Roman" w:hAnsi="Times New Roman" w:cs="Times New Roman"/>
                <w:b w:val="0"/>
                <w:i w:val="0"/>
                <w:vanish w:val="0"/>
                <w:color w:val="000000"/>
                <w:sz w:val="20"/>
              </w:rPr>
              <w:t>0</w:t>
            </w:r>
          </w:p>
        </w:tc>
        <w:tc>
          <w:tcPr>
            <w:tcW w:w="10%" w:type="pct"/>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20"/>
              </w:rPr>
            </w:pPr>
            <w:r>
              <w:rPr>
                <w:rFonts w:ascii="Times New Roman" w:eastAsia="Times New Roman" w:hAnsi="Times New Roman" w:cs="Times New Roman"/>
                <w:b w:val="0"/>
                <w:i w:val="0"/>
                <w:vanish w:val="0"/>
                <w:color w:val="000000"/>
                <w:sz w:val="20"/>
              </w:rPr>
              <w:t>kg</w:t>
            </w:r>
          </w:p>
        </w:tc>
        <w:tc>
          <w:tcPr>
            <w:tcW w:w="10%" w:type="pct"/>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center"/>
              <w:rPr>
                <w:rFonts w:ascii="Times New Roman" w:eastAsia="Times New Roman" w:hAnsi="Times New Roman" w:cs="Times New Roman"/>
                <w:b w:val="0"/>
                <w:i w:val="0"/>
                <w:vanish w:val="0"/>
                <w:color w:val="000000"/>
                <w:sz w:val="20"/>
              </w:rPr>
            </w:pPr>
            <w:r>
              <w:rPr>
                <w:rFonts w:ascii="Times New Roman" w:eastAsia="Times New Roman" w:hAnsi="Times New Roman" w:cs="Times New Roman"/>
                <w:b w:val="0"/>
                <w:i w:val="0"/>
                <w:vanish w:val="0"/>
                <w:color w:val="000000"/>
                <w:sz w:val="20"/>
              </w:rPr>
              <w:t>2021</w:t>
            </w:r>
          </w:p>
        </w:tc>
        <w:tc>
          <w:tcPr>
            <w:tcW w:w="10%" w:type="pct"/>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center"/>
              <w:rPr>
                <w:rFonts w:ascii="Times New Roman" w:eastAsia="Times New Roman" w:hAnsi="Times New Roman" w:cs="Times New Roman"/>
                <w:b w:val="0"/>
                <w:i w:val="0"/>
                <w:vanish w:val="0"/>
                <w:color w:val="000000"/>
                <w:sz w:val="20"/>
              </w:rPr>
            </w:pPr>
            <w:r>
              <w:rPr>
                <w:rFonts w:ascii="Times New Roman" w:eastAsia="Times New Roman" w:hAnsi="Times New Roman" w:cs="Times New Roman"/>
                <w:b w:val="0"/>
                <w:i w:val="0"/>
                <w:vanish w:val="0"/>
                <w:color w:val="000000"/>
                <w:sz w:val="20"/>
              </w:rPr>
              <w:t>2</w:t>
            </w:r>
          </w:p>
        </w:tc>
        <w:tc>
          <w:tcPr>
            <w:tcW w:w="10%" w:type="pct"/>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20"/>
              </w:rPr>
            </w:pPr>
            <w:r>
              <w:rPr>
                <w:rFonts w:ascii="Times New Roman" w:eastAsia="Times New Roman" w:hAnsi="Times New Roman" w:cs="Times New Roman"/>
                <w:b w:val="0"/>
                <w:i w:val="0"/>
                <w:vanish w:val="0"/>
                <w:color w:val="000000"/>
                <w:sz w:val="20"/>
              </w:rPr>
              <w:t>kg</w:t>
            </w:r>
          </w:p>
        </w:tc>
        <w:tc>
          <w:tcPr>
            <w:tcW w:w="10%" w:type="pct"/>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20"/>
              </w:rPr>
            </w:pPr>
            <w:r>
              <w:rPr>
                <w:rFonts w:ascii="Times New Roman" w:eastAsia="Times New Roman" w:hAnsi="Times New Roman" w:cs="Times New Roman"/>
                <w:b w:val="0"/>
                <w:i w:val="0"/>
                <w:vanish w:val="0"/>
                <w:color w:val="000000"/>
                <w:sz w:val="20"/>
              </w:rPr>
              <w:t>Letno in polletno poročilo o delu policije</w:t>
            </w:r>
          </w:p>
        </w:tc>
        <w:tc>
          <w:tcPr>
            <w:tcW w:w="10%" w:type="pct"/>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20"/>
              </w:rPr>
            </w:pPr>
          </w:p>
        </w:tc>
      </w:tr>
      <w:tr>
        <w:tblPrEx>
          <w:tblW w:w="100%" w:type="pct"/>
          <w:tblLayout w:type="fixed"/>
        </w:tblPrEx>
        <w:trPr>
          <w:cantSplit w:val="0"/>
          <w:trHeight w:hRule="auto" w:val="0"/>
          <w:tblHeader w:val="0"/>
        </w:trPr>
        <w:tc>
          <w:tcPr>
            <w:tcW w:w="5%" w:type="pct"/>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20"/>
              </w:rPr>
            </w:pPr>
            <w:r>
              <w:rPr>
                <w:rFonts w:ascii="Times New Roman" w:eastAsia="Times New Roman" w:hAnsi="Times New Roman" w:cs="Times New Roman"/>
                <w:b w:val="0"/>
                <w:i w:val="0"/>
                <w:vanish w:val="0"/>
                <w:color w:val="000000"/>
                <w:sz w:val="20"/>
              </w:rPr>
              <w:t>R.2.6.6</w:t>
            </w:r>
          </w:p>
        </w:tc>
        <w:tc>
          <w:tcPr>
            <w:tcW w:w="15%" w:type="pct"/>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20"/>
              </w:rPr>
            </w:pPr>
            <w:r>
              <w:rPr>
                <w:rFonts w:ascii="Times New Roman" w:eastAsia="Times New Roman" w:hAnsi="Times New Roman" w:cs="Times New Roman"/>
                <w:b w:val="0"/>
                <w:i w:val="0"/>
                <w:vanish w:val="0"/>
                <w:color w:val="000000"/>
                <w:sz w:val="20"/>
              </w:rPr>
              <w:t>Količina prepovedanih drog, zaseženih v čezmejnih operacijah – druge prepovedane droge</w:t>
            </w:r>
          </w:p>
        </w:tc>
        <w:tc>
          <w:tcPr>
            <w:tcW w:w="10%" w:type="pct"/>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20"/>
              </w:rPr>
            </w:pPr>
            <w:r>
              <w:rPr>
                <w:rFonts w:ascii="Times New Roman" w:eastAsia="Times New Roman" w:hAnsi="Times New Roman" w:cs="Times New Roman"/>
                <w:b w:val="0"/>
                <w:i w:val="0"/>
                <w:vanish w:val="0"/>
                <w:color w:val="000000"/>
                <w:sz w:val="20"/>
              </w:rPr>
              <w:t>kg</w:t>
            </w:r>
          </w:p>
        </w:tc>
        <w:tc>
          <w:tcPr>
            <w:tcW w:w="10%" w:type="pct"/>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20"/>
              </w:rPr>
            </w:pPr>
            <w:r>
              <w:rPr>
                <w:rFonts w:ascii="Times New Roman" w:eastAsia="Times New Roman" w:hAnsi="Times New Roman" w:cs="Times New Roman"/>
                <w:b w:val="0"/>
                <w:i w:val="0"/>
                <w:vanish w:val="0"/>
                <w:color w:val="000000"/>
                <w:sz w:val="20"/>
              </w:rPr>
              <w:t>0</w:t>
            </w:r>
          </w:p>
        </w:tc>
        <w:tc>
          <w:tcPr>
            <w:tcW w:w="10%" w:type="pct"/>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20"/>
              </w:rPr>
            </w:pPr>
            <w:r>
              <w:rPr>
                <w:rFonts w:ascii="Times New Roman" w:eastAsia="Times New Roman" w:hAnsi="Times New Roman" w:cs="Times New Roman"/>
                <w:b w:val="0"/>
                <w:i w:val="0"/>
                <w:vanish w:val="0"/>
                <w:color w:val="000000"/>
                <w:sz w:val="20"/>
              </w:rPr>
              <w:t>kg</w:t>
            </w:r>
          </w:p>
        </w:tc>
        <w:tc>
          <w:tcPr>
            <w:tcW w:w="10%" w:type="pct"/>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center"/>
              <w:rPr>
                <w:rFonts w:ascii="Times New Roman" w:eastAsia="Times New Roman" w:hAnsi="Times New Roman" w:cs="Times New Roman"/>
                <w:b w:val="0"/>
                <w:i w:val="0"/>
                <w:vanish w:val="0"/>
                <w:color w:val="000000"/>
                <w:sz w:val="20"/>
              </w:rPr>
            </w:pPr>
            <w:r>
              <w:rPr>
                <w:rFonts w:ascii="Times New Roman" w:eastAsia="Times New Roman" w:hAnsi="Times New Roman" w:cs="Times New Roman"/>
                <w:b w:val="0"/>
                <w:i w:val="0"/>
                <w:vanish w:val="0"/>
                <w:color w:val="000000"/>
                <w:sz w:val="20"/>
              </w:rPr>
              <w:t>2021</w:t>
            </w:r>
          </w:p>
        </w:tc>
        <w:tc>
          <w:tcPr>
            <w:tcW w:w="10%" w:type="pct"/>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center"/>
              <w:rPr>
                <w:rFonts w:ascii="Times New Roman" w:eastAsia="Times New Roman" w:hAnsi="Times New Roman" w:cs="Times New Roman"/>
                <w:b w:val="0"/>
                <w:i w:val="0"/>
                <w:vanish w:val="0"/>
                <w:color w:val="000000"/>
                <w:sz w:val="20"/>
              </w:rPr>
            </w:pPr>
            <w:r>
              <w:rPr>
                <w:rFonts w:ascii="Times New Roman" w:eastAsia="Times New Roman" w:hAnsi="Times New Roman" w:cs="Times New Roman"/>
                <w:b w:val="0"/>
                <w:i w:val="0"/>
                <w:vanish w:val="0"/>
                <w:color w:val="000000"/>
                <w:sz w:val="20"/>
              </w:rPr>
              <w:t>3</w:t>
            </w:r>
          </w:p>
        </w:tc>
        <w:tc>
          <w:tcPr>
            <w:tcW w:w="10%" w:type="pct"/>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20"/>
              </w:rPr>
            </w:pPr>
            <w:r>
              <w:rPr>
                <w:rFonts w:ascii="Times New Roman" w:eastAsia="Times New Roman" w:hAnsi="Times New Roman" w:cs="Times New Roman"/>
                <w:b w:val="0"/>
                <w:i w:val="0"/>
                <w:vanish w:val="0"/>
                <w:color w:val="000000"/>
                <w:sz w:val="20"/>
              </w:rPr>
              <w:t>kg</w:t>
            </w:r>
          </w:p>
        </w:tc>
        <w:tc>
          <w:tcPr>
            <w:tcW w:w="10%" w:type="pct"/>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20"/>
              </w:rPr>
            </w:pPr>
            <w:r>
              <w:rPr>
                <w:rFonts w:ascii="Times New Roman" w:eastAsia="Times New Roman" w:hAnsi="Times New Roman" w:cs="Times New Roman"/>
                <w:b w:val="0"/>
                <w:i w:val="0"/>
                <w:vanish w:val="0"/>
                <w:color w:val="000000"/>
                <w:sz w:val="20"/>
              </w:rPr>
              <w:t>Letno in polletno poročilo o delu policije</w:t>
            </w:r>
          </w:p>
        </w:tc>
        <w:tc>
          <w:tcPr>
            <w:tcW w:w="10%" w:type="pct"/>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20"/>
              </w:rPr>
            </w:pPr>
          </w:p>
        </w:tc>
      </w:tr>
      <w:tr>
        <w:tblPrEx>
          <w:tblW w:w="100%" w:type="pct"/>
          <w:tblLayout w:type="fixed"/>
        </w:tblPrEx>
        <w:trPr>
          <w:cantSplit w:val="0"/>
          <w:trHeight w:hRule="auto" w:val="0"/>
          <w:tblHeader w:val="0"/>
        </w:trPr>
        <w:tc>
          <w:tcPr>
            <w:tcW w:w="5%" w:type="pct"/>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20"/>
              </w:rPr>
            </w:pPr>
            <w:r>
              <w:rPr>
                <w:rFonts w:ascii="Times New Roman" w:eastAsia="Times New Roman" w:hAnsi="Times New Roman" w:cs="Times New Roman"/>
                <w:b w:val="0"/>
                <w:i w:val="0"/>
                <w:vanish w:val="0"/>
                <w:color w:val="000000"/>
                <w:sz w:val="20"/>
              </w:rPr>
              <w:t>R.2.7.1</w:t>
            </w:r>
          </w:p>
        </w:tc>
        <w:tc>
          <w:tcPr>
            <w:tcW w:w="15%" w:type="pct"/>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20"/>
              </w:rPr>
            </w:pPr>
            <w:r>
              <w:rPr>
                <w:rFonts w:ascii="Times New Roman" w:eastAsia="Times New Roman" w:hAnsi="Times New Roman" w:cs="Times New Roman"/>
                <w:b w:val="0"/>
                <w:i w:val="0"/>
                <w:vanish w:val="0"/>
                <w:color w:val="000000"/>
                <w:sz w:val="20"/>
              </w:rPr>
              <w:t>Količina orožja, zaseženega v čezmejnih operacijah – vojaško orožje: avtomatsko strelno orožje in težko strelno orožje (protitankovsko orožje, metalec raket, minomet itd.)</w:t>
            </w:r>
          </w:p>
        </w:tc>
        <w:tc>
          <w:tcPr>
            <w:tcW w:w="10%" w:type="pct"/>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20"/>
              </w:rPr>
            </w:pPr>
            <w:r>
              <w:rPr>
                <w:rFonts w:ascii="Times New Roman" w:eastAsia="Times New Roman" w:hAnsi="Times New Roman" w:cs="Times New Roman"/>
                <w:b w:val="0"/>
                <w:i w:val="0"/>
                <w:vanish w:val="0"/>
                <w:color w:val="000000"/>
                <w:sz w:val="20"/>
              </w:rPr>
              <w:t>število</w:t>
            </w:r>
          </w:p>
        </w:tc>
        <w:tc>
          <w:tcPr>
            <w:tcW w:w="10%" w:type="pct"/>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20"/>
              </w:rPr>
            </w:pPr>
            <w:r>
              <w:rPr>
                <w:rFonts w:ascii="Times New Roman" w:eastAsia="Times New Roman" w:hAnsi="Times New Roman" w:cs="Times New Roman"/>
                <w:b w:val="0"/>
                <w:i w:val="0"/>
                <w:vanish w:val="0"/>
                <w:color w:val="000000"/>
                <w:sz w:val="20"/>
              </w:rPr>
              <w:t>0</w:t>
            </w:r>
          </w:p>
        </w:tc>
        <w:tc>
          <w:tcPr>
            <w:tcW w:w="10%" w:type="pct"/>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20"/>
              </w:rPr>
            </w:pPr>
            <w:r>
              <w:rPr>
                <w:rFonts w:ascii="Times New Roman" w:eastAsia="Times New Roman" w:hAnsi="Times New Roman" w:cs="Times New Roman"/>
                <w:b w:val="0"/>
                <w:i w:val="0"/>
                <w:vanish w:val="0"/>
                <w:color w:val="000000"/>
                <w:sz w:val="20"/>
              </w:rPr>
              <w:t>število</w:t>
            </w:r>
          </w:p>
        </w:tc>
        <w:tc>
          <w:tcPr>
            <w:tcW w:w="10%" w:type="pct"/>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center"/>
              <w:rPr>
                <w:rFonts w:ascii="Times New Roman" w:eastAsia="Times New Roman" w:hAnsi="Times New Roman" w:cs="Times New Roman"/>
                <w:b w:val="0"/>
                <w:i w:val="0"/>
                <w:vanish w:val="0"/>
                <w:color w:val="000000"/>
                <w:sz w:val="20"/>
              </w:rPr>
            </w:pPr>
            <w:r>
              <w:rPr>
                <w:rFonts w:ascii="Times New Roman" w:eastAsia="Times New Roman" w:hAnsi="Times New Roman" w:cs="Times New Roman"/>
                <w:b w:val="0"/>
                <w:i w:val="0"/>
                <w:vanish w:val="0"/>
                <w:color w:val="000000"/>
                <w:sz w:val="20"/>
              </w:rPr>
              <w:t>2021</w:t>
            </w:r>
          </w:p>
        </w:tc>
        <w:tc>
          <w:tcPr>
            <w:tcW w:w="10%" w:type="pct"/>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center"/>
              <w:rPr>
                <w:rFonts w:ascii="Times New Roman" w:eastAsia="Times New Roman" w:hAnsi="Times New Roman" w:cs="Times New Roman"/>
                <w:b w:val="0"/>
                <w:i w:val="0"/>
                <w:vanish w:val="0"/>
                <w:color w:val="000000"/>
                <w:sz w:val="20"/>
              </w:rPr>
            </w:pPr>
            <w:r>
              <w:rPr>
                <w:rFonts w:ascii="Times New Roman" w:eastAsia="Times New Roman" w:hAnsi="Times New Roman" w:cs="Times New Roman"/>
                <w:b w:val="0"/>
                <w:i w:val="0"/>
                <w:vanish w:val="0"/>
                <w:color w:val="000000"/>
                <w:sz w:val="20"/>
              </w:rPr>
              <w:t>712</w:t>
            </w:r>
          </w:p>
        </w:tc>
        <w:tc>
          <w:tcPr>
            <w:tcW w:w="10%" w:type="pct"/>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20"/>
              </w:rPr>
            </w:pPr>
            <w:r>
              <w:rPr>
                <w:rFonts w:ascii="Times New Roman" w:eastAsia="Times New Roman" w:hAnsi="Times New Roman" w:cs="Times New Roman"/>
                <w:b w:val="0"/>
                <w:i w:val="0"/>
                <w:vanish w:val="0"/>
                <w:color w:val="000000"/>
                <w:sz w:val="20"/>
              </w:rPr>
              <w:t>število</w:t>
            </w:r>
          </w:p>
        </w:tc>
        <w:tc>
          <w:tcPr>
            <w:tcW w:w="10%" w:type="pct"/>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20"/>
              </w:rPr>
            </w:pPr>
            <w:r>
              <w:rPr>
                <w:rFonts w:ascii="Times New Roman" w:eastAsia="Times New Roman" w:hAnsi="Times New Roman" w:cs="Times New Roman"/>
                <w:b w:val="0"/>
                <w:i w:val="0"/>
                <w:vanish w:val="0"/>
                <w:color w:val="000000"/>
                <w:sz w:val="20"/>
              </w:rPr>
              <w:t>Letno in polletno poročilo o delu policije.</w:t>
            </w:r>
          </w:p>
          <w:p w:rsidR="00A77B3E">
            <w:pPr>
              <w:spacing w:before="100" w:after="0"/>
              <w:jc w:val="start"/>
              <w:rPr>
                <w:rFonts w:ascii="Times New Roman" w:eastAsia="Times New Roman" w:hAnsi="Times New Roman" w:cs="Times New Roman"/>
                <w:b w:val="0"/>
                <w:i w:val="0"/>
                <w:vanish w:val="0"/>
                <w:color w:val="000000"/>
                <w:sz w:val="20"/>
              </w:rPr>
            </w:pPr>
          </w:p>
        </w:tc>
        <w:tc>
          <w:tcPr>
            <w:tcW w:w="10%" w:type="pct"/>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20"/>
              </w:rPr>
            </w:pPr>
          </w:p>
          <w:p w:rsidR="00A77B3E">
            <w:pPr>
              <w:spacing w:before="100" w:after="0"/>
              <w:jc w:val="start"/>
              <w:rPr>
                <w:rFonts w:ascii="Times New Roman" w:eastAsia="Times New Roman" w:hAnsi="Times New Roman" w:cs="Times New Roman"/>
                <w:b w:val="0"/>
                <w:i w:val="0"/>
                <w:vanish w:val="0"/>
                <w:color w:val="000000"/>
                <w:sz w:val="20"/>
              </w:rPr>
            </w:pPr>
          </w:p>
        </w:tc>
      </w:tr>
      <w:tr>
        <w:tblPrEx>
          <w:tblW w:w="100%" w:type="pct"/>
          <w:tblLayout w:type="fixed"/>
        </w:tblPrEx>
        <w:trPr>
          <w:cantSplit w:val="0"/>
          <w:trHeight w:hRule="auto" w:val="0"/>
          <w:tblHeader w:val="0"/>
        </w:trPr>
        <w:tc>
          <w:tcPr>
            <w:tcW w:w="5%" w:type="pct"/>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20"/>
              </w:rPr>
            </w:pPr>
            <w:r>
              <w:rPr>
                <w:rFonts w:ascii="Times New Roman" w:eastAsia="Times New Roman" w:hAnsi="Times New Roman" w:cs="Times New Roman"/>
                <w:b w:val="0"/>
                <w:i w:val="0"/>
                <w:vanish w:val="0"/>
                <w:color w:val="000000"/>
                <w:sz w:val="20"/>
              </w:rPr>
              <w:t>R.2.7.2</w:t>
            </w:r>
          </w:p>
        </w:tc>
        <w:tc>
          <w:tcPr>
            <w:tcW w:w="15%" w:type="pct"/>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20"/>
              </w:rPr>
            </w:pPr>
            <w:r>
              <w:rPr>
                <w:rFonts w:ascii="Times New Roman" w:eastAsia="Times New Roman" w:hAnsi="Times New Roman" w:cs="Times New Roman"/>
                <w:b w:val="0"/>
                <w:i w:val="0"/>
                <w:vanish w:val="0"/>
                <w:color w:val="000000"/>
                <w:sz w:val="20"/>
              </w:rPr>
              <w:t>Količina orožja, zaseženega v čezmejnih operacijah – drugo kratkocevno strelno orožje: revolverji in pištole (vključno z rekvizitnim in akustičnim orožjem)</w:t>
            </w:r>
          </w:p>
        </w:tc>
        <w:tc>
          <w:tcPr>
            <w:tcW w:w="10%" w:type="pct"/>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20"/>
              </w:rPr>
            </w:pPr>
            <w:r>
              <w:rPr>
                <w:rFonts w:ascii="Times New Roman" w:eastAsia="Times New Roman" w:hAnsi="Times New Roman" w:cs="Times New Roman"/>
                <w:b w:val="0"/>
                <w:i w:val="0"/>
                <w:vanish w:val="0"/>
                <w:color w:val="000000"/>
                <w:sz w:val="20"/>
              </w:rPr>
              <w:t>število</w:t>
            </w:r>
          </w:p>
        </w:tc>
        <w:tc>
          <w:tcPr>
            <w:tcW w:w="10%" w:type="pct"/>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20"/>
              </w:rPr>
            </w:pPr>
            <w:r>
              <w:rPr>
                <w:rFonts w:ascii="Times New Roman" w:eastAsia="Times New Roman" w:hAnsi="Times New Roman" w:cs="Times New Roman"/>
                <w:b w:val="0"/>
                <w:i w:val="0"/>
                <w:vanish w:val="0"/>
                <w:color w:val="000000"/>
                <w:sz w:val="20"/>
              </w:rPr>
              <w:t>0</w:t>
            </w:r>
          </w:p>
        </w:tc>
        <w:tc>
          <w:tcPr>
            <w:tcW w:w="10%" w:type="pct"/>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20"/>
              </w:rPr>
            </w:pPr>
            <w:r>
              <w:rPr>
                <w:rFonts w:ascii="Times New Roman" w:eastAsia="Times New Roman" w:hAnsi="Times New Roman" w:cs="Times New Roman"/>
                <w:b w:val="0"/>
                <w:i w:val="0"/>
                <w:vanish w:val="0"/>
                <w:color w:val="000000"/>
                <w:sz w:val="20"/>
              </w:rPr>
              <w:t>število</w:t>
            </w:r>
          </w:p>
        </w:tc>
        <w:tc>
          <w:tcPr>
            <w:tcW w:w="10%" w:type="pct"/>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center"/>
              <w:rPr>
                <w:rFonts w:ascii="Times New Roman" w:eastAsia="Times New Roman" w:hAnsi="Times New Roman" w:cs="Times New Roman"/>
                <w:b w:val="0"/>
                <w:i w:val="0"/>
                <w:vanish w:val="0"/>
                <w:color w:val="000000"/>
                <w:sz w:val="20"/>
              </w:rPr>
            </w:pPr>
            <w:r>
              <w:rPr>
                <w:rFonts w:ascii="Times New Roman" w:eastAsia="Times New Roman" w:hAnsi="Times New Roman" w:cs="Times New Roman"/>
                <w:b w:val="0"/>
                <w:i w:val="0"/>
                <w:vanish w:val="0"/>
                <w:color w:val="000000"/>
                <w:sz w:val="20"/>
              </w:rPr>
              <w:t>2021</w:t>
            </w:r>
          </w:p>
        </w:tc>
        <w:tc>
          <w:tcPr>
            <w:tcW w:w="10%" w:type="pct"/>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center"/>
              <w:rPr>
                <w:rFonts w:ascii="Times New Roman" w:eastAsia="Times New Roman" w:hAnsi="Times New Roman" w:cs="Times New Roman"/>
                <w:b w:val="0"/>
                <w:i w:val="0"/>
                <w:vanish w:val="0"/>
                <w:color w:val="000000"/>
                <w:sz w:val="20"/>
              </w:rPr>
            </w:pPr>
            <w:r>
              <w:rPr>
                <w:rFonts w:ascii="Times New Roman" w:eastAsia="Times New Roman" w:hAnsi="Times New Roman" w:cs="Times New Roman"/>
                <w:b w:val="0"/>
                <w:i w:val="0"/>
                <w:vanish w:val="0"/>
                <w:color w:val="000000"/>
                <w:sz w:val="20"/>
              </w:rPr>
              <w:t>285</w:t>
            </w:r>
          </w:p>
        </w:tc>
        <w:tc>
          <w:tcPr>
            <w:tcW w:w="10%" w:type="pct"/>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20"/>
              </w:rPr>
            </w:pPr>
            <w:r>
              <w:rPr>
                <w:rFonts w:ascii="Times New Roman" w:eastAsia="Times New Roman" w:hAnsi="Times New Roman" w:cs="Times New Roman"/>
                <w:b w:val="0"/>
                <w:i w:val="0"/>
                <w:vanish w:val="0"/>
                <w:color w:val="000000"/>
                <w:sz w:val="20"/>
              </w:rPr>
              <w:t>število</w:t>
            </w:r>
          </w:p>
        </w:tc>
        <w:tc>
          <w:tcPr>
            <w:tcW w:w="10%" w:type="pct"/>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20"/>
              </w:rPr>
            </w:pPr>
            <w:r>
              <w:rPr>
                <w:rFonts w:ascii="Times New Roman" w:eastAsia="Times New Roman" w:hAnsi="Times New Roman" w:cs="Times New Roman"/>
                <w:b w:val="0"/>
                <w:i w:val="0"/>
                <w:vanish w:val="0"/>
                <w:color w:val="000000"/>
                <w:sz w:val="20"/>
              </w:rPr>
              <w:t>Letno in polletno poročilo o delu policije.</w:t>
            </w:r>
          </w:p>
        </w:tc>
        <w:tc>
          <w:tcPr>
            <w:tcW w:w="10%" w:type="pct"/>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20"/>
              </w:rPr>
            </w:pPr>
          </w:p>
        </w:tc>
      </w:tr>
      <w:tr>
        <w:tblPrEx>
          <w:tblW w:w="100%" w:type="pct"/>
          <w:tblLayout w:type="fixed"/>
        </w:tblPrEx>
        <w:trPr>
          <w:cantSplit w:val="0"/>
          <w:trHeight w:hRule="auto" w:val="0"/>
          <w:tblHeader w:val="0"/>
        </w:trPr>
        <w:tc>
          <w:tcPr>
            <w:tcW w:w="5%" w:type="pct"/>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20"/>
              </w:rPr>
            </w:pPr>
            <w:r>
              <w:rPr>
                <w:rFonts w:ascii="Times New Roman" w:eastAsia="Times New Roman" w:hAnsi="Times New Roman" w:cs="Times New Roman"/>
                <w:b w:val="0"/>
                <w:i w:val="0"/>
                <w:vanish w:val="0"/>
                <w:color w:val="000000"/>
                <w:sz w:val="20"/>
              </w:rPr>
              <w:t>R.2.7.3</w:t>
            </w:r>
          </w:p>
        </w:tc>
        <w:tc>
          <w:tcPr>
            <w:tcW w:w="15%" w:type="pct"/>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20"/>
              </w:rPr>
            </w:pPr>
            <w:r>
              <w:rPr>
                <w:rFonts w:ascii="Times New Roman" w:eastAsia="Times New Roman" w:hAnsi="Times New Roman" w:cs="Times New Roman"/>
                <w:b w:val="0"/>
                <w:i w:val="0"/>
                <w:vanish w:val="0"/>
                <w:color w:val="000000"/>
                <w:sz w:val="20"/>
              </w:rPr>
              <w:t>Količina orožja, zaseženega v čezmejnih operacijah – drugo dolgocevno orožje: puške in šibrenice (vključno z rekvizitnim in akustičnim orožjem)</w:t>
            </w:r>
          </w:p>
        </w:tc>
        <w:tc>
          <w:tcPr>
            <w:tcW w:w="10%" w:type="pct"/>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20"/>
              </w:rPr>
            </w:pPr>
            <w:r>
              <w:rPr>
                <w:rFonts w:ascii="Times New Roman" w:eastAsia="Times New Roman" w:hAnsi="Times New Roman" w:cs="Times New Roman"/>
                <w:b w:val="0"/>
                <w:i w:val="0"/>
                <w:vanish w:val="0"/>
                <w:color w:val="000000"/>
                <w:sz w:val="20"/>
              </w:rPr>
              <w:t>število</w:t>
            </w:r>
          </w:p>
        </w:tc>
        <w:tc>
          <w:tcPr>
            <w:tcW w:w="10%" w:type="pct"/>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20"/>
              </w:rPr>
            </w:pPr>
            <w:r>
              <w:rPr>
                <w:rFonts w:ascii="Times New Roman" w:eastAsia="Times New Roman" w:hAnsi="Times New Roman" w:cs="Times New Roman"/>
                <w:b w:val="0"/>
                <w:i w:val="0"/>
                <w:vanish w:val="0"/>
                <w:color w:val="000000"/>
                <w:sz w:val="20"/>
              </w:rPr>
              <w:t>0</w:t>
            </w:r>
          </w:p>
        </w:tc>
        <w:tc>
          <w:tcPr>
            <w:tcW w:w="10%" w:type="pct"/>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20"/>
              </w:rPr>
            </w:pPr>
            <w:r>
              <w:rPr>
                <w:rFonts w:ascii="Times New Roman" w:eastAsia="Times New Roman" w:hAnsi="Times New Roman" w:cs="Times New Roman"/>
                <w:b w:val="0"/>
                <w:i w:val="0"/>
                <w:vanish w:val="0"/>
                <w:color w:val="000000"/>
                <w:sz w:val="20"/>
              </w:rPr>
              <w:t>število</w:t>
            </w:r>
          </w:p>
        </w:tc>
        <w:tc>
          <w:tcPr>
            <w:tcW w:w="10%" w:type="pct"/>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center"/>
              <w:rPr>
                <w:rFonts w:ascii="Times New Roman" w:eastAsia="Times New Roman" w:hAnsi="Times New Roman" w:cs="Times New Roman"/>
                <w:b w:val="0"/>
                <w:i w:val="0"/>
                <w:vanish w:val="0"/>
                <w:color w:val="000000"/>
                <w:sz w:val="20"/>
              </w:rPr>
            </w:pPr>
            <w:r>
              <w:rPr>
                <w:rFonts w:ascii="Times New Roman" w:eastAsia="Times New Roman" w:hAnsi="Times New Roman" w:cs="Times New Roman"/>
                <w:b w:val="0"/>
                <w:i w:val="0"/>
                <w:vanish w:val="0"/>
                <w:color w:val="000000"/>
                <w:sz w:val="20"/>
              </w:rPr>
              <w:t>2021</w:t>
            </w:r>
          </w:p>
        </w:tc>
        <w:tc>
          <w:tcPr>
            <w:tcW w:w="10%" w:type="pct"/>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center"/>
              <w:rPr>
                <w:rFonts w:ascii="Times New Roman" w:eastAsia="Times New Roman" w:hAnsi="Times New Roman" w:cs="Times New Roman"/>
                <w:b w:val="0"/>
                <w:i w:val="0"/>
                <w:vanish w:val="0"/>
                <w:color w:val="000000"/>
                <w:sz w:val="20"/>
              </w:rPr>
            </w:pPr>
            <w:r>
              <w:rPr>
                <w:rFonts w:ascii="Times New Roman" w:eastAsia="Times New Roman" w:hAnsi="Times New Roman" w:cs="Times New Roman"/>
                <w:b w:val="0"/>
                <w:i w:val="0"/>
                <w:vanish w:val="0"/>
                <w:color w:val="000000"/>
                <w:sz w:val="20"/>
              </w:rPr>
              <w:t>416</w:t>
            </w:r>
          </w:p>
        </w:tc>
        <w:tc>
          <w:tcPr>
            <w:tcW w:w="10%" w:type="pct"/>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20"/>
              </w:rPr>
            </w:pPr>
            <w:r>
              <w:rPr>
                <w:rFonts w:ascii="Times New Roman" w:eastAsia="Times New Roman" w:hAnsi="Times New Roman" w:cs="Times New Roman"/>
                <w:b w:val="0"/>
                <w:i w:val="0"/>
                <w:vanish w:val="0"/>
                <w:color w:val="000000"/>
                <w:sz w:val="20"/>
              </w:rPr>
              <w:t>število</w:t>
            </w:r>
          </w:p>
        </w:tc>
        <w:tc>
          <w:tcPr>
            <w:tcW w:w="10%" w:type="pct"/>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20"/>
              </w:rPr>
            </w:pPr>
            <w:r>
              <w:rPr>
                <w:rFonts w:ascii="Times New Roman" w:eastAsia="Times New Roman" w:hAnsi="Times New Roman" w:cs="Times New Roman"/>
                <w:b w:val="0"/>
                <w:i w:val="0"/>
                <w:vanish w:val="0"/>
                <w:color w:val="000000"/>
                <w:sz w:val="20"/>
              </w:rPr>
              <w:t>Letno in polletno poročilo o delu policije.</w:t>
            </w:r>
          </w:p>
        </w:tc>
        <w:tc>
          <w:tcPr>
            <w:tcW w:w="10%" w:type="pct"/>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20"/>
              </w:rPr>
            </w:pPr>
          </w:p>
        </w:tc>
      </w:tr>
      <w:tr>
        <w:tblPrEx>
          <w:tblW w:w="100%" w:type="pct"/>
          <w:tblLayout w:type="fixed"/>
        </w:tblPrEx>
        <w:trPr>
          <w:cantSplit w:val="0"/>
          <w:trHeight w:hRule="auto" w:val="0"/>
          <w:tblHeader w:val="0"/>
        </w:trPr>
        <w:tc>
          <w:tcPr>
            <w:tcW w:w="5%" w:type="pct"/>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20"/>
              </w:rPr>
            </w:pPr>
            <w:r>
              <w:rPr>
                <w:rFonts w:ascii="Times New Roman" w:eastAsia="Times New Roman" w:hAnsi="Times New Roman" w:cs="Times New Roman"/>
                <w:b w:val="0"/>
                <w:i w:val="0"/>
                <w:vanish w:val="0"/>
                <w:color w:val="000000"/>
                <w:sz w:val="20"/>
              </w:rPr>
              <w:t>R.2.8</w:t>
            </w:r>
          </w:p>
        </w:tc>
        <w:tc>
          <w:tcPr>
            <w:tcW w:w="15%" w:type="pct"/>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20"/>
              </w:rPr>
            </w:pPr>
            <w:r>
              <w:rPr>
                <w:rFonts w:ascii="Times New Roman" w:eastAsia="Times New Roman" w:hAnsi="Times New Roman" w:cs="Times New Roman"/>
                <w:b w:val="0"/>
                <w:i w:val="0"/>
                <w:vanish w:val="0"/>
                <w:color w:val="000000"/>
                <w:sz w:val="20"/>
              </w:rPr>
              <w:t>Število upravnih enot, ki so razvile/prilagodile obstoječe mehanizme/postopke/orodja/smernice za sodelovanje z drugimi državami članicami/agencijami EU/mednarodnimi organizacijami/tretjimi državami</w:t>
            </w:r>
          </w:p>
        </w:tc>
        <w:tc>
          <w:tcPr>
            <w:tcW w:w="10%" w:type="pct"/>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20"/>
              </w:rPr>
            </w:pPr>
            <w:r>
              <w:rPr>
                <w:rFonts w:ascii="Times New Roman" w:eastAsia="Times New Roman" w:hAnsi="Times New Roman" w:cs="Times New Roman"/>
                <w:b w:val="0"/>
                <w:i w:val="0"/>
                <w:vanish w:val="0"/>
                <w:color w:val="000000"/>
                <w:sz w:val="20"/>
              </w:rPr>
              <w:t>število</w:t>
            </w:r>
          </w:p>
        </w:tc>
        <w:tc>
          <w:tcPr>
            <w:tcW w:w="10%" w:type="pct"/>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20"/>
              </w:rPr>
            </w:pPr>
            <w:r>
              <w:rPr>
                <w:rFonts w:ascii="Times New Roman" w:eastAsia="Times New Roman" w:hAnsi="Times New Roman" w:cs="Times New Roman"/>
                <w:b w:val="0"/>
                <w:i w:val="0"/>
                <w:vanish w:val="0"/>
                <w:color w:val="000000"/>
                <w:sz w:val="20"/>
              </w:rPr>
              <w:t>0</w:t>
            </w:r>
          </w:p>
        </w:tc>
        <w:tc>
          <w:tcPr>
            <w:tcW w:w="10%" w:type="pct"/>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20"/>
              </w:rPr>
            </w:pPr>
            <w:r>
              <w:rPr>
                <w:rFonts w:ascii="Times New Roman" w:eastAsia="Times New Roman" w:hAnsi="Times New Roman" w:cs="Times New Roman"/>
                <w:b w:val="0"/>
                <w:i w:val="0"/>
                <w:vanish w:val="0"/>
                <w:color w:val="000000"/>
                <w:sz w:val="20"/>
              </w:rPr>
              <w:t>število</w:t>
            </w:r>
          </w:p>
        </w:tc>
        <w:tc>
          <w:tcPr>
            <w:tcW w:w="10%" w:type="pct"/>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center"/>
              <w:rPr>
                <w:rFonts w:ascii="Times New Roman" w:eastAsia="Times New Roman" w:hAnsi="Times New Roman" w:cs="Times New Roman"/>
                <w:b w:val="0"/>
                <w:i w:val="0"/>
                <w:vanish w:val="0"/>
                <w:color w:val="000000"/>
                <w:sz w:val="20"/>
              </w:rPr>
            </w:pPr>
            <w:r>
              <w:rPr>
                <w:rFonts w:ascii="Times New Roman" w:eastAsia="Times New Roman" w:hAnsi="Times New Roman" w:cs="Times New Roman"/>
                <w:b w:val="0"/>
                <w:i w:val="0"/>
                <w:vanish w:val="0"/>
                <w:color w:val="000000"/>
                <w:sz w:val="20"/>
              </w:rPr>
              <w:t>2021</w:t>
            </w:r>
          </w:p>
        </w:tc>
        <w:tc>
          <w:tcPr>
            <w:tcW w:w="10%" w:type="pct"/>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center"/>
              <w:rPr>
                <w:rFonts w:ascii="Times New Roman" w:eastAsia="Times New Roman" w:hAnsi="Times New Roman" w:cs="Times New Roman"/>
                <w:b w:val="0"/>
                <w:i w:val="0"/>
                <w:vanish w:val="0"/>
                <w:color w:val="000000"/>
                <w:sz w:val="20"/>
              </w:rPr>
            </w:pPr>
            <w:r>
              <w:rPr>
                <w:rFonts w:ascii="Times New Roman" w:eastAsia="Times New Roman" w:hAnsi="Times New Roman" w:cs="Times New Roman"/>
                <w:b w:val="0"/>
                <w:i w:val="0"/>
                <w:vanish w:val="0"/>
                <w:color w:val="000000"/>
                <w:sz w:val="20"/>
              </w:rPr>
              <w:t>2</w:t>
            </w:r>
          </w:p>
        </w:tc>
        <w:tc>
          <w:tcPr>
            <w:tcW w:w="10%" w:type="pct"/>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20"/>
              </w:rPr>
            </w:pPr>
            <w:r>
              <w:rPr>
                <w:rFonts w:ascii="Times New Roman" w:eastAsia="Times New Roman" w:hAnsi="Times New Roman" w:cs="Times New Roman"/>
                <w:b w:val="0"/>
                <w:i w:val="0"/>
                <w:vanish w:val="0"/>
                <w:color w:val="000000"/>
                <w:sz w:val="20"/>
              </w:rPr>
              <w:t>število</w:t>
            </w:r>
          </w:p>
        </w:tc>
        <w:tc>
          <w:tcPr>
            <w:tcW w:w="10%" w:type="pct"/>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20"/>
              </w:rPr>
            </w:pPr>
            <w:r>
              <w:rPr>
                <w:rFonts w:ascii="Times New Roman" w:eastAsia="Times New Roman" w:hAnsi="Times New Roman" w:cs="Times New Roman"/>
                <w:b w:val="0"/>
                <w:i w:val="0"/>
                <w:vanish w:val="0"/>
                <w:color w:val="000000"/>
                <w:sz w:val="20"/>
              </w:rPr>
              <w:t>Evidenca policije (UKP GPU).</w:t>
            </w:r>
          </w:p>
        </w:tc>
        <w:tc>
          <w:tcPr>
            <w:tcW w:w="10%" w:type="pct"/>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20"/>
              </w:rPr>
            </w:pPr>
          </w:p>
        </w:tc>
      </w:tr>
      <w:tr>
        <w:tblPrEx>
          <w:tblW w:w="100%" w:type="pct"/>
          <w:tblLayout w:type="fixed"/>
        </w:tblPrEx>
        <w:trPr>
          <w:cantSplit w:val="0"/>
          <w:trHeight w:hRule="auto" w:val="0"/>
          <w:tblHeader w:val="0"/>
        </w:trPr>
        <w:tc>
          <w:tcPr>
            <w:tcW w:w="5%" w:type="pct"/>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20"/>
              </w:rPr>
            </w:pPr>
            <w:r>
              <w:rPr>
                <w:rFonts w:ascii="Times New Roman" w:eastAsia="Times New Roman" w:hAnsi="Times New Roman" w:cs="Times New Roman"/>
                <w:b w:val="0"/>
                <w:i w:val="0"/>
                <w:vanish w:val="0"/>
                <w:color w:val="000000"/>
                <w:sz w:val="20"/>
              </w:rPr>
              <w:t>R.2.9</w:t>
            </w:r>
          </w:p>
        </w:tc>
        <w:tc>
          <w:tcPr>
            <w:tcW w:w="15%" w:type="pct"/>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20"/>
              </w:rPr>
            </w:pPr>
            <w:r>
              <w:rPr>
                <w:rFonts w:ascii="Times New Roman" w:eastAsia="Times New Roman" w:hAnsi="Times New Roman" w:cs="Times New Roman"/>
                <w:b w:val="0"/>
                <w:i w:val="0"/>
                <w:vanish w:val="0"/>
                <w:color w:val="000000"/>
                <w:sz w:val="20"/>
              </w:rPr>
              <w:t>Število osebja, udeleženega v čezmejnih operacijah</w:t>
            </w:r>
          </w:p>
        </w:tc>
        <w:tc>
          <w:tcPr>
            <w:tcW w:w="10%" w:type="pct"/>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20"/>
              </w:rPr>
            </w:pPr>
            <w:r>
              <w:rPr>
                <w:rFonts w:ascii="Times New Roman" w:eastAsia="Times New Roman" w:hAnsi="Times New Roman" w:cs="Times New Roman"/>
                <w:b w:val="0"/>
                <w:i w:val="0"/>
                <w:vanish w:val="0"/>
                <w:color w:val="000000"/>
                <w:sz w:val="20"/>
              </w:rPr>
              <w:t>število</w:t>
            </w:r>
          </w:p>
        </w:tc>
        <w:tc>
          <w:tcPr>
            <w:tcW w:w="10%" w:type="pct"/>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20"/>
              </w:rPr>
            </w:pPr>
            <w:r>
              <w:rPr>
                <w:rFonts w:ascii="Times New Roman" w:eastAsia="Times New Roman" w:hAnsi="Times New Roman" w:cs="Times New Roman"/>
                <w:b w:val="0"/>
                <w:i w:val="0"/>
                <w:vanish w:val="0"/>
                <w:color w:val="000000"/>
                <w:sz w:val="20"/>
              </w:rPr>
              <w:t>0</w:t>
            </w:r>
          </w:p>
        </w:tc>
        <w:tc>
          <w:tcPr>
            <w:tcW w:w="10%" w:type="pct"/>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20"/>
              </w:rPr>
            </w:pPr>
            <w:r>
              <w:rPr>
                <w:rFonts w:ascii="Times New Roman" w:eastAsia="Times New Roman" w:hAnsi="Times New Roman" w:cs="Times New Roman"/>
                <w:b w:val="0"/>
                <w:i w:val="0"/>
                <w:vanish w:val="0"/>
                <w:color w:val="000000"/>
                <w:sz w:val="20"/>
              </w:rPr>
              <w:t>število</w:t>
            </w:r>
          </w:p>
        </w:tc>
        <w:tc>
          <w:tcPr>
            <w:tcW w:w="10%" w:type="pct"/>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center"/>
              <w:rPr>
                <w:rFonts w:ascii="Times New Roman" w:eastAsia="Times New Roman" w:hAnsi="Times New Roman" w:cs="Times New Roman"/>
                <w:b w:val="0"/>
                <w:i w:val="0"/>
                <w:vanish w:val="0"/>
                <w:color w:val="000000"/>
                <w:sz w:val="20"/>
              </w:rPr>
            </w:pPr>
            <w:r>
              <w:rPr>
                <w:rFonts w:ascii="Times New Roman" w:eastAsia="Times New Roman" w:hAnsi="Times New Roman" w:cs="Times New Roman"/>
                <w:b w:val="0"/>
                <w:i w:val="0"/>
                <w:vanish w:val="0"/>
                <w:color w:val="000000"/>
                <w:sz w:val="20"/>
              </w:rPr>
              <w:t>2021</w:t>
            </w:r>
          </w:p>
        </w:tc>
        <w:tc>
          <w:tcPr>
            <w:tcW w:w="10%" w:type="pct"/>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center"/>
              <w:rPr>
                <w:rFonts w:ascii="Times New Roman" w:eastAsia="Times New Roman" w:hAnsi="Times New Roman" w:cs="Times New Roman"/>
                <w:b w:val="0"/>
                <w:i w:val="0"/>
                <w:vanish w:val="0"/>
                <w:color w:val="000000"/>
                <w:sz w:val="20"/>
              </w:rPr>
            </w:pPr>
            <w:r>
              <w:rPr>
                <w:rFonts w:ascii="Times New Roman" w:eastAsia="Times New Roman" w:hAnsi="Times New Roman" w:cs="Times New Roman"/>
                <w:b w:val="0"/>
                <w:i w:val="0"/>
                <w:vanish w:val="0"/>
                <w:color w:val="000000"/>
                <w:sz w:val="20"/>
              </w:rPr>
              <w:t>265</w:t>
            </w:r>
          </w:p>
        </w:tc>
        <w:tc>
          <w:tcPr>
            <w:tcW w:w="10%" w:type="pct"/>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20"/>
              </w:rPr>
            </w:pPr>
            <w:r>
              <w:rPr>
                <w:rFonts w:ascii="Times New Roman" w:eastAsia="Times New Roman" w:hAnsi="Times New Roman" w:cs="Times New Roman"/>
                <w:b w:val="0"/>
                <w:i w:val="0"/>
                <w:vanish w:val="0"/>
                <w:color w:val="000000"/>
                <w:sz w:val="20"/>
              </w:rPr>
              <w:t>število</w:t>
            </w:r>
          </w:p>
        </w:tc>
        <w:tc>
          <w:tcPr>
            <w:tcW w:w="10%" w:type="pct"/>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20"/>
              </w:rPr>
            </w:pPr>
            <w:r>
              <w:rPr>
                <w:rFonts w:ascii="Times New Roman" w:eastAsia="Times New Roman" w:hAnsi="Times New Roman" w:cs="Times New Roman"/>
                <w:b w:val="0"/>
                <w:i w:val="0"/>
                <w:vanish w:val="0"/>
                <w:color w:val="000000"/>
                <w:sz w:val="20"/>
              </w:rPr>
              <w:t>Evidenca policije (UKP GPU).</w:t>
            </w:r>
          </w:p>
        </w:tc>
        <w:tc>
          <w:tcPr>
            <w:tcW w:w="10%" w:type="pct"/>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20"/>
              </w:rPr>
            </w:pPr>
          </w:p>
        </w:tc>
      </w:tr>
      <w:tr>
        <w:tblPrEx>
          <w:tblW w:w="100%" w:type="pct"/>
          <w:tblLayout w:type="fixed"/>
        </w:tblPrEx>
        <w:trPr>
          <w:cantSplit w:val="0"/>
          <w:trHeight w:hRule="auto" w:val="0"/>
          <w:tblHeader w:val="0"/>
        </w:trPr>
        <w:tc>
          <w:tcPr>
            <w:tcW w:w="5%" w:type="pct"/>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20"/>
              </w:rPr>
            </w:pPr>
            <w:r>
              <w:rPr>
                <w:rFonts w:ascii="Times New Roman" w:eastAsia="Times New Roman" w:hAnsi="Times New Roman" w:cs="Times New Roman"/>
                <w:b w:val="0"/>
                <w:i w:val="0"/>
                <w:vanish w:val="0"/>
                <w:color w:val="000000"/>
                <w:sz w:val="20"/>
              </w:rPr>
              <w:t>R.2.10</w:t>
            </w:r>
          </w:p>
        </w:tc>
        <w:tc>
          <w:tcPr>
            <w:tcW w:w="15%" w:type="pct"/>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20"/>
              </w:rPr>
            </w:pPr>
            <w:r>
              <w:rPr>
                <w:rFonts w:ascii="Times New Roman" w:eastAsia="Times New Roman" w:hAnsi="Times New Roman" w:cs="Times New Roman"/>
                <w:b w:val="0"/>
                <w:i w:val="0"/>
                <w:vanish w:val="0"/>
                <w:color w:val="000000"/>
                <w:sz w:val="20"/>
              </w:rPr>
              <w:t>Število obravnavanih priporočil na podlagi schengenskega ocenjevanja</w:t>
            </w:r>
          </w:p>
        </w:tc>
        <w:tc>
          <w:tcPr>
            <w:tcW w:w="10%" w:type="pct"/>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20"/>
              </w:rPr>
            </w:pPr>
            <w:r>
              <w:rPr>
                <w:rFonts w:ascii="Times New Roman" w:eastAsia="Times New Roman" w:hAnsi="Times New Roman" w:cs="Times New Roman"/>
                <w:b w:val="0"/>
                <w:i w:val="0"/>
                <w:vanish w:val="0"/>
                <w:color w:val="000000"/>
                <w:sz w:val="20"/>
              </w:rPr>
              <w:t>število</w:t>
            </w:r>
          </w:p>
        </w:tc>
        <w:tc>
          <w:tcPr>
            <w:tcW w:w="10%" w:type="pct"/>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20"/>
              </w:rPr>
            </w:pPr>
            <w:r>
              <w:rPr>
                <w:rFonts w:ascii="Times New Roman" w:eastAsia="Times New Roman" w:hAnsi="Times New Roman" w:cs="Times New Roman"/>
                <w:b w:val="0"/>
                <w:i w:val="0"/>
                <w:vanish w:val="0"/>
                <w:color w:val="000000"/>
                <w:sz w:val="20"/>
              </w:rPr>
              <w:t>0</w:t>
            </w:r>
          </w:p>
        </w:tc>
        <w:tc>
          <w:tcPr>
            <w:tcW w:w="10%" w:type="pct"/>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20"/>
              </w:rPr>
            </w:pPr>
            <w:r>
              <w:rPr>
                <w:rFonts w:ascii="Times New Roman" w:eastAsia="Times New Roman" w:hAnsi="Times New Roman" w:cs="Times New Roman"/>
                <w:b w:val="0"/>
                <w:i w:val="0"/>
                <w:vanish w:val="0"/>
                <w:color w:val="000000"/>
                <w:sz w:val="20"/>
              </w:rPr>
              <w:t>število</w:t>
            </w:r>
          </w:p>
        </w:tc>
        <w:tc>
          <w:tcPr>
            <w:tcW w:w="10%" w:type="pct"/>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center"/>
              <w:rPr>
                <w:rFonts w:ascii="Times New Roman" w:eastAsia="Times New Roman" w:hAnsi="Times New Roman" w:cs="Times New Roman"/>
                <w:b w:val="0"/>
                <w:i w:val="0"/>
                <w:vanish w:val="0"/>
                <w:color w:val="000000"/>
                <w:sz w:val="20"/>
              </w:rPr>
            </w:pPr>
            <w:r>
              <w:rPr>
                <w:rFonts w:ascii="Times New Roman" w:eastAsia="Times New Roman" w:hAnsi="Times New Roman" w:cs="Times New Roman"/>
                <w:b w:val="0"/>
                <w:i w:val="0"/>
                <w:vanish w:val="0"/>
                <w:color w:val="000000"/>
                <w:sz w:val="20"/>
              </w:rPr>
              <w:t>2021</w:t>
            </w:r>
          </w:p>
        </w:tc>
        <w:tc>
          <w:tcPr>
            <w:tcW w:w="10%" w:type="pct"/>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center"/>
              <w:rPr>
                <w:rFonts w:ascii="Times New Roman" w:eastAsia="Times New Roman" w:hAnsi="Times New Roman" w:cs="Times New Roman"/>
                <w:b w:val="0"/>
                <w:i w:val="0"/>
                <w:vanish w:val="0"/>
                <w:color w:val="000000"/>
                <w:sz w:val="20"/>
              </w:rPr>
            </w:pPr>
            <w:r>
              <w:rPr>
                <w:rFonts w:ascii="Times New Roman" w:eastAsia="Times New Roman" w:hAnsi="Times New Roman" w:cs="Times New Roman"/>
                <w:b w:val="0"/>
                <w:i w:val="0"/>
                <w:vanish w:val="0"/>
                <w:color w:val="000000"/>
                <w:sz w:val="20"/>
              </w:rPr>
              <w:t>100</w:t>
            </w:r>
          </w:p>
        </w:tc>
        <w:tc>
          <w:tcPr>
            <w:tcW w:w="10%" w:type="pct"/>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20"/>
              </w:rPr>
            </w:pPr>
            <w:r>
              <w:rPr>
                <w:rFonts w:ascii="Times New Roman" w:eastAsia="Times New Roman" w:hAnsi="Times New Roman" w:cs="Times New Roman"/>
                <w:b w:val="0"/>
                <w:i w:val="0"/>
                <w:vanish w:val="0"/>
                <w:color w:val="000000"/>
                <w:sz w:val="20"/>
              </w:rPr>
              <w:t>odstotek</w:t>
            </w:r>
          </w:p>
        </w:tc>
        <w:tc>
          <w:tcPr>
            <w:tcW w:w="10%" w:type="pct"/>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20"/>
              </w:rPr>
            </w:pPr>
            <w:r>
              <w:rPr>
                <w:rFonts w:ascii="Times New Roman" w:eastAsia="Times New Roman" w:hAnsi="Times New Roman" w:cs="Times New Roman"/>
                <w:b w:val="0"/>
                <w:i w:val="0"/>
                <w:vanish w:val="0"/>
                <w:color w:val="000000"/>
                <w:sz w:val="20"/>
              </w:rPr>
              <w:t>Evidenca policije (UKP GPU).</w:t>
            </w:r>
          </w:p>
        </w:tc>
        <w:tc>
          <w:tcPr>
            <w:tcW w:w="10%" w:type="pct"/>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20"/>
              </w:rPr>
            </w:pPr>
          </w:p>
        </w:tc>
      </w:tr>
    </w:tbl>
    <w:p w:rsidR="00A77B3E">
      <w:pPr>
        <w:spacing w:before="100" w:after="0"/>
        <w:jc w:val="start"/>
        <w:rPr>
          <w:rFonts w:ascii="Times New Roman" w:eastAsia="Times New Roman" w:hAnsi="Times New Roman" w:cs="Times New Roman"/>
          <w:b w:val="0"/>
          <w:i w:val="0"/>
          <w:vanish w:val="0"/>
          <w:color w:val="000000"/>
          <w:sz w:val="20"/>
        </w:rPr>
        <w:sectPr>
          <w:headerReference w:type="even" r:id="rId34"/>
          <w:headerReference w:type="default" r:id="rId35"/>
          <w:footerReference w:type="even" r:id="rId36"/>
          <w:footerReference w:type="default" r:id="rId37"/>
          <w:headerReference w:type="first" r:id="rId38"/>
          <w:footerReference w:type="first" r:id="rId39"/>
          <w:type w:val="nextPage"/>
          <w:pgSz w:w="16838" w:h="11906" w:orient="landscape"/>
          <w:pgMar w:top="720" w:right="720" w:bottom="864" w:left="936" w:header="288" w:footer="72" w:gutter="0"/>
          <w:cols w:space="720"/>
          <w:noEndnote/>
          <w:docGrid w:linePitch="360"/>
        </w:sectPr>
      </w:pPr>
    </w:p>
    <w:p w:rsidR="00A77B3E">
      <w:pPr>
        <w:spacing w:before="100" w:after="0"/>
        <w:jc w:val="start"/>
        <w:rPr>
          <w:rFonts w:ascii="Times New Roman" w:eastAsia="Times New Roman" w:hAnsi="Times New Roman" w:cs="Times New Roman"/>
          <w:b w:val="0"/>
          <w:i w:val="0"/>
          <w:vanish w:val="0"/>
          <w:color w:val="000000"/>
          <w:sz w:val="0"/>
        </w:rPr>
      </w:pPr>
      <w:r>
        <w:rPr>
          <w:rFonts w:ascii="Times New Roman" w:eastAsia="Times New Roman" w:hAnsi="Times New Roman" w:cs="Times New Roman"/>
          <w:b w:val="0"/>
          <w:i w:val="0"/>
          <w:vanish w:val="0"/>
          <w:color w:val="000000"/>
          <w:sz w:val="24"/>
        </w:rPr>
        <w:t>2.1. Specifični cilj 2. Čezmejno sodelovanje</w:t>
      </w:r>
    </w:p>
    <w:p w:rsidR="00A77B3E">
      <w:pPr>
        <w:pStyle w:val="Heading3"/>
        <w:spacing w:before="100" w:after="0"/>
        <w:jc w:val="start"/>
        <w:rPr>
          <w:rFonts w:ascii="Times New Roman" w:eastAsia="Times New Roman" w:hAnsi="Times New Roman" w:cs="Times New Roman"/>
          <w:b w:val="0"/>
          <w:i w:val="0"/>
          <w:vanish w:val="0"/>
          <w:color w:val="000000"/>
          <w:sz w:val="24"/>
        </w:rPr>
      </w:pPr>
      <w:bookmarkStart w:id="14" w:name="_Toc256000069"/>
      <w:r>
        <w:rPr>
          <w:rFonts w:ascii="Times New Roman" w:eastAsia="Times New Roman" w:hAnsi="Times New Roman" w:cs="Times New Roman"/>
          <w:b w:val="0"/>
          <w:i w:val="0"/>
          <w:vanish w:val="0"/>
          <w:color w:val="000000"/>
          <w:sz w:val="24"/>
        </w:rPr>
        <w:t>2.1.3. Okvirna razčlenitev programskih sredstev (EU) po vrsti ukrepa</w:t>
      </w:r>
      <w:bookmarkEnd w:id="14"/>
    </w:p>
    <w:p w:rsidR="00A77B3E">
      <w:pPr>
        <w:spacing w:before="100" w:after="0"/>
        <w:jc w:val="start"/>
        <w:rPr>
          <w:rFonts w:ascii="Times New Roman" w:eastAsia="Times New Roman" w:hAnsi="Times New Roman" w:cs="Times New Roman"/>
          <w:b w:val="0"/>
          <w:i w:val="0"/>
          <w:vanish w:val="0"/>
          <w:color w:val="000000"/>
          <w:sz w:val="24"/>
        </w:rPr>
      </w:pPr>
      <w:r>
        <w:rPr>
          <w:rFonts w:ascii="Times New Roman" w:eastAsia="Times New Roman" w:hAnsi="Times New Roman" w:cs="Times New Roman"/>
          <w:b w:val="0"/>
          <w:i w:val="0"/>
          <w:vanish w:val="0"/>
          <w:color w:val="000000"/>
          <w:sz w:val="24"/>
        </w:rPr>
        <w:t>Sklic: člen 22(5) uredbe o skupnih določbah, člen 16(2) uredbe o AMIF, člen 13(12) uredbe o SNV ali člen 13(18) uredbe o IUMV</w:t>
      </w:r>
    </w:p>
    <w:p w:rsidR="00A77B3E">
      <w:pPr>
        <w:pStyle w:val="Heading4"/>
        <w:spacing w:before="100" w:after="0"/>
        <w:jc w:val="start"/>
        <w:rPr>
          <w:rFonts w:ascii="Times New Roman" w:eastAsia="Times New Roman" w:hAnsi="Times New Roman" w:cs="Times New Roman"/>
          <w:b w:val="0"/>
          <w:i w:val="0"/>
          <w:vanish w:val="0"/>
          <w:color w:val="000000"/>
          <w:sz w:val="24"/>
        </w:rPr>
      </w:pPr>
      <w:bookmarkStart w:id="15" w:name="_Toc256000070"/>
      <w:r>
        <w:rPr>
          <w:rFonts w:ascii="Times New Roman" w:eastAsia="Times New Roman" w:hAnsi="Times New Roman" w:cs="Times New Roman"/>
          <w:b w:val="0"/>
          <w:i w:val="0"/>
          <w:vanish w:val="0"/>
          <w:color w:val="000000"/>
          <w:sz w:val="24"/>
        </w:rPr>
        <w:t>Tabela 3: Okvirna razčlenitev</w:t>
      </w:r>
      <w:bookmarkEnd w:id="15"/>
    </w:p>
    <w:p w:rsidR="00A77B3E">
      <w:pPr>
        <w:spacing w:before="100" w:after="0"/>
        <w:jc w:val="start"/>
        <w:rPr>
          <w:rFonts w:ascii="Times New Roman" w:eastAsia="Times New Roman" w:hAnsi="Times New Roman" w:cs="Times New Roman"/>
          <w:b w:val="0"/>
          <w:i w:val="0"/>
          <w:vanish w:val="0"/>
          <w:color w:val="000000"/>
          <w:sz w:val="0"/>
        </w:rPr>
      </w:pPr>
    </w:p>
    <w:tbl>
      <w:tblPr>
        <w:tblW w:w="100%" w:type="pct"/>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CellMar>
          <w:start w:w="5.4pt" w:type="dxa"/>
          <w:end w:w="5.4pt" w:type="dxa"/>
        </w:tblCellMar>
      </w:tblPr>
      <w:tblGrid>
        <w:gridCol w:w="1845"/>
        <w:gridCol w:w="10989"/>
        <w:gridCol w:w="2468"/>
      </w:tblGrid>
      <w:tr>
        <w:tblPrEx>
          <w:tblW w:w="100%" w:type="pct"/>
        </w:tblPrEx>
        <w:trPr>
          <w:cantSplit w:val="0"/>
          <w:trHeight w:hRule="auto" w:val="0"/>
          <w:tblHeader/>
        </w:trPr>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20"/>
              </w:rPr>
            </w:pPr>
            <w:r>
              <w:rPr>
                <w:rFonts w:ascii="Times New Roman" w:eastAsia="Times New Roman" w:hAnsi="Times New Roman" w:cs="Times New Roman"/>
                <w:b w:val="0"/>
                <w:i w:val="0"/>
                <w:vanish w:val="0"/>
                <w:color w:val="000000"/>
                <w:sz w:val="20"/>
              </w:rPr>
              <w:t>Vrsta intervencije</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20"/>
              </w:rPr>
            </w:pPr>
            <w:r>
              <w:rPr>
                <w:rFonts w:ascii="Times New Roman" w:eastAsia="Times New Roman" w:hAnsi="Times New Roman" w:cs="Times New Roman"/>
                <w:b w:val="0"/>
                <w:i w:val="0"/>
                <w:vanish w:val="0"/>
                <w:color w:val="000000"/>
                <w:sz w:val="20"/>
              </w:rPr>
              <w:t>Oznaka</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20"/>
              </w:rPr>
            </w:pPr>
            <w:r>
              <w:rPr>
                <w:rFonts w:ascii="Times New Roman" w:eastAsia="Times New Roman" w:hAnsi="Times New Roman" w:cs="Times New Roman"/>
                <w:b w:val="0"/>
                <w:i w:val="0"/>
                <w:vanish w:val="0"/>
                <w:color w:val="000000"/>
                <w:sz w:val="20"/>
              </w:rPr>
              <w:t>Okvirni znesek (v EUR)</w:t>
            </w:r>
          </w:p>
        </w:tc>
      </w:tr>
      <w:tr>
        <w:tblPrEx>
          <w:tblW w:w="100%" w:type="pct"/>
        </w:tblPrEx>
        <w:trPr>
          <w:cantSplit w:val="0"/>
          <w:trHeight w:hRule="auto" w:val="0"/>
          <w:tblHeader w:val="0"/>
        </w:trPr>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20"/>
              </w:rPr>
            </w:pPr>
            <w:r>
              <w:rPr>
                <w:rFonts w:ascii="Times New Roman" w:eastAsia="Times New Roman" w:hAnsi="Times New Roman" w:cs="Times New Roman"/>
                <w:b w:val="0"/>
                <w:i w:val="0"/>
                <w:vanish w:val="0"/>
                <w:color w:val="000000"/>
                <w:sz w:val="20"/>
              </w:rPr>
              <w:t>Vrsta ukrepa</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20"/>
              </w:rPr>
            </w:pPr>
            <w:r>
              <w:rPr>
                <w:rFonts w:ascii="Times New Roman" w:eastAsia="Times New Roman" w:hAnsi="Times New Roman" w:cs="Times New Roman"/>
                <w:b w:val="0"/>
                <w:i w:val="0"/>
                <w:vanish w:val="0"/>
                <w:color w:val="000000"/>
                <w:sz w:val="20"/>
              </w:rPr>
              <w:t>001.Sistemi IKT, interoperabilnost, kakovost podatkov (razen opreme)</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20"/>
              </w:rPr>
            </w:pPr>
            <w:r>
              <w:rPr>
                <w:rFonts w:ascii="Times New Roman" w:eastAsia="Times New Roman" w:hAnsi="Times New Roman" w:cs="Times New Roman"/>
                <w:b w:val="0"/>
                <w:i w:val="0"/>
                <w:vanish w:val="0"/>
                <w:color w:val="000000"/>
                <w:sz w:val="20"/>
              </w:rPr>
              <w:t>0,00</w:t>
            </w:r>
          </w:p>
        </w:tc>
      </w:tr>
      <w:tr>
        <w:tblPrEx>
          <w:tblW w:w="100%" w:type="pct"/>
        </w:tblPrEx>
        <w:trPr>
          <w:cantSplit w:val="0"/>
          <w:trHeight w:hRule="auto" w:val="0"/>
          <w:tblHeader w:val="0"/>
        </w:trPr>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20"/>
              </w:rPr>
            </w:pPr>
            <w:r>
              <w:rPr>
                <w:rFonts w:ascii="Times New Roman" w:eastAsia="Times New Roman" w:hAnsi="Times New Roman" w:cs="Times New Roman"/>
                <w:b w:val="0"/>
                <w:i w:val="0"/>
                <w:vanish w:val="0"/>
                <w:color w:val="000000"/>
                <w:sz w:val="20"/>
              </w:rPr>
              <w:t>Vrsta ukrepa</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20"/>
              </w:rPr>
            </w:pPr>
            <w:r>
              <w:rPr>
                <w:rFonts w:ascii="Times New Roman" w:eastAsia="Times New Roman" w:hAnsi="Times New Roman" w:cs="Times New Roman"/>
                <w:b w:val="0"/>
                <w:i w:val="0"/>
                <w:vanish w:val="0"/>
                <w:color w:val="000000"/>
                <w:sz w:val="20"/>
              </w:rPr>
              <w:t>002.Omrežja, centri odličnosti, strukture sodelovanja, skupni ukrepi in operacije</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20"/>
              </w:rPr>
            </w:pPr>
            <w:r>
              <w:rPr>
                <w:rFonts w:ascii="Times New Roman" w:eastAsia="Times New Roman" w:hAnsi="Times New Roman" w:cs="Times New Roman"/>
                <w:b w:val="0"/>
                <w:i w:val="0"/>
                <w:vanish w:val="0"/>
                <w:color w:val="000000"/>
                <w:sz w:val="20"/>
              </w:rPr>
              <w:t>0,00</w:t>
            </w:r>
          </w:p>
        </w:tc>
      </w:tr>
      <w:tr>
        <w:tblPrEx>
          <w:tblW w:w="100%" w:type="pct"/>
        </w:tblPrEx>
        <w:trPr>
          <w:cantSplit w:val="0"/>
          <w:trHeight w:hRule="auto" w:val="0"/>
          <w:tblHeader w:val="0"/>
        </w:trPr>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20"/>
              </w:rPr>
            </w:pPr>
            <w:r>
              <w:rPr>
                <w:rFonts w:ascii="Times New Roman" w:eastAsia="Times New Roman" w:hAnsi="Times New Roman" w:cs="Times New Roman"/>
                <w:b w:val="0"/>
                <w:i w:val="0"/>
                <w:vanish w:val="0"/>
                <w:color w:val="000000"/>
                <w:sz w:val="20"/>
              </w:rPr>
              <w:t>Vrsta ukrepa</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20"/>
              </w:rPr>
            </w:pPr>
            <w:r>
              <w:rPr>
                <w:rFonts w:ascii="Times New Roman" w:eastAsia="Times New Roman" w:hAnsi="Times New Roman" w:cs="Times New Roman"/>
                <w:b w:val="0"/>
                <w:i w:val="0"/>
                <w:vanish w:val="0"/>
                <w:color w:val="000000"/>
                <w:sz w:val="20"/>
              </w:rPr>
              <w:t>003.Skupne preiskovalne skupine ali druge skupne operacije</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20"/>
              </w:rPr>
            </w:pPr>
            <w:r>
              <w:rPr>
                <w:rFonts w:ascii="Times New Roman" w:eastAsia="Times New Roman" w:hAnsi="Times New Roman" w:cs="Times New Roman"/>
                <w:b w:val="0"/>
                <w:i w:val="0"/>
                <w:vanish w:val="0"/>
                <w:color w:val="000000"/>
                <w:sz w:val="20"/>
              </w:rPr>
              <w:t>4.470.000,00</w:t>
            </w:r>
          </w:p>
        </w:tc>
      </w:tr>
      <w:tr>
        <w:tblPrEx>
          <w:tblW w:w="100%" w:type="pct"/>
        </w:tblPrEx>
        <w:trPr>
          <w:cantSplit w:val="0"/>
          <w:trHeight w:hRule="auto" w:val="0"/>
          <w:tblHeader w:val="0"/>
        </w:trPr>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20"/>
              </w:rPr>
            </w:pPr>
            <w:r>
              <w:rPr>
                <w:rFonts w:ascii="Times New Roman" w:eastAsia="Times New Roman" w:hAnsi="Times New Roman" w:cs="Times New Roman"/>
                <w:b w:val="0"/>
                <w:i w:val="0"/>
                <w:vanish w:val="0"/>
                <w:color w:val="000000"/>
                <w:sz w:val="20"/>
              </w:rPr>
              <w:t>Vrsta ukrepa</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20"/>
              </w:rPr>
            </w:pPr>
            <w:r>
              <w:rPr>
                <w:rFonts w:ascii="Times New Roman" w:eastAsia="Times New Roman" w:hAnsi="Times New Roman" w:cs="Times New Roman"/>
                <w:b w:val="0"/>
                <w:i w:val="0"/>
                <w:vanish w:val="0"/>
                <w:color w:val="000000"/>
                <w:sz w:val="20"/>
              </w:rPr>
              <w:t>004.Napotitev ali premestitev strokovnjakov</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20"/>
              </w:rPr>
            </w:pPr>
            <w:r>
              <w:rPr>
                <w:rFonts w:ascii="Times New Roman" w:eastAsia="Times New Roman" w:hAnsi="Times New Roman" w:cs="Times New Roman"/>
                <w:b w:val="0"/>
                <w:i w:val="0"/>
                <w:vanish w:val="0"/>
                <w:color w:val="000000"/>
                <w:sz w:val="20"/>
              </w:rPr>
              <w:t>54.000,00</w:t>
            </w:r>
          </w:p>
        </w:tc>
      </w:tr>
      <w:tr>
        <w:tblPrEx>
          <w:tblW w:w="100%" w:type="pct"/>
        </w:tblPrEx>
        <w:trPr>
          <w:cantSplit w:val="0"/>
          <w:trHeight w:hRule="auto" w:val="0"/>
          <w:tblHeader w:val="0"/>
        </w:trPr>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20"/>
              </w:rPr>
            </w:pPr>
            <w:r>
              <w:rPr>
                <w:rFonts w:ascii="Times New Roman" w:eastAsia="Times New Roman" w:hAnsi="Times New Roman" w:cs="Times New Roman"/>
                <w:b w:val="0"/>
                <w:i w:val="0"/>
                <w:vanish w:val="0"/>
                <w:color w:val="000000"/>
                <w:sz w:val="20"/>
              </w:rPr>
              <w:t>Vrsta ukrepa</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20"/>
              </w:rPr>
            </w:pPr>
            <w:r>
              <w:rPr>
                <w:rFonts w:ascii="Times New Roman" w:eastAsia="Times New Roman" w:hAnsi="Times New Roman" w:cs="Times New Roman"/>
                <w:b w:val="0"/>
                <w:i w:val="0"/>
                <w:vanish w:val="0"/>
                <w:color w:val="000000"/>
                <w:sz w:val="20"/>
              </w:rPr>
              <w:t>005.Usposabljanje</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20"/>
              </w:rPr>
            </w:pPr>
            <w:r>
              <w:rPr>
                <w:rFonts w:ascii="Times New Roman" w:eastAsia="Times New Roman" w:hAnsi="Times New Roman" w:cs="Times New Roman"/>
                <w:b w:val="0"/>
                <w:i w:val="0"/>
                <w:vanish w:val="0"/>
                <w:color w:val="000000"/>
                <w:sz w:val="20"/>
              </w:rPr>
              <w:t>86.750,00</w:t>
            </w:r>
          </w:p>
        </w:tc>
      </w:tr>
      <w:tr>
        <w:tblPrEx>
          <w:tblW w:w="100%" w:type="pct"/>
        </w:tblPrEx>
        <w:trPr>
          <w:cantSplit w:val="0"/>
          <w:trHeight w:hRule="auto" w:val="0"/>
          <w:tblHeader w:val="0"/>
        </w:trPr>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20"/>
              </w:rPr>
            </w:pPr>
            <w:r>
              <w:rPr>
                <w:rFonts w:ascii="Times New Roman" w:eastAsia="Times New Roman" w:hAnsi="Times New Roman" w:cs="Times New Roman"/>
                <w:b w:val="0"/>
                <w:i w:val="0"/>
                <w:vanish w:val="0"/>
                <w:color w:val="000000"/>
                <w:sz w:val="20"/>
              </w:rPr>
              <w:t>Vrsta ukrepa</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20"/>
              </w:rPr>
            </w:pPr>
            <w:r>
              <w:rPr>
                <w:rFonts w:ascii="Times New Roman" w:eastAsia="Times New Roman" w:hAnsi="Times New Roman" w:cs="Times New Roman"/>
                <w:b w:val="0"/>
                <w:i w:val="0"/>
                <w:vanish w:val="0"/>
                <w:color w:val="000000"/>
                <w:sz w:val="20"/>
              </w:rPr>
              <w:t>006.Izmenjava dobrih praks, delavnice, konference, dogodki, kampanje za ozaveščanje, dejavnosti komuniciranja</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20"/>
              </w:rPr>
            </w:pPr>
            <w:r>
              <w:rPr>
                <w:rFonts w:ascii="Times New Roman" w:eastAsia="Times New Roman" w:hAnsi="Times New Roman" w:cs="Times New Roman"/>
                <w:b w:val="0"/>
                <w:i w:val="0"/>
                <w:vanish w:val="0"/>
                <w:color w:val="000000"/>
                <w:sz w:val="20"/>
              </w:rPr>
              <w:t>175.000,00</w:t>
            </w:r>
          </w:p>
        </w:tc>
      </w:tr>
      <w:tr>
        <w:tblPrEx>
          <w:tblW w:w="100%" w:type="pct"/>
        </w:tblPrEx>
        <w:trPr>
          <w:cantSplit w:val="0"/>
          <w:trHeight w:hRule="auto" w:val="0"/>
          <w:tblHeader w:val="0"/>
        </w:trPr>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20"/>
              </w:rPr>
            </w:pPr>
            <w:r>
              <w:rPr>
                <w:rFonts w:ascii="Times New Roman" w:eastAsia="Times New Roman" w:hAnsi="Times New Roman" w:cs="Times New Roman"/>
                <w:b w:val="0"/>
                <w:i w:val="0"/>
                <w:vanish w:val="0"/>
                <w:color w:val="000000"/>
                <w:sz w:val="20"/>
              </w:rPr>
              <w:t>Vrsta ukrepa</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20"/>
              </w:rPr>
            </w:pPr>
            <w:r>
              <w:rPr>
                <w:rFonts w:ascii="Times New Roman" w:eastAsia="Times New Roman" w:hAnsi="Times New Roman" w:cs="Times New Roman"/>
                <w:b w:val="0"/>
                <w:i w:val="0"/>
                <w:vanish w:val="0"/>
                <w:color w:val="000000"/>
                <w:sz w:val="20"/>
              </w:rPr>
              <w:t>007.Študije, pilotni projekti, ocene tveganja</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20"/>
              </w:rPr>
            </w:pPr>
            <w:r>
              <w:rPr>
                <w:rFonts w:ascii="Times New Roman" w:eastAsia="Times New Roman" w:hAnsi="Times New Roman" w:cs="Times New Roman"/>
                <w:b w:val="0"/>
                <w:i w:val="0"/>
                <w:vanish w:val="0"/>
                <w:color w:val="000000"/>
                <w:sz w:val="20"/>
              </w:rPr>
              <w:t>0,00</w:t>
            </w:r>
          </w:p>
        </w:tc>
      </w:tr>
      <w:tr>
        <w:tblPrEx>
          <w:tblW w:w="100%" w:type="pct"/>
        </w:tblPrEx>
        <w:trPr>
          <w:cantSplit w:val="0"/>
          <w:trHeight w:hRule="auto" w:val="0"/>
          <w:tblHeader w:val="0"/>
        </w:trPr>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20"/>
              </w:rPr>
            </w:pPr>
            <w:r>
              <w:rPr>
                <w:rFonts w:ascii="Times New Roman" w:eastAsia="Times New Roman" w:hAnsi="Times New Roman" w:cs="Times New Roman"/>
                <w:b w:val="0"/>
                <w:i w:val="0"/>
                <w:vanish w:val="0"/>
                <w:color w:val="000000"/>
                <w:sz w:val="20"/>
              </w:rPr>
              <w:t>Vrsta ukrepa</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20"/>
              </w:rPr>
            </w:pPr>
            <w:r>
              <w:rPr>
                <w:rFonts w:ascii="Times New Roman" w:eastAsia="Times New Roman" w:hAnsi="Times New Roman" w:cs="Times New Roman"/>
                <w:b w:val="0"/>
                <w:i w:val="0"/>
                <w:vanish w:val="0"/>
                <w:color w:val="000000"/>
                <w:sz w:val="20"/>
              </w:rPr>
              <w:t>008.Oprema</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20"/>
              </w:rPr>
            </w:pPr>
            <w:r>
              <w:rPr>
                <w:rFonts w:ascii="Times New Roman" w:eastAsia="Times New Roman" w:hAnsi="Times New Roman" w:cs="Times New Roman"/>
                <w:b w:val="0"/>
                <w:i w:val="0"/>
                <w:vanish w:val="0"/>
                <w:color w:val="000000"/>
                <w:sz w:val="20"/>
              </w:rPr>
              <w:t>378.250,00</w:t>
            </w:r>
          </w:p>
        </w:tc>
      </w:tr>
      <w:tr>
        <w:tblPrEx>
          <w:tblW w:w="100%" w:type="pct"/>
        </w:tblPrEx>
        <w:trPr>
          <w:cantSplit w:val="0"/>
          <w:trHeight w:hRule="auto" w:val="0"/>
          <w:tblHeader w:val="0"/>
        </w:trPr>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20"/>
              </w:rPr>
            </w:pPr>
            <w:r>
              <w:rPr>
                <w:rFonts w:ascii="Times New Roman" w:eastAsia="Times New Roman" w:hAnsi="Times New Roman" w:cs="Times New Roman"/>
                <w:b w:val="0"/>
                <w:i w:val="0"/>
                <w:vanish w:val="0"/>
                <w:color w:val="000000"/>
                <w:sz w:val="20"/>
              </w:rPr>
              <w:t>Vrsta ukrepa</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20"/>
              </w:rPr>
            </w:pPr>
            <w:r>
              <w:rPr>
                <w:rFonts w:ascii="Times New Roman" w:eastAsia="Times New Roman" w:hAnsi="Times New Roman" w:cs="Times New Roman"/>
                <w:b w:val="0"/>
                <w:i w:val="0"/>
                <w:vanish w:val="0"/>
                <w:color w:val="000000"/>
                <w:sz w:val="20"/>
              </w:rPr>
              <w:t>009.Prevozna sredstva</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20"/>
              </w:rPr>
            </w:pPr>
            <w:r>
              <w:rPr>
                <w:rFonts w:ascii="Times New Roman" w:eastAsia="Times New Roman" w:hAnsi="Times New Roman" w:cs="Times New Roman"/>
                <w:b w:val="0"/>
                <w:i w:val="0"/>
                <w:vanish w:val="0"/>
                <w:color w:val="000000"/>
                <w:sz w:val="20"/>
              </w:rPr>
              <w:t>2.932.500,00</w:t>
            </w:r>
          </w:p>
        </w:tc>
      </w:tr>
      <w:tr>
        <w:tblPrEx>
          <w:tblW w:w="100%" w:type="pct"/>
        </w:tblPrEx>
        <w:trPr>
          <w:cantSplit w:val="0"/>
          <w:trHeight w:hRule="auto" w:val="0"/>
          <w:tblHeader w:val="0"/>
        </w:trPr>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20"/>
              </w:rPr>
            </w:pPr>
            <w:r>
              <w:rPr>
                <w:rFonts w:ascii="Times New Roman" w:eastAsia="Times New Roman" w:hAnsi="Times New Roman" w:cs="Times New Roman"/>
                <w:b w:val="0"/>
                <w:i w:val="0"/>
                <w:vanish w:val="0"/>
                <w:color w:val="000000"/>
                <w:sz w:val="20"/>
              </w:rPr>
              <w:t>Vrsta ukrepa</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20"/>
              </w:rPr>
            </w:pPr>
            <w:r>
              <w:rPr>
                <w:rFonts w:ascii="Times New Roman" w:eastAsia="Times New Roman" w:hAnsi="Times New Roman" w:cs="Times New Roman"/>
                <w:b w:val="0"/>
                <w:i w:val="0"/>
                <w:vanish w:val="0"/>
                <w:color w:val="000000"/>
                <w:sz w:val="20"/>
              </w:rPr>
              <w:t>010.Stavbe, objekti</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20"/>
              </w:rPr>
            </w:pPr>
            <w:r>
              <w:rPr>
                <w:rFonts w:ascii="Times New Roman" w:eastAsia="Times New Roman" w:hAnsi="Times New Roman" w:cs="Times New Roman"/>
                <w:b w:val="0"/>
                <w:i w:val="0"/>
                <w:vanish w:val="0"/>
                <w:color w:val="000000"/>
                <w:sz w:val="20"/>
              </w:rPr>
              <w:t>0,00</w:t>
            </w:r>
          </w:p>
        </w:tc>
      </w:tr>
      <w:tr>
        <w:tblPrEx>
          <w:tblW w:w="100%" w:type="pct"/>
        </w:tblPrEx>
        <w:trPr>
          <w:cantSplit w:val="0"/>
          <w:trHeight w:hRule="auto" w:val="0"/>
          <w:tblHeader w:val="0"/>
        </w:trPr>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20"/>
              </w:rPr>
            </w:pPr>
            <w:r>
              <w:rPr>
                <w:rFonts w:ascii="Times New Roman" w:eastAsia="Times New Roman" w:hAnsi="Times New Roman" w:cs="Times New Roman"/>
                <w:b w:val="0"/>
                <w:i w:val="0"/>
                <w:vanish w:val="0"/>
                <w:color w:val="000000"/>
                <w:sz w:val="20"/>
              </w:rPr>
              <w:t>Vrsta ukrepa</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20"/>
              </w:rPr>
            </w:pPr>
            <w:r>
              <w:rPr>
                <w:rFonts w:ascii="Times New Roman" w:eastAsia="Times New Roman" w:hAnsi="Times New Roman" w:cs="Times New Roman"/>
                <w:b w:val="0"/>
                <w:i w:val="0"/>
                <w:vanish w:val="0"/>
                <w:color w:val="000000"/>
                <w:sz w:val="20"/>
              </w:rPr>
              <w:t>011.Uporaba raziskovalnih projektov ali drugi nadaljnji ukrepi na podlagi teh projektov</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20"/>
              </w:rPr>
            </w:pPr>
            <w:r>
              <w:rPr>
                <w:rFonts w:ascii="Times New Roman" w:eastAsia="Times New Roman" w:hAnsi="Times New Roman" w:cs="Times New Roman"/>
                <w:b w:val="0"/>
                <w:i w:val="0"/>
                <w:vanish w:val="0"/>
                <w:color w:val="000000"/>
                <w:sz w:val="20"/>
              </w:rPr>
              <w:t>0,00</w:t>
            </w:r>
          </w:p>
        </w:tc>
      </w:tr>
    </w:tbl>
    <w:p w:rsidR="00A77B3E">
      <w:pPr>
        <w:spacing w:before="100" w:after="0"/>
        <w:jc w:val="start"/>
        <w:rPr>
          <w:rFonts w:ascii="Times New Roman" w:eastAsia="Times New Roman" w:hAnsi="Times New Roman" w:cs="Times New Roman"/>
          <w:b w:val="0"/>
          <w:i w:val="0"/>
          <w:vanish w:val="0"/>
          <w:color w:val="000000"/>
          <w:sz w:val="20"/>
        </w:rPr>
        <w:sectPr>
          <w:type w:val="nextPage"/>
          <w:pgSz w:w="16838" w:h="11906" w:orient="landscape"/>
          <w:pgMar w:top="720" w:right="720" w:bottom="864" w:left="936" w:header="288" w:footer="72" w:gutter="0"/>
          <w:cols w:space="720"/>
          <w:noEndnote/>
          <w:docGrid w:linePitch="360"/>
        </w:sectPr>
      </w:pPr>
    </w:p>
    <w:p w:rsidR="00A77B3E">
      <w:pPr>
        <w:pStyle w:val="Heading2"/>
        <w:spacing w:before="100" w:after="0"/>
        <w:jc w:val="start"/>
        <w:rPr>
          <w:rFonts w:ascii="TimesNewRoman" w:eastAsia="TimesNewRoman" w:hAnsi="TimesNewRoman" w:cs="TimesNewRoman"/>
          <w:b w:val="0"/>
          <w:i w:val="0"/>
          <w:vanish w:val="0"/>
          <w:color w:val="000000"/>
          <w:sz w:val="24"/>
        </w:rPr>
      </w:pPr>
      <w:bookmarkStart w:id="16" w:name="_Toc256000071"/>
      <w:r>
        <w:rPr>
          <w:rFonts w:ascii="TimesNewRoman" w:eastAsia="TimesNewRoman" w:hAnsi="TimesNewRoman" w:cs="TimesNewRoman"/>
          <w:b w:val="0"/>
          <w:i w:val="0"/>
          <w:vanish w:val="0"/>
          <w:color w:val="000000"/>
          <w:sz w:val="24"/>
        </w:rPr>
        <w:t>2.1. Specifični cilj: 3. Preprečevanje kriminala in boj proti njemu</w:t>
      </w:r>
      <w:bookmarkEnd w:id="16"/>
    </w:p>
    <w:p w:rsidR="00A77B3E">
      <w:pPr>
        <w:spacing w:before="100" w:after="0"/>
        <w:jc w:val="start"/>
        <w:rPr>
          <w:rFonts w:ascii="TimesNewRoman" w:eastAsia="TimesNewRoman" w:hAnsi="TimesNewRoman" w:cs="TimesNewRoman"/>
          <w:b w:val="0"/>
          <w:i w:val="0"/>
          <w:vanish w:val="0"/>
          <w:color w:val="000000"/>
          <w:sz w:val="0"/>
        </w:rPr>
      </w:pPr>
    </w:p>
    <w:p w:rsidR="00A77B3E">
      <w:pPr>
        <w:pStyle w:val="Heading3"/>
        <w:spacing w:before="100" w:after="0"/>
        <w:jc w:val="start"/>
        <w:rPr>
          <w:rFonts w:ascii="TimesNewRoman" w:eastAsia="TimesNewRoman" w:hAnsi="TimesNewRoman" w:cs="TimesNewRoman"/>
          <w:b w:val="0"/>
          <w:i w:val="0"/>
          <w:vanish w:val="0"/>
          <w:color w:val="000000"/>
          <w:sz w:val="24"/>
        </w:rPr>
      </w:pPr>
      <w:bookmarkStart w:id="17" w:name="_Toc256000072"/>
      <w:r>
        <w:rPr>
          <w:rFonts w:ascii="TimesNewRoman" w:eastAsia="TimesNewRoman" w:hAnsi="TimesNewRoman" w:cs="TimesNewRoman"/>
          <w:b w:val="0"/>
          <w:i w:val="0"/>
          <w:vanish w:val="0"/>
          <w:color w:val="000000"/>
          <w:sz w:val="24"/>
        </w:rPr>
        <w:t>2.1.1. Opis specifičnega cilja</w:t>
      </w:r>
      <w:bookmarkEnd w:id="17"/>
    </w:p>
    <w:p w:rsidR="00A77B3E">
      <w:pPr>
        <w:spacing w:before="100" w:after="0"/>
        <w:jc w:val="start"/>
        <w:rPr>
          <w:rFonts w:ascii="TimesNewRoman" w:eastAsia="TimesNewRoman" w:hAnsi="TimesNewRoman" w:cs="TimesNewRoman"/>
          <w:b w:val="0"/>
          <w:i w:val="0"/>
          <w:vanish w:val="0"/>
          <w:color w:val="000000"/>
          <w:sz w:val="0"/>
        </w:rPr>
      </w:pPr>
    </w:p>
    <w:tbl>
      <w:tblPr>
        <w:tblW w:w="100%" w:type="pct"/>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Layout w:type="fixed"/>
        <w:tblCellMar>
          <w:start w:w="5.4pt" w:type="dxa"/>
          <w:end w:w="5.4pt" w:type="dxa"/>
        </w:tblCellMar>
      </w:tblPr>
      <w:tblGrid>
        <w:gridCol w:w="10240"/>
      </w:tblGrid>
      <w:tr>
        <w:tblPrEx>
          <w:tblW w:w="100%" w:type="pct"/>
          <w:tblLayout w:type="fixed"/>
        </w:tblPrEx>
        <w:trPr>
          <w:cantSplit w:val="0"/>
          <w:trHeight w:hRule="auto" w:val="0"/>
          <w:tblHeader w:val="0"/>
        </w:trPr>
        <w:tc>
          <w:tcPr>
            <w:tcW w:w="100%" w:type="pct"/>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NewRoman" w:eastAsia="TimesNewRoman" w:hAnsi="TimesNewRoman" w:cs="TimesNewRoman"/>
                <w:b w:val="0"/>
                <w:i w:val="0"/>
                <w:vanish w:val="0"/>
                <w:color w:val="000000"/>
                <w:sz w:val="0"/>
              </w:rPr>
            </w:pPr>
          </w:p>
          <w:p w:rsidR="00A77B3E">
            <w:pPr>
              <w:spacing w:before="100" w:after="0"/>
              <w:jc w:val="start"/>
              <w:rPr>
                <w:rFonts w:ascii="TimesNewRoman" w:eastAsia="TimesNewRoman" w:hAnsi="TimesNewRoman" w:cs="TimesNewRoman"/>
                <w:b w:val="0"/>
                <w:i w:val="0"/>
                <w:vanish w:val="0"/>
                <w:color w:val="000000"/>
                <w:sz w:val="24"/>
              </w:rPr>
            </w:pPr>
            <w:r>
              <w:rPr>
                <w:rFonts w:ascii="TimesNewRoman" w:eastAsia="TimesNewRoman" w:hAnsi="TimesNewRoman" w:cs="TimesNewRoman"/>
                <w:b w:val="0"/>
                <w:i w:val="0"/>
                <w:vanish w:val="0"/>
                <w:color w:val="000000"/>
                <w:sz w:val="24"/>
              </w:rPr>
              <w:t>Ukrepi SI v okviru SO3 bodo osredotočeni na krepitev zmogljivosti za boj proti kriminalu. Nadaljevale se bodo aktivnosti iz pretekle finančne sheme ter nove za reševanje izzivov in vrzeli.</w:t>
            </w:r>
          </w:p>
          <w:p w:rsidR="00A77B3E">
            <w:pPr>
              <w:spacing w:before="100" w:after="0"/>
              <w:jc w:val="start"/>
              <w:rPr>
                <w:rFonts w:ascii="TimesNewRoman" w:eastAsia="TimesNewRoman" w:hAnsi="TimesNewRoman" w:cs="TimesNewRoman"/>
                <w:b w:val="0"/>
                <w:i w:val="0"/>
                <w:vanish w:val="0"/>
                <w:color w:val="000000"/>
                <w:sz w:val="24"/>
              </w:rPr>
            </w:pPr>
            <w:r>
              <w:rPr>
                <w:rFonts w:ascii="TimesNewRoman" w:eastAsia="TimesNewRoman" w:hAnsi="TimesNewRoman" w:cs="TimesNewRoman"/>
                <w:b w:val="0"/>
                <w:i w:val="0"/>
                <w:vanish w:val="0"/>
                <w:color w:val="000000"/>
                <w:sz w:val="24"/>
              </w:rPr>
              <w:t>Ključni resorji MNZ RS, MNZ - Policija (policija), Urad za oskrbo in integracijo migrantov (UOIM) ter Ministrstvo za obrambo (MO) bodo prejeli sredstva preko neposredne dodelitve (področna zakonska pristojnost). Del sredstev oddan z javnimi razpisi (radikalizacija, zaščita žrtev trgovine z ljudi in njihova reintegracija). Sredstva SNV so le del sredstev za uresničevanje ciljev tega področja, ostalo bo zagotovljeno iz proračuna SI (plače zaposlenih ter drugi mat. stroški).</w:t>
            </w:r>
          </w:p>
          <w:p w:rsidR="00A77B3E">
            <w:pPr>
              <w:spacing w:before="100" w:after="0"/>
              <w:jc w:val="start"/>
              <w:rPr>
                <w:rFonts w:ascii="TimesNewRoman" w:eastAsia="TimesNewRoman" w:hAnsi="TimesNewRoman" w:cs="TimesNewRoman"/>
                <w:b w:val="0"/>
                <w:i w:val="0"/>
                <w:vanish w:val="0"/>
                <w:color w:val="000000"/>
                <w:sz w:val="24"/>
              </w:rPr>
            </w:pPr>
            <w:r>
              <w:rPr>
                <w:rFonts w:ascii="TimesNewRoman" w:eastAsia="TimesNewRoman" w:hAnsi="TimesNewRoman" w:cs="TimesNewRoman"/>
                <w:b w:val="0"/>
                <w:i w:val="0"/>
                <w:vanish w:val="0"/>
                <w:color w:val="000000"/>
                <w:sz w:val="24"/>
              </w:rPr>
              <w:t>Znotraj izvedbenih ukrepov (Priloga II – a, b, c, d, e) bo SI usmerjena na področja podpore a, b, d, e, f, k, l iz Pril. III in 1, 4, 5 Pril. IV. Mogoče je financiranje razvoja inovativnih metod ali uvajanje novih tehnologij, ki se lahko prenesejo v druge DČ (Priloga IIIe).</w:t>
            </w:r>
          </w:p>
          <w:p w:rsidR="00A77B3E">
            <w:pPr>
              <w:spacing w:before="100" w:after="0"/>
              <w:jc w:val="start"/>
              <w:rPr>
                <w:rFonts w:ascii="TimesNewRoman" w:eastAsia="TimesNewRoman" w:hAnsi="TimesNewRoman" w:cs="TimesNewRoman"/>
                <w:b w:val="0"/>
                <w:i w:val="0"/>
                <w:vanish w:val="0"/>
                <w:color w:val="000000"/>
                <w:sz w:val="24"/>
              </w:rPr>
            </w:pPr>
            <w:r>
              <w:rPr>
                <w:rFonts w:ascii="TimesNewRoman" w:eastAsia="TimesNewRoman" w:hAnsi="TimesNewRoman" w:cs="TimesNewRoman"/>
                <w:b w:val="0"/>
                <w:i w:val="0"/>
                <w:vanish w:val="0"/>
                <w:color w:val="000000"/>
                <w:sz w:val="24"/>
              </w:rPr>
              <w:t>Pričakovani rezultati:</w:t>
            </w:r>
          </w:p>
          <w:p w:rsidR="00A77B3E">
            <w:pPr>
              <w:numPr>
                <w:ilvl w:val="0"/>
                <w:numId w:val="11"/>
              </w:numPr>
              <w:spacing w:before="100" w:after="0"/>
              <w:ind w:start="720" w:hanging="360"/>
              <w:jc w:val="start"/>
              <w:rPr>
                <w:rFonts w:ascii="TimesNewRoman" w:eastAsia="TimesNewRoman" w:hAnsi="TimesNewRoman" w:cs="TimesNewRoman"/>
                <w:b w:val="0"/>
                <w:i w:val="0"/>
                <w:vanish w:val="0"/>
                <w:color w:val="000000"/>
                <w:sz w:val="24"/>
              </w:rPr>
            </w:pPr>
            <w:r>
              <w:rPr>
                <w:rFonts w:ascii="TimesNewRoman" w:eastAsia="TimesNewRoman" w:hAnsi="TimesNewRoman" w:cs="TimesNewRoman"/>
                <w:b w:val="0"/>
                <w:i w:val="0"/>
                <w:vanish w:val="0"/>
                <w:color w:val="000000"/>
                <w:sz w:val="24"/>
              </w:rPr>
              <w:t>Izboljšane operativne sposobnosti policije za boj proti hudim in organiziranim oblikam kriminala, okrepljene preiskovalne aktivnosti za zaščito finančnih interesov EU in SI, vzpostavljena nacionalna enota za okoljsko kriminaliteto</w:t>
            </w:r>
          </w:p>
          <w:p w:rsidR="00A77B3E">
            <w:pPr>
              <w:numPr>
                <w:ilvl w:val="0"/>
                <w:numId w:val="11"/>
              </w:numPr>
              <w:spacing w:before="100" w:after="0"/>
              <w:ind w:start="720" w:hanging="360"/>
              <w:jc w:val="start"/>
              <w:rPr>
                <w:rFonts w:ascii="TimesNewRoman" w:eastAsia="TimesNewRoman" w:hAnsi="TimesNewRoman" w:cs="TimesNewRoman"/>
                <w:b w:val="0"/>
                <w:i w:val="0"/>
                <w:vanish w:val="0"/>
                <w:color w:val="000000"/>
                <w:sz w:val="24"/>
              </w:rPr>
            </w:pPr>
            <w:r>
              <w:rPr>
                <w:rFonts w:ascii="TimesNewRoman" w:eastAsia="TimesNewRoman" w:hAnsi="TimesNewRoman" w:cs="TimesNewRoman"/>
                <w:b w:val="0"/>
                <w:i w:val="0"/>
                <w:vanish w:val="0"/>
                <w:color w:val="000000"/>
                <w:sz w:val="24"/>
              </w:rPr>
              <w:t>Zaščitene priče, skesanci in žrtve trgovine z ljudmi</w:t>
            </w:r>
          </w:p>
          <w:p w:rsidR="00A77B3E">
            <w:pPr>
              <w:numPr>
                <w:ilvl w:val="0"/>
                <w:numId w:val="11"/>
              </w:numPr>
              <w:spacing w:before="100" w:after="0"/>
              <w:ind w:start="720" w:hanging="360"/>
              <w:jc w:val="start"/>
              <w:rPr>
                <w:rFonts w:ascii="TimesNewRoman" w:eastAsia="TimesNewRoman" w:hAnsi="TimesNewRoman" w:cs="TimesNewRoman"/>
                <w:b w:val="0"/>
                <w:i w:val="0"/>
                <w:vanish w:val="0"/>
                <w:color w:val="000000"/>
                <w:sz w:val="24"/>
              </w:rPr>
            </w:pPr>
            <w:r>
              <w:rPr>
                <w:rFonts w:ascii="TimesNewRoman" w:eastAsia="TimesNewRoman" w:hAnsi="TimesNewRoman" w:cs="TimesNewRoman"/>
                <w:b w:val="0"/>
                <w:i w:val="0"/>
                <w:vanish w:val="0"/>
                <w:color w:val="000000"/>
                <w:sz w:val="24"/>
              </w:rPr>
              <w:t>Posodobljena opreme in znanja za oglede KD</w:t>
            </w:r>
          </w:p>
          <w:p w:rsidR="00A77B3E">
            <w:pPr>
              <w:numPr>
                <w:ilvl w:val="0"/>
                <w:numId w:val="11"/>
              </w:numPr>
              <w:spacing w:before="100" w:after="0"/>
              <w:ind w:start="720" w:hanging="360"/>
              <w:jc w:val="start"/>
              <w:rPr>
                <w:rFonts w:ascii="TimesNewRoman" w:eastAsia="TimesNewRoman" w:hAnsi="TimesNewRoman" w:cs="TimesNewRoman"/>
                <w:b w:val="0"/>
                <w:i w:val="0"/>
                <w:vanish w:val="0"/>
                <w:color w:val="000000"/>
                <w:sz w:val="24"/>
              </w:rPr>
            </w:pPr>
            <w:r>
              <w:rPr>
                <w:rFonts w:ascii="TimesNewRoman" w:eastAsia="TimesNewRoman" w:hAnsi="TimesNewRoman" w:cs="TimesNewRoman"/>
                <w:b w:val="0"/>
                <w:i w:val="0"/>
                <w:vanish w:val="0"/>
                <w:color w:val="000000"/>
                <w:sz w:val="24"/>
              </w:rPr>
              <w:t>Posodobljena opreme za protiteroristična usposabljanja</w:t>
            </w:r>
          </w:p>
          <w:p w:rsidR="00A77B3E">
            <w:pPr>
              <w:numPr>
                <w:ilvl w:val="0"/>
                <w:numId w:val="11"/>
              </w:numPr>
              <w:spacing w:before="100" w:after="0"/>
              <w:ind w:start="720" w:hanging="360"/>
              <w:jc w:val="start"/>
              <w:rPr>
                <w:rFonts w:ascii="TimesNewRoman" w:eastAsia="TimesNewRoman" w:hAnsi="TimesNewRoman" w:cs="TimesNewRoman"/>
                <w:b w:val="0"/>
                <w:i w:val="0"/>
                <w:vanish w:val="0"/>
                <w:color w:val="000000"/>
                <w:sz w:val="24"/>
              </w:rPr>
            </w:pPr>
            <w:r>
              <w:rPr>
                <w:rFonts w:ascii="TimesNewRoman" w:eastAsia="TimesNewRoman" w:hAnsi="TimesNewRoman" w:cs="TimesNewRoman"/>
                <w:b w:val="0"/>
                <w:i w:val="0"/>
                <w:vanish w:val="0"/>
                <w:color w:val="000000"/>
                <w:sz w:val="24"/>
              </w:rPr>
              <w:t>Usposobljenost za odkrivanje, preprečevanje in preiskovanje kriminala</w:t>
            </w:r>
          </w:p>
          <w:p w:rsidR="00A77B3E">
            <w:pPr>
              <w:numPr>
                <w:ilvl w:val="0"/>
                <w:numId w:val="11"/>
              </w:numPr>
              <w:spacing w:before="100" w:after="0"/>
              <w:ind w:start="720" w:hanging="360"/>
              <w:jc w:val="start"/>
              <w:rPr>
                <w:rFonts w:ascii="TimesNewRoman" w:eastAsia="TimesNewRoman" w:hAnsi="TimesNewRoman" w:cs="TimesNewRoman"/>
                <w:b w:val="0"/>
                <w:i w:val="0"/>
                <w:vanish w:val="0"/>
                <w:color w:val="000000"/>
                <w:sz w:val="24"/>
              </w:rPr>
            </w:pPr>
            <w:r>
              <w:rPr>
                <w:rFonts w:ascii="TimesNewRoman" w:eastAsia="TimesNewRoman" w:hAnsi="TimesNewRoman" w:cs="TimesNewRoman"/>
                <w:b w:val="0"/>
                <w:i w:val="0"/>
                <w:vanish w:val="0"/>
                <w:color w:val="000000"/>
                <w:sz w:val="24"/>
              </w:rPr>
              <w:t>Uvedeni sistemi za zaznavanje anomalij in odkrivanje naprednih vztrajnih groženj (APT) za odkrivanje nelegalnih aktivnosti v kibernetskem prostoru, tudi prikritih tehnik zlorab (večja varnost</w:t>
            </w:r>
          </w:p>
          <w:p w:rsidR="00A77B3E">
            <w:pPr>
              <w:numPr>
                <w:ilvl w:val="0"/>
                <w:numId w:val="11"/>
              </w:numPr>
              <w:spacing w:before="100" w:after="0"/>
              <w:ind w:start="720" w:hanging="360"/>
              <w:jc w:val="start"/>
              <w:rPr>
                <w:rFonts w:ascii="TimesNewRoman" w:eastAsia="TimesNewRoman" w:hAnsi="TimesNewRoman" w:cs="TimesNewRoman"/>
                <w:b w:val="0"/>
                <w:i w:val="0"/>
                <w:vanish w:val="0"/>
                <w:color w:val="000000"/>
                <w:sz w:val="24"/>
              </w:rPr>
            </w:pPr>
            <w:r>
              <w:rPr>
                <w:rFonts w:ascii="TimesNewRoman" w:eastAsia="TimesNewRoman" w:hAnsi="TimesNewRoman" w:cs="TimesNewRoman"/>
                <w:b w:val="0"/>
                <w:i w:val="0"/>
                <w:vanish w:val="0"/>
                <w:color w:val="000000"/>
                <w:sz w:val="24"/>
              </w:rPr>
              <w:t>Boljša pripravljenost subjektov kriznega upravljanja in upravljavcev kritične infrastrukture za odziv na hibridne groženje in krizne razmere, boljša pripravljenost na interoperabilnost in večja odpornost kritične infrastrukture</w:t>
            </w:r>
          </w:p>
          <w:p w:rsidR="00A77B3E">
            <w:pPr>
              <w:spacing w:before="100" w:after="0"/>
              <w:jc w:val="start"/>
              <w:rPr>
                <w:rFonts w:ascii="TimesNewRoman" w:eastAsia="TimesNewRoman" w:hAnsi="TimesNewRoman" w:cs="TimesNewRoman"/>
                <w:b w:val="0"/>
                <w:i w:val="0"/>
                <w:vanish w:val="0"/>
                <w:color w:val="000000"/>
                <w:sz w:val="24"/>
              </w:rPr>
            </w:pPr>
          </w:p>
          <w:p w:rsidR="00A77B3E">
            <w:pPr>
              <w:spacing w:before="100" w:after="0"/>
              <w:jc w:val="start"/>
              <w:rPr>
                <w:rFonts w:ascii="TimesNewRoman" w:eastAsia="TimesNewRoman" w:hAnsi="TimesNewRoman" w:cs="TimesNewRoman"/>
                <w:b w:val="0"/>
                <w:i w:val="0"/>
                <w:vanish w:val="0"/>
                <w:color w:val="000000"/>
                <w:sz w:val="24"/>
              </w:rPr>
            </w:pPr>
            <w:r>
              <w:rPr>
                <w:rFonts w:ascii="TimesNewRoman" w:eastAsia="TimesNewRoman" w:hAnsi="TimesNewRoman" w:cs="TimesNewRoman"/>
                <w:b/>
                <w:bCs/>
                <w:i w:val="0"/>
                <w:vanish w:val="0"/>
                <w:color w:val="000000"/>
                <w:sz w:val="24"/>
              </w:rPr>
              <w:t xml:space="preserve">1) </w:t>
            </w:r>
            <w:r>
              <w:rPr>
                <w:rFonts w:ascii="TimesNewRoman" w:eastAsia="TimesNewRoman" w:hAnsi="TimesNewRoman" w:cs="TimesNewRoman"/>
                <w:b/>
                <w:bCs/>
                <w:i w:val="0"/>
                <w:vanish w:val="0"/>
                <w:color w:val="000000"/>
                <w:sz w:val="24"/>
                <w:u w:val="single"/>
              </w:rPr>
              <w:t xml:space="preserve">Izvedbeni ukrep 3a): Povečanje usposobljenosti </w:t>
            </w:r>
          </w:p>
          <w:p w:rsidR="00A77B3E">
            <w:pPr>
              <w:spacing w:before="100" w:after="0"/>
              <w:jc w:val="start"/>
              <w:rPr>
                <w:rFonts w:ascii="TimesNewRoman" w:eastAsia="TimesNewRoman" w:hAnsi="TimesNewRoman" w:cs="TimesNewRoman"/>
                <w:b w:val="0"/>
                <w:i w:val="0"/>
                <w:vanish w:val="0"/>
                <w:color w:val="000000"/>
                <w:sz w:val="24"/>
              </w:rPr>
            </w:pPr>
          </w:p>
          <w:p w:rsidR="00A77B3E">
            <w:pPr>
              <w:spacing w:before="100" w:after="0"/>
              <w:jc w:val="start"/>
              <w:rPr>
                <w:rFonts w:ascii="TimesNewRoman" w:eastAsia="TimesNewRoman" w:hAnsi="TimesNewRoman" w:cs="TimesNewRoman"/>
                <w:b w:val="0"/>
                <w:i w:val="0"/>
                <w:vanish w:val="0"/>
                <w:color w:val="000000"/>
                <w:sz w:val="24"/>
              </w:rPr>
            </w:pPr>
            <w:r>
              <w:rPr>
                <w:rFonts w:ascii="TimesNewRoman" w:eastAsia="TimesNewRoman" w:hAnsi="TimesNewRoman" w:cs="TimesNewRoman"/>
                <w:b w:val="0"/>
                <w:i w:val="0"/>
                <w:vanish w:val="0"/>
                <w:color w:val="000000"/>
                <w:sz w:val="24"/>
              </w:rPr>
              <w:t xml:space="preserve">- </w:t>
            </w:r>
            <w:r>
              <w:rPr>
                <w:rFonts w:ascii="TimesNewRoman" w:eastAsia="TimesNewRoman" w:hAnsi="TimesNewRoman" w:cs="TimesNewRoman"/>
                <w:b/>
                <w:bCs/>
                <w:i w:val="0"/>
                <w:vanish w:val="0"/>
                <w:color w:val="000000"/>
                <w:sz w:val="24"/>
              </w:rPr>
              <w:t xml:space="preserve">Izboljšanje kapacitet za preiskovanje gospodarske kriminalitete </w:t>
            </w:r>
          </w:p>
          <w:p w:rsidR="00A77B3E">
            <w:pPr>
              <w:spacing w:before="100" w:after="0"/>
              <w:jc w:val="start"/>
              <w:rPr>
                <w:rFonts w:ascii="TimesNewRoman" w:eastAsia="TimesNewRoman" w:hAnsi="TimesNewRoman" w:cs="TimesNewRoman"/>
                <w:b w:val="0"/>
                <w:i w:val="0"/>
                <w:vanish w:val="0"/>
                <w:color w:val="000000"/>
                <w:sz w:val="24"/>
              </w:rPr>
            </w:pPr>
            <w:r>
              <w:rPr>
                <w:rFonts w:ascii="TimesNewRoman" w:eastAsia="TimesNewRoman" w:hAnsi="TimesNewRoman" w:cs="TimesNewRoman"/>
                <w:b/>
                <w:bCs/>
                <w:i w:val="0"/>
                <w:vanish w:val="0"/>
                <w:color w:val="000000"/>
                <w:sz w:val="24"/>
              </w:rPr>
              <w:t>Gospodarska kriminaliteta, korupcija ter nezakonito poslovanje pravnih oseb</w:t>
            </w:r>
            <w:r>
              <w:rPr>
                <w:rFonts w:ascii="TimesNewRoman" w:eastAsia="TimesNewRoman" w:hAnsi="TimesNewRoman" w:cs="TimesNewRoman"/>
                <w:b w:val="0"/>
                <w:i w:val="0"/>
                <w:vanish w:val="0"/>
                <w:color w:val="000000"/>
                <w:sz w:val="24"/>
              </w:rPr>
              <w:t xml:space="preserve"> povzročajo največ škode oz. pridobitev enormne protipravne premoženjske koristi. Storilci se med seboj povezujejo, delujejo organizirano, tudi na področju mednarodnih davčnih utaj v škodo proračuna Sl in EU in pranja denarja.</w:t>
            </w:r>
          </w:p>
          <w:p w:rsidR="00A77B3E">
            <w:pPr>
              <w:spacing w:before="100" w:after="0"/>
              <w:jc w:val="start"/>
              <w:rPr>
                <w:rFonts w:ascii="TimesNewRoman" w:eastAsia="TimesNewRoman" w:hAnsi="TimesNewRoman" w:cs="TimesNewRoman"/>
                <w:b w:val="0"/>
                <w:i w:val="0"/>
                <w:vanish w:val="0"/>
                <w:color w:val="000000"/>
                <w:sz w:val="24"/>
              </w:rPr>
            </w:pPr>
            <w:r>
              <w:rPr>
                <w:rFonts w:ascii="TimesNewRoman" w:eastAsia="TimesNewRoman" w:hAnsi="TimesNewRoman" w:cs="TimesNewRoman"/>
                <w:b w:val="0"/>
                <w:i w:val="0"/>
                <w:vanish w:val="0"/>
                <w:color w:val="000000"/>
                <w:sz w:val="24"/>
              </w:rPr>
              <w:t>Glavni izziv je izboljšati operativne zmogljivosti enot za učinkovito odkrivanje in preiskovanje gospodarskih in finančnih KD (spletne goljufije, goljufije znotraj EU z neobstoječim trgovcem, goljufije s trošarinami, pranje denarja, odvzem premoženja), v skladu s prednostnimi nalogami EMPACT in operativnimi ukrepi, s potrebami po usposabljanju, opredeljene v EU STNA 2022-2025, z Resolucijo o nacionalnem programu preprečevanja in zatiranja kriminalitete za obdobje 2019–2023 in Srednjeročnim načrtom razvoja in dela policije v SI za 2018–2022.</w:t>
            </w:r>
          </w:p>
          <w:p w:rsidR="00A77B3E">
            <w:pPr>
              <w:spacing w:before="100" w:after="0"/>
              <w:jc w:val="start"/>
              <w:rPr>
                <w:rFonts w:ascii="TimesNewRoman" w:eastAsia="TimesNewRoman" w:hAnsi="TimesNewRoman" w:cs="TimesNewRoman"/>
                <w:b w:val="0"/>
                <w:i w:val="0"/>
                <w:vanish w:val="0"/>
                <w:color w:val="000000"/>
                <w:sz w:val="24"/>
              </w:rPr>
            </w:pPr>
            <w:r>
              <w:rPr>
                <w:rFonts w:ascii="TimesNewRoman" w:eastAsia="TimesNewRoman" w:hAnsi="TimesNewRoman" w:cs="TimesNewRoman"/>
                <w:b w:val="0"/>
                <w:i w:val="0"/>
                <w:vanish w:val="0"/>
                <w:color w:val="000000"/>
                <w:sz w:val="24"/>
              </w:rPr>
              <w:t>Financiran bo dostop do elektronskih baz podatkov o gospodarskih subjektih po svetu, usposabljanje policistov za učinkovito odkrivanje in preiskovanje gospodarskega kriminala in korupcije.</w:t>
            </w:r>
          </w:p>
          <w:p w:rsidR="00A77B3E">
            <w:pPr>
              <w:spacing w:before="100" w:after="0"/>
              <w:jc w:val="start"/>
              <w:rPr>
                <w:rFonts w:ascii="TimesNewRoman" w:eastAsia="TimesNewRoman" w:hAnsi="TimesNewRoman" w:cs="TimesNewRoman"/>
                <w:b w:val="0"/>
                <w:i w:val="0"/>
                <w:vanish w:val="0"/>
                <w:color w:val="000000"/>
                <w:sz w:val="24"/>
              </w:rPr>
            </w:pPr>
          </w:p>
          <w:p w:rsidR="00A77B3E">
            <w:pPr>
              <w:spacing w:before="100" w:after="0"/>
              <w:jc w:val="start"/>
              <w:rPr>
                <w:rFonts w:ascii="TimesNewRoman" w:eastAsia="TimesNewRoman" w:hAnsi="TimesNewRoman" w:cs="TimesNewRoman"/>
                <w:b w:val="0"/>
                <w:i w:val="0"/>
                <w:vanish w:val="0"/>
                <w:color w:val="000000"/>
                <w:sz w:val="24"/>
              </w:rPr>
            </w:pPr>
            <w:r>
              <w:rPr>
                <w:rFonts w:ascii="TimesNewRoman" w:eastAsia="TimesNewRoman" w:hAnsi="TimesNewRoman" w:cs="TimesNewRoman"/>
                <w:b/>
                <w:bCs/>
                <w:i w:val="0"/>
                <w:vanish w:val="0"/>
                <w:color w:val="000000"/>
                <w:sz w:val="24"/>
              </w:rPr>
              <w:t>- Vzpostavitev nacionalnih kapacitet na področju okoljske kriminalitete</w:t>
            </w:r>
          </w:p>
          <w:p w:rsidR="00A77B3E">
            <w:pPr>
              <w:spacing w:before="100" w:after="0"/>
              <w:jc w:val="start"/>
              <w:rPr>
                <w:rFonts w:ascii="TimesNewRoman" w:eastAsia="TimesNewRoman" w:hAnsi="TimesNewRoman" w:cs="TimesNewRoman"/>
                <w:b w:val="0"/>
                <w:i w:val="0"/>
                <w:vanish w:val="0"/>
                <w:color w:val="000000"/>
                <w:sz w:val="24"/>
              </w:rPr>
            </w:pPr>
            <w:r>
              <w:rPr>
                <w:rFonts w:ascii="TimesNewRoman" w:eastAsia="TimesNewRoman" w:hAnsi="TimesNewRoman" w:cs="TimesNewRoman"/>
                <w:b w:val="0"/>
                <w:i w:val="0"/>
                <w:vanish w:val="0"/>
                <w:color w:val="000000"/>
                <w:sz w:val="24"/>
              </w:rPr>
              <w:t xml:space="preserve">S sprejetjem Direktive 2008/99/ES Evropskega parlamenta in Sveta o kazenskopravnem varstvu okolja je na ravni EU v ospredju boj zoper </w:t>
            </w:r>
            <w:r>
              <w:rPr>
                <w:rFonts w:ascii="TimesNewRoman" w:eastAsia="TimesNewRoman" w:hAnsi="TimesNewRoman" w:cs="TimesNewRoman"/>
                <w:b/>
                <w:bCs/>
                <w:i w:val="0"/>
                <w:vanish w:val="0"/>
                <w:color w:val="000000"/>
                <w:sz w:val="24"/>
              </w:rPr>
              <w:t>okoljsko kriminaliteto</w:t>
            </w:r>
            <w:r>
              <w:rPr>
                <w:rFonts w:ascii="TimesNewRoman" w:eastAsia="TimesNewRoman" w:hAnsi="TimesNewRoman" w:cs="TimesNewRoman"/>
                <w:b w:val="0"/>
                <w:i w:val="0"/>
                <w:vanish w:val="0"/>
                <w:color w:val="000000"/>
                <w:sz w:val="24"/>
              </w:rPr>
              <w:t>.</w:t>
            </w:r>
          </w:p>
          <w:p w:rsidR="00A77B3E">
            <w:pPr>
              <w:spacing w:before="100" w:after="0"/>
              <w:jc w:val="start"/>
              <w:rPr>
                <w:rFonts w:ascii="TimesNewRoman" w:eastAsia="TimesNewRoman" w:hAnsi="TimesNewRoman" w:cs="TimesNewRoman"/>
                <w:b w:val="0"/>
                <w:i w:val="0"/>
                <w:vanish w:val="0"/>
                <w:color w:val="000000"/>
                <w:sz w:val="24"/>
              </w:rPr>
            </w:pPr>
            <w:r>
              <w:rPr>
                <w:rFonts w:ascii="TimesNewRoman" w:eastAsia="TimesNewRoman" w:hAnsi="TimesNewRoman" w:cs="TimesNewRoman"/>
                <w:b w:val="0"/>
                <w:i w:val="0"/>
                <w:vanish w:val="0"/>
                <w:color w:val="000000"/>
                <w:sz w:val="24"/>
              </w:rPr>
              <w:t>Izziv: ustanovitev nacionalne enote za okoljsko kriminaliteto, sodelovanje v Evropski mreži policistov (EnviCrimeNet) in preprečevanje, odkrivanje, preiskovanje organiziranih kriminalnih skupin, vpletenih v okoljski kriminal.</w:t>
            </w:r>
          </w:p>
          <w:p w:rsidR="00A77B3E">
            <w:pPr>
              <w:spacing w:before="100" w:after="0"/>
              <w:jc w:val="start"/>
              <w:rPr>
                <w:rFonts w:ascii="TimesNewRoman" w:eastAsia="TimesNewRoman" w:hAnsi="TimesNewRoman" w:cs="TimesNewRoman"/>
                <w:b w:val="0"/>
                <w:i w:val="0"/>
                <w:vanish w:val="0"/>
                <w:color w:val="000000"/>
                <w:sz w:val="24"/>
              </w:rPr>
            </w:pPr>
            <w:r>
              <w:rPr>
                <w:rFonts w:ascii="TimesNewRoman" w:eastAsia="TimesNewRoman" w:hAnsi="TimesNewRoman" w:cs="TimesNewRoman"/>
                <w:b w:val="0"/>
                <w:i w:val="0"/>
                <w:vanish w:val="0"/>
                <w:color w:val="000000"/>
                <w:sz w:val="24"/>
              </w:rPr>
              <w:t xml:space="preserve">Financirane bodo aktivnosti za boj proti okoljski kriminaliteti in ustanovitev nacionalne enote za sodelovanje v projektu EMPACT </w:t>
            </w:r>
            <w:r>
              <w:rPr>
                <w:rFonts w:ascii="TimesNewRoman" w:eastAsia="TimesNewRoman" w:hAnsi="TimesNewRoman" w:cs="TimesNewRoman"/>
                <w:b w:val="0"/>
                <w:i/>
                <w:iCs/>
                <w:vanish w:val="0"/>
                <w:color w:val="000000"/>
                <w:sz w:val="24"/>
              </w:rPr>
              <w:t xml:space="preserve">Environmental Crime </w:t>
            </w:r>
            <w:r>
              <w:rPr>
                <w:rFonts w:ascii="TimesNewRoman" w:eastAsia="TimesNewRoman" w:hAnsi="TimesNewRoman" w:cs="TimesNewRoman"/>
                <w:b w:val="0"/>
                <w:i w:val="0"/>
                <w:vanish w:val="0"/>
                <w:color w:val="000000"/>
                <w:sz w:val="24"/>
              </w:rPr>
              <w:t>in Evropski mreži policistov (EnviCrimeNet), ki ga podpira Evropska komisija.</w:t>
            </w:r>
          </w:p>
          <w:p w:rsidR="00A77B3E">
            <w:pPr>
              <w:spacing w:before="100" w:after="0"/>
              <w:jc w:val="start"/>
              <w:rPr>
                <w:rFonts w:ascii="TimesNewRoman" w:eastAsia="TimesNewRoman" w:hAnsi="TimesNewRoman" w:cs="TimesNewRoman"/>
                <w:b w:val="0"/>
                <w:i w:val="0"/>
                <w:vanish w:val="0"/>
                <w:color w:val="000000"/>
                <w:sz w:val="24"/>
              </w:rPr>
            </w:pPr>
          </w:p>
          <w:p w:rsidR="00A77B3E">
            <w:pPr>
              <w:spacing w:before="100" w:after="0"/>
              <w:jc w:val="start"/>
              <w:rPr>
                <w:rFonts w:ascii="TimesNewRoman" w:eastAsia="TimesNewRoman" w:hAnsi="TimesNewRoman" w:cs="TimesNewRoman"/>
                <w:b w:val="0"/>
                <w:i w:val="0"/>
                <w:vanish w:val="0"/>
                <w:color w:val="000000"/>
                <w:sz w:val="24"/>
              </w:rPr>
            </w:pPr>
            <w:r>
              <w:rPr>
                <w:rFonts w:ascii="TimesNewRoman" w:eastAsia="TimesNewRoman" w:hAnsi="TimesNewRoman" w:cs="TimesNewRoman"/>
                <w:b/>
                <w:bCs/>
                <w:i w:val="0"/>
                <w:vanish w:val="0"/>
                <w:color w:val="000000"/>
                <w:sz w:val="24"/>
              </w:rPr>
              <w:t>- Izboljšanje kapacitet na področju kibernetske kriminalitete in digitalne forenzike (fin. 90%)</w:t>
            </w:r>
          </w:p>
          <w:p w:rsidR="00A77B3E">
            <w:pPr>
              <w:spacing w:before="100" w:after="0"/>
              <w:jc w:val="start"/>
              <w:rPr>
                <w:rFonts w:ascii="TimesNewRoman" w:eastAsia="TimesNewRoman" w:hAnsi="TimesNewRoman" w:cs="TimesNewRoman"/>
                <w:b w:val="0"/>
                <w:i w:val="0"/>
                <w:vanish w:val="0"/>
                <w:color w:val="000000"/>
                <w:sz w:val="24"/>
              </w:rPr>
            </w:pPr>
            <w:r>
              <w:rPr>
                <w:rFonts w:ascii="TimesNewRoman" w:eastAsia="TimesNewRoman" w:hAnsi="TimesNewRoman" w:cs="TimesNewRoman"/>
                <w:b w:val="0"/>
                <w:i w:val="0"/>
                <w:vanish w:val="0"/>
                <w:color w:val="000000"/>
                <w:sz w:val="24"/>
              </w:rPr>
              <w:t>Digitalna forenzika pridobiva na pomenu pri preiskovanju skoraj KD. EU SOCTA za leto 2021 navaja, da se je treba osredotočiti na grožnjo kibernetske kriminalitete, kot tudi sklep Sveta z 9.6.2016 o izboljšanju kazenskega pravosodja v kibernetskem prostoru.</w:t>
            </w:r>
          </w:p>
          <w:p w:rsidR="00A77B3E">
            <w:pPr>
              <w:spacing w:before="100" w:after="0"/>
              <w:jc w:val="start"/>
              <w:rPr>
                <w:rFonts w:ascii="TimesNewRoman" w:eastAsia="TimesNewRoman" w:hAnsi="TimesNewRoman" w:cs="TimesNewRoman"/>
                <w:b w:val="0"/>
                <w:i w:val="0"/>
                <w:vanish w:val="0"/>
                <w:color w:val="000000"/>
                <w:sz w:val="24"/>
              </w:rPr>
            </w:pPr>
            <w:r>
              <w:rPr>
                <w:rFonts w:ascii="TimesNewRoman" w:eastAsia="TimesNewRoman" w:hAnsi="TimesNewRoman" w:cs="TimesNewRoman"/>
                <w:b w:val="0"/>
                <w:i w:val="0"/>
                <w:vanish w:val="0"/>
                <w:color w:val="000000"/>
                <w:sz w:val="24"/>
              </w:rPr>
              <w:t>Raznolikost e-naprav, število in količina zaseženih podatkov/dokazov za obdelavo narašča. Za soočanje s temi izzivi bo nabavljena programska in strojna oprema, dodatno usposobljeni policisti za preprečevanje, odkrivanje in preiskovanje kibernetskega kriminala, vključno s temnim spletom ter zavarovanje in preiskavo e-naprav (digitalna forenzika).</w:t>
            </w:r>
          </w:p>
          <w:p w:rsidR="00A77B3E">
            <w:pPr>
              <w:spacing w:before="100" w:after="0"/>
              <w:jc w:val="start"/>
              <w:rPr>
                <w:rFonts w:ascii="TimesNewRoman" w:eastAsia="TimesNewRoman" w:hAnsi="TimesNewRoman" w:cs="TimesNewRoman"/>
                <w:b w:val="0"/>
                <w:i w:val="0"/>
                <w:vanish w:val="0"/>
                <w:color w:val="000000"/>
                <w:sz w:val="24"/>
              </w:rPr>
            </w:pPr>
            <w:r>
              <w:rPr>
                <w:rFonts w:ascii="TimesNewRoman" w:eastAsia="TimesNewRoman" w:hAnsi="TimesNewRoman" w:cs="TimesNewRoman"/>
                <w:b w:val="0"/>
                <w:i w:val="0"/>
                <w:vanish w:val="0"/>
                <w:color w:val="000000"/>
                <w:sz w:val="24"/>
              </w:rPr>
              <w:t>Pričakovani rezultat:</w:t>
            </w:r>
            <w:r>
              <w:rPr>
                <w:rFonts w:ascii="TimesNewRoman" w:eastAsia="TimesNewRoman" w:hAnsi="TimesNewRoman" w:cs="TimesNewRoman"/>
                <w:b/>
                <w:bCs/>
                <w:i w:val="0"/>
                <w:vanish w:val="0"/>
                <w:color w:val="000000"/>
                <w:sz w:val="24"/>
              </w:rPr>
              <w:t xml:space="preserve"> </w:t>
            </w:r>
            <w:r>
              <w:rPr>
                <w:rFonts w:ascii="TimesNewRoman" w:eastAsia="TimesNewRoman" w:hAnsi="TimesNewRoman" w:cs="TimesNewRoman"/>
                <w:b w:val="0"/>
                <w:i w:val="0"/>
                <w:vanish w:val="0"/>
                <w:color w:val="000000"/>
                <w:sz w:val="24"/>
              </w:rPr>
              <w:t>povečane in izboljšane kapacitete za preiskovanje digitalne forenzike in kibernetske kriminalitete.</w:t>
            </w:r>
          </w:p>
          <w:p w:rsidR="00A77B3E">
            <w:pPr>
              <w:spacing w:before="100" w:after="0"/>
              <w:jc w:val="start"/>
              <w:rPr>
                <w:rFonts w:ascii="TimesNewRoman" w:eastAsia="TimesNewRoman" w:hAnsi="TimesNewRoman" w:cs="TimesNewRoman"/>
                <w:b w:val="0"/>
                <w:i w:val="0"/>
                <w:vanish w:val="0"/>
                <w:color w:val="000000"/>
                <w:sz w:val="24"/>
              </w:rPr>
            </w:pPr>
          </w:p>
          <w:p w:rsidR="00A77B3E">
            <w:pPr>
              <w:spacing w:before="100" w:after="0"/>
              <w:jc w:val="start"/>
              <w:rPr>
                <w:rFonts w:ascii="TimesNewRoman" w:eastAsia="TimesNewRoman" w:hAnsi="TimesNewRoman" w:cs="TimesNewRoman"/>
                <w:b w:val="0"/>
                <w:i w:val="0"/>
                <w:vanish w:val="0"/>
                <w:color w:val="000000"/>
                <w:sz w:val="24"/>
              </w:rPr>
            </w:pPr>
            <w:r>
              <w:rPr>
                <w:rFonts w:ascii="TimesNewRoman" w:eastAsia="TimesNewRoman" w:hAnsi="TimesNewRoman" w:cs="TimesNewRoman"/>
                <w:b/>
                <w:bCs/>
                <w:i w:val="0"/>
                <w:vanish w:val="0"/>
                <w:color w:val="000000"/>
                <w:sz w:val="24"/>
              </w:rPr>
              <w:t>- Obnova in nadgradnja učnih kapacitet Policijske akademije</w:t>
            </w:r>
          </w:p>
          <w:p w:rsidR="00A77B3E">
            <w:pPr>
              <w:spacing w:before="100" w:after="0"/>
              <w:jc w:val="start"/>
              <w:rPr>
                <w:rFonts w:ascii="TimesNewRoman" w:eastAsia="TimesNewRoman" w:hAnsi="TimesNewRoman" w:cs="TimesNewRoman"/>
                <w:b w:val="0"/>
                <w:i w:val="0"/>
                <w:vanish w:val="0"/>
                <w:color w:val="000000"/>
                <w:sz w:val="24"/>
              </w:rPr>
            </w:pPr>
            <w:r>
              <w:rPr>
                <w:rFonts w:ascii="TimesNewRoman" w:eastAsia="TimesNewRoman" w:hAnsi="TimesNewRoman" w:cs="TimesNewRoman"/>
                <w:b w:val="0"/>
                <w:i w:val="0"/>
                <w:vanish w:val="0"/>
                <w:color w:val="000000"/>
                <w:sz w:val="24"/>
              </w:rPr>
              <w:t>Policijska akademija (PA) izvaja programe za usposobljenost, strokovnost in učinkovitost policistov. Obstoječe tehnične kapacitete niso zadostne in ne dosegajo normativov za učne procese izven sistema policije.</w:t>
            </w:r>
          </w:p>
          <w:p w:rsidR="00A77B3E">
            <w:pPr>
              <w:spacing w:before="100" w:after="0"/>
              <w:jc w:val="start"/>
              <w:rPr>
                <w:rFonts w:ascii="TimesNewRoman" w:eastAsia="TimesNewRoman" w:hAnsi="TimesNewRoman" w:cs="TimesNewRoman"/>
                <w:b w:val="0"/>
                <w:i w:val="0"/>
                <w:vanish w:val="0"/>
                <w:color w:val="000000"/>
                <w:sz w:val="24"/>
              </w:rPr>
            </w:pPr>
            <w:r>
              <w:rPr>
                <w:rFonts w:ascii="TimesNewRoman" w:eastAsia="TimesNewRoman" w:hAnsi="TimesNewRoman" w:cs="TimesNewRoman"/>
                <w:b w:val="0"/>
                <w:i w:val="0"/>
                <w:vanish w:val="0"/>
                <w:color w:val="000000"/>
                <w:sz w:val="24"/>
              </w:rPr>
              <w:t>SNV bo uporabljen za obnovo učnih prostorov, izboljšanje tehnične opremljenosti, strežniškega sistema, videokonferenčnih kapacitet za specialistična usposabljanja na daljavo, repozitorija gradiv in dostopa do učnih gradiv na daljavo, itd. To bo izboljšalo kapacitete PA in njeno povezljivost v strokovno mednarodno okolje (CEPOL, MEPA, EUROPOL) in z drugimi deležniki za izvajanje policijskega usposabljanja.</w:t>
            </w:r>
          </w:p>
          <w:p w:rsidR="00A77B3E">
            <w:pPr>
              <w:spacing w:before="100" w:after="0"/>
              <w:jc w:val="start"/>
              <w:rPr>
                <w:rFonts w:ascii="TimesNewRoman" w:eastAsia="TimesNewRoman" w:hAnsi="TimesNewRoman" w:cs="TimesNewRoman"/>
                <w:b w:val="0"/>
                <w:i w:val="0"/>
                <w:vanish w:val="0"/>
                <w:color w:val="000000"/>
                <w:sz w:val="24"/>
              </w:rPr>
            </w:pPr>
            <w:r>
              <w:rPr>
                <w:rFonts w:ascii="TimesNewRoman" w:eastAsia="TimesNewRoman" w:hAnsi="TimesNewRoman" w:cs="TimesNewRoman"/>
                <w:b w:val="0"/>
                <w:i w:val="0"/>
                <w:vanish w:val="0"/>
                <w:color w:val="000000"/>
                <w:sz w:val="24"/>
              </w:rPr>
              <w:t>Pričakovani rezultat: obnovljeni prostori PA in tehnična oprema za sodobne učne procese ter mednarodna povezljivost na področju policijskega usposabljanja.</w:t>
            </w:r>
          </w:p>
          <w:p w:rsidR="00A77B3E">
            <w:pPr>
              <w:spacing w:before="100" w:after="0"/>
              <w:jc w:val="start"/>
              <w:rPr>
                <w:rFonts w:ascii="TimesNewRoman" w:eastAsia="TimesNewRoman" w:hAnsi="TimesNewRoman" w:cs="TimesNewRoman"/>
                <w:b w:val="0"/>
                <w:i w:val="0"/>
                <w:vanish w:val="0"/>
                <w:color w:val="000000"/>
                <w:sz w:val="24"/>
              </w:rPr>
            </w:pPr>
          </w:p>
          <w:p w:rsidR="00A77B3E">
            <w:pPr>
              <w:spacing w:before="100" w:after="0"/>
              <w:jc w:val="start"/>
              <w:rPr>
                <w:rFonts w:ascii="TimesNewRoman" w:eastAsia="TimesNewRoman" w:hAnsi="TimesNewRoman" w:cs="TimesNewRoman"/>
                <w:b w:val="0"/>
                <w:i w:val="0"/>
                <w:vanish w:val="0"/>
                <w:color w:val="000000"/>
                <w:sz w:val="24"/>
              </w:rPr>
            </w:pPr>
            <w:r>
              <w:rPr>
                <w:rFonts w:ascii="TimesNewRoman" w:eastAsia="TimesNewRoman" w:hAnsi="TimesNewRoman" w:cs="TimesNewRoman"/>
                <w:b/>
                <w:bCs/>
                <w:i w:val="0"/>
                <w:vanish w:val="0"/>
                <w:color w:val="000000"/>
                <w:sz w:val="24"/>
              </w:rPr>
              <w:t xml:space="preserve">- Obnova, nadgradnja in izboljšanje opremljenosti obstoječih vadbenih kapacitet za posebne policijske veščine in protiteroristično vadbo </w:t>
            </w:r>
          </w:p>
          <w:p w:rsidR="00A77B3E">
            <w:pPr>
              <w:spacing w:before="100" w:after="0"/>
              <w:jc w:val="start"/>
              <w:rPr>
                <w:rFonts w:ascii="TimesNewRoman" w:eastAsia="TimesNewRoman" w:hAnsi="TimesNewRoman" w:cs="TimesNewRoman"/>
                <w:b w:val="0"/>
                <w:i w:val="0"/>
                <w:vanish w:val="0"/>
                <w:color w:val="000000"/>
                <w:sz w:val="24"/>
              </w:rPr>
            </w:pPr>
            <w:r>
              <w:rPr>
                <w:rFonts w:ascii="TimesNewRoman" w:eastAsia="TimesNewRoman" w:hAnsi="TimesNewRoman" w:cs="TimesNewRoman"/>
                <w:b w:val="0"/>
                <w:i w:val="0"/>
                <w:vanish w:val="0"/>
                <w:color w:val="000000"/>
                <w:sz w:val="24"/>
              </w:rPr>
              <w:t>Policija nima ustreznih specializiranih objektov, vadbenih poligonov, strelišč in zahtevnih vadbenih površin za usposabljanje posebnih enot, zato uporablja vadbišča SI vojske ali se povezuje z drugimi DČ. To ne omogoča dnevnega treninga posebnih enot policije (nujno za izurjenost, opremljenost in hitro posredovanje). Neustreznost prostorov otežuje skupno usposabljanje z drugimi enotami DČ.</w:t>
            </w:r>
          </w:p>
          <w:p w:rsidR="00A77B3E">
            <w:pPr>
              <w:spacing w:before="100" w:after="0"/>
              <w:jc w:val="start"/>
              <w:rPr>
                <w:rFonts w:ascii="TimesNewRoman" w:eastAsia="TimesNewRoman" w:hAnsi="TimesNewRoman" w:cs="TimesNewRoman"/>
                <w:b w:val="0"/>
                <w:i w:val="0"/>
                <w:vanish w:val="0"/>
                <w:color w:val="000000"/>
                <w:sz w:val="24"/>
              </w:rPr>
            </w:pPr>
            <w:r>
              <w:rPr>
                <w:rFonts w:ascii="TimesNewRoman" w:eastAsia="TimesNewRoman" w:hAnsi="TimesNewRoman" w:cs="TimesNewRoman"/>
                <w:b w:val="0"/>
                <w:i w:val="0"/>
                <w:vanish w:val="0"/>
                <w:color w:val="000000"/>
                <w:sz w:val="24"/>
              </w:rPr>
              <w:t>Aktivnosti fin. iz sklada: posodobitev vadbenih površin in poligonov vadbenega centra za visokotehnološko vadbo, urjenje policijskih veščin in psihofizično pripravljenost za boj na blizu. Nabavljena bo tudi tehnična oprema posebnih enot policije za izvedbo usposabljanj.</w:t>
            </w:r>
          </w:p>
          <w:p w:rsidR="00A77B3E">
            <w:pPr>
              <w:spacing w:before="100" w:after="0"/>
              <w:jc w:val="start"/>
              <w:rPr>
                <w:rFonts w:ascii="TimesNewRoman" w:eastAsia="TimesNewRoman" w:hAnsi="TimesNewRoman" w:cs="TimesNewRoman"/>
                <w:b w:val="0"/>
                <w:i w:val="0"/>
                <w:vanish w:val="0"/>
                <w:color w:val="000000"/>
                <w:sz w:val="24"/>
              </w:rPr>
            </w:pPr>
            <w:r>
              <w:rPr>
                <w:rFonts w:ascii="TimesNewRoman" w:eastAsia="TimesNewRoman" w:hAnsi="TimesNewRoman" w:cs="TimesNewRoman"/>
                <w:b w:val="0"/>
                <w:i w:val="0"/>
                <w:vanish w:val="0"/>
                <w:color w:val="000000"/>
                <w:sz w:val="24"/>
              </w:rPr>
              <w:t>Pričakovani rezultat:</w:t>
            </w:r>
            <w:r>
              <w:rPr>
                <w:rFonts w:ascii="TimesNewRoman" w:eastAsia="TimesNewRoman" w:hAnsi="TimesNewRoman" w:cs="TimesNewRoman"/>
                <w:b/>
                <w:bCs/>
                <w:i w:val="0"/>
                <w:vanish w:val="0"/>
                <w:color w:val="000000"/>
                <w:sz w:val="24"/>
              </w:rPr>
              <w:t xml:space="preserve"> </w:t>
            </w:r>
            <w:r>
              <w:rPr>
                <w:rFonts w:ascii="TimesNewRoman" w:eastAsia="TimesNewRoman" w:hAnsi="TimesNewRoman" w:cs="TimesNewRoman"/>
                <w:b w:val="0"/>
                <w:i w:val="0"/>
                <w:vanish w:val="0"/>
                <w:color w:val="000000"/>
                <w:sz w:val="24"/>
              </w:rPr>
              <w:t>obnovljene in nadgrajene obstoječe vadbene kapacitete za vadbo posebnih policijskih veščin.</w:t>
            </w:r>
          </w:p>
          <w:p w:rsidR="00A77B3E">
            <w:pPr>
              <w:spacing w:before="100" w:after="0"/>
              <w:jc w:val="start"/>
              <w:rPr>
                <w:rFonts w:ascii="TimesNewRoman" w:eastAsia="TimesNewRoman" w:hAnsi="TimesNewRoman" w:cs="TimesNewRoman"/>
                <w:b w:val="0"/>
                <w:i w:val="0"/>
                <w:vanish w:val="0"/>
                <w:color w:val="000000"/>
                <w:sz w:val="24"/>
              </w:rPr>
            </w:pPr>
          </w:p>
          <w:p w:rsidR="00A77B3E">
            <w:pPr>
              <w:spacing w:before="100" w:after="0"/>
              <w:jc w:val="start"/>
              <w:rPr>
                <w:rFonts w:ascii="TimesNewRoman" w:eastAsia="TimesNewRoman" w:hAnsi="TimesNewRoman" w:cs="TimesNewRoman"/>
                <w:b w:val="0"/>
                <w:i w:val="0"/>
                <w:vanish w:val="0"/>
                <w:color w:val="000000"/>
                <w:sz w:val="24"/>
              </w:rPr>
            </w:pPr>
            <w:r>
              <w:rPr>
                <w:rFonts w:ascii="TimesNewRoman" w:eastAsia="TimesNewRoman" w:hAnsi="TimesNewRoman" w:cs="TimesNewRoman"/>
                <w:b/>
                <w:bCs/>
                <w:i w:val="0"/>
                <w:vanish w:val="0"/>
                <w:color w:val="000000"/>
                <w:sz w:val="24"/>
              </w:rPr>
              <w:t xml:space="preserve">2) </w:t>
            </w:r>
            <w:r>
              <w:rPr>
                <w:rFonts w:ascii="TimesNewRoman" w:eastAsia="TimesNewRoman" w:hAnsi="TimesNewRoman" w:cs="TimesNewRoman"/>
                <w:b/>
                <w:bCs/>
                <w:i w:val="0"/>
                <w:vanish w:val="0"/>
                <w:color w:val="000000"/>
                <w:sz w:val="24"/>
                <w:u w:val="single"/>
              </w:rPr>
              <w:t xml:space="preserve">Izvedbeni ukrep 3b:) Oblikovanje sinergij z združevanjem virov in znanja </w:t>
            </w:r>
          </w:p>
          <w:p w:rsidR="00A77B3E">
            <w:pPr>
              <w:spacing w:before="100" w:after="0"/>
              <w:jc w:val="start"/>
              <w:rPr>
                <w:rFonts w:ascii="TimesNewRoman" w:eastAsia="TimesNewRoman" w:hAnsi="TimesNewRoman" w:cs="TimesNewRoman"/>
                <w:b w:val="0"/>
                <w:i w:val="0"/>
                <w:vanish w:val="0"/>
                <w:color w:val="000000"/>
                <w:sz w:val="24"/>
              </w:rPr>
            </w:pPr>
          </w:p>
          <w:p w:rsidR="00A77B3E">
            <w:pPr>
              <w:spacing w:before="100" w:after="0"/>
              <w:jc w:val="start"/>
              <w:rPr>
                <w:rFonts w:ascii="TimesNewRoman" w:eastAsia="TimesNewRoman" w:hAnsi="TimesNewRoman" w:cs="TimesNewRoman"/>
                <w:b w:val="0"/>
                <w:i w:val="0"/>
                <w:vanish w:val="0"/>
                <w:color w:val="000000"/>
                <w:sz w:val="24"/>
              </w:rPr>
            </w:pPr>
            <w:r>
              <w:rPr>
                <w:rFonts w:ascii="TimesNewRoman" w:eastAsia="TimesNewRoman" w:hAnsi="TimesNewRoman" w:cs="TimesNewRoman"/>
                <w:b/>
                <w:bCs/>
                <w:i w:val="0"/>
                <w:vanish w:val="0"/>
                <w:color w:val="000000"/>
                <w:sz w:val="24"/>
              </w:rPr>
              <w:t>- Preprečevanje radikalizacije, RAN platforma (fin. 90%)</w:t>
            </w:r>
          </w:p>
          <w:p w:rsidR="00A77B3E">
            <w:pPr>
              <w:spacing w:before="100" w:after="0"/>
              <w:jc w:val="start"/>
              <w:rPr>
                <w:rFonts w:ascii="TimesNewRoman" w:eastAsia="TimesNewRoman" w:hAnsi="TimesNewRoman" w:cs="TimesNewRoman"/>
                <w:b w:val="0"/>
                <w:i w:val="0"/>
                <w:vanish w:val="0"/>
                <w:color w:val="000000"/>
                <w:sz w:val="24"/>
              </w:rPr>
            </w:pPr>
            <w:r>
              <w:rPr>
                <w:rFonts w:ascii="TimesNewRoman" w:eastAsia="TimesNewRoman" w:hAnsi="TimesNewRoman" w:cs="TimesNewRoman"/>
                <w:b w:val="0"/>
                <w:i w:val="0"/>
                <w:vanish w:val="0"/>
                <w:color w:val="000000"/>
                <w:sz w:val="24"/>
              </w:rPr>
              <w:t>Vlada SI je 5.12.2019 sprejela Nacionalno strategijo za preprečevanje terorizma in nasilnega ekstremizma št. 22100-2/2019/4, za preprečevanje radikalizacije, ki vodi v nasilni ekstremizem in terorizem. 5.3.2020 je sprejela sklep o ustanovitvi Medresorske delovne skupine za preprečevanje radikalizacije št. 01201-3/2020/4, ki je pripravila Akcijski načrt za preprečevanje radikalizacije, v okviru Akcijskega načrta za preprečevanje terorizma in nasilnega ekstremizma 2021-2023, ki ga je potrebno še sprejeti. Deluje skladno s Strategijo EU proti radikalizaciji in novačenju (CS/2008/15175) ter Smernicami Sveta za strategijo EU za boj proti radikalizaciji in novačenju teroristov (13469/1/14, rev.1).</w:t>
            </w:r>
          </w:p>
          <w:p w:rsidR="00A77B3E">
            <w:pPr>
              <w:spacing w:before="100" w:after="0"/>
              <w:jc w:val="start"/>
              <w:rPr>
                <w:rFonts w:ascii="TimesNewRoman" w:eastAsia="TimesNewRoman" w:hAnsi="TimesNewRoman" w:cs="TimesNewRoman"/>
                <w:b w:val="0"/>
                <w:i w:val="0"/>
                <w:vanish w:val="0"/>
                <w:color w:val="000000"/>
                <w:sz w:val="24"/>
              </w:rPr>
            </w:pPr>
            <w:r>
              <w:rPr>
                <w:rFonts w:ascii="TimesNewRoman" w:eastAsia="TimesNewRoman" w:hAnsi="TimesNewRoman" w:cs="TimesNewRoman"/>
                <w:b w:val="0"/>
                <w:i w:val="0"/>
                <w:vanish w:val="0"/>
                <w:color w:val="000000"/>
                <w:sz w:val="24"/>
              </w:rPr>
              <w:t>Izziv v prvi fazi je določitev skupin, na katere imajo prepoznani kazalniki radikalizacije (različni osebnostni, družbeni vzroki) večji vpliv. Akcijski načrt bo opredelil splošne ukrepe za preprečevanje radikalizacije in posamezne institucije za njihovo izvajanje. Predvideva se aktivnosti za preventivno delovanje na področju preprečevanja radikalizacije. </w:t>
            </w:r>
          </w:p>
          <w:p w:rsidR="00A77B3E">
            <w:pPr>
              <w:spacing w:before="100" w:after="0"/>
              <w:jc w:val="start"/>
              <w:rPr>
                <w:rFonts w:ascii="TimesNewRoman" w:eastAsia="TimesNewRoman" w:hAnsi="TimesNewRoman" w:cs="TimesNewRoman"/>
                <w:b w:val="0"/>
                <w:i w:val="0"/>
                <w:vanish w:val="0"/>
                <w:color w:val="000000"/>
                <w:sz w:val="24"/>
              </w:rPr>
            </w:pPr>
            <w:r>
              <w:rPr>
                <w:rFonts w:ascii="TimesNewRoman" w:eastAsia="TimesNewRoman" w:hAnsi="TimesNewRoman" w:cs="TimesNewRoman"/>
                <w:b w:val="0"/>
                <w:i w:val="0"/>
                <w:vanish w:val="0"/>
                <w:color w:val="000000"/>
                <w:sz w:val="24"/>
              </w:rPr>
              <w:t>Predvidene aktivnosti:</w:t>
            </w:r>
          </w:p>
          <w:p w:rsidR="00A77B3E">
            <w:pPr>
              <w:numPr>
                <w:ilvl w:val="0"/>
                <w:numId w:val="12"/>
              </w:numPr>
              <w:spacing w:before="100" w:after="0"/>
              <w:ind w:start="720" w:hanging="360"/>
              <w:jc w:val="start"/>
              <w:rPr>
                <w:rFonts w:ascii="TimesNewRoman" w:eastAsia="TimesNewRoman" w:hAnsi="TimesNewRoman" w:cs="TimesNewRoman"/>
                <w:b w:val="0"/>
                <w:i w:val="0"/>
                <w:vanish w:val="0"/>
                <w:color w:val="000000"/>
                <w:sz w:val="24"/>
              </w:rPr>
            </w:pPr>
            <w:r>
              <w:rPr>
                <w:rFonts w:ascii="TimesNewRoman" w:eastAsia="TimesNewRoman" w:hAnsi="TimesNewRoman" w:cs="TimesNewRoman"/>
                <w:b w:val="0"/>
                <w:i w:val="0"/>
                <w:vanish w:val="0"/>
                <w:color w:val="000000"/>
                <w:sz w:val="24"/>
              </w:rPr>
              <w:t>Ozaveščanje in izobraževanje zaposlenih v državnih organih o pojavu radikalizacije ter preventivnih aktivnostih</w:t>
            </w:r>
          </w:p>
          <w:p w:rsidR="00A77B3E">
            <w:pPr>
              <w:numPr>
                <w:ilvl w:val="0"/>
                <w:numId w:val="12"/>
              </w:numPr>
              <w:spacing w:before="100" w:after="0"/>
              <w:ind w:start="720" w:hanging="360"/>
              <w:jc w:val="start"/>
              <w:rPr>
                <w:rFonts w:ascii="TimesNewRoman" w:eastAsia="TimesNewRoman" w:hAnsi="TimesNewRoman" w:cs="TimesNewRoman"/>
                <w:b w:val="0"/>
                <w:i w:val="0"/>
                <w:vanish w:val="0"/>
                <w:color w:val="000000"/>
                <w:sz w:val="24"/>
              </w:rPr>
            </w:pPr>
            <w:r>
              <w:rPr>
                <w:rFonts w:ascii="TimesNewRoman" w:eastAsia="TimesNewRoman" w:hAnsi="TimesNewRoman" w:cs="TimesNewRoman"/>
                <w:b w:val="0"/>
                <w:i w:val="0"/>
                <w:vanish w:val="0"/>
                <w:color w:val="000000"/>
                <w:sz w:val="24"/>
              </w:rPr>
              <w:t>Izmenjava dobrih praks, izkušenj in znanj z medn. organizacijami</w:t>
            </w:r>
          </w:p>
          <w:p w:rsidR="00A77B3E">
            <w:pPr>
              <w:numPr>
                <w:ilvl w:val="0"/>
                <w:numId w:val="12"/>
              </w:numPr>
              <w:spacing w:before="100" w:after="0"/>
              <w:ind w:start="720" w:hanging="360"/>
              <w:jc w:val="start"/>
              <w:rPr>
                <w:rFonts w:ascii="TimesNewRoman" w:eastAsia="TimesNewRoman" w:hAnsi="TimesNewRoman" w:cs="TimesNewRoman"/>
                <w:b w:val="0"/>
                <w:i w:val="0"/>
                <w:vanish w:val="0"/>
                <w:color w:val="000000"/>
                <w:sz w:val="24"/>
              </w:rPr>
            </w:pPr>
            <w:r>
              <w:rPr>
                <w:rFonts w:ascii="TimesNewRoman" w:eastAsia="TimesNewRoman" w:hAnsi="TimesNewRoman" w:cs="TimesNewRoman"/>
                <w:b w:val="0"/>
                <w:i w:val="0"/>
                <w:vanish w:val="0"/>
                <w:color w:val="000000"/>
                <w:sz w:val="24"/>
              </w:rPr>
              <w:t>Priprava posvetov in informacijskega gradiva</w:t>
            </w:r>
          </w:p>
          <w:p w:rsidR="00A77B3E">
            <w:pPr>
              <w:numPr>
                <w:ilvl w:val="0"/>
                <w:numId w:val="12"/>
              </w:numPr>
              <w:spacing w:before="100" w:after="0"/>
              <w:ind w:start="720" w:hanging="360"/>
              <w:jc w:val="start"/>
              <w:rPr>
                <w:rFonts w:ascii="TimesNewRoman" w:eastAsia="TimesNewRoman" w:hAnsi="TimesNewRoman" w:cs="TimesNewRoman"/>
                <w:b w:val="0"/>
                <w:i w:val="0"/>
                <w:vanish w:val="0"/>
                <w:color w:val="000000"/>
                <w:sz w:val="24"/>
              </w:rPr>
            </w:pPr>
            <w:r>
              <w:rPr>
                <w:rFonts w:ascii="TimesNewRoman" w:eastAsia="TimesNewRoman" w:hAnsi="TimesNewRoman" w:cs="TimesNewRoman"/>
                <w:b w:val="0"/>
                <w:i w:val="0"/>
                <w:vanish w:val="0"/>
                <w:color w:val="000000"/>
                <w:sz w:val="24"/>
              </w:rPr>
              <w:t>Okrepitev vse-skupnostnega sodelovanja v sklopu predsedovanja nacionalni mreži za preprečevanje radikalizacije, izboljšana proaktivnost, krepitev mednarodnega sodelovanja v sklopu mreže nacionalnih protiterorističnih enot (CTI) z EU in z regijo JVE z namenom pravočasnega odkrivanja in preprečevanja terorističnih in drugih kriznih situacij</w:t>
            </w:r>
          </w:p>
          <w:p w:rsidR="00A77B3E">
            <w:pPr>
              <w:numPr>
                <w:ilvl w:val="0"/>
                <w:numId w:val="12"/>
              </w:numPr>
              <w:spacing w:before="100" w:after="0"/>
              <w:ind w:start="720" w:hanging="360"/>
              <w:jc w:val="start"/>
              <w:rPr>
                <w:rFonts w:ascii="TimesNewRoman" w:eastAsia="TimesNewRoman" w:hAnsi="TimesNewRoman" w:cs="TimesNewRoman"/>
                <w:b w:val="0"/>
                <w:i w:val="0"/>
                <w:vanish w:val="0"/>
                <w:color w:val="000000"/>
                <w:sz w:val="24"/>
              </w:rPr>
            </w:pPr>
            <w:r>
              <w:rPr>
                <w:rFonts w:ascii="TimesNewRoman" w:eastAsia="TimesNewRoman" w:hAnsi="TimesNewRoman" w:cs="TimesNewRoman"/>
                <w:b w:val="0"/>
                <w:i w:val="0"/>
                <w:vanish w:val="0"/>
                <w:color w:val="000000"/>
                <w:sz w:val="24"/>
              </w:rPr>
              <w:t>Zaščita kibernetskega prostora pred terorističnimi aktivnostmi – sodelovanje v platformi PERCI [</w:t>
            </w:r>
            <w:r>
              <w:rPr>
                <w:rFonts w:ascii="TimesNewRoman" w:eastAsia="TimesNewRoman" w:hAnsi="TimesNewRoman" w:cs="TimesNewRoman"/>
                <w:b w:val="0"/>
                <w:i/>
                <w:iCs/>
                <w:vanish w:val="0"/>
                <w:color w:val="000000"/>
                <w:sz w:val="24"/>
              </w:rPr>
              <w:t>Plateforme Européenne de Retraits de Contenus illicites sur Internet</w:t>
            </w:r>
            <w:r>
              <w:rPr>
                <w:rFonts w:ascii="TimesNewRoman" w:eastAsia="TimesNewRoman" w:hAnsi="TimesNewRoman" w:cs="TimesNewRoman"/>
                <w:b w:val="0"/>
                <w:i w:val="0"/>
                <w:vanish w:val="0"/>
                <w:color w:val="000000"/>
                <w:sz w:val="24"/>
              </w:rPr>
              <w:t>]</w:t>
            </w:r>
          </w:p>
          <w:p w:rsidR="00A77B3E">
            <w:pPr>
              <w:numPr>
                <w:ilvl w:val="0"/>
                <w:numId w:val="12"/>
              </w:numPr>
              <w:spacing w:before="100" w:after="0"/>
              <w:ind w:start="720" w:hanging="360"/>
              <w:jc w:val="start"/>
              <w:rPr>
                <w:rFonts w:ascii="TimesNewRoman" w:eastAsia="TimesNewRoman" w:hAnsi="TimesNewRoman" w:cs="TimesNewRoman"/>
                <w:b w:val="0"/>
                <w:i w:val="0"/>
                <w:vanish w:val="0"/>
                <w:color w:val="000000"/>
                <w:sz w:val="24"/>
              </w:rPr>
            </w:pPr>
            <w:r>
              <w:rPr>
                <w:rFonts w:ascii="TimesNewRoman" w:eastAsia="TimesNewRoman" w:hAnsi="TimesNewRoman" w:cs="TimesNewRoman"/>
                <w:b w:val="0"/>
                <w:i w:val="0"/>
                <w:vanish w:val="0"/>
                <w:color w:val="000000"/>
                <w:sz w:val="24"/>
              </w:rPr>
              <w:t>Razvoj in izdelava aplikacije na področju preprečevanja radikalizacije za izdelavo ocene tveganja pri ljudeh, krajih in vsebini v zvezi z grožnjami za integracijo in nacionalno varnostjo</w:t>
            </w:r>
          </w:p>
          <w:p w:rsidR="00A77B3E">
            <w:pPr>
              <w:spacing w:before="100" w:after="0"/>
              <w:jc w:val="start"/>
              <w:rPr>
                <w:rFonts w:ascii="TimesNewRoman" w:eastAsia="TimesNewRoman" w:hAnsi="TimesNewRoman" w:cs="TimesNewRoman"/>
                <w:b w:val="0"/>
                <w:i w:val="0"/>
                <w:vanish w:val="0"/>
                <w:color w:val="000000"/>
                <w:sz w:val="24"/>
              </w:rPr>
            </w:pPr>
            <w:r>
              <w:rPr>
                <w:rFonts w:ascii="TimesNewRoman" w:eastAsia="TimesNewRoman" w:hAnsi="TimesNewRoman" w:cs="TimesNewRoman"/>
                <w:b w:val="0"/>
                <w:i w:val="0"/>
                <w:vanish w:val="0"/>
                <w:color w:val="000000"/>
                <w:sz w:val="24"/>
              </w:rPr>
              <w:t>Pričakovani rezultat: vzpostavljene kapacitete za prepoznavo in preprečevanje radikalizacije, zmanjšanje možnosti za pojav nasilnih, terorističnih in drugih KD, povečanje možnosti, da se potencialno tvegane posameznike oziroma skupine s preventivnimi ukrepi odvrne od teh dejanj.</w:t>
            </w:r>
          </w:p>
          <w:p w:rsidR="00A77B3E">
            <w:pPr>
              <w:spacing w:before="100" w:after="0"/>
              <w:jc w:val="start"/>
              <w:rPr>
                <w:rFonts w:ascii="TimesNewRoman" w:eastAsia="TimesNewRoman" w:hAnsi="TimesNewRoman" w:cs="TimesNewRoman"/>
                <w:b w:val="0"/>
                <w:i w:val="0"/>
                <w:vanish w:val="0"/>
                <w:color w:val="000000"/>
                <w:sz w:val="24"/>
              </w:rPr>
            </w:pPr>
          </w:p>
          <w:p w:rsidR="00A77B3E">
            <w:pPr>
              <w:spacing w:before="100" w:after="0"/>
              <w:jc w:val="start"/>
              <w:rPr>
                <w:rFonts w:ascii="TimesNewRoman" w:eastAsia="TimesNewRoman" w:hAnsi="TimesNewRoman" w:cs="TimesNewRoman"/>
                <w:b w:val="0"/>
                <w:i w:val="0"/>
                <w:vanish w:val="0"/>
                <w:color w:val="000000"/>
                <w:sz w:val="24"/>
              </w:rPr>
            </w:pPr>
            <w:r>
              <w:rPr>
                <w:rFonts w:ascii="TimesNewRoman" w:eastAsia="TimesNewRoman" w:hAnsi="TimesNewRoman" w:cs="TimesNewRoman"/>
                <w:b w:val="0"/>
                <w:i w:val="0"/>
                <w:vanish w:val="0"/>
                <w:color w:val="000000"/>
                <w:sz w:val="24"/>
              </w:rPr>
              <w:t xml:space="preserve">- </w:t>
            </w:r>
            <w:r>
              <w:rPr>
                <w:rFonts w:ascii="TimesNewRoman" w:eastAsia="TimesNewRoman" w:hAnsi="TimesNewRoman" w:cs="TimesNewRoman"/>
                <w:b/>
                <w:bCs/>
                <w:i w:val="0"/>
                <w:vanish w:val="0"/>
                <w:color w:val="000000"/>
                <w:sz w:val="24"/>
              </w:rPr>
              <w:t>Usposabljanja za krepitev boja proti hudim in organiziranim oblikam kriminala in terorizma</w:t>
            </w:r>
          </w:p>
          <w:p w:rsidR="00A77B3E">
            <w:pPr>
              <w:spacing w:before="100" w:after="0"/>
              <w:jc w:val="start"/>
              <w:rPr>
                <w:rFonts w:ascii="TimesNewRoman" w:eastAsia="TimesNewRoman" w:hAnsi="TimesNewRoman" w:cs="TimesNewRoman"/>
                <w:b w:val="0"/>
                <w:i w:val="0"/>
                <w:vanish w:val="0"/>
                <w:color w:val="000000"/>
                <w:sz w:val="24"/>
              </w:rPr>
            </w:pPr>
            <w:r>
              <w:rPr>
                <w:rFonts w:ascii="TimesNewRoman" w:eastAsia="TimesNewRoman" w:hAnsi="TimesNewRoman" w:cs="TimesNewRoman"/>
                <w:b w:val="0"/>
                <w:i w:val="0"/>
                <w:vanish w:val="0"/>
                <w:color w:val="000000"/>
                <w:sz w:val="24"/>
              </w:rPr>
              <w:t>Za okrepitev boja proti kriminalu je potrebno zagotavljati stalno usposabljanje in izpopolnjevanje na področju boja proti oblikam organiziranega čezmejnega kriminala, terorizma in nasilne radikalizacije za policiste, ki preiskujejo organiziran kriminal, huda KD in terorizem. Potrebno je usposabljanje za boj proti terorizmu, delo s strokovnjaki za preprečevanje radikalizacije in prenos dobrih praks EU na nacionalno raven. Pozornost bo posvečena usposabljanju na področju mednarodnega policijskega sodelovanja, zlasti z EUROPOL.</w:t>
            </w:r>
          </w:p>
          <w:p w:rsidR="00A77B3E">
            <w:pPr>
              <w:spacing w:before="100" w:after="0"/>
              <w:jc w:val="start"/>
              <w:rPr>
                <w:rFonts w:ascii="TimesNewRoman" w:eastAsia="TimesNewRoman" w:hAnsi="TimesNewRoman" w:cs="TimesNewRoman"/>
                <w:b w:val="0"/>
                <w:i w:val="0"/>
                <w:vanish w:val="0"/>
                <w:color w:val="000000"/>
                <w:sz w:val="24"/>
              </w:rPr>
            </w:pPr>
            <w:r>
              <w:rPr>
                <w:rFonts w:ascii="TimesNewRoman" w:eastAsia="TimesNewRoman" w:hAnsi="TimesNewRoman" w:cs="TimesNewRoman"/>
                <w:b w:val="0"/>
                <w:i w:val="0"/>
                <w:vanish w:val="0"/>
                <w:color w:val="000000"/>
                <w:sz w:val="24"/>
              </w:rPr>
              <w:t>Pričakovani rezultat: vzpostavljene kapacitete za uspešen boj proti različnim oblikam organiziranega kriminala, terorizma in nasilne radikalizacije in nacionalne platforme RAN.</w:t>
            </w:r>
          </w:p>
          <w:p w:rsidR="00A77B3E">
            <w:pPr>
              <w:spacing w:before="100" w:after="0"/>
              <w:jc w:val="start"/>
              <w:rPr>
                <w:rFonts w:ascii="TimesNewRoman" w:eastAsia="TimesNewRoman" w:hAnsi="TimesNewRoman" w:cs="TimesNewRoman"/>
                <w:b w:val="0"/>
                <w:i w:val="0"/>
                <w:vanish w:val="0"/>
                <w:color w:val="000000"/>
                <w:sz w:val="24"/>
              </w:rPr>
            </w:pPr>
          </w:p>
          <w:p w:rsidR="00A77B3E">
            <w:pPr>
              <w:spacing w:before="100" w:after="0"/>
              <w:jc w:val="start"/>
              <w:rPr>
                <w:rFonts w:ascii="TimesNewRoman" w:eastAsia="TimesNewRoman" w:hAnsi="TimesNewRoman" w:cs="TimesNewRoman"/>
                <w:b w:val="0"/>
                <w:i w:val="0"/>
                <w:vanish w:val="0"/>
                <w:color w:val="000000"/>
                <w:sz w:val="24"/>
              </w:rPr>
            </w:pPr>
            <w:r>
              <w:rPr>
                <w:rFonts w:ascii="TimesNewRoman" w:eastAsia="TimesNewRoman" w:hAnsi="TimesNewRoman" w:cs="TimesNewRoman"/>
                <w:b/>
                <w:bCs/>
                <w:i w:val="0"/>
                <w:vanish w:val="0"/>
                <w:color w:val="000000"/>
                <w:sz w:val="24"/>
              </w:rPr>
              <w:t xml:space="preserve">3) </w:t>
            </w:r>
            <w:r>
              <w:rPr>
                <w:rFonts w:ascii="TimesNewRoman" w:eastAsia="TimesNewRoman" w:hAnsi="TimesNewRoman" w:cs="TimesNewRoman"/>
                <w:b/>
                <w:bCs/>
                <w:i w:val="0"/>
                <w:vanish w:val="0"/>
                <w:color w:val="000000"/>
                <w:sz w:val="24"/>
                <w:u w:val="single"/>
              </w:rPr>
              <w:t>Izvedbeni ukrep 3c): Zgodnje prepoznavanje, zaščita in podpora prič, žvižgačev in žrtev kaznivih dejanj</w:t>
            </w:r>
          </w:p>
          <w:p w:rsidR="00A77B3E">
            <w:pPr>
              <w:spacing w:before="100" w:after="0"/>
              <w:jc w:val="start"/>
              <w:rPr>
                <w:rFonts w:ascii="TimesNewRoman" w:eastAsia="TimesNewRoman" w:hAnsi="TimesNewRoman" w:cs="TimesNewRoman"/>
                <w:b w:val="0"/>
                <w:i w:val="0"/>
                <w:vanish w:val="0"/>
                <w:color w:val="000000"/>
                <w:sz w:val="24"/>
              </w:rPr>
            </w:pPr>
          </w:p>
          <w:p w:rsidR="00A77B3E">
            <w:pPr>
              <w:spacing w:before="100" w:after="0"/>
              <w:jc w:val="start"/>
              <w:rPr>
                <w:rFonts w:ascii="TimesNewRoman" w:eastAsia="TimesNewRoman" w:hAnsi="TimesNewRoman" w:cs="TimesNewRoman"/>
                <w:b w:val="0"/>
                <w:i w:val="0"/>
                <w:vanish w:val="0"/>
                <w:color w:val="000000"/>
                <w:sz w:val="24"/>
              </w:rPr>
            </w:pPr>
            <w:r>
              <w:rPr>
                <w:rFonts w:ascii="TimesNewRoman" w:eastAsia="TimesNewRoman" w:hAnsi="TimesNewRoman" w:cs="TimesNewRoman"/>
                <w:b w:val="0"/>
                <w:i w:val="0"/>
                <w:vanish w:val="0"/>
                <w:color w:val="000000"/>
                <w:sz w:val="24"/>
              </w:rPr>
              <w:t xml:space="preserve">- </w:t>
            </w:r>
            <w:r>
              <w:rPr>
                <w:rFonts w:ascii="TimesNewRoman" w:eastAsia="TimesNewRoman" w:hAnsi="TimesNewRoman" w:cs="TimesNewRoman"/>
                <w:b/>
                <w:bCs/>
                <w:i w:val="0"/>
                <w:vanish w:val="0"/>
                <w:color w:val="000000"/>
                <w:sz w:val="24"/>
              </w:rPr>
              <w:t>Učinkovita zaščita prič in žvižgačev</w:t>
            </w:r>
          </w:p>
          <w:p w:rsidR="00A77B3E">
            <w:pPr>
              <w:spacing w:before="100" w:after="0"/>
              <w:jc w:val="start"/>
              <w:rPr>
                <w:rFonts w:ascii="TimesNewRoman" w:eastAsia="TimesNewRoman" w:hAnsi="TimesNewRoman" w:cs="TimesNewRoman"/>
                <w:b w:val="0"/>
                <w:i w:val="0"/>
                <w:vanish w:val="0"/>
                <w:color w:val="000000"/>
                <w:sz w:val="24"/>
              </w:rPr>
            </w:pPr>
            <w:r>
              <w:rPr>
                <w:rFonts w:ascii="TimesNewRoman" w:eastAsia="TimesNewRoman" w:hAnsi="TimesNewRoman" w:cs="TimesNewRoman"/>
                <w:b w:val="0"/>
                <w:i w:val="0"/>
                <w:vanish w:val="0"/>
                <w:color w:val="000000"/>
                <w:sz w:val="24"/>
              </w:rPr>
              <w:t xml:space="preserve">Po Zakonu o </w:t>
            </w:r>
            <w:r>
              <w:rPr>
                <w:rFonts w:ascii="TimesNewRoman" w:eastAsia="TimesNewRoman" w:hAnsi="TimesNewRoman" w:cs="TimesNewRoman"/>
                <w:b/>
                <w:bCs/>
                <w:i w:val="0"/>
                <w:vanish w:val="0"/>
                <w:color w:val="000000"/>
                <w:sz w:val="24"/>
              </w:rPr>
              <w:t>zaščiti prič</w:t>
            </w:r>
            <w:r>
              <w:rPr>
                <w:rFonts w:ascii="TimesNewRoman" w:eastAsia="TimesNewRoman" w:hAnsi="TimesNewRoman" w:cs="TimesNewRoman"/>
                <w:b w:val="0"/>
                <w:i w:val="0"/>
                <w:vanish w:val="0"/>
                <w:color w:val="000000"/>
                <w:sz w:val="24"/>
              </w:rPr>
              <w:t xml:space="preserve"> se zaščita ogroženim osebam in </w:t>
            </w:r>
            <w:r>
              <w:rPr>
                <w:rFonts w:ascii="TimesNewRoman" w:eastAsia="TimesNewRoman" w:hAnsi="TimesNewRoman" w:cs="TimesNewRoman"/>
                <w:b/>
                <w:bCs/>
                <w:i w:val="0"/>
                <w:vanish w:val="0"/>
                <w:color w:val="000000"/>
                <w:sz w:val="24"/>
              </w:rPr>
              <w:t>žvižgačem</w:t>
            </w:r>
            <w:r>
              <w:rPr>
                <w:rFonts w:ascii="TimesNewRoman" w:eastAsia="TimesNewRoman" w:hAnsi="TimesNewRoman" w:cs="TimesNewRoman"/>
                <w:b w:val="0"/>
                <w:i w:val="0"/>
                <w:vanish w:val="0"/>
                <w:color w:val="000000"/>
                <w:sz w:val="24"/>
              </w:rPr>
              <w:t xml:space="preserve"> zagotavlja pred, med in po kazenskem postopku. SI zavezuje ukrep mednarodne izmenjave zaščitenih oseb, za katere je komisija določila ukrep preselitve. Ta se izvaja z državami pogodbenicami medn. pogodb, ki določajo tudi izmenjavo in zaščito ogroženih oseb.</w:t>
            </w:r>
          </w:p>
          <w:p w:rsidR="00A77B3E">
            <w:pPr>
              <w:spacing w:before="100" w:after="0"/>
              <w:jc w:val="start"/>
              <w:rPr>
                <w:rFonts w:ascii="TimesNewRoman" w:eastAsia="TimesNewRoman" w:hAnsi="TimesNewRoman" w:cs="TimesNewRoman"/>
                <w:b w:val="0"/>
                <w:i w:val="0"/>
                <w:vanish w:val="0"/>
                <w:color w:val="000000"/>
                <w:sz w:val="24"/>
              </w:rPr>
            </w:pPr>
            <w:r>
              <w:rPr>
                <w:rFonts w:ascii="TimesNewRoman" w:eastAsia="TimesNewRoman" w:hAnsi="TimesNewRoman" w:cs="TimesNewRoman"/>
                <w:b w:val="0"/>
                <w:i w:val="0"/>
                <w:vanish w:val="0"/>
                <w:color w:val="000000"/>
                <w:sz w:val="24"/>
              </w:rPr>
              <w:t>Izziv: zagotoviti visoko raven zaščite prič in žvižgačev.</w:t>
            </w:r>
          </w:p>
          <w:p w:rsidR="00A77B3E">
            <w:pPr>
              <w:spacing w:before="100" w:after="0"/>
              <w:jc w:val="start"/>
              <w:rPr>
                <w:rFonts w:ascii="TimesNewRoman" w:eastAsia="TimesNewRoman" w:hAnsi="TimesNewRoman" w:cs="TimesNewRoman"/>
                <w:b w:val="0"/>
                <w:i w:val="0"/>
                <w:vanish w:val="0"/>
                <w:color w:val="000000"/>
                <w:sz w:val="24"/>
              </w:rPr>
            </w:pPr>
            <w:r>
              <w:rPr>
                <w:rFonts w:ascii="TimesNewRoman" w:eastAsia="TimesNewRoman" w:hAnsi="TimesNewRoman" w:cs="TimesNewRoman"/>
                <w:b w:val="0"/>
                <w:i w:val="0"/>
                <w:vanish w:val="0"/>
                <w:color w:val="000000"/>
                <w:sz w:val="24"/>
              </w:rPr>
              <w:t>SNV bo podpiral nakup zaščitne, posebne opreme ter ustreznih vozil za izvajanje zaščitnih ukrepov, preselitev oseb v druge države za zagotavljanje njihove varnosti in usposabljanja za delo z visoko ogroženimi osebami.</w:t>
            </w:r>
          </w:p>
          <w:p w:rsidR="00A77B3E">
            <w:pPr>
              <w:spacing w:before="100" w:after="0"/>
              <w:jc w:val="start"/>
              <w:rPr>
                <w:rFonts w:ascii="TimesNewRoman" w:eastAsia="TimesNewRoman" w:hAnsi="TimesNewRoman" w:cs="TimesNewRoman"/>
                <w:b w:val="0"/>
                <w:i w:val="0"/>
                <w:vanish w:val="0"/>
                <w:color w:val="000000"/>
                <w:sz w:val="24"/>
              </w:rPr>
            </w:pPr>
            <w:r>
              <w:rPr>
                <w:rFonts w:ascii="TimesNewRoman" w:eastAsia="TimesNewRoman" w:hAnsi="TimesNewRoman" w:cs="TimesNewRoman"/>
                <w:b w:val="0"/>
                <w:i w:val="0"/>
                <w:vanish w:val="0"/>
                <w:color w:val="000000"/>
                <w:sz w:val="24"/>
              </w:rPr>
              <w:t>Pričakovani rezultat: učinkovita zaščita prič in žvižgačev na nacionalni ravni in v mednarodnem kontekstu.</w:t>
            </w:r>
          </w:p>
          <w:p w:rsidR="00A77B3E">
            <w:pPr>
              <w:spacing w:before="100" w:after="0"/>
              <w:jc w:val="start"/>
              <w:rPr>
                <w:rFonts w:ascii="TimesNewRoman" w:eastAsia="TimesNewRoman" w:hAnsi="TimesNewRoman" w:cs="TimesNewRoman"/>
                <w:b w:val="0"/>
                <w:i w:val="0"/>
                <w:vanish w:val="0"/>
                <w:color w:val="000000"/>
                <w:sz w:val="24"/>
              </w:rPr>
            </w:pPr>
          </w:p>
          <w:p w:rsidR="00A77B3E">
            <w:pPr>
              <w:spacing w:before="100" w:after="0"/>
              <w:jc w:val="start"/>
              <w:rPr>
                <w:rFonts w:ascii="TimesNewRoman" w:eastAsia="TimesNewRoman" w:hAnsi="TimesNewRoman" w:cs="TimesNewRoman"/>
                <w:b w:val="0"/>
                <w:i w:val="0"/>
                <w:vanish w:val="0"/>
                <w:color w:val="000000"/>
                <w:sz w:val="24"/>
              </w:rPr>
            </w:pPr>
            <w:r>
              <w:rPr>
                <w:rFonts w:ascii="TimesNewRoman" w:eastAsia="TimesNewRoman" w:hAnsi="TimesNewRoman" w:cs="TimesNewRoman"/>
                <w:b/>
                <w:bCs/>
                <w:i w:val="0"/>
                <w:vanish w:val="0"/>
                <w:color w:val="000000"/>
                <w:sz w:val="24"/>
              </w:rPr>
              <w:t>- Zaščita žrtev trgovine z ljudmi in reintegracija</w:t>
            </w:r>
          </w:p>
          <w:p w:rsidR="00A77B3E">
            <w:pPr>
              <w:spacing w:before="100" w:after="0"/>
              <w:jc w:val="start"/>
              <w:rPr>
                <w:rFonts w:ascii="TimesNewRoman" w:eastAsia="TimesNewRoman" w:hAnsi="TimesNewRoman" w:cs="TimesNewRoman"/>
                <w:b w:val="0"/>
                <w:i w:val="0"/>
                <w:vanish w:val="0"/>
                <w:color w:val="000000"/>
                <w:sz w:val="24"/>
              </w:rPr>
            </w:pPr>
            <w:r>
              <w:rPr>
                <w:rFonts w:ascii="TimesNewRoman" w:eastAsia="TimesNewRoman" w:hAnsi="TimesNewRoman" w:cs="TimesNewRoman"/>
                <w:b w:val="0"/>
                <w:i w:val="0"/>
                <w:vanish w:val="0"/>
                <w:color w:val="000000"/>
                <w:sz w:val="24"/>
              </w:rPr>
              <w:t xml:space="preserve">V Sl je najpogosteje zaznano spolno izkoriščanje žrtev trgovine z ljudmi. V 2019 – 2020 je bil iz ISF-P fin. program </w:t>
            </w:r>
            <w:r>
              <w:rPr>
                <w:rFonts w:ascii="TimesNewRoman" w:eastAsia="TimesNewRoman" w:hAnsi="TimesNewRoman" w:cs="TimesNewRoman"/>
                <w:b w:val="0"/>
                <w:i/>
                <w:iCs/>
                <w:vanish w:val="0"/>
                <w:color w:val="000000"/>
                <w:sz w:val="24"/>
              </w:rPr>
              <w:t>Reintegracija žrtev trgovine z ljudmi</w:t>
            </w:r>
            <w:r>
              <w:rPr>
                <w:rFonts w:ascii="TimesNewRoman" w:eastAsia="TimesNewRoman" w:hAnsi="TimesNewRoman" w:cs="TimesNewRoman"/>
                <w:b w:val="0"/>
                <w:i w:val="0"/>
                <w:vanish w:val="0"/>
                <w:color w:val="000000"/>
                <w:sz w:val="24"/>
              </w:rPr>
              <w:t xml:space="preserve"> in načrtuje se nadaljevanje. Program je skladen z Direktivo 2011/36 in Strategijo EU proti trgovini z ljudmi (2021-2025). Mogoče ga je povezati s skupnim horizontalnim strateškim ciljem (CHSG) splošnega večletnega strateškega načrta (MASP) </w:t>
            </w:r>
            <w:r>
              <w:rPr>
                <w:rFonts w:ascii="TimesNewRoman" w:eastAsia="TimesNewRoman" w:hAnsi="TimesNewRoman" w:cs="TimesNewRoman"/>
                <w:b w:val="0"/>
                <w:i/>
                <w:iCs/>
                <w:vanish w:val="0"/>
                <w:color w:val="000000"/>
                <w:sz w:val="24"/>
              </w:rPr>
              <w:t>Preprečevanje, ozaveščanje in zmanjševanje škode, zgodnje prepoznavanje in pomoč žrtvam</w:t>
            </w:r>
            <w:r>
              <w:rPr>
                <w:rFonts w:ascii="TimesNewRoman" w:eastAsia="TimesNewRoman" w:hAnsi="TimesNewRoman" w:cs="TimesNewRoman"/>
                <w:b w:val="0"/>
                <w:i w:val="0"/>
                <w:vanish w:val="0"/>
                <w:color w:val="000000"/>
                <w:sz w:val="24"/>
              </w:rPr>
              <w:t xml:space="preserve"> v okviru cikla EMPACT 2022-2025.</w:t>
            </w:r>
          </w:p>
          <w:p w:rsidR="00A77B3E">
            <w:pPr>
              <w:spacing w:before="100" w:after="0"/>
              <w:jc w:val="start"/>
              <w:rPr>
                <w:rFonts w:ascii="TimesNewRoman" w:eastAsia="TimesNewRoman" w:hAnsi="TimesNewRoman" w:cs="TimesNewRoman"/>
                <w:b w:val="0"/>
                <w:i w:val="0"/>
                <w:vanish w:val="0"/>
                <w:color w:val="000000"/>
                <w:sz w:val="24"/>
              </w:rPr>
            </w:pPr>
            <w:r>
              <w:rPr>
                <w:rFonts w:ascii="TimesNewRoman" w:eastAsia="TimesNewRoman" w:hAnsi="TimesNewRoman" w:cs="TimesNewRoman"/>
                <w:b w:val="0"/>
                <w:i w:val="0"/>
                <w:vanish w:val="0"/>
                <w:color w:val="000000"/>
                <w:sz w:val="24"/>
              </w:rPr>
              <w:t>Cilj je zagotovitev reintegracije vsem žrtvam trgovine z ljudmi, prepoznanih v SI.</w:t>
            </w:r>
          </w:p>
          <w:p w:rsidR="00A77B3E">
            <w:pPr>
              <w:spacing w:before="100" w:after="0"/>
              <w:jc w:val="start"/>
              <w:rPr>
                <w:rFonts w:ascii="TimesNewRoman" w:eastAsia="TimesNewRoman" w:hAnsi="TimesNewRoman" w:cs="TimesNewRoman"/>
                <w:b w:val="0"/>
                <w:i w:val="0"/>
                <w:vanish w:val="0"/>
                <w:color w:val="000000"/>
                <w:sz w:val="24"/>
              </w:rPr>
            </w:pPr>
            <w:r>
              <w:rPr>
                <w:rFonts w:ascii="TimesNewRoman" w:eastAsia="TimesNewRoman" w:hAnsi="TimesNewRoman" w:cs="TimesNewRoman"/>
                <w:b w:val="0"/>
                <w:i w:val="0"/>
                <w:vanish w:val="0"/>
                <w:color w:val="000000"/>
                <w:sz w:val="24"/>
              </w:rPr>
              <w:t>Aktivnosti: nadaljnje izvajanje programa Reintegracije žrtev trgovine z ljudmi (4. člen Zakona o ratifikaciji Konvencije Sveta Evrope o ukrepanju proti trgovini z ljudmi), kjer sodelujeta policija in nevladne organizacije. Gre za pomoč pri iskanju zaposlitve, psihosocialno svetovanje, usposabljanje za uspešno vključevanje v družbo. Zavetišča se financirajo iz drugih sredstev.</w:t>
            </w:r>
          </w:p>
          <w:p w:rsidR="00A77B3E">
            <w:pPr>
              <w:spacing w:before="100" w:after="0"/>
              <w:jc w:val="start"/>
              <w:rPr>
                <w:rFonts w:ascii="TimesNewRoman" w:eastAsia="TimesNewRoman" w:hAnsi="TimesNewRoman" w:cs="TimesNewRoman"/>
                <w:b w:val="0"/>
                <w:i w:val="0"/>
                <w:vanish w:val="0"/>
                <w:color w:val="000000"/>
                <w:sz w:val="24"/>
              </w:rPr>
            </w:pPr>
            <w:r>
              <w:rPr>
                <w:rFonts w:ascii="TimesNewRoman" w:eastAsia="TimesNewRoman" w:hAnsi="TimesNewRoman" w:cs="TimesNewRoman"/>
                <w:b w:val="0"/>
                <w:i w:val="0"/>
                <w:vanish w:val="0"/>
                <w:color w:val="000000"/>
                <w:sz w:val="24"/>
              </w:rPr>
              <w:t>Pričakovani rezultat:</w:t>
            </w:r>
            <w:r>
              <w:rPr>
                <w:rFonts w:ascii="TimesNewRoman" w:eastAsia="TimesNewRoman" w:hAnsi="TimesNewRoman" w:cs="TimesNewRoman"/>
                <w:b/>
                <w:bCs/>
                <w:i w:val="0"/>
                <w:vanish w:val="0"/>
                <w:color w:val="000000"/>
                <w:sz w:val="24"/>
              </w:rPr>
              <w:t xml:space="preserve"> </w:t>
            </w:r>
            <w:r>
              <w:rPr>
                <w:rFonts w:ascii="TimesNewRoman" w:eastAsia="TimesNewRoman" w:hAnsi="TimesNewRoman" w:cs="TimesNewRoman"/>
                <w:b w:val="0"/>
                <w:i w:val="0"/>
                <w:vanish w:val="0"/>
                <w:color w:val="000000"/>
                <w:sz w:val="24"/>
              </w:rPr>
              <w:t>zagotovitev zaščite za žrtve trgovine z ljudmi ter izvajanja programa reintegracije.</w:t>
            </w:r>
          </w:p>
          <w:p w:rsidR="00A77B3E">
            <w:pPr>
              <w:spacing w:before="100" w:after="0"/>
              <w:jc w:val="start"/>
              <w:rPr>
                <w:rFonts w:ascii="TimesNewRoman" w:eastAsia="TimesNewRoman" w:hAnsi="TimesNewRoman" w:cs="TimesNewRoman"/>
                <w:b w:val="0"/>
                <w:i w:val="0"/>
                <w:vanish w:val="0"/>
                <w:color w:val="000000"/>
                <w:sz w:val="24"/>
              </w:rPr>
            </w:pPr>
          </w:p>
          <w:p w:rsidR="00A77B3E">
            <w:pPr>
              <w:spacing w:before="100" w:after="0"/>
              <w:jc w:val="start"/>
              <w:rPr>
                <w:rFonts w:ascii="TimesNewRoman" w:eastAsia="TimesNewRoman" w:hAnsi="TimesNewRoman" w:cs="TimesNewRoman"/>
                <w:b w:val="0"/>
                <w:i w:val="0"/>
                <w:vanish w:val="0"/>
                <w:color w:val="000000"/>
                <w:sz w:val="24"/>
              </w:rPr>
            </w:pPr>
            <w:r>
              <w:rPr>
                <w:rFonts w:ascii="TimesNewRoman" w:eastAsia="TimesNewRoman" w:hAnsi="TimesNewRoman" w:cs="TimesNewRoman"/>
                <w:b/>
                <w:bCs/>
                <w:i w:val="0"/>
                <w:vanish w:val="0"/>
                <w:color w:val="000000"/>
                <w:sz w:val="24"/>
              </w:rPr>
              <w:t xml:space="preserve">4) </w:t>
            </w:r>
            <w:r>
              <w:rPr>
                <w:rFonts w:ascii="TimesNewRoman" w:eastAsia="TimesNewRoman" w:hAnsi="TimesNewRoman" w:cs="TimesNewRoman"/>
                <w:b/>
                <w:bCs/>
                <w:i w:val="0"/>
                <w:vanish w:val="0"/>
                <w:color w:val="000000"/>
                <w:sz w:val="24"/>
                <w:u w:val="single"/>
              </w:rPr>
              <w:t>Izvedbeni ukrep 3d): Odziv na varnostne grožnje</w:t>
            </w:r>
          </w:p>
          <w:p w:rsidR="00A77B3E">
            <w:pPr>
              <w:spacing w:before="100" w:after="0"/>
              <w:jc w:val="start"/>
              <w:rPr>
                <w:rFonts w:ascii="TimesNewRoman" w:eastAsia="TimesNewRoman" w:hAnsi="TimesNewRoman" w:cs="TimesNewRoman"/>
                <w:b w:val="0"/>
                <w:i w:val="0"/>
                <w:vanish w:val="0"/>
                <w:color w:val="000000"/>
                <w:sz w:val="24"/>
              </w:rPr>
            </w:pPr>
          </w:p>
          <w:p w:rsidR="00A77B3E">
            <w:pPr>
              <w:spacing w:before="100" w:after="0"/>
              <w:jc w:val="start"/>
              <w:rPr>
                <w:rFonts w:ascii="TimesNewRoman" w:eastAsia="TimesNewRoman" w:hAnsi="TimesNewRoman" w:cs="TimesNewRoman"/>
                <w:b w:val="0"/>
                <w:i w:val="0"/>
                <w:vanish w:val="0"/>
                <w:color w:val="000000"/>
                <w:sz w:val="24"/>
              </w:rPr>
            </w:pPr>
            <w:r>
              <w:rPr>
                <w:rFonts w:ascii="TimesNewRoman" w:eastAsia="TimesNewRoman" w:hAnsi="TimesNewRoman" w:cs="TimesNewRoman"/>
                <w:b/>
                <w:bCs/>
                <w:i w:val="0"/>
                <w:vanish w:val="0"/>
                <w:color w:val="000000"/>
                <w:sz w:val="24"/>
              </w:rPr>
              <w:t xml:space="preserve">- Razvoj in izboljšanje analitsko preiskovalnih sistemov za potrebe kazenskega pregona </w:t>
            </w:r>
          </w:p>
          <w:p w:rsidR="00A77B3E">
            <w:pPr>
              <w:spacing w:before="100" w:after="0"/>
              <w:jc w:val="start"/>
              <w:rPr>
                <w:rFonts w:ascii="TimesNewRoman" w:eastAsia="TimesNewRoman" w:hAnsi="TimesNewRoman" w:cs="TimesNewRoman"/>
                <w:b w:val="0"/>
                <w:i w:val="0"/>
                <w:vanish w:val="0"/>
                <w:color w:val="000000"/>
                <w:sz w:val="24"/>
              </w:rPr>
            </w:pPr>
            <w:r>
              <w:rPr>
                <w:rFonts w:ascii="TimesNewRoman" w:eastAsia="TimesNewRoman" w:hAnsi="TimesNewRoman" w:cs="TimesNewRoman"/>
                <w:b w:val="0"/>
                <w:i w:val="0"/>
                <w:vanish w:val="0"/>
                <w:color w:val="000000"/>
                <w:sz w:val="24"/>
              </w:rPr>
              <w:t>Policija nima informacijske rešitve za upravljanje primerov "</w:t>
            </w:r>
            <w:r>
              <w:rPr>
                <w:rFonts w:ascii="TimesNewRoman" w:eastAsia="TimesNewRoman" w:hAnsi="TimesNewRoman" w:cs="TimesNewRoman"/>
                <w:b w:val="0"/>
                <w:i/>
                <w:iCs/>
                <w:vanish w:val="0"/>
                <w:color w:val="000000"/>
                <w:sz w:val="24"/>
              </w:rPr>
              <w:t>case management"</w:t>
            </w:r>
            <w:r>
              <w:rPr>
                <w:rFonts w:ascii="TimesNewRoman" w:eastAsia="TimesNewRoman" w:hAnsi="TimesNewRoman" w:cs="TimesNewRoman"/>
                <w:b w:val="0"/>
                <w:i w:val="0"/>
                <w:vanish w:val="0"/>
                <w:color w:val="000000"/>
                <w:sz w:val="24"/>
              </w:rPr>
              <w:t xml:space="preserve"> za enoten dostop do zbranih podatkov. Prve rešitve v policiji niso bile namenjene </w:t>
            </w:r>
            <w:r>
              <w:rPr>
                <w:rFonts w:ascii="TimesNewRoman" w:eastAsia="TimesNewRoman" w:hAnsi="TimesNewRoman" w:cs="TimesNewRoman"/>
                <w:b/>
                <w:bCs/>
                <w:i w:val="0"/>
                <w:vanish w:val="0"/>
                <w:color w:val="000000"/>
                <w:sz w:val="24"/>
              </w:rPr>
              <w:t>poglobljenim analizam v smeri ILP (Intelligence-Led Policing) in POP (Problem-Oriented Policing)</w:t>
            </w:r>
            <w:r>
              <w:rPr>
                <w:rFonts w:ascii="TimesNewRoman" w:eastAsia="TimesNewRoman" w:hAnsi="TimesNewRoman" w:cs="TimesNewRoman"/>
                <w:b w:val="0"/>
                <w:i w:val="0"/>
                <w:vanish w:val="0"/>
                <w:color w:val="000000"/>
                <w:sz w:val="24"/>
              </w:rPr>
              <w:t>, ampak le vnosu strukturiranih podatkov in nestrukturiranih obrazcev v raznovrstne zbirke.</w:t>
            </w:r>
          </w:p>
          <w:p w:rsidR="00A77B3E">
            <w:pPr>
              <w:spacing w:before="100" w:after="0"/>
              <w:jc w:val="start"/>
              <w:rPr>
                <w:rFonts w:ascii="TimesNewRoman" w:eastAsia="TimesNewRoman" w:hAnsi="TimesNewRoman" w:cs="TimesNewRoman"/>
                <w:b w:val="0"/>
                <w:i w:val="0"/>
                <w:vanish w:val="0"/>
                <w:color w:val="000000"/>
                <w:sz w:val="24"/>
              </w:rPr>
            </w:pPr>
            <w:r>
              <w:rPr>
                <w:rFonts w:ascii="TimesNewRoman" w:eastAsia="TimesNewRoman" w:hAnsi="TimesNewRoman" w:cs="TimesNewRoman"/>
                <w:b w:val="0"/>
                <w:i w:val="0"/>
                <w:vanish w:val="0"/>
                <w:color w:val="000000"/>
                <w:sz w:val="24"/>
              </w:rPr>
              <w:t> </w:t>
            </w:r>
          </w:p>
          <w:p w:rsidR="00A77B3E">
            <w:pPr>
              <w:spacing w:before="100" w:after="0"/>
              <w:jc w:val="start"/>
              <w:rPr>
                <w:rFonts w:ascii="TimesNewRoman" w:eastAsia="TimesNewRoman" w:hAnsi="TimesNewRoman" w:cs="TimesNewRoman"/>
                <w:b w:val="0"/>
                <w:i w:val="0"/>
                <w:vanish w:val="0"/>
                <w:color w:val="000000"/>
                <w:sz w:val="24"/>
              </w:rPr>
            </w:pPr>
            <w:r>
              <w:rPr>
                <w:rFonts w:ascii="TimesNewRoman" w:eastAsia="TimesNewRoman" w:hAnsi="TimesNewRoman" w:cs="TimesNewRoman"/>
                <w:b w:val="0"/>
                <w:i w:val="0"/>
                <w:vanish w:val="0"/>
                <w:color w:val="000000"/>
                <w:sz w:val="24"/>
              </w:rPr>
              <w:t>Izboljšanje je potrebno za pridobivanje in izmenjavo informacij z DČ, obdelavo in analize vedno večjih količin podatkov, pridobljenih v okviru mednarodnih sodelovanj in lastnih dejavnosti, ki se nanašajo na nove oblike terorizma in kriminala ter so povezane z nedovoljenim trgovanjem na temnem spletu, transakcijami v kripto valutah, spolno zlorabo otrok na spletu, CaaS “Crime as a Service”, kibernetskim kriminalom, ipd. Pri tem bo velik poudarek namenjen zagotavljanju informacijsko kibernetske varnosti informacijskim rešitvam policijskega informacijskega sistema za operativno analitiko.</w:t>
            </w:r>
          </w:p>
          <w:p w:rsidR="00A77B3E">
            <w:pPr>
              <w:spacing w:before="100" w:after="0"/>
              <w:jc w:val="start"/>
              <w:rPr>
                <w:rFonts w:ascii="TimesNewRoman" w:eastAsia="TimesNewRoman" w:hAnsi="TimesNewRoman" w:cs="TimesNewRoman"/>
                <w:b w:val="0"/>
                <w:i w:val="0"/>
                <w:vanish w:val="0"/>
                <w:color w:val="000000"/>
                <w:sz w:val="24"/>
              </w:rPr>
            </w:pPr>
            <w:r>
              <w:rPr>
                <w:rFonts w:ascii="TimesNewRoman" w:eastAsia="TimesNewRoman" w:hAnsi="TimesNewRoman" w:cs="TimesNewRoman"/>
                <w:b w:val="0"/>
                <w:i w:val="0"/>
                <w:vanish w:val="0"/>
                <w:color w:val="000000"/>
                <w:sz w:val="24"/>
              </w:rPr>
              <w:t>Izzivi in aktivnosti:</w:t>
            </w:r>
          </w:p>
          <w:p w:rsidR="00A77B3E">
            <w:pPr>
              <w:numPr>
                <w:ilvl w:val="0"/>
                <w:numId w:val="13"/>
              </w:numPr>
              <w:spacing w:before="100" w:after="0"/>
              <w:ind w:start="720" w:hanging="360"/>
              <w:jc w:val="start"/>
              <w:rPr>
                <w:rFonts w:ascii="TimesNewRoman" w:eastAsia="TimesNewRoman" w:hAnsi="TimesNewRoman" w:cs="TimesNewRoman"/>
                <w:b w:val="0"/>
                <w:i w:val="0"/>
                <w:vanish w:val="0"/>
                <w:color w:val="000000"/>
                <w:sz w:val="24"/>
              </w:rPr>
            </w:pPr>
            <w:r>
              <w:rPr>
                <w:rFonts w:ascii="TimesNewRoman" w:eastAsia="TimesNewRoman" w:hAnsi="TimesNewRoman" w:cs="TimesNewRoman"/>
                <w:b w:val="0"/>
                <w:i w:val="0"/>
                <w:vanish w:val="0"/>
                <w:color w:val="000000"/>
                <w:sz w:val="24"/>
              </w:rPr>
              <w:t>Zagotavljanje rešitev za analiziranje in pregledovanje velikih količin multimedijskih vsebine</w:t>
            </w:r>
          </w:p>
          <w:p w:rsidR="00A77B3E">
            <w:pPr>
              <w:numPr>
                <w:ilvl w:val="0"/>
                <w:numId w:val="13"/>
              </w:numPr>
              <w:spacing w:before="100" w:after="0"/>
              <w:ind w:start="720" w:hanging="360"/>
              <w:jc w:val="start"/>
              <w:rPr>
                <w:rFonts w:ascii="TimesNewRoman" w:eastAsia="TimesNewRoman" w:hAnsi="TimesNewRoman" w:cs="TimesNewRoman"/>
                <w:b w:val="0"/>
                <w:i w:val="0"/>
                <w:vanish w:val="0"/>
                <w:color w:val="000000"/>
                <w:sz w:val="24"/>
              </w:rPr>
            </w:pPr>
            <w:r>
              <w:rPr>
                <w:rFonts w:ascii="TimesNewRoman" w:eastAsia="TimesNewRoman" w:hAnsi="TimesNewRoman" w:cs="TimesNewRoman"/>
                <w:b w:val="0"/>
                <w:i w:val="0"/>
                <w:vanish w:val="0"/>
                <w:color w:val="000000"/>
                <w:sz w:val="24"/>
              </w:rPr>
              <w:t>izboljšanje sistemov za iskanje koristnih informacij v zaseženih in javno dostopnih podatkih</w:t>
            </w:r>
          </w:p>
          <w:p w:rsidR="00A77B3E">
            <w:pPr>
              <w:numPr>
                <w:ilvl w:val="0"/>
                <w:numId w:val="13"/>
              </w:numPr>
              <w:spacing w:before="100" w:after="0"/>
              <w:ind w:start="720" w:hanging="360"/>
              <w:jc w:val="start"/>
              <w:rPr>
                <w:rFonts w:ascii="TimesNewRoman" w:eastAsia="TimesNewRoman" w:hAnsi="TimesNewRoman" w:cs="TimesNewRoman"/>
                <w:b w:val="0"/>
                <w:i w:val="0"/>
                <w:vanish w:val="0"/>
                <w:color w:val="000000"/>
                <w:sz w:val="24"/>
              </w:rPr>
            </w:pPr>
            <w:r>
              <w:rPr>
                <w:rFonts w:ascii="TimesNewRoman" w:eastAsia="TimesNewRoman" w:hAnsi="TimesNewRoman" w:cs="TimesNewRoman"/>
                <w:b w:val="0"/>
                <w:i w:val="0"/>
                <w:vanish w:val="0"/>
                <w:color w:val="000000"/>
                <w:sz w:val="24"/>
              </w:rPr>
              <w:t>Etična implementacija naprednih analitskih pristopov, ki vključujejo tehnike umetne inteligence in naprednih vizualizacij podatkov</w:t>
            </w:r>
          </w:p>
          <w:p w:rsidR="00A77B3E">
            <w:pPr>
              <w:numPr>
                <w:ilvl w:val="0"/>
                <w:numId w:val="13"/>
              </w:numPr>
              <w:spacing w:before="100" w:after="0"/>
              <w:ind w:start="720" w:hanging="360"/>
              <w:jc w:val="start"/>
              <w:rPr>
                <w:rFonts w:ascii="TimesNewRoman" w:eastAsia="TimesNewRoman" w:hAnsi="TimesNewRoman" w:cs="TimesNewRoman"/>
                <w:b w:val="0"/>
                <w:i w:val="0"/>
                <w:vanish w:val="0"/>
                <w:color w:val="000000"/>
                <w:sz w:val="24"/>
              </w:rPr>
            </w:pPr>
            <w:r>
              <w:rPr>
                <w:rFonts w:ascii="TimesNewRoman" w:eastAsia="TimesNewRoman" w:hAnsi="TimesNewRoman" w:cs="TimesNewRoman"/>
                <w:b w:val="0"/>
                <w:i w:val="0"/>
                <w:vanish w:val="0"/>
                <w:color w:val="000000"/>
                <w:sz w:val="24"/>
              </w:rPr>
              <w:t>Zagotavljanje informacijsko kibernetske varnosti sistemov za varno pregledovanje in analiziranje operativnih analitičnih vsebin</w:t>
            </w:r>
          </w:p>
          <w:p w:rsidR="00A77B3E">
            <w:pPr>
              <w:spacing w:before="100" w:after="0"/>
              <w:jc w:val="start"/>
              <w:rPr>
                <w:rFonts w:ascii="TimesNewRoman" w:eastAsia="TimesNewRoman" w:hAnsi="TimesNewRoman" w:cs="TimesNewRoman"/>
                <w:b w:val="0"/>
                <w:i w:val="0"/>
                <w:vanish w:val="0"/>
                <w:color w:val="000000"/>
                <w:sz w:val="24"/>
              </w:rPr>
            </w:pPr>
            <w:r>
              <w:rPr>
                <w:rFonts w:ascii="TimesNewRoman" w:eastAsia="TimesNewRoman" w:hAnsi="TimesNewRoman" w:cs="TimesNewRoman"/>
                <w:b w:val="0"/>
                <w:i w:val="0"/>
                <w:vanish w:val="0"/>
                <w:color w:val="000000"/>
                <w:sz w:val="24"/>
              </w:rPr>
              <w:t>·Vpeljava varnostnih mehanizmov, ki omogočajo zoperstavljanje kibernetskim grožnjam ter zgotavljajo varovanje informacijskih sistemov</w:t>
            </w:r>
          </w:p>
          <w:p w:rsidR="00A77B3E">
            <w:pPr>
              <w:spacing w:before="100" w:after="0"/>
              <w:jc w:val="start"/>
              <w:rPr>
                <w:rFonts w:ascii="TimesNewRoman" w:eastAsia="TimesNewRoman" w:hAnsi="TimesNewRoman" w:cs="TimesNewRoman"/>
                <w:b w:val="0"/>
                <w:i w:val="0"/>
                <w:vanish w:val="0"/>
                <w:color w:val="000000"/>
                <w:sz w:val="24"/>
              </w:rPr>
            </w:pPr>
            <w:r>
              <w:rPr>
                <w:rFonts w:ascii="TimesNewRoman" w:eastAsia="TimesNewRoman" w:hAnsi="TimesNewRoman" w:cs="TimesNewRoman"/>
                <w:b w:val="0"/>
                <w:i w:val="0"/>
                <w:vanish w:val="0"/>
                <w:color w:val="000000"/>
                <w:sz w:val="24"/>
              </w:rPr>
              <w:t>Dejavnosti SNV: nabava programske in strojne opreme za razvoj in izboljšanje analitičnih preiskovalnih sistemov, ki podpirajo ILP in POP za namene kazenskega pregona.</w:t>
            </w:r>
          </w:p>
          <w:p w:rsidR="00A77B3E">
            <w:pPr>
              <w:spacing w:before="100" w:after="0"/>
              <w:jc w:val="start"/>
              <w:rPr>
                <w:rFonts w:ascii="TimesNewRoman" w:eastAsia="TimesNewRoman" w:hAnsi="TimesNewRoman" w:cs="TimesNewRoman"/>
                <w:b w:val="0"/>
                <w:i w:val="0"/>
                <w:vanish w:val="0"/>
                <w:color w:val="000000"/>
                <w:sz w:val="24"/>
              </w:rPr>
            </w:pPr>
            <w:r>
              <w:rPr>
                <w:rFonts w:ascii="TimesNewRoman" w:eastAsia="TimesNewRoman" w:hAnsi="TimesNewRoman" w:cs="TimesNewRoman"/>
                <w:b w:val="0"/>
                <w:i w:val="0"/>
                <w:vanish w:val="0"/>
                <w:color w:val="000000"/>
                <w:sz w:val="24"/>
              </w:rPr>
              <w:t>Pričakovani rezultati:</w:t>
            </w:r>
          </w:p>
          <w:p w:rsidR="00A77B3E">
            <w:pPr>
              <w:numPr>
                <w:ilvl w:val="0"/>
                <w:numId w:val="14"/>
              </w:numPr>
              <w:spacing w:before="100" w:after="0"/>
              <w:ind w:start="720" w:hanging="360"/>
              <w:jc w:val="start"/>
              <w:rPr>
                <w:rFonts w:ascii="TimesNewRoman" w:eastAsia="TimesNewRoman" w:hAnsi="TimesNewRoman" w:cs="TimesNewRoman"/>
                <w:b w:val="0"/>
                <w:i w:val="0"/>
                <w:vanish w:val="0"/>
                <w:color w:val="000000"/>
                <w:sz w:val="24"/>
              </w:rPr>
            </w:pPr>
            <w:r>
              <w:rPr>
                <w:rFonts w:ascii="TimesNewRoman" w:eastAsia="TimesNewRoman" w:hAnsi="TimesNewRoman" w:cs="TimesNewRoman"/>
                <w:b w:val="0"/>
                <w:i w:val="0"/>
                <w:vanish w:val="0"/>
                <w:color w:val="000000"/>
                <w:sz w:val="24"/>
              </w:rPr>
              <w:t>Izboljšanje analitsko preiskovalnih zmogljivosti policije za potrebe kazenskega pregona in posledično učinkovitost na tem področju</w:t>
            </w:r>
          </w:p>
          <w:p w:rsidR="00A77B3E">
            <w:pPr>
              <w:numPr>
                <w:ilvl w:val="0"/>
                <w:numId w:val="14"/>
              </w:numPr>
              <w:spacing w:before="100" w:after="0"/>
              <w:ind w:start="720" w:hanging="360"/>
              <w:jc w:val="start"/>
              <w:rPr>
                <w:rFonts w:ascii="TimesNewRoman" w:eastAsia="TimesNewRoman" w:hAnsi="TimesNewRoman" w:cs="TimesNewRoman"/>
                <w:b w:val="0"/>
                <w:i w:val="0"/>
                <w:vanish w:val="0"/>
                <w:color w:val="000000"/>
                <w:sz w:val="24"/>
              </w:rPr>
            </w:pPr>
            <w:r>
              <w:rPr>
                <w:rFonts w:ascii="TimesNewRoman" w:eastAsia="TimesNewRoman" w:hAnsi="TimesNewRoman" w:cs="TimesNewRoman"/>
                <w:b w:val="0"/>
                <w:i w:val="0"/>
                <w:vanish w:val="0"/>
                <w:color w:val="000000"/>
                <w:sz w:val="24"/>
              </w:rPr>
              <w:t>Možnost analize velike količine kompleksnih elektronskih podatkov</w:t>
            </w:r>
          </w:p>
          <w:p w:rsidR="00A77B3E">
            <w:pPr>
              <w:numPr>
                <w:ilvl w:val="0"/>
                <w:numId w:val="14"/>
              </w:numPr>
              <w:spacing w:before="100" w:after="0"/>
              <w:ind w:start="720" w:hanging="360"/>
              <w:jc w:val="start"/>
              <w:rPr>
                <w:rFonts w:ascii="TimesNewRoman" w:eastAsia="TimesNewRoman" w:hAnsi="TimesNewRoman" w:cs="TimesNewRoman"/>
                <w:b w:val="0"/>
                <w:i w:val="0"/>
                <w:vanish w:val="0"/>
                <w:color w:val="000000"/>
                <w:sz w:val="24"/>
              </w:rPr>
            </w:pPr>
            <w:r>
              <w:rPr>
                <w:rFonts w:ascii="TimesNewRoman" w:eastAsia="TimesNewRoman" w:hAnsi="TimesNewRoman" w:cs="TimesNewRoman"/>
                <w:b w:val="0"/>
                <w:i w:val="0"/>
                <w:vanish w:val="0"/>
                <w:color w:val="000000"/>
                <w:sz w:val="24"/>
              </w:rPr>
              <w:t>Izboljšanje in dvig nivoja informacijsko kibernetske varnosti analitskih sistemov za pregledovanje in analiziranje kompleksnih podatkov.</w:t>
            </w:r>
          </w:p>
          <w:p w:rsidR="00A77B3E">
            <w:pPr>
              <w:spacing w:before="100" w:after="0"/>
              <w:jc w:val="start"/>
              <w:rPr>
                <w:rFonts w:ascii="TimesNewRoman" w:eastAsia="TimesNewRoman" w:hAnsi="TimesNewRoman" w:cs="TimesNewRoman"/>
                <w:b w:val="0"/>
                <w:i w:val="0"/>
                <w:vanish w:val="0"/>
                <w:color w:val="000000"/>
                <w:sz w:val="24"/>
              </w:rPr>
            </w:pPr>
          </w:p>
          <w:p w:rsidR="00A77B3E">
            <w:pPr>
              <w:spacing w:before="100" w:after="0"/>
              <w:jc w:val="start"/>
              <w:rPr>
                <w:rFonts w:ascii="TimesNewRoman" w:eastAsia="TimesNewRoman" w:hAnsi="TimesNewRoman" w:cs="TimesNewRoman"/>
                <w:b w:val="0"/>
                <w:i w:val="0"/>
                <w:vanish w:val="0"/>
                <w:color w:val="000000"/>
                <w:sz w:val="24"/>
              </w:rPr>
            </w:pPr>
            <w:r>
              <w:rPr>
                <w:rFonts w:ascii="TimesNewRoman" w:eastAsia="TimesNewRoman" w:hAnsi="TimesNewRoman" w:cs="TimesNewRoman"/>
                <w:b/>
                <w:bCs/>
                <w:i w:val="0"/>
                <w:vanish w:val="0"/>
                <w:color w:val="000000"/>
                <w:sz w:val="24"/>
              </w:rPr>
              <w:t>- GIS - nadgradnja geografskih sistemov za izboljšanje operativne sposobnosti in orientacijo policije na terenu</w:t>
            </w:r>
          </w:p>
          <w:p w:rsidR="00A77B3E">
            <w:pPr>
              <w:spacing w:before="100" w:after="0"/>
              <w:jc w:val="start"/>
              <w:rPr>
                <w:rFonts w:ascii="TimesNewRoman" w:eastAsia="TimesNewRoman" w:hAnsi="TimesNewRoman" w:cs="TimesNewRoman"/>
                <w:b w:val="0"/>
                <w:i w:val="0"/>
                <w:vanish w:val="0"/>
                <w:color w:val="000000"/>
                <w:sz w:val="24"/>
              </w:rPr>
            </w:pPr>
            <w:r>
              <w:rPr>
                <w:rFonts w:ascii="TimesNewRoman" w:eastAsia="TimesNewRoman" w:hAnsi="TimesNewRoman" w:cs="TimesNewRoman"/>
                <w:b w:val="0"/>
                <w:i w:val="0"/>
                <w:vanish w:val="0"/>
                <w:color w:val="000000"/>
                <w:sz w:val="24"/>
              </w:rPr>
              <w:t>Zaradi neustreznih geografskih sistemov je koordinacija policijskega dela na terenu otežena, zato je izziv vzpostavitev enotnega sistema.</w:t>
            </w:r>
          </w:p>
          <w:p w:rsidR="00A77B3E">
            <w:pPr>
              <w:spacing w:before="100" w:after="0"/>
              <w:jc w:val="start"/>
              <w:rPr>
                <w:rFonts w:ascii="TimesNewRoman" w:eastAsia="TimesNewRoman" w:hAnsi="TimesNewRoman" w:cs="TimesNewRoman"/>
                <w:b w:val="0"/>
                <w:i w:val="0"/>
                <w:vanish w:val="0"/>
                <w:color w:val="000000"/>
                <w:sz w:val="24"/>
              </w:rPr>
            </w:pPr>
            <w:r>
              <w:rPr>
                <w:rFonts w:ascii="TimesNewRoman" w:eastAsia="TimesNewRoman" w:hAnsi="TimesNewRoman" w:cs="TimesNewRoman"/>
                <w:b w:val="0"/>
                <w:i w:val="0"/>
                <w:vanish w:val="0"/>
                <w:color w:val="000000"/>
                <w:sz w:val="24"/>
              </w:rPr>
              <w:t>Ključne aktivnosti:</w:t>
            </w:r>
          </w:p>
          <w:p w:rsidR="00A77B3E">
            <w:pPr>
              <w:numPr>
                <w:ilvl w:val="0"/>
                <w:numId w:val="15"/>
              </w:numPr>
              <w:spacing w:before="100" w:after="0"/>
              <w:ind w:start="720" w:hanging="360"/>
              <w:jc w:val="start"/>
              <w:rPr>
                <w:rFonts w:ascii="TimesNewRoman" w:eastAsia="TimesNewRoman" w:hAnsi="TimesNewRoman" w:cs="TimesNewRoman"/>
                <w:b w:val="0"/>
                <w:i w:val="0"/>
                <w:vanish w:val="0"/>
                <w:color w:val="000000"/>
                <w:sz w:val="24"/>
              </w:rPr>
            </w:pPr>
            <w:r>
              <w:rPr>
                <w:rFonts w:ascii="TimesNewRoman" w:eastAsia="TimesNewRoman" w:hAnsi="TimesNewRoman" w:cs="TimesNewRoman"/>
                <w:b w:val="0"/>
                <w:i w:val="0"/>
                <w:vanish w:val="0"/>
                <w:color w:val="000000"/>
                <w:sz w:val="24"/>
              </w:rPr>
              <w:t>Prenova obstoječih aplikacij za nov nacionalni koordinatni sistem</w:t>
            </w:r>
          </w:p>
          <w:p w:rsidR="00A77B3E">
            <w:pPr>
              <w:numPr>
                <w:ilvl w:val="0"/>
                <w:numId w:val="15"/>
              </w:numPr>
              <w:spacing w:before="100" w:after="0"/>
              <w:ind w:start="720" w:hanging="360"/>
              <w:jc w:val="start"/>
              <w:rPr>
                <w:rFonts w:ascii="TimesNewRoman" w:eastAsia="TimesNewRoman" w:hAnsi="TimesNewRoman" w:cs="TimesNewRoman"/>
                <w:b w:val="0"/>
                <w:i w:val="0"/>
                <w:vanish w:val="0"/>
                <w:color w:val="000000"/>
                <w:sz w:val="24"/>
              </w:rPr>
            </w:pPr>
            <w:r>
              <w:rPr>
                <w:rFonts w:ascii="TimesNewRoman" w:eastAsia="TimesNewRoman" w:hAnsi="TimesNewRoman" w:cs="TimesNewRoman"/>
                <w:b w:val="0"/>
                <w:i w:val="0"/>
                <w:vanish w:val="0"/>
                <w:color w:val="000000"/>
                <w:sz w:val="24"/>
              </w:rPr>
              <w:t>Poenotenje sistemov GPS AVL z novim GIS (ArcGIS)</w:t>
            </w:r>
          </w:p>
          <w:p w:rsidR="00A77B3E">
            <w:pPr>
              <w:numPr>
                <w:ilvl w:val="0"/>
                <w:numId w:val="15"/>
              </w:numPr>
              <w:spacing w:before="100" w:after="0"/>
              <w:ind w:start="720" w:hanging="360"/>
              <w:jc w:val="start"/>
              <w:rPr>
                <w:rFonts w:ascii="TimesNewRoman" w:eastAsia="TimesNewRoman" w:hAnsi="TimesNewRoman" w:cs="TimesNewRoman"/>
                <w:b w:val="0"/>
                <w:i w:val="0"/>
                <w:vanish w:val="0"/>
                <w:color w:val="000000"/>
                <w:sz w:val="24"/>
              </w:rPr>
            </w:pPr>
            <w:r>
              <w:rPr>
                <w:rFonts w:ascii="TimesNewRoman" w:eastAsia="TimesNewRoman" w:hAnsi="TimesNewRoman" w:cs="TimesNewRoman"/>
                <w:b w:val="0"/>
                <w:i w:val="0"/>
                <w:vanish w:val="0"/>
                <w:color w:val="000000"/>
                <w:sz w:val="24"/>
              </w:rPr>
              <w:t>Izdelava geografskih rešitev za podporo operativnemu delu policistov</w:t>
            </w:r>
          </w:p>
          <w:p w:rsidR="00A77B3E">
            <w:pPr>
              <w:numPr>
                <w:ilvl w:val="0"/>
                <w:numId w:val="15"/>
              </w:numPr>
              <w:spacing w:before="100" w:after="0"/>
              <w:ind w:start="720" w:hanging="360"/>
              <w:jc w:val="start"/>
              <w:rPr>
                <w:rFonts w:ascii="TimesNewRoman" w:eastAsia="TimesNewRoman" w:hAnsi="TimesNewRoman" w:cs="TimesNewRoman"/>
                <w:b w:val="0"/>
                <w:i w:val="0"/>
                <w:vanish w:val="0"/>
                <w:color w:val="000000"/>
                <w:sz w:val="24"/>
              </w:rPr>
            </w:pPr>
            <w:r>
              <w:rPr>
                <w:rFonts w:ascii="TimesNewRoman" w:eastAsia="TimesNewRoman" w:hAnsi="TimesNewRoman" w:cs="TimesNewRoman"/>
                <w:b w:val="0"/>
                <w:i w:val="0"/>
                <w:vanish w:val="0"/>
                <w:color w:val="000000"/>
                <w:sz w:val="24"/>
              </w:rPr>
              <w:t>Nova programska orodja, nadgradnja strežniških sistemov in izdelava mobilnih rešitev GIS</w:t>
            </w:r>
          </w:p>
          <w:p w:rsidR="00A77B3E">
            <w:pPr>
              <w:numPr>
                <w:ilvl w:val="0"/>
                <w:numId w:val="15"/>
              </w:numPr>
              <w:spacing w:before="100" w:after="0"/>
              <w:ind w:start="720" w:hanging="360"/>
              <w:jc w:val="start"/>
              <w:rPr>
                <w:rFonts w:ascii="TimesNewRoman" w:eastAsia="TimesNewRoman" w:hAnsi="TimesNewRoman" w:cs="TimesNewRoman"/>
                <w:b w:val="0"/>
                <w:i w:val="0"/>
                <w:vanish w:val="0"/>
                <w:color w:val="000000"/>
                <w:sz w:val="24"/>
              </w:rPr>
            </w:pPr>
            <w:r>
              <w:rPr>
                <w:rFonts w:ascii="TimesNewRoman" w:eastAsia="TimesNewRoman" w:hAnsi="TimesNewRoman" w:cs="TimesNewRoman"/>
                <w:b w:val="0"/>
                <w:i w:val="0"/>
                <w:vanish w:val="0"/>
                <w:color w:val="000000"/>
                <w:sz w:val="24"/>
              </w:rPr>
              <w:t>Prilagoditev aplikacije za vodenje in poveljevanje</w:t>
            </w:r>
          </w:p>
          <w:p w:rsidR="00A77B3E">
            <w:pPr>
              <w:spacing w:before="100" w:after="0"/>
              <w:jc w:val="start"/>
              <w:rPr>
                <w:rFonts w:ascii="TimesNewRoman" w:eastAsia="TimesNewRoman" w:hAnsi="TimesNewRoman" w:cs="TimesNewRoman"/>
                <w:b w:val="0"/>
                <w:i w:val="0"/>
                <w:vanish w:val="0"/>
                <w:color w:val="000000"/>
                <w:sz w:val="24"/>
              </w:rPr>
            </w:pPr>
            <w:r>
              <w:rPr>
                <w:rFonts w:ascii="TimesNewRoman" w:eastAsia="TimesNewRoman" w:hAnsi="TimesNewRoman" w:cs="TimesNewRoman"/>
                <w:b w:val="0"/>
                <w:i w:val="0"/>
                <w:vanish w:val="0"/>
                <w:color w:val="000000"/>
                <w:sz w:val="24"/>
              </w:rPr>
              <w:t>Pričakovani rezultat: izboljšana operativna sposobnost za orientacijo na terenu, učinkovito prijemanje storilcev najhujših KD, preprečevanje čezmejne kriminalitete in krepitev regijskega policijskega sodelovanja na terenu.</w:t>
            </w:r>
          </w:p>
          <w:p w:rsidR="00A77B3E">
            <w:pPr>
              <w:spacing w:before="100" w:after="0"/>
              <w:jc w:val="start"/>
              <w:rPr>
                <w:rFonts w:ascii="TimesNewRoman" w:eastAsia="TimesNewRoman" w:hAnsi="TimesNewRoman" w:cs="TimesNewRoman"/>
                <w:b w:val="0"/>
                <w:i w:val="0"/>
                <w:vanish w:val="0"/>
                <w:color w:val="000000"/>
                <w:sz w:val="24"/>
              </w:rPr>
            </w:pPr>
          </w:p>
          <w:p w:rsidR="00A77B3E">
            <w:pPr>
              <w:spacing w:before="100" w:after="0"/>
              <w:jc w:val="start"/>
              <w:rPr>
                <w:rFonts w:ascii="TimesNewRoman" w:eastAsia="TimesNewRoman" w:hAnsi="TimesNewRoman" w:cs="TimesNewRoman"/>
                <w:b w:val="0"/>
                <w:i w:val="0"/>
                <w:vanish w:val="0"/>
                <w:color w:val="000000"/>
                <w:sz w:val="24"/>
              </w:rPr>
            </w:pPr>
            <w:r>
              <w:rPr>
                <w:rFonts w:ascii="TimesNewRoman" w:eastAsia="TimesNewRoman" w:hAnsi="TimesNewRoman" w:cs="TimesNewRoman"/>
                <w:b/>
                <w:bCs/>
                <w:i w:val="0"/>
                <w:vanish w:val="0"/>
                <w:color w:val="000000"/>
                <w:sz w:val="24"/>
              </w:rPr>
              <w:t xml:space="preserve">- Okrepitev ter nadgradnja sistemov za strateško odločanje (BI): Human Resources Managment </w:t>
            </w:r>
          </w:p>
          <w:p w:rsidR="00A77B3E">
            <w:pPr>
              <w:spacing w:before="100" w:after="0"/>
              <w:jc w:val="start"/>
              <w:rPr>
                <w:rFonts w:ascii="TimesNewRoman" w:eastAsia="TimesNewRoman" w:hAnsi="TimesNewRoman" w:cs="TimesNewRoman"/>
                <w:b w:val="0"/>
                <w:i w:val="0"/>
                <w:vanish w:val="0"/>
                <w:color w:val="000000"/>
                <w:sz w:val="24"/>
              </w:rPr>
            </w:pPr>
            <w:r>
              <w:rPr>
                <w:rFonts w:ascii="TimesNewRoman" w:eastAsia="TimesNewRoman" w:hAnsi="TimesNewRoman" w:cs="TimesNewRoman"/>
                <w:b w:val="0"/>
                <w:i w:val="0"/>
                <w:vanish w:val="0"/>
                <w:color w:val="000000"/>
                <w:sz w:val="24"/>
              </w:rPr>
              <w:t xml:space="preserve">Trenutni </w:t>
            </w:r>
            <w:r>
              <w:rPr>
                <w:rFonts w:ascii="TimesNewRoman" w:eastAsia="TimesNewRoman" w:hAnsi="TimesNewRoman" w:cs="TimesNewRoman"/>
                <w:b/>
                <w:bCs/>
                <w:i w:val="0"/>
                <w:vanish w:val="0"/>
                <w:color w:val="000000"/>
                <w:sz w:val="24"/>
              </w:rPr>
              <w:t xml:space="preserve">DWH </w:t>
            </w:r>
            <w:r>
              <w:rPr>
                <w:rFonts w:ascii="TimesNewRoman" w:eastAsia="TimesNewRoman" w:hAnsi="TimesNewRoman" w:cs="TimesNewRoman"/>
                <w:b w:val="0"/>
                <w:i w:val="0"/>
                <w:vanish w:val="0"/>
                <w:color w:val="000000"/>
                <w:sz w:val="24"/>
              </w:rPr>
              <w:t>(Data WareHouse) -</w:t>
            </w:r>
            <w:r>
              <w:rPr>
                <w:rFonts w:ascii="TimesNewRoman" w:eastAsia="TimesNewRoman" w:hAnsi="TimesNewRoman" w:cs="TimesNewRoman"/>
                <w:b/>
                <w:bCs/>
                <w:i w:val="0"/>
                <w:vanish w:val="0"/>
                <w:color w:val="000000"/>
                <w:sz w:val="24"/>
              </w:rPr>
              <w:t xml:space="preserve"> SQL </w:t>
            </w:r>
            <w:r>
              <w:rPr>
                <w:rFonts w:ascii="TimesNewRoman" w:eastAsia="TimesNewRoman" w:hAnsi="TimesNewRoman" w:cs="TimesNewRoman"/>
                <w:b w:val="0"/>
                <w:i w:val="0"/>
                <w:vanish w:val="0"/>
                <w:color w:val="000000"/>
                <w:sz w:val="24"/>
              </w:rPr>
              <w:t>strežnik (standardni jezik za delo s podatkovnimi bazami) ne omogoča učinkovite podpore odločanju organov pregona (ni testnega okolja, premalo diskovnih kapacitet in licenc, zastarelo BI orodja). Sistem je preobremenjen, odzivni časi poročanja in analiz so predolgi.</w:t>
            </w:r>
          </w:p>
          <w:p w:rsidR="00A77B3E">
            <w:pPr>
              <w:spacing w:before="100" w:after="0"/>
              <w:jc w:val="start"/>
              <w:rPr>
                <w:rFonts w:ascii="TimesNewRoman" w:eastAsia="TimesNewRoman" w:hAnsi="TimesNewRoman" w:cs="TimesNewRoman"/>
                <w:b w:val="0"/>
                <w:i w:val="0"/>
                <w:vanish w:val="0"/>
                <w:color w:val="000000"/>
                <w:sz w:val="24"/>
              </w:rPr>
            </w:pPr>
            <w:r>
              <w:rPr>
                <w:rFonts w:ascii="TimesNewRoman" w:eastAsia="TimesNewRoman" w:hAnsi="TimesNewRoman" w:cs="TimesNewRoman"/>
                <w:b w:val="0"/>
                <w:i w:val="0"/>
                <w:vanish w:val="0"/>
                <w:color w:val="000000"/>
                <w:sz w:val="24"/>
              </w:rPr>
              <w:t>Ključna aktivnost: oblikovati zmogljivejše BI orodje za vizualizacijo informacij za strateško odločanje ter omogočiti mobilnost BI aplikacij. To bo omogočilo izmenjavo podatkov z zunanjimi institucijami, hitrejši odzivni čas pri ugotavljanju kriminalnih žarišč in izrednih dogodkov.</w:t>
            </w:r>
          </w:p>
          <w:p w:rsidR="00A77B3E">
            <w:pPr>
              <w:spacing w:before="100" w:after="0"/>
              <w:jc w:val="start"/>
              <w:rPr>
                <w:rFonts w:ascii="TimesNewRoman" w:eastAsia="TimesNewRoman" w:hAnsi="TimesNewRoman" w:cs="TimesNewRoman"/>
                <w:b w:val="0"/>
                <w:i w:val="0"/>
                <w:vanish w:val="0"/>
                <w:color w:val="000000"/>
                <w:sz w:val="24"/>
              </w:rPr>
            </w:pPr>
            <w:r>
              <w:rPr>
                <w:rFonts w:ascii="TimesNewRoman" w:eastAsia="TimesNewRoman" w:hAnsi="TimesNewRoman" w:cs="TimesNewRoman"/>
                <w:b w:val="0"/>
                <w:i w:val="0"/>
                <w:vanish w:val="0"/>
                <w:color w:val="000000"/>
                <w:sz w:val="24"/>
              </w:rPr>
              <w:t>Pričakovani rezultat:</w:t>
            </w:r>
            <w:r>
              <w:rPr>
                <w:rFonts w:ascii="TimesNewRoman" w:eastAsia="TimesNewRoman" w:hAnsi="TimesNewRoman" w:cs="TimesNewRoman"/>
                <w:b/>
                <w:bCs/>
                <w:i w:val="0"/>
                <w:vanish w:val="0"/>
                <w:color w:val="000000"/>
                <w:sz w:val="24"/>
              </w:rPr>
              <w:t xml:space="preserve"> </w:t>
            </w:r>
            <w:r>
              <w:rPr>
                <w:rFonts w:ascii="TimesNewRoman" w:eastAsia="TimesNewRoman" w:hAnsi="TimesNewRoman" w:cs="TimesNewRoman"/>
                <w:b w:val="0"/>
                <w:i w:val="0"/>
                <w:vanish w:val="0"/>
                <w:color w:val="000000"/>
                <w:sz w:val="24"/>
              </w:rPr>
              <w:t>okrepljeni ter nadgrajeni sistemi za strateško odločanje za podporo boja proti kriminalu in izmenjavo podatkov kazenskega pregona na SI in EU ravni.</w:t>
            </w:r>
          </w:p>
          <w:p w:rsidR="00A77B3E">
            <w:pPr>
              <w:spacing w:before="100" w:after="0"/>
              <w:jc w:val="start"/>
              <w:rPr>
                <w:rFonts w:ascii="TimesNewRoman" w:eastAsia="TimesNewRoman" w:hAnsi="TimesNewRoman" w:cs="TimesNewRoman"/>
                <w:b w:val="0"/>
                <w:i w:val="0"/>
                <w:vanish w:val="0"/>
                <w:color w:val="000000"/>
                <w:sz w:val="24"/>
              </w:rPr>
            </w:pPr>
          </w:p>
          <w:p w:rsidR="00A77B3E">
            <w:pPr>
              <w:spacing w:before="100" w:after="0"/>
              <w:jc w:val="start"/>
              <w:rPr>
                <w:rFonts w:ascii="TimesNewRoman" w:eastAsia="TimesNewRoman" w:hAnsi="TimesNewRoman" w:cs="TimesNewRoman"/>
                <w:b w:val="0"/>
                <w:i w:val="0"/>
                <w:vanish w:val="0"/>
                <w:color w:val="000000"/>
                <w:sz w:val="24"/>
              </w:rPr>
            </w:pPr>
            <w:r>
              <w:rPr>
                <w:rFonts w:ascii="TimesNewRoman" w:eastAsia="TimesNewRoman" w:hAnsi="TimesNewRoman" w:cs="TimesNewRoman"/>
                <w:b/>
                <w:bCs/>
                <w:i w:val="0"/>
                <w:vanish w:val="0"/>
                <w:color w:val="000000"/>
                <w:sz w:val="24"/>
              </w:rPr>
              <w:t>- Vzpostavitev sistema za zaznavanje anomalij in sistema za preprečevanje in odkrivanje APT (Advanced Persistent Threat)</w:t>
            </w:r>
          </w:p>
          <w:p w:rsidR="00A77B3E">
            <w:pPr>
              <w:spacing w:before="100" w:after="0"/>
              <w:jc w:val="start"/>
              <w:rPr>
                <w:rFonts w:ascii="TimesNewRoman" w:eastAsia="TimesNewRoman" w:hAnsi="TimesNewRoman" w:cs="TimesNewRoman"/>
                <w:b w:val="0"/>
                <w:i w:val="0"/>
                <w:vanish w:val="0"/>
                <w:color w:val="000000"/>
                <w:sz w:val="24"/>
              </w:rPr>
            </w:pPr>
            <w:r>
              <w:rPr>
                <w:rFonts w:ascii="TimesNewRoman" w:eastAsia="TimesNewRoman" w:hAnsi="TimesNewRoman" w:cs="TimesNewRoman"/>
                <w:b w:val="0"/>
                <w:i w:val="0"/>
                <w:vanish w:val="0"/>
                <w:color w:val="000000"/>
                <w:sz w:val="24"/>
              </w:rPr>
              <w:t>Policijski IT sistem nima zaščite pred vdori. Z vzpostavitvijo sistema za zaznavanje anomalij bo zmanjšana možnost zlorabe zaradi ranljivosti sistema in zlorabe z neznanimi orodji. Z detekcijo novih značilnosti orodij (boljši varnostni mehanizmi) in nepričakovanih sprememb v sistemu bo mogoče odkriti zlorabe ali jih preprečiti. Sistem APT bo namenjen zaznavanju in preprečevanju usmerjenih napadov na ITSP.</w:t>
            </w:r>
          </w:p>
          <w:p w:rsidR="00A77B3E">
            <w:pPr>
              <w:spacing w:before="100" w:after="0"/>
              <w:jc w:val="start"/>
              <w:rPr>
                <w:rFonts w:ascii="TimesNewRoman" w:eastAsia="TimesNewRoman" w:hAnsi="TimesNewRoman" w:cs="TimesNewRoman"/>
                <w:b w:val="0"/>
                <w:i w:val="0"/>
                <w:vanish w:val="0"/>
                <w:color w:val="000000"/>
                <w:sz w:val="24"/>
              </w:rPr>
            </w:pPr>
            <w:r>
              <w:rPr>
                <w:rFonts w:ascii="TimesNewRoman" w:eastAsia="TimesNewRoman" w:hAnsi="TimesNewRoman" w:cs="TimesNewRoman"/>
                <w:b w:val="0"/>
                <w:i w:val="0"/>
                <w:vanish w:val="0"/>
                <w:color w:val="000000"/>
                <w:sz w:val="24"/>
              </w:rPr>
              <w:t>Aktivnosti: nabaviti in/ali razviti in implementirati orodji za vzpostavitev učinkovitega sistem za zaznavanje anomalij in za preprečevanje in odkrivanje APT znotraj ITSP.</w:t>
            </w:r>
          </w:p>
          <w:p w:rsidR="00A77B3E">
            <w:pPr>
              <w:spacing w:before="100" w:after="0"/>
              <w:jc w:val="start"/>
              <w:rPr>
                <w:rFonts w:ascii="TimesNewRoman" w:eastAsia="TimesNewRoman" w:hAnsi="TimesNewRoman" w:cs="TimesNewRoman"/>
                <w:b w:val="0"/>
                <w:i w:val="0"/>
                <w:vanish w:val="0"/>
                <w:color w:val="000000"/>
                <w:sz w:val="24"/>
              </w:rPr>
            </w:pPr>
          </w:p>
          <w:p w:rsidR="00A77B3E">
            <w:pPr>
              <w:spacing w:before="100" w:after="0"/>
              <w:jc w:val="start"/>
              <w:rPr>
                <w:rFonts w:ascii="TimesNewRoman" w:eastAsia="TimesNewRoman" w:hAnsi="TimesNewRoman" w:cs="TimesNewRoman"/>
                <w:b w:val="0"/>
                <w:i w:val="0"/>
                <w:vanish w:val="0"/>
                <w:color w:val="000000"/>
                <w:sz w:val="24"/>
              </w:rPr>
            </w:pPr>
            <w:r>
              <w:rPr>
                <w:rFonts w:ascii="TimesNewRoman" w:eastAsia="TimesNewRoman" w:hAnsi="TimesNewRoman" w:cs="TimesNewRoman"/>
                <w:b/>
                <w:bCs/>
                <w:i w:val="0"/>
                <w:vanish w:val="0"/>
                <w:color w:val="000000"/>
                <w:sz w:val="24"/>
              </w:rPr>
              <w:t>- Kriminalistična tehnika v boju proti kriminalu</w:t>
            </w:r>
          </w:p>
          <w:p w:rsidR="00A77B3E">
            <w:pPr>
              <w:spacing w:before="100" w:after="0"/>
              <w:jc w:val="start"/>
              <w:rPr>
                <w:rFonts w:ascii="TimesNewRoman" w:eastAsia="TimesNewRoman" w:hAnsi="TimesNewRoman" w:cs="TimesNewRoman"/>
                <w:b w:val="0"/>
                <w:i w:val="0"/>
                <w:vanish w:val="0"/>
                <w:color w:val="000000"/>
                <w:sz w:val="24"/>
              </w:rPr>
            </w:pPr>
            <w:r>
              <w:rPr>
                <w:rFonts w:ascii="TimesNewRoman" w:eastAsia="TimesNewRoman" w:hAnsi="TimesNewRoman" w:cs="TimesNewRoman"/>
                <w:b w:val="0"/>
                <w:i w:val="0"/>
                <w:vanish w:val="0"/>
                <w:color w:val="000000"/>
                <w:sz w:val="24"/>
              </w:rPr>
              <w:t>Ogled kraja KD kot temeljno preiskovalno opravilo je vpeto v mednarodno izmenjavo podatkov o sledeh in drugih forenzičnih dokazih za odkrivanje in preiskovanje čezmejne kriminalitete. Potrebna je specifična terenska in laboratorijska oprema, znanja in akreditacije za postavitev enotnega forenzičnega prostora (cilj EFSA 2020).</w:t>
            </w:r>
          </w:p>
          <w:p w:rsidR="00A77B3E">
            <w:pPr>
              <w:spacing w:before="100" w:after="0"/>
              <w:jc w:val="start"/>
              <w:rPr>
                <w:rFonts w:ascii="TimesNewRoman" w:eastAsia="TimesNewRoman" w:hAnsi="TimesNewRoman" w:cs="TimesNewRoman"/>
                <w:b w:val="0"/>
                <w:i w:val="0"/>
                <w:vanish w:val="0"/>
                <w:color w:val="000000"/>
                <w:sz w:val="24"/>
              </w:rPr>
            </w:pPr>
            <w:r>
              <w:rPr>
                <w:rFonts w:ascii="TimesNewRoman" w:eastAsia="TimesNewRoman" w:hAnsi="TimesNewRoman" w:cs="TimesNewRoman"/>
                <w:b w:val="0"/>
                <w:i w:val="0"/>
                <w:vanish w:val="0"/>
                <w:color w:val="000000"/>
                <w:sz w:val="24"/>
              </w:rPr>
              <w:t>Izzivi:</w:t>
            </w:r>
          </w:p>
          <w:p w:rsidR="00A77B3E">
            <w:pPr>
              <w:numPr>
                <w:ilvl w:val="0"/>
                <w:numId w:val="16"/>
              </w:numPr>
              <w:spacing w:before="100" w:after="0"/>
              <w:ind w:start="720" w:hanging="360"/>
              <w:jc w:val="start"/>
              <w:rPr>
                <w:rFonts w:ascii="TimesNewRoman" w:eastAsia="TimesNewRoman" w:hAnsi="TimesNewRoman" w:cs="TimesNewRoman"/>
                <w:b w:val="0"/>
                <w:i w:val="0"/>
                <w:vanish w:val="0"/>
                <w:color w:val="000000"/>
                <w:sz w:val="24"/>
              </w:rPr>
            </w:pPr>
            <w:r>
              <w:rPr>
                <w:rFonts w:ascii="TimesNewRoman" w:eastAsia="TimesNewRoman" w:hAnsi="TimesNewRoman" w:cs="TimesNewRoman"/>
                <w:b w:val="0"/>
                <w:i w:val="0"/>
                <w:vanish w:val="0"/>
                <w:color w:val="000000"/>
                <w:sz w:val="24"/>
              </w:rPr>
              <w:t>Uporaba najsodobnejše opreme na kraju KD</w:t>
            </w:r>
          </w:p>
          <w:p w:rsidR="00A77B3E">
            <w:pPr>
              <w:numPr>
                <w:ilvl w:val="0"/>
                <w:numId w:val="16"/>
              </w:numPr>
              <w:spacing w:before="100" w:after="0"/>
              <w:ind w:start="720" w:hanging="360"/>
              <w:jc w:val="start"/>
              <w:rPr>
                <w:rFonts w:ascii="TimesNewRoman" w:eastAsia="TimesNewRoman" w:hAnsi="TimesNewRoman" w:cs="TimesNewRoman"/>
                <w:b w:val="0"/>
                <w:i w:val="0"/>
                <w:vanish w:val="0"/>
                <w:color w:val="000000"/>
                <w:sz w:val="24"/>
              </w:rPr>
            </w:pPr>
            <w:r>
              <w:rPr>
                <w:rFonts w:ascii="TimesNewRoman" w:eastAsia="TimesNewRoman" w:hAnsi="TimesNewRoman" w:cs="TimesNewRoman"/>
                <w:b w:val="0"/>
                <w:i w:val="0"/>
                <w:vanish w:val="0"/>
                <w:color w:val="000000"/>
                <w:sz w:val="24"/>
              </w:rPr>
              <w:t>Uporaba najsodobnejše opreme v krminalističnotehničnih laboratorijih</w:t>
            </w:r>
          </w:p>
          <w:p w:rsidR="00A77B3E">
            <w:pPr>
              <w:numPr>
                <w:ilvl w:val="0"/>
                <w:numId w:val="16"/>
              </w:numPr>
              <w:spacing w:before="100" w:after="0"/>
              <w:ind w:start="720" w:hanging="360"/>
              <w:jc w:val="start"/>
              <w:rPr>
                <w:rFonts w:ascii="TimesNewRoman" w:eastAsia="TimesNewRoman" w:hAnsi="TimesNewRoman" w:cs="TimesNewRoman"/>
                <w:b w:val="0"/>
                <w:i w:val="0"/>
                <w:vanish w:val="0"/>
                <w:color w:val="000000"/>
                <w:sz w:val="24"/>
              </w:rPr>
            </w:pPr>
            <w:r>
              <w:rPr>
                <w:rFonts w:ascii="TimesNewRoman" w:eastAsia="TimesNewRoman" w:hAnsi="TimesNewRoman" w:cs="TimesNewRoman"/>
                <w:b w:val="0"/>
                <w:i w:val="0"/>
                <w:vanish w:val="0"/>
                <w:color w:val="000000"/>
                <w:sz w:val="24"/>
              </w:rPr>
              <w:t>Razvoj standardov za iskanje, dokumentiranje in pakiranje dokazov</w:t>
            </w:r>
          </w:p>
          <w:p w:rsidR="00A77B3E">
            <w:pPr>
              <w:spacing w:before="100" w:after="0"/>
              <w:jc w:val="start"/>
              <w:rPr>
                <w:rFonts w:ascii="TimesNewRoman" w:eastAsia="TimesNewRoman" w:hAnsi="TimesNewRoman" w:cs="TimesNewRoman"/>
                <w:b w:val="0"/>
                <w:i w:val="0"/>
                <w:vanish w:val="0"/>
                <w:color w:val="000000"/>
                <w:sz w:val="24"/>
              </w:rPr>
            </w:pPr>
            <w:r>
              <w:rPr>
                <w:rFonts w:ascii="TimesNewRoman" w:eastAsia="TimesNewRoman" w:hAnsi="TimesNewRoman" w:cs="TimesNewRoman"/>
                <w:b w:val="0"/>
                <w:i w:val="0"/>
                <w:vanish w:val="0"/>
                <w:color w:val="000000"/>
                <w:sz w:val="24"/>
              </w:rPr>
              <w:t>Aktivnosti SNV:</w:t>
            </w:r>
          </w:p>
          <w:p w:rsidR="00A77B3E">
            <w:pPr>
              <w:numPr>
                <w:ilvl w:val="0"/>
                <w:numId w:val="17"/>
              </w:numPr>
              <w:spacing w:before="100" w:after="0"/>
              <w:ind w:start="720" w:hanging="360"/>
              <w:jc w:val="start"/>
              <w:rPr>
                <w:rFonts w:ascii="TimesNewRoman" w:eastAsia="TimesNewRoman" w:hAnsi="TimesNewRoman" w:cs="TimesNewRoman"/>
                <w:b w:val="0"/>
                <w:i w:val="0"/>
                <w:vanish w:val="0"/>
                <w:color w:val="000000"/>
                <w:sz w:val="24"/>
              </w:rPr>
            </w:pPr>
            <w:r>
              <w:rPr>
                <w:rFonts w:ascii="TimesNewRoman" w:eastAsia="TimesNewRoman" w:hAnsi="TimesNewRoman" w:cs="TimesNewRoman"/>
                <w:b w:val="0"/>
                <w:i w:val="0"/>
                <w:vanish w:val="0"/>
                <w:color w:val="000000"/>
                <w:sz w:val="24"/>
              </w:rPr>
              <w:t>Nakup opreme za ogled krajev KD</w:t>
            </w:r>
          </w:p>
          <w:p w:rsidR="00A77B3E">
            <w:pPr>
              <w:numPr>
                <w:ilvl w:val="0"/>
                <w:numId w:val="17"/>
              </w:numPr>
              <w:spacing w:before="100" w:after="0"/>
              <w:ind w:start="720" w:hanging="360"/>
              <w:jc w:val="start"/>
              <w:rPr>
                <w:rFonts w:ascii="TimesNewRoman" w:eastAsia="TimesNewRoman" w:hAnsi="TimesNewRoman" w:cs="TimesNewRoman"/>
                <w:b w:val="0"/>
                <w:i w:val="0"/>
                <w:vanish w:val="0"/>
                <w:color w:val="000000"/>
                <w:sz w:val="24"/>
              </w:rPr>
            </w:pPr>
            <w:r>
              <w:rPr>
                <w:rFonts w:ascii="TimesNewRoman" w:eastAsia="TimesNewRoman" w:hAnsi="TimesNewRoman" w:cs="TimesNewRoman"/>
                <w:b w:val="0"/>
                <w:i w:val="0"/>
                <w:vanish w:val="0"/>
                <w:color w:val="000000"/>
                <w:sz w:val="24"/>
              </w:rPr>
              <w:t>Nakup opreme za kriminalističnotehnične laboratorije</w:t>
            </w:r>
          </w:p>
          <w:p w:rsidR="00A77B3E">
            <w:pPr>
              <w:numPr>
                <w:ilvl w:val="0"/>
                <w:numId w:val="17"/>
              </w:numPr>
              <w:spacing w:before="100" w:after="0"/>
              <w:ind w:start="720" w:hanging="360"/>
              <w:jc w:val="start"/>
              <w:rPr>
                <w:rFonts w:ascii="TimesNewRoman" w:eastAsia="TimesNewRoman" w:hAnsi="TimesNewRoman" w:cs="TimesNewRoman"/>
                <w:b w:val="0"/>
                <w:i w:val="0"/>
                <w:vanish w:val="0"/>
                <w:color w:val="000000"/>
                <w:sz w:val="24"/>
              </w:rPr>
            </w:pPr>
            <w:r>
              <w:rPr>
                <w:rFonts w:ascii="TimesNewRoman" w:eastAsia="TimesNewRoman" w:hAnsi="TimesNewRoman" w:cs="TimesNewRoman"/>
                <w:b w:val="0"/>
                <w:i w:val="0"/>
                <w:vanish w:val="0"/>
                <w:color w:val="000000"/>
                <w:sz w:val="24"/>
              </w:rPr>
              <w:t>Usposabljanje policistov, ki preiskujejo kraje KD (vzorčenje dokazov, analiza krvnih vzorcev, snemanje kraja)</w:t>
            </w:r>
          </w:p>
          <w:p w:rsidR="00A77B3E">
            <w:pPr>
              <w:spacing w:before="100" w:after="0"/>
              <w:jc w:val="start"/>
              <w:rPr>
                <w:rFonts w:ascii="TimesNewRoman" w:eastAsia="TimesNewRoman" w:hAnsi="TimesNewRoman" w:cs="TimesNewRoman"/>
                <w:b w:val="0"/>
                <w:i w:val="0"/>
                <w:vanish w:val="0"/>
                <w:color w:val="000000"/>
                <w:sz w:val="24"/>
              </w:rPr>
            </w:pPr>
            <w:r>
              <w:rPr>
                <w:rFonts w:ascii="TimesNewRoman" w:eastAsia="TimesNewRoman" w:hAnsi="TimesNewRoman" w:cs="TimesNewRoman"/>
                <w:b w:val="0"/>
                <w:i w:val="0"/>
                <w:vanish w:val="0"/>
                <w:color w:val="000000"/>
                <w:sz w:val="24"/>
              </w:rPr>
              <w:t>Pričakovani rezultat: okrepljena in opremljena nacionalna enota za krim. tehniko v boju proti kriminalu, usposobljeni policisti in odlično delo po mednarodnih standardih.</w:t>
            </w:r>
          </w:p>
          <w:p w:rsidR="00A77B3E">
            <w:pPr>
              <w:spacing w:before="100" w:after="0"/>
              <w:jc w:val="start"/>
              <w:rPr>
                <w:rFonts w:ascii="TimesNewRoman" w:eastAsia="TimesNewRoman" w:hAnsi="TimesNewRoman" w:cs="TimesNewRoman"/>
                <w:b w:val="0"/>
                <w:i w:val="0"/>
                <w:vanish w:val="0"/>
                <w:color w:val="000000"/>
                <w:sz w:val="24"/>
              </w:rPr>
            </w:pPr>
          </w:p>
          <w:p w:rsidR="00A77B3E">
            <w:pPr>
              <w:spacing w:before="100" w:after="0"/>
              <w:jc w:val="start"/>
              <w:rPr>
                <w:rFonts w:ascii="TimesNewRoman" w:eastAsia="TimesNewRoman" w:hAnsi="TimesNewRoman" w:cs="TimesNewRoman"/>
                <w:b w:val="0"/>
                <w:i w:val="0"/>
                <w:vanish w:val="0"/>
                <w:color w:val="000000"/>
                <w:sz w:val="24"/>
              </w:rPr>
            </w:pPr>
            <w:r>
              <w:rPr>
                <w:rFonts w:ascii="TimesNewRoman" w:eastAsia="TimesNewRoman" w:hAnsi="TimesNewRoman" w:cs="TimesNewRoman"/>
                <w:b/>
                <w:bCs/>
                <w:i w:val="0"/>
                <w:vanish w:val="0"/>
                <w:color w:val="000000"/>
                <w:sz w:val="24"/>
              </w:rPr>
              <w:t>-Kontrole na ozemlju SI za boj proti čezmejnemu kriminalu</w:t>
            </w:r>
          </w:p>
          <w:p w:rsidR="00A77B3E">
            <w:pPr>
              <w:spacing w:before="100" w:after="0"/>
              <w:jc w:val="start"/>
              <w:rPr>
                <w:rFonts w:ascii="TimesNewRoman" w:eastAsia="TimesNewRoman" w:hAnsi="TimesNewRoman" w:cs="TimesNewRoman"/>
                <w:b w:val="0"/>
                <w:i w:val="0"/>
                <w:vanish w:val="0"/>
                <w:color w:val="000000"/>
                <w:sz w:val="24"/>
              </w:rPr>
            </w:pPr>
            <w:r>
              <w:rPr>
                <w:rFonts w:ascii="TimesNewRoman" w:eastAsia="TimesNewRoman" w:hAnsi="TimesNewRoman" w:cs="TimesNewRoman"/>
                <w:b w:val="0"/>
                <w:i w:val="0"/>
                <w:vanish w:val="0"/>
                <w:color w:val="000000"/>
                <w:sz w:val="24"/>
              </w:rPr>
              <w:t>Republika Slovenija je z vstopom Republike Hrvaške v schengensko območje izgubila zunanjo kopensko mejo, zato je podvržena izvajanju kontroli znotraj ozemlja za boj proti čezmejnemu kriminalu z namenom zmanjšanja varnostnih tveganj.</w:t>
            </w:r>
          </w:p>
          <w:p w:rsidR="00A77B3E">
            <w:pPr>
              <w:spacing w:before="100" w:after="0"/>
              <w:jc w:val="start"/>
              <w:rPr>
                <w:rFonts w:ascii="TimesNewRoman" w:eastAsia="TimesNewRoman" w:hAnsi="TimesNewRoman" w:cs="TimesNewRoman"/>
                <w:b w:val="0"/>
                <w:i w:val="0"/>
                <w:vanish w:val="0"/>
                <w:color w:val="000000"/>
                <w:sz w:val="24"/>
              </w:rPr>
            </w:pPr>
            <w:r>
              <w:rPr>
                <w:rFonts w:ascii="TimesNewRoman" w:eastAsia="TimesNewRoman" w:hAnsi="TimesNewRoman" w:cs="TimesNewRoman"/>
                <w:b w:val="0"/>
                <w:i w:val="0"/>
                <w:vanish w:val="0"/>
                <w:color w:val="000000"/>
                <w:sz w:val="24"/>
              </w:rPr>
              <w:t>Izzivi:</w:t>
            </w:r>
          </w:p>
          <w:p w:rsidR="00A77B3E">
            <w:pPr>
              <w:numPr>
                <w:ilvl w:val="0"/>
                <w:numId w:val="18"/>
              </w:numPr>
              <w:spacing w:before="100" w:after="0"/>
              <w:ind w:start="720" w:hanging="360"/>
              <w:jc w:val="start"/>
              <w:rPr>
                <w:rFonts w:ascii="TimesNewRoman" w:eastAsia="TimesNewRoman" w:hAnsi="TimesNewRoman" w:cs="TimesNewRoman"/>
                <w:b w:val="0"/>
                <w:i w:val="0"/>
                <w:vanish w:val="0"/>
                <w:color w:val="000000"/>
                <w:sz w:val="24"/>
              </w:rPr>
            </w:pPr>
            <w:r>
              <w:rPr>
                <w:rFonts w:ascii="TimesNewRoman" w:eastAsia="TimesNewRoman" w:hAnsi="TimesNewRoman" w:cs="TimesNewRoman"/>
                <w:b w:val="0"/>
                <w:i w:val="0"/>
                <w:vanish w:val="0"/>
                <w:color w:val="000000"/>
                <w:sz w:val="24"/>
              </w:rPr>
              <w:t>Uporaba najsodobnejše opreme za odkrivanje čezmejne kriminalitete</w:t>
            </w:r>
          </w:p>
          <w:p w:rsidR="00A77B3E">
            <w:pPr>
              <w:numPr>
                <w:ilvl w:val="0"/>
                <w:numId w:val="18"/>
              </w:numPr>
              <w:spacing w:before="100" w:after="0"/>
              <w:ind w:start="720" w:hanging="360"/>
              <w:jc w:val="start"/>
              <w:rPr>
                <w:rFonts w:ascii="TimesNewRoman" w:eastAsia="TimesNewRoman" w:hAnsi="TimesNewRoman" w:cs="TimesNewRoman"/>
                <w:b w:val="0"/>
                <w:i w:val="0"/>
                <w:vanish w:val="0"/>
                <w:color w:val="000000"/>
                <w:sz w:val="24"/>
              </w:rPr>
            </w:pPr>
            <w:r>
              <w:rPr>
                <w:rFonts w:ascii="TimesNewRoman" w:eastAsia="TimesNewRoman" w:hAnsi="TimesNewRoman" w:cs="TimesNewRoman"/>
                <w:b w:val="0"/>
                <w:i w:val="0"/>
                <w:vanish w:val="0"/>
                <w:color w:val="000000"/>
                <w:sz w:val="24"/>
              </w:rPr>
              <w:t>Zagotavljanje operativnosti na celotnem območju SI</w:t>
            </w:r>
          </w:p>
          <w:p w:rsidR="00A77B3E">
            <w:pPr>
              <w:spacing w:before="100" w:after="0"/>
              <w:jc w:val="start"/>
              <w:rPr>
                <w:rFonts w:ascii="TimesNewRoman" w:eastAsia="TimesNewRoman" w:hAnsi="TimesNewRoman" w:cs="TimesNewRoman"/>
                <w:b w:val="0"/>
                <w:i w:val="0"/>
                <w:vanish w:val="0"/>
                <w:color w:val="000000"/>
                <w:sz w:val="24"/>
              </w:rPr>
            </w:pPr>
            <w:r>
              <w:rPr>
                <w:rFonts w:ascii="TimesNewRoman" w:eastAsia="TimesNewRoman" w:hAnsi="TimesNewRoman" w:cs="TimesNewRoman"/>
                <w:b w:val="0"/>
                <w:i w:val="0"/>
                <w:vanish w:val="0"/>
                <w:color w:val="000000"/>
                <w:sz w:val="24"/>
              </w:rPr>
              <w:t>Aktivnosti: Nakup vozil in potrebne opreme za izvajanje kontrol.</w:t>
            </w:r>
          </w:p>
          <w:p w:rsidR="00A77B3E">
            <w:pPr>
              <w:spacing w:before="100" w:after="0"/>
              <w:jc w:val="start"/>
              <w:rPr>
                <w:rFonts w:ascii="TimesNewRoman" w:eastAsia="TimesNewRoman" w:hAnsi="TimesNewRoman" w:cs="TimesNewRoman"/>
                <w:b w:val="0"/>
                <w:i w:val="0"/>
                <w:vanish w:val="0"/>
                <w:color w:val="000000"/>
                <w:sz w:val="24"/>
              </w:rPr>
            </w:pPr>
            <w:r>
              <w:rPr>
                <w:rFonts w:ascii="TimesNewRoman" w:eastAsia="TimesNewRoman" w:hAnsi="TimesNewRoman" w:cs="TimesNewRoman"/>
                <w:b w:val="0"/>
                <w:i w:val="0"/>
                <w:vanish w:val="0"/>
                <w:color w:val="000000"/>
                <w:sz w:val="24"/>
              </w:rPr>
              <w:t>Pričakovani rezultat: Ustrezna tehnična opremljenost in mobilnost enot, ki izvajajo kontrole znotraj ozemlja za zmanjšanje varnostnih tveganj s področja boja proti čezmejnemu kriminalu.</w:t>
            </w:r>
          </w:p>
          <w:p w:rsidR="00A77B3E">
            <w:pPr>
              <w:spacing w:before="100" w:after="0"/>
              <w:jc w:val="start"/>
              <w:rPr>
                <w:rFonts w:ascii="TimesNewRoman" w:eastAsia="TimesNewRoman" w:hAnsi="TimesNewRoman" w:cs="TimesNewRoman"/>
                <w:b w:val="0"/>
                <w:i w:val="0"/>
                <w:vanish w:val="0"/>
                <w:color w:val="000000"/>
                <w:sz w:val="24"/>
              </w:rPr>
            </w:pPr>
          </w:p>
          <w:p w:rsidR="00A77B3E">
            <w:pPr>
              <w:spacing w:before="100" w:after="0"/>
              <w:jc w:val="start"/>
              <w:rPr>
                <w:rFonts w:ascii="TimesNewRoman" w:eastAsia="TimesNewRoman" w:hAnsi="TimesNewRoman" w:cs="TimesNewRoman"/>
                <w:b w:val="0"/>
                <w:i w:val="0"/>
                <w:vanish w:val="0"/>
                <w:color w:val="000000"/>
                <w:sz w:val="24"/>
              </w:rPr>
            </w:pPr>
            <w:r>
              <w:rPr>
                <w:rFonts w:ascii="TimesNewRoman" w:eastAsia="TimesNewRoman" w:hAnsi="TimesNewRoman" w:cs="TimesNewRoman"/>
                <w:b/>
                <w:bCs/>
                <w:i/>
                <w:iCs/>
                <w:vanish w:val="0"/>
                <w:color w:val="000000"/>
                <w:sz w:val="24"/>
                <w:u w:val="single"/>
              </w:rPr>
              <w:t>OPOMBA</w:t>
            </w:r>
            <w:r>
              <w:rPr>
                <w:rFonts w:ascii="TimesNewRoman" w:eastAsia="TimesNewRoman" w:hAnsi="TimesNewRoman" w:cs="TimesNewRoman"/>
                <w:b/>
                <w:bCs/>
                <w:i/>
                <w:iCs/>
                <w:vanish w:val="0"/>
                <w:color w:val="000000"/>
                <w:sz w:val="24"/>
              </w:rPr>
              <w:t>: Zaradi omejitve števila znakov in obsežnega besedila, je nadaljevanje besedila točke 2.1.1 Opis (Specifični cilj 3) zapisano pri specifičnem cilju 2, točka 2.1.1.</w:t>
            </w:r>
          </w:p>
          <w:p w:rsidR="00A77B3E">
            <w:pPr>
              <w:spacing w:before="100" w:after="0"/>
              <w:jc w:val="start"/>
              <w:rPr>
                <w:rFonts w:ascii="TimesNewRoman" w:eastAsia="TimesNewRoman" w:hAnsi="TimesNewRoman" w:cs="TimesNewRoman"/>
                <w:b w:val="0"/>
                <w:i w:val="0"/>
                <w:vanish w:val="0"/>
                <w:color w:val="000000"/>
                <w:sz w:val="6"/>
              </w:rPr>
            </w:pPr>
          </w:p>
          <w:p w:rsidR="00A77B3E">
            <w:pPr>
              <w:spacing w:before="100" w:after="0"/>
              <w:jc w:val="start"/>
              <w:rPr>
                <w:rFonts w:ascii="TimesNewRoman" w:eastAsia="TimesNewRoman" w:hAnsi="TimesNewRoman" w:cs="TimesNewRoman"/>
                <w:b w:val="0"/>
                <w:i w:val="0"/>
                <w:vanish w:val="0"/>
                <w:color w:val="000000"/>
                <w:sz w:val="6"/>
              </w:rPr>
            </w:pPr>
          </w:p>
        </w:tc>
      </w:tr>
    </w:tbl>
    <w:p w:rsidR="00A77B3E">
      <w:pPr>
        <w:spacing w:before="100" w:after="0"/>
        <w:jc w:val="start"/>
        <w:rPr>
          <w:rFonts w:ascii="TimesNewRoman" w:eastAsia="TimesNewRoman" w:hAnsi="TimesNewRoman" w:cs="TimesNewRoman"/>
          <w:b w:val="0"/>
          <w:i w:val="0"/>
          <w:vanish w:val="0"/>
          <w:color w:val="000000"/>
          <w:sz w:val="24"/>
        </w:rPr>
        <w:sectPr>
          <w:headerReference w:type="even" r:id="rId40"/>
          <w:headerReference w:type="default" r:id="rId41"/>
          <w:footerReference w:type="even" r:id="rId42"/>
          <w:footerReference w:type="default" r:id="rId43"/>
          <w:headerReference w:type="first" r:id="rId44"/>
          <w:footerReference w:type="first" r:id="rId45"/>
          <w:type w:val="nextPage"/>
          <w:pgSz w:w="11906" w:h="16838" w:orient="portrait"/>
          <w:pgMar w:top="720" w:right="936" w:bottom="864" w:left="720" w:header="0" w:footer="72" w:gutter="0"/>
          <w:cols w:space="720"/>
          <w:noEndnote/>
          <w:docGrid w:linePitch="360"/>
        </w:sectPr>
      </w:pPr>
    </w:p>
    <w:p w:rsidR="00A77B3E">
      <w:pPr>
        <w:spacing w:before="100" w:after="0"/>
        <w:jc w:val="start"/>
        <w:rPr>
          <w:rFonts w:ascii="Times New Roman" w:eastAsia="Times New Roman" w:hAnsi="Times New Roman" w:cs="Times New Roman"/>
          <w:b w:val="0"/>
          <w:i w:val="0"/>
          <w:vanish w:val="0"/>
          <w:color w:val="000000"/>
          <w:sz w:val="24"/>
        </w:rPr>
      </w:pPr>
      <w:r>
        <w:rPr>
          <w:rFonts w:ascii="Times New Roman" w:eastAsia="Times New Roman" w:hAnsi="Times New Roman" w:cs="Times New Roman"/>
          <w:b w:val="0"/>
          <w:i w:val="0"/>
          <w:vanish w:val="0"/>
          <w:color w:val="000000"/>
          <w:sz w:val="24"/>
        </w:rPr>
        <w:t>2.1. Specifični cilj 3. Preprečevanje kriminala in boj proti njemu</w:t>
      </w:r>
    </w:p>
    <w:p w:rsidR="00A77B3E">
      <w:pPr>
        <w:pStyle w:val="Heading3"/>
        <w:spacing w:before="100" w:after="0"/>
        <w:jc w:val="start"/>
        <w:rPr>
          <w:rFonts w:ascii="Times New Roman" w:eastAsia="Times New Roman" w:hAnsi="Times New Roman" w:cs="Times New Roman"/>
          <w:b w:val="0"/>
          <w:i w:val="0"/>
          <w:vanish w:val="0"/>
          <w:color w:val="000000"/>
          <w:sz w:val="24"/>
        </w:rPr>
      </w:pPr>
      <w:bookmarkStart w:id="18" w:name="_Toc256000073"/>
      <w:r>
        <w:rPr>
          <w:rFonts w:ascii="Times New Roman" w:eastAsia="Times New Roman" w:hAnsi="Times New Roman" w:cs="Times New Roman"/>
          <w:b w:val="0"/>
          <w:i w:val="0"/>
          <w:vanish w:val="0"/>
          <w:color w:val="000000"/>
          <w:sz w:val="24"/>
        </w:rPr>
        <w:t>2.1.2. Kazalniki</w:t>
      </w:r>
      <w:bookmarkEnd w:id="18"/>
    </w:p>
    <w:p w:rsidR="00A77B3E">
      <w:pPr>
        <w:spacing w:before="100" w:after="0"/>
        <w:jc w:val="star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24"/>
        </w:rPr>
        <w:t>Sklic: člen 22(4)(e) uredbe o skupnih določbah</w:t>
      </w:r>
    </w:p>
    <w:p w:rsidR="00A77B3E">
      <w:pPr>
        <w:pStyle w:val="Heading4"/>
        <w:spacing w:before="100" w:after="0"/>
        <w:jc w:val="start"/>
        <w:rPr>
          <w:rFonts w:ascii="Times New Roman" w:eastAsia="Times New Roman" w:hAnsi="Times New Roman" w:cs="Times New Roman"/>
          <w:b w:val="0"/>
          <w:i w:val="0"/>
          <w:vanish w:val="0"/>
          <w:color w:val="000000"/>
          <w:sz w:val="24"/>
        </w:rPr>
      </w:pPr>
      <w:bookmarkStart w:id="19" w:name="_Toc256000074"/>
      <w:r>
        <w:rPr>
          <w:rFonts w:ascii="Times New Roman" w:eastAsia="Times New Roman" w:hAnsi="Times New Roman" w:cs="Times New Roman"/>
          <w:b w:val="0"/>
          <w:i w:val="0"/>
          <w:vanish w:val="0"/>
          <w:color w:val="000000"/>
          <w:sz w:val="24"/>
        </w:rPr>
        <w:t>Tabela 1: Kazalniki učinka</w:t>
      </w:r>
      <w:bookmarkEnd w:id="19"/>
    </w:p>
    <w:p w:rsidR="00A77B3E">
      <w:pPr>
        <w:spacing w:before="100" w:after="0"/>
        <w:jc w:val="start"/>
        <w:rPr>
          <w:rFonts w:ascii="Times New Roman" w:eastAsia="Times New Roman" w:hAnsi="Times New Roman" w:cs="Times New Roman"/>
          <w:b w:val="0"/>
          <w:i w:val="0"/>
          <w:vanish w:val="0"/>
          <w:color w:val="000000"/>
          <w:sz w:val="0"/>
        </w:rPr>
      </w:pPr>
    </w:p>
    <w:tbl>
      <w:tblPr>
        <w:tblW w:w="100%" w:type="pct"/>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CellMar>
          <w:start w:w="5.4pt" w:type="dxa"/>
          <w:end w:w="5.4pt" w:type="dxa"/>
        </w:tblCellMar>
      </w:tblPr>
      <w:tblGrid>
        <w:gridCol w:w="1184"/>
        <w:gridCol w:w="10429"/>
        <w:gridCol w:w="1272"/>
        <w:gridCol w:w="1355"/>
        <w:gridCol w:w="1062"/>
      </w:tblGrid>
      <w:tr>
        <w:tblPrEx>
          <w:tblW w:w="100%" w:type="pct"/>
        </w:tblPrEx>
        <w:trPr>
          <w:cantSplit w:val="0"/>
          <w:trHeight w:hRule="auto" w:val="0"/>
          <w:tblHeader/>
        </w:trPr>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rsidR="00A77B3E">
            <w:pPr>
              <w:spacing w:before="100" w:after="0"/>
              <w:jc w:val="center"/>
              <w:rPr>
                <w:rFonts w:ascii="Times New Roman" w:eastAsia="Times New Roman" w:hAnsi="Times New Roman" w:cs="Times New Roman"/>
                <w:b w:val="0"/>
                <w:i w:val="0"/>
                <w:vanish w:val="0"/>
                <w:color w:val="000000"/>
                <w:sz w:val="20"/>
              </w:rPr>
            </w:pPr>
            <w:r>
              <w:rPr>
                <w:rFonts w:ascii="Times New Roman" w:eastAsia="Times New Roman" w:hAnsi="Times New Roman" w:cs="Times New Roman"/>
                <w:b w:val="0"/>
                <w:i w:val="0"/>
                <w:vanish w:val="0"/>
                <w:color w:val="000000"/>
                <w:sz w:val="20"/>
              </w:rPr>
              <w:t>Identifikator</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rsidR="00A77B3E">
            <w:pPr>
              <w:spacing w:before="100" w:after="0"/>
              <w:jc w:val="center"/>
              <w:rPr>
                <w:rFonts w:ascii="Times New Roman" w:eastAsia="Times New Roman" w:hAnsi="Times New Roman" w:cs="Times New Roman"/>
                <w:b w:val="0"/>
                <w:i w:val="0"/>
                <w:vanish w:val="0"/>
                <w:color w:val="000000"/>
                <w:sz w:val="20"/>
              </w:rPr>
            </w:pPr>
            <w:r>
              <w:rPr>
                <w:rFonts w:ascii="Times New Roman" w:eastAsia="Times New Roman" w:hAnsi="Times New Roman" w:cs="Times New Roman"/>
                <w:b w:val="0"/>
                <w:i w:val="0"/>
                <w:vanish w:val="0"/>
                <w:color w:val="000000"/>
                <w:sz w:val="20"/>
              </w:rPr>
              <w:t>Kazalnik</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rsidR="00A77B3E">
            <w:pPr>
              <w:spacing w:before="100" w:after="0"/>
              <w:jc w:val="center"/>
              <w:rPr>
                <w:rFonts w:ascii="Times New Roman" w:eastAsia="Times New Roman" w:hAnsi="Times New Roman" w:cs="Times New Roman"/>
                <w:b w:val="0"/>
                <w:i w:val="0"/>
                <w:vanish w:val="0"/>
                <w:color w:val="000000"/>
                <w:sz w:val="20"/>
              </w:rPr>
            </w:pPr>
            <w:r>
              <w:rPr>
                <w:rFonts w:ascii="Times New Roman" w:eastAsia="Times New Roman" w:hAnsi="Times New Roman" w:cs="Times New Roman"/>
                <w:b w:val="0"/>
                <w:i w:val="0"/>
                <w:vanish w:val="0"/>
                <w:color w:val="000000"/>
                <w:sz w:val="20"/>
              </w:rPr>
              <w:t>Merska enota</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rsidR="00A77B3E">
            <w:pPr>
              <w:spacing w:before="100" w:after="0"/>
              <w:jc w:val="center"/>
              <w:rPr>
                <w:rFonts w:ascii="Times New Roman" w:eastAsia="Times New Roman" w:hAnsi="Times New Roman" w:cs="Times New Roman"/>
                <w:b w:val="0"/>
                <w:i w:val="0"/>
                <w:vanish w:val="0"/>
                <w:color w:val="000000"/>
                <w:sz w:val="20"/>
              </w:rPr>
            </w:pPr>
            <w:r>
              <w:rPr>
                <w:rFonts w:ascii="Times New Roman" w:eastAsia="Times New Roman" w:hAnsi="Times New Roman" w:cs="Times New Roman"/>
                <w:b w:val="0"/>
                <w:i w:val="0"/>
                <w:vanish w:val="0"/>
                <w:color w:val="000000"/>
                <w:sz w:val="20"/>
              </w:rPr>
              <w:t>Mejnik (2024)</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rsidR="00A77B3E">
            <w:pPr>
              <w:spacing w:before="100" w:after="0"/>
              <w:jc w:val="center"/>
              <w:rPr>
                <w:rFonts w:ascii="Times New Roman" w:eastAsia="Times New Roman" w:hAnsi="Times New Roman" w:cs="Times New Roman"/>
                <w:b w:val="0"/>
                <w:i w:val="0"/>
                <w:vanish w:val="0"/>
                <w:color w:val="000000"/>
                <w:sz w:val="20"/>
              </w:rPr>
            </w:pPr>
            <w:r>
              <w:rPr>
                <w:rFonts w:ascii="Times New Roman" w:eastAsia="Times New Roman" w:hAnsi="Times New Roman" w:cs="Times New Roman"/>
                <w:b w:val="0"/>
                <w:i w:val="0"/>
                <w:vanish w:val="0"/>
                <w:color w:val="000000"/>
                <w:sz w:val="20"/>
              </w:rPr>
              <w:t>Cilj (2029)</w:t>
            </w:r>
          </w:p>
        </w:tc>
      </w:tr>
      <w:tr>
        <w:tblPrEx>
          <w:tblW w:w="100%" w:type="pct"/>
        </w:tblPrEx>
        <w:trPr>
          <w:cantSplit w:val="0"/>
          <w:trHeight w:hRule="auto" w:val="0"/>
          <w:tblHeader w:val="0"/>
        </w:trPr>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rsidR="00A77B3E">
            <w:pPr>
              <w:spacing w:before="100" w:after="0"/>
              <w:jc w:val="start"/>
              <w:rPr>
                <w:rFonts w:ascii="Times New Roman" w:eastAsia="Times New Roman" w:hAnsi="Times New Roman" w:cs="Times New Roman"/>
                <w:b w:val="0"/>
                <w:i w:val="0"/>
                <w:vanish w:val="0"/>
                <w:color w:val="000000"/>
                <w:sz w:val="20"/>
              </w:rPr>
            </w:pPr>
            <w:r>
              <w:rPr>
                <w:rFonts w:ascii="Times New Roman" w:eastAsia="Times New Roman" w:hAnsi="Times New Roman" w:cs="Times New Roman"/>
                <w:b w:val="0"/>
                <w:i w:val="0"/>
                <w:vanish w:val="0"/>
                <w:color w:val="000000"/>
                <w:sz w:val="20"/>
              </w:rPr>
              <w:t>O.3.1</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rsidR="00A77B3E">
            <w:pPr>
              <w:spacing w:before="100" w:after="0"/>
              <w:jc w:val="start"/>
              <w:rPr>
                <w:rFonts w:ascii="Times New Roman" w:eastAsia="Times New Roman" w:hAnsi="Times New Roman" w:cs="Times New Roman"/>
                <w:b w:val="0"/>
                <w:i w:val="0"/>
                <w:vanish w:val="0"/>
                <w:color w:val="000000"/>
                <w:sz w:val="20"/>
              </w:rPr>
            </w:pPr>
            <w:r>
              <w:rPr>
                <w:rFonts w:ascii="Times New Roman" w:eastAsia="Times New Roman" w:hAnsi="Times New Roman" w:cs="Times New Roman"/>
                <w:b w:val="0"/>
                <w:i w:val="0"/>
                <w:vanish w:val="0"/>
                <w:color w:val="000000"/>
                <w:sz w:val="20"/>
              </w:rPr>
              <w:t xml:space="preserve">Število udeležencev dejavnosti usposabljanja </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rsidR="00A77B3E">
            <w:pPr>
              <w:spacing w:before="100" w:after="0"/>
              <w:jc w:val="start"/>
              <w:rPr>
                <w:rFonts w:ascii="Times New Roman" w:eastAsia="Times New Roman" w:hAnsi="Times New Roman" w:cs="Times New Roman"/>
                <w:b w:val="0"/>
                <w:i w:val="0"/>
                <w:vanish w:val="0"/>
                <w:color w:val="000000"/>
                <w:sz w:val="20"/>
              </w:rPr>
            </w:pPr>
            <w:r>
              <w:rPr>
                <w:rFonts w:ascii="Times New Roman" w:eastAsia="Times New Roman" w:hAnsi="Times New Roman" w:cs="Times New Roman"/>
                <w:b w:val="0"/>
                <w:i w:val="0"/>
                <w:vanish w:val="0"/>
                <w:color w:val="000000"/>
                <w:sz w:val="20"/>
              </w:rPr>
              <w:t>število</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rsidR="00A77B3E">
            <w:pPr>
              <w:spacing w:before="100" w:after="0"/>
              <w:jc w:val="end"/>
              <w:rPr>
                <w:rFonts w:ascii="Times New Roman" w:eastAsia="Times New Roman" w:hAnsi="Times New Roman" w:cs="Times New Roman"/>
                <w:b w:val="0"/>
                <w:i w:val="0"/>
                <w:vanish w:val="0"/>
                <w:color w:val="000000"/>
                <w:sz w:val="20"/>
              </w:rPr>
            </w:pPr>
            <w:r>
              <w:rPr>
                <w:rFonts w:ascii="Times New Roman" w:eastAsia="Times New Roman" w:hAnsi="Times New Roman" w:cs="Times New Roman"/>
                <w:b w:val="0"/>
                <w:i w:val="0"/>
                <w:vanish w:val="0"/>
                <w:color w:val="000000"/>
                <w:sz w:val="20"/>
              </w:rPr>
              <w:t>4.666</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rsidR="00A77B3E">
            <w:pPr>
              <w:spacing w:before="100" w:after="0"/>
              <w:jc w:val="end"/>
              <w:rPr>
                <w:rFonts w:ascii="Times New Roman" w:eastAsia="Times New Roman" w:hAnsi="Times New Roman" w:cs="Times New Roman"/>
                <w:b w:val="0"/>
                <w:i w:val="0"/>
                <w:vanish w:val="0"/>
                <w:color w:val="000000"/>
                <w:sz w:val="20"/>
              </w:rPr>
            </w:pPr>
            <w:r>
              <w:rPr>
                <w:rFonts w:ascii="Times New Roman" w:eastAsia="Times New Roman" w:hAnsi="Times New Roman" w:cs="Times New Roman"/>
                <w:b w:val="0"/>
                <w:i w:val="0"/>
                <w:vanish w:val="0"/>
                <w:color w:val="000000"/>
                <w:sz w:val="20"/>
              </w:rPr>
              <w:t>12.311</w:t>
            </w:r>
          </w:p>
        </w:tc>
      </w:tr>
      <w:tr>
        <w:tblPrEx>
          <w:tblW w:w="100%" w:type="pct"/>
        </w:tblPrEx>
        <w:trPr>
          <w:cantSplit w:val="0"/>
          <w:trHeight w:hRule="auto" w:val="0"/>
          <w:tblHeader w:val="0"/>
        </w:trPr>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rsidR="00A77B3E">
            <w:pPr>
              <w:spacing w:before="100" w:after="0"/>
              <w:jc w:val="start"/>
              <w:rPr>
                <w:rFonts w:ascii="Times New Roman" w:eastAsia="Times New Roman" w:hAnsi="Times New Roman" w:cs="Times New Roman"/>
                <w:b w:val="0"/>
                <w:i w:val="0"/>
                <w:vanish w:val="0"/>
                <w:color w:val="000000"/>
                <w:sz w:val="20"/>
              </w:rPr>
            </w:pPr>
            <w:r>
              <w:rPr>
                <w:rFonts w:ascii="Times New Roman" w:eastAsia="Times New Roman" w:hAnsi="Times New Roman" w:cs="Times New Roman"/>
                <w:b w:val="0"/>
                <w:i w:val="0"/>
                <w:vanish w:val="0"/>
                <w:color w:val="000000"/>
                <w:sz w:val="20"/>
              </w:rPr>
              <w:t>O.3.2</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rsidR="00A77B3E">
            <w:pPr>
              <w:spacing w:before="100" w:after="0"/>
              <w:jc w:val="start"/>
              <w:rPr>
                <w:rFonts w:ascii="Times New Roman" w:eastAsia="Times New Roman" w:hAnsi="Times New Roman" w:cs="Times New Roman"/>
                <w:b w:val="0"/>
                <w:i w:val="0"/>
                <w:vanish w:val="0"/>
                <w:color w:val="000000"/>
                <w:sz w:val="20"/>
              </w:rPr>
            </w:pPr>
            <w:r>
              <w:rPr>
                <w:rFonts w:ascii="Times New Roman" w:eastAsia="Times New Roman" w:hAnsi="Times New Roman" w:cs="Times New Roman"/>
                <w:b w:val="0"/>
                <w:i w:val="0"/>
                <w:vanish w:val="0"/>
                <w:color w:val="000000"/>
                <w:sz w:val="20"/>
              </w:rPr>
              <w:t xml:space="preserve">Število programov izmenjave/delavnic/študijskih obiskov </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rsidR="00A77B3E">
            <w:pPr>
              <w:spacing w:before="100" w:after="0"/>
              <w:jc w:val="start"/>
              <w:rPr>
                <w:rFonts w:ascii="Times New Roman" w:eastAsia="Times New Roman" w:hAnsi="Times New Roman" w:cs="Times New Roman"/>
                <w:b w:val="0"/>
                <w:i w:val="0"/>
                <w:vanish w:val="0"/>
                <w:color w:val="000000"/>
                <w:sz w:val="20"/>
              </w:rPr>
            </w:pPr>
            <w:r>
              <w:rPr>
                <w:rFonts w:ascii="Times New Roman" w:eastAsia="Times New Roman" w:hAnsi="Times New Roman" w:cs="Times New Roman"/>
                <w:b w:val="0"/>
                <w:i w:val="0"/>
                <w:vanish w:val="0"/>
                <w:color w:val="000000"/>
                <w:sz w:val="20"/>
              </w:rPr>
              <w:t>število</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rsidR="00A77B3E">
            <w:pPr>
              <w:spacing w:before="100" w:after="0"/>
              <w:jc w:val="end"/>
              <w:rPr>
                <w:rFonts w:ascii="Times New Roman" w:eastAsia="Times New Roman" w:hAnsi="Times New Roman" w:cs="Times New Roman"/>
                <w:b w:val="0"/>
                <w:i w:val="0"/>
                <w:vanish w:val="0"/>
                <w:color w:val="000000"/>
                <w:sz w:val="20"/>
              </w:rPr>
            </w:pPr>
            <w:r>
              <w:rPr>
                <w:rFonts w:ascii="Times New Roman" w:eastAsia="Times New Roman" w:hAnsi="Times New Roman" w:cs="Times New Roman"/>
                <w:b w:val="0"/>
                <w:i w:val="0"/>
                <w:vanish w:val="0"/>
                <w:color w:val="000000"/>
                <w:sz w:val="20"/>
              </w:rPr>
              <w:t>47</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rsidR="00A77B3E">
            <w:pPr>
              <w:spacing w:before="100" w:after="0"/>
              <w:jc w:val="end"/>
              <w:rPr>
                <w:rFonts w:ascii="Times New Roman" w:eastAsia="Times New Roman" w:hAnsi="Times New Roman" w:cs="Times New Roman"/>
                <w:b w:val="0"/>
                <w:i w:val="0"/>
                <w:vanish w:val="0"/>
                <w:color w:val="000000"/>
                <w:sz w:val="20"/>
              </w:rPr>
            </w:pPr>
            <w:r>
              <w:rPr>
                <w:rFonts w:ascii="Times New Roman" w:eastAsia="Times New Roman" w:hAnsi="Times New Roman" w:cs="Times New Roman"/>
                <w:b w:val="0"/>
                <w:i w:val="0"/>
                <w:vanish w:val="0"/>
                <w:color w:val="000000"/>
                <w:sz w:val="20"/>
              </w:rPr>
              <w:t>182</w:t>
            </w:r>
          </w:p>
        </w:tc>
      </w:tr>
      <w:tr>
        <w:tblPrEx>
          <w:tblW w:w="100%" w:type="pct"/>
        </w:tblPrEx>
        <w:trPr>
          <w:cantSplit w:val="0"/>
          <w:trHeight w:hRule="auto" w:val="0"/>
          <w:tblHeader w:val="0"/>
        </w:trPr>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rsidR="00A77B3E">
            <w:pPr>
              <w:spacing w:before="100" w:after="0"/>
              <w:jc w:val="start"/>
              <w:rPr>
                <w:rFonts w:ascii="Times New Roman" w:eastAsia="Times New Roman" w:hAnsi="Times New Roman" w:cs="Times New Roman"/>
                <w:b w:val="0"/>
                <w:i w:val="0"/>
                <w:vanish w:val="0"/>
                <w:color w:val="000000"/>
                <w:sz w:val="20"/>
              </w:rPr>
            </w:pPr>
            <w:r>
              <w:rPr>
                <w:rFonts w:ascii="Times New Roman" w:eastAsia="Times New Roman" w:hAnsi="Times New Roman" w:cs="Times New Roman"/>
                <w:b w:val="0"/>
                <w:i w:val="0"/>
                <w:vanish w:val="0"/>
                <w:color w:val="000000"/>
                <w:sz w:val="20"/>
              </w:rPr>
              <w:t>O.3.3</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rsidR="00A77B3E">
            <w:pPr>
              <w:spacing w:before="100" w:after="0"/>
              <w:jc w:val="start"/>
              <w:rPr>
                <w:rFonts w:ascii="Times New Roman" w:eastAsia="Times New Roman" w:hAnsi="Times New Roman" w:cs="Times New Roman"/>
                <w:b w:val="0"/>
                <w:i w:val="0"/>
                <w:vanish w:val="0"/>
                <w:color w:val="000000"/>
                <w:sz w:val="20"/>
              </w:rPr>
            </w:pPr>
            <w:r>
              <w:rPr>
                <w:rFonts w:ascii="Times New Roman" w:eastAsia="Times New Roman" w:hAnsi="Times New Roman" w:cs="Times New Roman"/>
                <w:b w:val="0"/>
                <w:i w:val="0"/>
                <w:vanish w:val="0"/>
                <w:color w:val="000000"/>
                <w:sz w:val="20"/>
              </w:rPr>
              <w:t xml:space="preserve">Število kupljenih kosov opreme </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rsidR="00A77B3E">
            <w:pPr>
              <w:spacing w:before="100" w:after="0"/>
              <w:jc w:val="start"/>
              <w:rPr>
                <w:rFonts w:ascii="Times New Roman" w:eastAsia="Times New Roman" w:hAnsi="Times New Roman" w:cs="Times New Roman"/>
                <w:b w:val="0"/>
                <w:i w:val="0"/>
                <w:vanish w:val="0"/>
                <w:color w:val="000000"/>
                <w:sz w:val="20"/>
              </w:rPr>
            </w:pPr>
            <w:r>
              <w:rPr>
                <w:rFonts w:ascii="Times New Roman" w:eastAsia="Times New Roman" w:hAnsi="Times New Roman" w:cs="Times New Roman"/>
                <w:b w:val="0"/>
                <w:i w:val="0"/>
                <w:vanish w:val="0"/>
                <w:color w:val="000000"/>
                <w:sz w:val="20"/>
              </w:rPr>
              <w:t>število</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rsidR="00A77B3E">
            <w:pPr>
              <w:spacing w:before="100" w:after="0"/>
              <w:jc w:val="end"/>
              <w:rPr>
                <w:rFonts w:ascii="Times New Roman" w:eastAsia="Times New Roman" w:hAnsi="Times New Roman" w:cs="Times New Roman"/>
                <w:b w:val="0"/>
                <w:i w:val="0"/>
                <w:vanish w:val="0"/>
                <w:color w:val="000000"/>
                <w:sz w:val="20"/>
              </w:rPr>
            </w:pPr>
            <w:r>
              <w:rPr>
                <w:rFonts w:ascii="Times New Roman" w:eastAsia="Times New Roman" w:hAnsi="Times New Roman" w:cs="Times New Roman"/>
                <w:b w:val="0"/>
                <w:i w:val="0"/>
                <w:vanish w:val="0"/>
                <w:color w:val="000000"/>
                <w:sz w:val="20"/>
              </w:rPr>
              <w:t>824</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rsidR="00A77B3E">
            <w:pPr>
              <w:spacing w:before="100" w:after="0"/>
              <w:jc w:val="end"/>
              <w:rPr>
                <w:rFonts w:ascii="Times New Roman" w:eastAsia="Times New Roman" w:hAnsi="Times New Roman" w:cs="Times New Roman"/>
                <w:b w:val="0"/>
                <w:i w:val="0"/>
                <w:vanish w:val="0"/>
                <w:color w:val="000000"/>
                <w:sz w:val="20"/>
              </w:rPr>
            </w:pPr>
            <w:r>
              <w:rPr>
                <w:rFonts w:ascii="Times New Roman" w:eastAsia="Times New Roman" w:hAnsi="Times New Roman" w:cs="Times New Roman"/>
                <w:b w:val="0"/>
                <w:i w:val="0"/>
                <w:vanish w:val="0"/>
                <w:color w:val="000000"/>
                <w:sz w:val="20"/>
              </w:rPr>
              <w:t>2.380</w:t>
            </w:r>
          </w:p>
        </w:tc>
      </w:tr>
      <w:tr>
        <w:tblPrEx>
          <w:tblW w:w="100%" w:type="pct"/>
        </w:tblPrEx>
        <w:trPr>
          <w:cantSplit w:val="0"/>
          <w:trHeight w:hRule="auto" w:val="0"/>
          <w:tblHeader w:val="0"/>
        </w:trPr>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rsidR="00A77B3E">
            <w:pPr>
              <w:spacing w:before="100" w:after="0"/>
              <w:jc w:val="start"/>
              <w:rPr>
                <w:rFonts w:ascii="Times New Roman" w:eastAsia="Times New Roman" w:hAnsi="Times New Roman" w:cs="Times New Roman"/>
                <w:b w:val="0"/>
                <w:i w:val="0"/>
                <w:vanish w:val="0"/>
                <w:color w:val="000000"/>
                <w:sz w:val="20"/>
              </w:rPr>
            </w:pPr>
            <w:r>
              <w:rPr>
                <w:rFonts w:ascii="Times New Roman" w:eastAsia="Times New Roman" w:hAnsi="Times New Roman" w:cs="Times New Roman"/>
                <w:b w:val="0"/>
                <w:i w:val="0"/>
                <w:vanish w:val="0"/>
                <w:color w:val="000000"/>
                <w:sz w:val="20"/>
              </w:rPr>
              <w:t>O.3.4</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rsidR="00A77B3E">
            <w:pPr>
              <w:spacing w:before="100" w:after="0"/>
              <w:jc w:val="start"/>
              <w:rPr>
                <w:rFonts w:ascii="Times New Roman" w:eastAsia="Times New Roman" w:hAnsi="Times New Roman" w:cs="Times New Roman"/>
                <w:b w:val="0"/>
                <w:i w:val="0"/>
                <w:vanish w:val="0"/>
                <w:color w:val="000000"/>
                <w:sz w:val="20"/>
              </w:rPr>
            </w:pPr>
            <w:r>
              <w:rPr>
                <w:rFonts w:ascii="Times New Roman" w:eastAsia="Times New Roman" w:hAnsi="Times New Roman" w:cs="Times New Roman"/>
                <w:b w:val="0"/>
                <w:i w:val="0"/>
                <w:vanish w:val="0"/>
                <w:color w:val="000000"/>
                <w:sz w:val="20"/>
              </w:rPr>
              <w:t xml:space="preserve">Število kupljenih prevoznih sredstev </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rsidR="00A77B3E">
            <w:pPr>
              <w:spacing w:before="100" w:after="0"/>
              <w:jc w:val="start"/>
              <w:rPr>
                <w:rFonts w:ascii="Times New Roman" w:eastAsia="Times New Roman" w:hAnsi="Times New Roman" w:cs="Times New Roman"/>
                <w:b w:val="0"/>
                <w:i w:val="0"/>
                <w:vanish w:val="0"/>
                <w:color w:val="000000"/>
                <w:sz w:val="20"/>
              </w:rPr>
            </w:pPr>
            <w:r>
              <w:rPr>
                <w:rFonts w:ascii="Times New Roman" w:eastAsia="Times New Roman" w:hAnsi="Times New Roman" w:cs="Times New Roman"/>
                <w:b w:val="0"/>
                <w:i w:val="0"/>
                <w:vanish w:val="0"/>
                <w:color w:val="000000"/>
                <w:sz w:val="20"/>
              </w:rPr>
              <w:t>število</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rsidR="00A77B3E">
            <w:pPr>
              <w:spacing w:before="100" w:after="0"/>
              <w:jc w:val="end"/>
              <w:rPr>
                <w:rFonts w:ascii="Times New Roman" w:eastAsia="Times New Roman" w:hAnsi="Times New Roman" w:cs="Times New Roman"/>
                <w:b w:val="0"/>
                <w:i w:val="0"/>
                <w:vanish w:val="0"/>
                <w:color w:val="000000"/>
                <w:sz w:val="20"/>
              </w:rPr>
            </w:pPr>
            <w:r>
              <w:rPr>
                <w:rFonts w:ascii="Times New Roman" w:eastAsia="Times New Roman" w:hAnsi="Times New Roman" w:cs="Times New Roman"/>
                <w:b w:val="0"/>
                <w:i w:val="0"/>
                <w:vanish w:val="0"/>
                <w:color w:val="000000"/>
                <w:sz w:val="20"/>
              </w:rPr>
              <w:t>28</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rsidR="00A77B3E">
            <w:pPr>
              <w:spacing w:before="100" w:after="0"/>
              <w:jc w:val="end"/>
              <w:rPr>
                <w:rFonts w:ascii="Times New Roman" w:eastAsia="Times New Roman" w:hAnsi="Times New Roman" w:cs="Times New Roman"/>
                <w:b w:val="0"/>
                <w:i w:val="0"/>
                <w:vanish w:val="0"/>
                <w:color w:val="000000"/>
                <w:sz w:val="20"/>
              </w:rPr>
            </w:pPr>
            <w:r>
              <w:rPr>
                <w:rFonts w:ascii="Times New Roman" w:eastAsia="Times New Roman" w:hAnsi="Times New Roman" w:cs="Times New Roman"/>
                <w:b w:val="0"/>
                <w:i w:val="0"/>
                <w:vanish w:val="0"/>
                <w:color w:val="000000"/>
                <w:sz w:val="20"/>
              </w:rPr>
              <w:t>30</w:t>
            </w:r>
          </w:p>
        </w:tc>
      </w:tr>
      <w:tr>
        <w:tblPrEx>
          <w:tblW w:w="100%" w:type="pct"/>
        </w:tblPrEx>
        <w:trPr>
          <w:cantSplit w:val="0"/>
          <w:trHeight w:hRule="auto" w:val="0"/>
          <w:tblHeader w:val="0"/>
        </w:trPr>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rsidR="00A77B3E">
            <w:pPr>
              <w:spacing w:before="100" w:after="0"/>
              <w:jc w:val="start"/>
              <w:rPr>
                <w:rFonts w:ascii="Times New Roman" w:eastAsia="Times New Roman" w:hAnsi="Times New Roman" w:cs="Times New Roman"/>
                <w:b w:val="0"/>
                <w:i w:val="0"/>
                <w:vanish w:val="0"/>
                <w:color w:val="000000"/>
                <w:sz w:val="20"/>
              </w:rPr>
            </w:pPr>
            <w:r>
              <w:rPr>
                <w:rFonts w:ascii="Times New Roman" w:eastAsia="Times New Roman" w:hAnsi="Times New Roman" w:cs="Times New Roman"/>
                <w:b w:val="0"/>
                <w:i w:val="0"/>
                <w:vanish w:val="0"/>
                <w:color w:val="000000"/>
                <w:sz w:val="20"/>
              </w:rPr>
              <w:t>O.3.5</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rsidR="00A77B3E">
            <w:pPr>
              <w:spacing w:before="100" w:after="0"/>
              <w:jc w:val="start"/>
              <w:rPr>
                <w:rFonts w:ascii="Times New Roman" w:eastAsia="Times New Roman" w:hAnsi="Times New Roman" w:cs="Times New Roman"/>
                <w:b w:val="0"/>
                <w:i w:val="0"/>
                <w:vanish w:val="0"/>
                <w:color w:val="000000"/>
                <w:sz w:val="20"/>
              </w:rPr>
            </w:pPr>
            <w:r>
              <w:rPr>
                <w:rFonts w:ascii="Times New Roman" w:eastAsia="Times New Roman" w:hAnsi="Times New Roman" w:cs="Times New Roman"/>
                <w:b w:val="0"/>
                <w:i w:val="0"/>
                <w:vanish w:val="0"/>
                <w:color w:val="000000"/>
                <w:sz w:val="20"/>
              </w:rPr>
              <w:t xml:space="preserve">Število zgrajenih/kupljenih/nadgrajenih elementov infrastrukture/za varnost pomembnih zmogljivosti/orodij/mehanizmov </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rsidR="00A77B3E">
            <w:pPr>
              <w:spacing w:before="100" w:after="0"/>
              <w:jc w:val="start"/>
              <w:rPr>
                <w:rFonts w:ascii="Times New Roman" w:eastAsia="Times New Roman" w:hAnsi="Times New Roman" w:cs="Times New Roman"/>
                <w:b w:val="0"/>
                <w:i w:val="0"/>
                <w:vanish w:val="0"/>
                <w:color w:val="000000"/>
                <w:sz w:val="20"/>
              </w:rPr>
            </w:pPr>
            <w:r>
              <w:rPr>
                <w:rFonts w:ascii="Times New Roman" w:eastAsia="Times New Roman" w:hAnsi="Times New Roman" w:cs="Times New Roman"/>
                <w:b w:val="0"/>
                <w:i w:val="0"/>
                <w:vanish w:val="0"/>
                <w:color w:val="000000"/>
                <w:sz w:val="20"/>
              </w:rPr>
              <w:t>število</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rsidR="00A77B3E">
            <w:pPr>
              <w:spacing w:before="100" w:after="0"/>
              <w:jc w:val="end"/>
              <w:rPr>
                <w:rFonts w:ascii="Times New Roman" w:eastAsia="Times New Roman" w:hAnsi="Times New Roman" w:cs="Times New Roman"/>
                <w:b w:val="0"/>
                <w:i w:val="0"/>
                <w:vanish w:val="0"/>
                <w:color w:val="000000"/>
                <w:sz w:val="20"/>
              </w:rPr>
            </w:pPr>
            <w:r>
              <w:rPr>
                <w:rFonts w:ascii="Times New Roman" w:eastAsia="Times New Roman" w:hAnsi="Times New Roman" w:cs="Times New Roman"/>
                <w:b w:val="0"/>
                <w:i w:val="0"/>
                <w:vanish w:val="0"/>
                <w:color w:val="000000"/>
                <w:sz w:val="20"/>
              </w:rPr>
              <w:t>3</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rsidR="00A77B3E">
            <w:pPr>
              <w:spacing w:before="100" w:after="0"/>
              <w:jc w:val="end"/>
              <w:rPr>
                <w:rFonts w:ascii="Times New Roman" w:eastAsia="Times New Roman" w:hAnsi="Times New Roman" w:cs="Times New Roman"/>
                <w:b w:val="0"/>
                <w:i w:val="0"/>
                <w:vanish w:val="0"/>
                <w:color w:val="000000"/>
                <w:sz w:val="20"/>
              </w:rPr>
            </w:pPr>
            <w:r>
              <w:rPr>
                <w:rFonts w:ascii="Times New Roman" w:eastAsia="Times New Roman" w:hAnsi="Times New Roman" w:cs="Times New Roman"/>
                <w:b w:val="0"/>
                <w:i w:val="0"/>
                <w:vanish w:val="0"/>
                <w:color w:val="000000"/>
                <w:sz w:val="20"/>
              </w:rPr>
              <w:t>5</w:t>
            </w:r>
          </w:p>
        </w:tc>
      </w:tr>
      <w:tr>
        <w:tblPrEx>
          <w:tblW w:w="100%" w:type="pct"/>
        </w:tblPrEx>
        <w:trPr>
          <w:cantSplit w:val="0"/>
          <w:trHeight w:hRule="auto" w:val="0"/>
          <w:tblHeader w:val="0"/>
        </w:trPr>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rsidR="00A77B3E">
            <w:pPr>
              <w:spacing w:before="100" w:after="0"/>
              <w:jc w:val="start"/>
              <w:rPr>
                <w:rFonts w:ascii="Times New Roman" w:eastAsia="Times New Roman" w:hAnsi="Times New Roman" w:cs="Times New Roman"/>
                <w:b w:val="0"/>
                <w:i w:val="0"/>
                <w:vanish w:val="0"/>
                <w:color w:val="000000"/>
                <w:sz w:val="20"/>
              </w:rPr>
            </w:pPr>
            <w:r>
              <w:rPr>
                <w:rFonts w:ascii="Times New Roman" w:eastAsia="Times New Roman" w:hAnsi="Times New Roman" w:cs="Times New Roman"/>
                <w:b w:val="0"/>
                <w:i w:val="0"/>
                <w:vanish w:val="0"/>
                <w:color w:val="000000"/>
                <w:sz w:val="20"/>
              </w:rPr>
              <w:t>O.3.6</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rsidR="00A77B3E">
            <w:pPr>
              <w:spacing w:before="100" w:after="0"/>
              <w:jc w:val="start"/>
              <w:rPr>
                <w:rFonts w:ascii="Times New Roman" w:eastAsia="Times New Roman" w:hAnsi="Times New Roman" w:cs="Times New Roman"/>
                <w:b w:val="0"/>
                <w:i w:val="0"/>
                <w:vanish w:val="0"/>
                <w:color w:val="000000"/>
                <w:sz w:val="20"/>
              </w:rPr>
            </w:pPr>
            <w:r>
              <w:rPr>
                <w:rFonts w:ascii="Times New Roman" w:eastAsia="Times New Roman" w:hAnsi="Times New Roman" w:cs="Times New Roman"/>
                <w:b w:val="0"/>
                <w:i w:val="0"/>
                <w:vanish w:val="0"/>
                <w:color w:val="000000"/>
                <w:sz w:val="20"/>
              </w:rPr>
              <w:t xml:space="preserve">Število projektov za preprečevanje kriminala </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rsidR="00A77B3E">
            <w:pPr>
              <w:spacing w:before="100" w:after="0"/>
              <w:jc w:val="start"/>
              <w:rPr>
                <w:rFonts w:ascii="Times New Roman" w:eastAsia="Times New Roman" w:hAnsi="Times New Roman" w:cs="Times New Roman"/>
                <w:b w:val="0"/>
                <w:i w:val="0"/>
                <w:vanish w:val="0"/>
                <w:color w:val="000000"/>
                <w:sz w:val="20"/>
              </w:rPr>
            </w:pPr>
            <w:r>
              <w:rPr>
                <w:rFonts w:ascii="Times New Roman" w:eastAsia="Times New Roman" w:hAnsi="Times New Roman" w:cs="Times New Roman"/>
                <w:b w:val="0"/>
                <w:i w:val="0"/>
                <w:vanish w:val="0"/>
                <w:color w:val="000000"/>
                <w:sz w:val="20"/>
              </w:rPr>
              <w:t>število</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rsidR="00A77B3E">
            <w:pPr>
              <w:spacing w:before="100" w:after="0"/>
              <w:jc w:val="end"/>
              <w:rPr>
                <w:rFonts w:ascii="Times New Roman" w:eastAsia="Times New Roman" w:hAnsi="Times New Roman" w:cs="Times New Roman"/>
                <w:b w:val="0"/>
                <w:i w:val="0"/>
                <w:vanish w:val="0"/>
                <w:color w:val="000000"/>
                <w:sz w:val="20"/>
              </w:rPr>
            </w:pPr>
            <w:r>
              <w:rPr>
                <w:rFonts w:ascii="Times New Roman" w:eastAsia="Times New Roman" w:hAnsi="Times New Roman" w:cs="Times New Roman"/>
                <w:b w:val="0"/>
                <w:i w:val="0"/>
                <w:vanish w:val="0"/>
                <w:color w:val="000000"/>
                <w:sz w:val="20"/>
              </w:rPr>
              <w:t>0</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rsidR="00A77B3E">
            <w:pPr>
              <w:spacing w:before="100" w:after="0"/>
              <w:jc w:val="end"/>
              <w:rPr>
                <w:rFonts w:ascii="Times New Roman" w:eastAsia="Times New Roman" w:hAnsi="Times New Roman" w:cs="Times New Roman"/>
                <w:b w:val="0"/>
                <w:i w:val="0"/>
                <w:vanish w:val="0"/>
                <w:color w:val="000000"/>
                <w:sz w:val="20"/>
              </w:rPr>
            </w:pPr>
            <w:r>
              <w:rPr>
                <w:rFonts w:ascii="Times New Roman" w:eastAsia="Times New Roman" w:hAnsi="Times New Roman" w:cs="Times New Roman"/>
                <w:b w:val="0"/>
                <w:i w:val="0"/>
                <w:vanish w:val="0"/>
                <w:color w:val="000000"/>
                <w:sz w:val="20"/>
              </w:rPr>
              <w:t>15</w:t>
            </w:r>
          </w:p>
        </w:tc>
      </w:tr>
      <w:tr>
        <w:tblPrEx>
          <w:tblW w:w="100%" w:type="pct"/>
        </w:tblPrEx>
        <w:trPr>
          <w:cantSplit w:val="0"/>
          <w:trHeight w:hRule="auto" w:val="0"/>
          <w:tblHeader w:val="0"/>
        </w:trPr>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rsidR="00A77B3E">
            <w:pPr>
              <w:spacing w:before="100" w:after="0"/>
              <w:jc w:val="start"/>
              <w:rPr>
                <w:rFonts w:ascii="Times New Roman" w:eastAsia="Times New Roman" w:hAnsi="Times New Roman" w:cs="Times New Roman"/>
                <w:b w:val="0"/>
                <w:i w:val="0"/>
                <w:vanish w:val="0"/>
                <w:color w:val="000000"/>
                <w:sz w:val="20"/>
              </w:rPr>
            </w:pPr>
            <w:r>
              <w:rPr>
                <w:rFonts w:ascii="Times New Roman" w:eastAsia="Times New Roman" w:hAnsi="Times New Roman" w:cs="Times New Roman"/>
                <w:b w:val="0"/>
                <w:i w:val="0"/>
                <w:vanish w:val="0"/>
                <w:color w:val="000000"/>
                <w:sz w:val="20"/>
              </w:rPr>
              <w:t>O.3.7</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rsidR="00A77B3E">
            <w:pPr>
              <w:spacing w:before="100" w:after="0"/>
              <w:jc w:val="start"/>
              <w:rPr>
                <w:rFonts w:ascii="Times New Roman" w:eastAsia="Times New Roman" w:hAnsi="Times New Roman" w:cs="Times New Roman"/>
                <w:b w:val="0"/>
                <w:i w:val="0"/>
                <w:vanish w:val="0"/>
                <w:color w:val="000000"/>
                <w:sz w:val="20"/>
              </w:rPr>
            </w:pPr>
            <w:r>
              <w:rPr>
                <w:rFonts w:ascii="Times New Roman" w:eastAsia="Times New Roman" w:hAnsi="Times New Roman" w:cs="Times New Roman"/>
                <w:b w:val="0"/>
                <w:i w:val="0"/>
                <w:vanish w:val="0"/>
                <w:color w:val="000000"/>
                <w:sz w:val="20"/>
              </w:rPr>
              <w:t xml:space="preserve">Število projektov za pomoč žrtvam kaznivih dejanj </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rsidR="00A77B3E">
            <w:pPr>
              <w:spacing w:before="100" w:after="0"/>
              <w:jc w:val="start"/>
              <w:rPr>
                <w:rFonts w:ascii="Times New Roman" w:eastAsia="Times New Roman" w:hAnsi="Times New Roman" w:cs="Times New Roman"/>
                <w:b w:val="0"/>
                <w:i w:val="0"/>
                <w:vanish w:val="0"/>
                <w:color w:val="000000"/>
                <w:sz w:val="20"/>
              </w:rPr>
            </w:pPr>
            <w:r>
              <w:rPr>
                <w:rFonts w:ascii="Times New Roman" w:eastAsia="Times New Roman" w:hAnsi="Times New Roman" w:cs="Times New Roman"/>
                <w:b w:val="0"/>
                <w:i w:val="0"/>
                <w:vanish w:val="0"/>
                <w:color w:val="000000"/>
                <w:sz w:val="20"/>
              </w:rPr>
              <w:t>število</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rsidR="00A77B3E">
            <w:pPr>
              <w:spacing w:before="100" w:after="0"/>
              <w:jc w:val="end"/>
              <w:rPr>
                <w:rFonts w:ascii="Times New Roman" w:eastAsia="Times New Roman" w:hAnsi="Times New Roman" w:cs="Times New Roman"/>
                <w:b w:val="0"/>
                <w:i w:val="0"/>
                <w:vanish w:val="0"/>
                <w:color w:val="000000"/>
                <w:sz w:val="20"/>
              </w:rPr>
            </w:pPr>
            <w:r>
              <w:rPr>
                <w:rFonts w:ascii="Times New Roman" w:eastAsia="Times New Roman" w:hAnsi="Times New Roman" w:cs="Times New Roman"/>
                <w:b w:val="0"/>
                <w:i w:val="0"/>
                <w:vanish w:val="0"/>
                <w:color w:val="000000"/>
                <w:sz w:val="20"/>
              </w:rPr>
              <w:t>0</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rsidR="00A77B3E">
            <w:pPr>
              <w:spacing w:before="100" w:after="0"/>
              <w:jc w:val="end"/>
              <w:rPr>
                <w:rFonts w:ascii="Times New Roman" w:eastAsia="Times New Roman" w:hAnsi="Times New Roman" w:cs="Times New Roman"/>
                <w:b w:val="0"/>
                <w:i w:val="0"/>
                <w:vanish w:val="0"/>
                <w:color w:val="000000"/>
                <w:sz w:val="20"/>
              </w:rPr>
            </w:pPr>
            <w:r>
              <w:rPr>
                <w:rFonts w:ascii="Times New Roman" w:eastAsia="Times New Roman" w:hAnsi="Times New Roman" w:cs="Times New Roman"/>
                <w:b w:val="0"/>
                <w:i w:val="0"/>
                <w:vanish w:val="0"/>
                <w:color w:val="000000"/>
                <w:sz w:val="20"/>
              </w:rPr>
              <w:t>2</w:t>
            </w:r>
          </w:p>
        </w:tc>
      </w:tr>
      <w:tr>
        <w:tblPrEx>
          <w:tblW w:w="100%" w:type="pct"/>
        </w:tblPrEx>
        <w:trPr>
          <w:cantSplit w:val="0"/>
          <w:trHeight w:hRule="auto" w:val="0"/>
          <w:tblHeader w:val="0"/>
        </w:trPr>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rsidR="00A77B3E">
            <w:pPr>
              <w:spacing w:before="100" w:after="0"/>
              <w:jc w:val="start"/>
              <w:rPr>
                <w:rFonts w:ascii="Times New Roman" w:eastAsia="Times New Roman" w:hAnsi="Times New Roman" w:cs="Times New Roman"/>
                <w:b w:val="0"/>
                <w:i w:val="0"/>
                <w:vanish w:val="0"/>
                <w:color w:val="000000"/>
                <w:sz w:val="20"/>
              </w:rPr>
            </w:pPr>
            <w:r>
              <w:rPr>
                <w:rFonts w:ascii="Times New Roman" w:eastAsia="Times New Roman" w:hAnsi="Times New Roman" w:cs="Times New Roman"/>
                <w:b w:val="0"/>
                <w:i w:val="0"/>
                <w:vanish w:val="0"/>
                <w:color w:val="000000"/>
                <w:sz w:val="20"/>
              </w:rPr>
              <w:t>O.3.8</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rsidR="00A77B3E">
            <w:pPr>
              <w:spacing w:before="100" w:after="0"/>
              <w:jc w:val="start"/>
              <w:rPr>
                <w:rFonts w:ascii="Times New Roman" w:eastAsia="Times New Roman" w:hAnsi="Times New Roman" w:cs="Times New Roman"/>
                <w:b w:val="0"/>
                <w:i w:val="0"/>
                <w:vanish w:val="0"/>
                <w:color w:val="000000"/>
                <w:sz w:val="20"/>
              </w:rPr>
            </w:pPr>
            <w:r>
              <w:rPr>
                <w:rFonts w:ascii="Times New Roman" w:eastAsia="Times New Roman" w:hAnsi="Times New Roman" w:cs="Times New Roman"/>
                <w:b w:val="0"/>
                <w:i w:val="0"/>
                <w:vanish w:val="0"/>
                <w:color w:val="000000"/>
                <w:sz w:val="20"/>
              </w:rPr>
              <w:t xml:space="preserve">Število žrtev kaznivih dejanj, ki so prejele pomoč </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rsidR="00A77B3E">
            <w:pPr>
              <w:spacing w:before="100" w:after="0"/>
              <w:jc w:val="start"/>
              <w:rPr>
                <w:rFonts w:ascii="Times New Roman" w:eastAsia="Times New Roman" w:hAnsi="Times New Roman" w:cs="Times New Roman"/>
                <w:b w:val="0"/>
                <w:i w:val="0"/>
                <w:vanish w:val="0"/>
                <w:color w:val="000000"/>
                <w:sz w:val="20"/>
              </w:rPr>
            </w:pPr>
            <w:r>
              <w:rPr>
                <w:rFonts w:ascii="Times New Roman" w:eastAsia="Times New Roman" w:hAnsi="Times New Roman" w:cs="Times New Roman"/>
                <w:b w:val="0"/>
                <w:i w:val="0"/>
                <w:vanish w:val="0"/>
                <w:color w:val="000000"/>
                <w:sz w:val="20"/>
              </w:rPr>
              <w:t>število</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rsidR="00A77B3E">
            <w:pPr>
              <w:spacing w:before="100" w:after="0"/>
              <w:jc w:val="end"/>
              <w:rPr>
                <w:rFonts w:ascii="Times New Roman" w:eastAsia="Times New Roman" w:hAnsi="Times New Roman" w:cs="Times New Roman"/>
                <w:b w:val="0"/>
                <w:i w:val="0"/>
                <w:vanish w:val="0"/>
                <w:color w:val="000000"/>
                <w:sz w:val="20"/>
              </w:rPr>
            </w:pPr>
            <w:r>
              <w:rPr>
                <w:rFonts w:ascii="Times New Roman" w:eastAsia="Times New Roman" w:hAnsi="Times New Roman" w:cs="Times New Roman"/>
                <w:b w:val="0"/>
                <w:i w:val="0"/>
                <w:vanish w:val="0"/>
                <w:color w:val="000000"/>
                <w:sz w:val="20"/>
              </w:rPr>
              <w:t>10</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rsidR="00A77B3E">
            <w:pPr>
              <w:spacing w:before="100" w:after="0"/>
              <w:jc w:val="end"/>
              <w:rPr>
                <w:rFonts w:ascii="Times New Roman" w:eastAsia="Times New Roman" w:hAnsi="Times New Roman" w:cs="Times New Roman"/>
                <w:b w:val="0"/>
                <w:i w:val="0"/>
                <w:vanish w:val="0"/>
                <w:color w:val="000000"/>
                <w:sz w:val="20"/>
              </w:rPr>
            </w:pPr>
            <w:r>
              <w:rPr>
                <w:rFonts w:ascii="Times New Roman" w:eastAsia="Times New Roman" w:hAnsi="Times New Roman" w:cs="Times New Roman"/>
                <w:b w:val="0"/>
                <w:i w:val="0"/>
                <w:vanish w:val="0"/>
                <w:color w:val="000000"/>
                <w:sz w:val="20"/>
              </w:rPr>
              <w:t>30</w:t>
            </w:r>
          </w:p>
        </w:tc>
      </w:tr>
    </w:tbl>
    <w:p w:rsidR="00A77B3E">
      <w:pPr>
        <w:spacing w:before="100" w:after="0"/>
        <w:jc w:val="start"/>
        <w:rPr>
          <w:rFonts w:ascii="Times New Roman" w:eastAsia="Times New Roman" w:hAnsi="Times New Roman" w:cs="Times New Roman"/>
          <w:b w:val="0"/>
          <w:i w:val="0"/>
          <w:vanish w:val="0"/>
          <w:color w:val="000000"/>
          <w:sz w:val="24"/>
        </w:rPr>
      </w:pPr>
      <w:r>
        <w:rPr>
          <w:rFonts w:ascii="Times New Roman" w:eastAsia="Times New Roman" w:hAnsi="Times New Roman" w:cs="Times New Roman"/>
          <w:b w:val="0"/>
          <w:i w:val="0"/>
          <w:vanish w:val="0"/>
          <w:color w:val="000000"/>
          <w:sz w:val="20"/>
        </w:rPr>
        <w:br w:type="page"/>
      </w:r>
      <w:r>
        <w:rPr>
          <w:rFonts w:ascii="Times New Roman" w:eastAsia="Times New Roman" w:hAnsi="Times New Roman" w:cs="Times New Roman"/>
          <w:b w:val="0"/>
          <w:i w:val="0"/>
          <w:vanish w:val="0"/>
          <w:color w:val="000000"/>
          <w:sz w:val="24"/>
        </w:rPr>
        <w:t>2.1. Specifični cilj 3. Preprečevanje kriminala in boj proti njemu</w:t>
      </w:r>
    </w:p>
    <w:p w:rsidR="00A77B3E">
      <w:pPr>
        <w:spacing w:before="100" w:after="0"/>
        <w:jc w:val="start"/>
        <w:rPr>
          <w:rFonts w:ascii="Times New Roman" w:eastAsia="Times New Roman" w:hAnsi="Times New Roman" w:cs="Times New Roman"/>
          <w:b w:val="0"/>
          <w:i w:val="0"/>
          <w:vanish w:val="0"/>
          <w:color w:val="000000"/>
          <w:sz w:val="0"/>
        </w:rPr>
      </w:pPr>
      <w:r>
        <w:rPr>
          <w:rFonts w:ascii="Times New Roman" w:eastAsia="Times New Roman" w:hAnsi="Times New Roman" w:cs="Times New Roman"/>
          <w:b w:val="0"/>
          <w:i w:val="0"/>
          <w:vanish w:val="0"/>
          <w:color w:val="000000"/>
          <w:sz w:val="24"/>
        </w:rPr>
        <w:t>2.1.2. Kazalniki</w:t>
      </w:r>
    </w:p>
    <w:p w:rsidR="00A77B3E">
      <w:pPr>
        <w:spacing w:before="100" w:after="0"/>
        <w:jc w:val="star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24"/>
        </w:rPr>
        <w:t>Sklic: člen 22(4)(e) uredbe o skupnih določbah</w:t>
      </w:r>
    </w:p>
    <w:p w:rsidR="00A77B3E">
      <w:pPr>
        <w:pStyle w:val="Heading4"/>
        <w:spacing w:before="100" w:after="0"/>
        <w:jc w:val="start"/>
        <w:rPr>
          <w:rFonts w:ascii="Times New Roman" w:eastAsia="Times New Roman" w:hAnsi="Times New Roman" w:cs="Times New Roman"/>
          <w:b w:val="0"/>
          <w:i w:val="0"/>
          <w:vanish w:val="0"/>
          <w:color w:val="000000"/>
          <w:sz w:val="24"/>
        </w:rPr>
      </w:pPr>
      <w:bookmarkStart w:id="20" w:name="_Toc256000075"/>
      <w:r>
        <w:rPr>
          <w:rFonts w:ascii="Times New Roman" w:eastAsia="Times New Roman" w:hAnsi="Times New Roman" w:cs="Times New Roman"/>
          <w:b w:val="0"/>
          <w:i w:val="0"/>
          <w:vanish w:val="0"/>
          <w:color w:val="000000"/>
          <w:sz w:val="24"/>
        </w:rPr>
        <w:t>Tabela 2: Kazalniki rezultatov</w:t>
      </w:r>
      <w:bookmarkEnd w:id="20"/>
    </w:p>
    <w:p w:rsidR="00A77B3E">
      <w:pPr>
        <w:spacing w:before="100" w:after="0"/>
        <w:jc w:val="start"/>
        <w:rPr>
          <w:rFonts w:ascii="Times New Roman" w:eastAsia="Times New Roman" w:hAnsi="Times New Roman" w:cs="Times New Roman"/>
          <w:b w:val="0"/>
          <w:i w:val="0"/>
          <w:vanish w:val="0"/>
          <w:color w:val="000000"/>
          <w:sz w:val="0"/>
        </w:rPr>
      </w:pPr>
    </w:p>
    <w:tbl>
      <w:tblPr>
        <w:tblW w:w="100%" w:type="pct"/>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Layout w:type="fixed"/>
        <w:tblCellMar>
          <w:start w:w="5.4pt" w:type="dxa"/>
          <w:end w:w="5.4pt" w:type="dxa"/>
        </w:tblCellMar>
      </w:tblPr>
      <w:tblGrid>
        <w:gridCol w:w="760"/>
        <w:gridCol w:w="2276"/>
        <w:gridCol w:w="1517"/>
        <w:gridCol w:w="1517"/>
        <w:gridCol w:w="1517"/>
        <w:gridCol w:w="1517"/>
        <w:gridCol w:w="1517"/>
        <w:gridCol w:w="1517"/>
        <w:gridCol w:w="1517"/>
        <w:gridCol w:w="1517"/>
      </w:tblGrid>
      <w:tr>
        <w:tblPrEx>
          <w:tblW w:w="100%" w:type="pct"/>
          <w:tblLayout w:type="fixed"/>
        </w:tblPrEx>
        <w:trPr>
          <w:cantSplit w:val="0"/>
          <w:trHeight w:hRule="auto" w:val="0"/>
          <w:tblHeader/>
        </w:trPr>
        <w:tc>
          <w:tcPr>
            <w:tcW w:w="5%" w:type="pct"/>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rsidR="00A77B3E">
            <w:pPr>
              <w:spacing w:before="100" w:after="0"/>
              <w:jc w:val="center"/>
              <w:rPr>
                <w:rFonts w:ascii="Times New Roman" w:eastAsia="Times New Roman" w:hAnsi="Times New Roman" w:cs="Times New Roman"/>
                <w:b w:val="0"/>
                <w:i w:val="0"/>
                <w:vanish w:val="0"/>
                <w:color w:val="000000"/>
                <w:sz w:val="20"/>
              </w:rPr>
            </w:pPr>
            <w:r>
              <w:rPr>
                <w:rFonts w:ascii="Times New Roman" w:eastAsia="Times New Roman" w:hAnsi="Times New Roman" w:cs="Times New Roman"/>
                <w:b w:val="0"/>
                <w:i w:val="0"/>
                <w:vanish w:val="0"/>
                <w:color w:val="000000"/>
                <w:sz w:val="20"/>
              </w:rPr>
              <w:t>Identifikator</w:t>
            </w:r>
          </w:p>
        </w:tc>
        <w:tc>
          <w:tcPr>
            <w:tcW w:w="15%" w:type="pct"/>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rsidR="00A77B3E">
            <w:pPr>
              <w:spacing w:before="100" w:after="0"/>
              <w:jc w:val="center"/>
              <w:rPr>
                <w:rFonts w:ascii="Times New Roman" w:eastAsia="Times New Roman" w:hAnsi="Times New Roman" w:cs="Times New Roman"/>
                <w:b w:val="0"/>
                <w:i w:val="0"/>
                <w:vanish w:val="0"/>
                <w:color w:val="000000"/>
                <w:sz w:val="20"/>
              </w:rPr>
            </w:pPr>
            <w:r>
              <w:rPr>
                <w:rFonts w:ascii="Times New Roman" w:eastAsia="Times New Roman" w:hAnsi="Times New Roman" w:cs="Times New Roman"/>
                <w:b w:val="0"/>
                <w:i w:val="0"/>
                <w:vanish w:val="0"/>
                <w:color w:val="000000"/>
                <w:sz w:val="20"/>
              </w:rPr>
              <w:t>Kazalnik</w:t>
            </w:r>
          </w:p>
        </w:tc>
        <w:tc>
          <w:tcPr>
            <w:tcW w:w="10%" w:type="pct"/>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rsidR="00A77B3E">
            <w:pPr>
              <w:spacing w:before="100" w:after="0"/>
              <w:jc w:val="center"/>
              <w:rPr>
                <w:rFonts w:ascii="Times New Roman" w:eastAsia="Times New Roman" w:hAnsi="Times New Roman" w:cs="Times New Roman"/>
                <w:b w:val="0"/>
                <w:i w:val="0"/>
                <w:vanish w:val="0"/>
                <w:color w:val="000000"/>
                <w:sz w:val="20"/>
              </w:rPr>
            </w:pPr>
            <w:r>
              <w:rPr>
                <w:rFonts w:ascii="Times New Roman" w:eastAsia="Times New Roman" w:hAnsi="Times New Roman" w:cs="Times New Roman"/>
                <w:b w:val="0"/>
                <w:i w:val="0"/>
                <w:vanish w:val="0"/>
                <w:color w:val="000000"/>
                <w:sz w:val="20"/>
              </w:rPr>
              <w:t>Merska enota</w:t>
            </w:r>
          </w:p>
        </w:tc>
        <w:tc>
          <w:tcPr>
            <w:tcW w:w="10%" w:type="pct"/>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rsidR="00A77B3E">
            <w:pPr>
              <w:spacing w:before="100" w:after="0"/>
              <w:jc w:val="center"/>
              <w:rPr>
                <w:rFonts w:ascii="Times New Roman" w:eastAsia="Times New Roman" w:hAnsi="Times New Roman" w:cs="Times New Roman"/>
                <w:b w:val="0"/>
                <w:i w:val="0"/>
                <w:vanish w:val="0"/>
                <w:color w:val="000000"/>
                <w:sz w:val="20"/>
              </w:rPr>
            </w:pPr>
            <w:r>
              <w:rPr>
                <w:rFonts w:ascii="Times New Roman" w:eastAsia="Times New Roman" w:hAnsi="Times New Roman" w:cs="Times New Roman"/>
                <w:b w:val="0"/>
                <w:i w:val="0"/>
                <w:vanish w:val="0"/>
                <w:color w:val="000000"/>
                <w:sz w:val="20"/>
              </w:rPr>
              <w:t>Izhodišče</w:t>
            </w:r>
          </w:p>
        </w:tc>
        <w:tc>
          <w:tcPr>
            <w:tcW w:w="10%" w:type="pct"/>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rsidR="00A77B3E">
            <w:pPr>
              <w:spacing w:before="100" w:after="0"/>
              <w:jc w:val="center"/>
              <w:rPr>
                <w:rFonts w:ascii="Times New Roman" w:eastAsia="Times New Roman" w:hAnsi="Times New Roman" w:cs="Times New Roman"/>
                <w:b w:val="0"/>
                <w:i w:val="0"/>
                <w:vanish w:val="0"/>
                <w:color w:val="000000"/>
                <w:sz w:val="20"/>
              </w:rPr>
            </w:pPr>
            <w:r>
              <w:rPr>
                <w:rFonts w:ascii="Times New Roman" w:eastAsia="Times New Roman" w:hAnsi="Times New Roman" w:cs="Times New Roman"/>
                <w:b w:val="0"/>
                <w:i w:val="0"/>
                <w:vanish w:val="0"/>
                <w:color w:val="000000"/>
                <w:sz w:val="20"/>
              </w:rPr>
              <w:t>Merska enota za izhodišče</w:t>
            </w:r>
          </w:p>
        </w:tc>
        <w:tc>
          <w:tcPr>
            <w:tcW w:w="10%" w:type="pct"/>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rsidR="00A77B3E">
            <w:pPr>
              <w:spacing w:before="100" w:after="0"/>
              <w:jc w:val="center"/>
              <w:rPr>
                <w:rFonts w:ascii="Times New Roman" w:eastAsia="Times New Roman" w:hAnsi="Times New Roman" w:cs="Times New Roman"/>
                <w:b w:val="0"/>
                <w:i w:val="0"/>
                <w:vanish w:val="0"/>
                <w:color w:val="000000"/>
                <w:sz w:val="20"/>
              </w:rPr>
            </w:pPr>
            <w:r>
              <w:rPr>
                <w:rFonts w:ascii="Times New Roman" w:eastAsia="Times New Roman" w:hAnsi="Times New Roman" w:cs="Times New Roman"/>
                <w:b w:val="0"/>
                <w:i w:val="0"/>
                <w:vanish w:val="0"/>
                <w:color w:val="000000"/>
                <w:sz w:val="20"/>
              </w:rPr>
              <w:t>Referenčna leta</w:t>
            </w:r>
          </w:p>
        </w:tc>
        <w:tc>
          <w:tcPr>
            <w:tcW w:w="10%" w:type="pct"/>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rsidR="00A77B3E">
            <w:pPr>
              <w:spacing w:before="100" w:after="0"/>
              <w:jc w:val="center"/>
              <w:rPr>
                <w:rFonts w:ascii="Times New Roman" w:eastAsia="Times New Roman" w:hAnsi="Times New Roman" w:cs="Times New Roman"/>
                <w:b w:val="0"/>
                <w:i w:val="0"/>
                <w:vanish w:val="0"/>
                <w:color w:val="000000"/>
                <w:sz w:val="20"/>
              </w:rPr>
            </w:pPr>
            <w:r>
              <w:rPr>
                <w:rFonts w:ascii="Times New Roman" w:eastAsia="Times New Roman" w:hAnsi="Times New Roman" w:cs="Times New Roman"/>
                <w:b w:val="0"/>
                <w:i w:val="0"/>
                <w:vanish w:val="0"/>
                <w:color w:val="000000"/>
                <w:sz w:val="20"/>
              </w:rPr>
              <w:t>Cilj (2029)</w:t>
            </w:r>
          </w:p>
        </w:tc>
        <w:tc>
          <w:tcPr>
            <w:tcW w:w="10%" w:type="pct"/>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rsidR="00A77B3E">
            <w:pPr>
              <w:spacing w:before="100" w:after="0"/>
              <w:jc w:val="center"/>
              <w:rPr>
                <w:rFonts w:ascii="Times New Roman" w:eastAsia="Times New Roman" w:hAnsi="Times New Roman" w:cs="Times New Roman"/>
                <w:b w:val="0"/>
                <w:i w:val="0"/>
                <w:vanish w:val="0"/>
                <w:color w:val="000000"/>
                <w:sz w:val="20"/>
              </w:rPr>
            </w:pPr>
            <w:r>
              <w:rPr>
                <w:rFonts w:ascii="Times New Roman" w:eastAsia="Times New Roman" w:hAnsi="Times New Roman" w:cs="Times New Roman"/>
                <w:b w:val="0"/>
                <w:i w:val="0"/>
                <w:vanish w:val="0"/>
                <w:color w:val="000000"/>
                <w:sz w:val="20"/>
              </w:rPr>
              <w:t>Merska enota za cilj</w:t>
            </w:r>
          </w:p>
        </w:tc>
        <w:tc>
          <w:tcPr>
            <w:tcW w:w="10%" w:type="pct"/>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rsidR="00A77B3E">
            <w:pPr>
              <w:spacing w:before="100" w:after="0"/>
              <w:jc w:val="center"/>
              <w:rPr>
                <w:rFonts w:ascii="Times New Roman" w:eastAsia="Times New Roman" w:hAnsi="Times New Roman" w:cs="Times New Roman"/>
                <w:b w:val="0"/>
                <w:i w:val="0"/>
                <w:vanish w:val="0"/>
                <w:color w:val="000000"/>
                <w:sz w:val="20"/>
              </w:rPr>
            </w:pPr>
            <w:r>
              <w:rPr>
                <w:rFonts w:ascii="Times New Roman" w:eastAsia="Times New Roman" w:hAnsi="Times New Roman" w:cs="Times New Roman"/>
                <w:b w:val="0"/>
                <w:i w:val="0"/>
                <w:vanish w:val="0"/>
                <w:color w:val="000000"/>
                <w:sz w:val="20"/>
              </w:rPr>
              <w:t>Vir podatkov</w:t>
            </w:r>
          </w:p>
        </w:tc>
        <w:tc>
          <w:tcPr>
            <w:tcW w:w="10%" w:type="pct"/>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rsidR="00A77B3E">
            <w:pPr>
              <w:spacing w:before="100" w:after="0"/>
              <w:jc w:val="start"/>
              <w:rPr>
                <w:rFonts w:ascii="Times New Roman" w:eastAsia="Times New Roman" w:hAnsi="Times New Roman" w:cs="Times New Roman"/>
                <w:b w:val="0"/>
                <w:i w:val="0"/>
                <w:vanish w:val="0"/>
                <w:color w:val="000000"/>
                <w:sz w:val="20"/>
              </w:rPr>
            </w:pPr>
            <w:r>
              <w:rPr>
                <w:rFonts w:ascii="Times New Roman" w:eastAsia="Times New Roman" w:hAnsi="Times New Roman" w:cs="Times New Roman"/>
                <w:b w:val="0"/>
                <w:i w:val="0"/>
                <w:vanish w:val="0"/>
                <w:color w:val="000000"/>
                <w:sz w:val="20"/>
              </w:rPr>
              <w:t>Opombe</w:t>
            </w:r>
          </w:p>
        </w:tc>
      </w:tr>
      <w:tr>
        <w:tblPrEx>
          <w:tblW w:w="100%" w:type="pct"/>
          <w:tblLayout w:type="fixed"/>
        </w:tblPrEx>
        <w:trPr>
          <w:cantSplit w:val="0"/>
          <w:trHeight w:hRule="auto" w:val="0"/>
          <w:tblHeader w:val="0"/>
        </w:trPr>
        <w:tc>
          <w:tcPr>
            <w:tcW w:w="5%" w:type="pct"/>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20"/>
              </w:rPr>
            </w:pPr>
            <w:r>
              <w:rPr>
                <w:rFonts w:ascii="Times New Roman" w:eastAsia="Times New Roman" w:hAnsi="Times New Roman" w:cs="Times New Roman"/>
                <w:b w:val="0"/>
                <w:i w:val="0"/>
                <w:vanish w:val="0"/>
                <w:color w:val="000000"/>
                <w:sz w:val="20"/>
              </w:rPr>
              <w:t>R.3.9</w:t>
            </w:r>
          </w:p>
        </w:tc>
        <w:tc>
          <w:tcPr>
            <w:tcW w:w="15%" w:type="pct"/>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20"/>
              </w:rPr>
            </w:pPr>
            <w:r>
              <w:rPr>
                <w:rFonts w:ascii="Times New Roman" w:eastAsia="Times New Roman" w:hAnsi="Times New Roman" w:cs="Times New Roman"/>
                <w:b w:val="0"/>
                <w:i w:val="0"/>
                <w:vanish w:val="0"/>
                <w:color w:val="000000"/>
                <w:sz w:val="20"/>
              </w:rPr>
              <w:t>Število oblikovanih/razširjenih pobud za preprečevanje radikalizacije</w:t>
            </w:r>
          </w:p>
        </w:tc>
        <w:tc>
          <w:tcPr>
            <w:tcW w:w="10%" w:type="pct"/>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20"/>
              </w:rPr>
            </w:pPr>
            <w:r>
              <w:rPr>
                <w:rFonts w:ascii="Times New Roman" w:eastAsia="Times New Roman" w:hAnsi="Times New Roman" w:cs="Times New Roman"/>
                <w:b w:val="0"/>
                <w:i w:val="0"/>
                <w:vanish w:val="0"/>
                <w:color w:val="000000"/>
                <w:sz w:val="20"/>
              </w:rPr>
              <w:t>število</w:t>
            </w:r>
          </w:p>
        </w:tc>
        <w:tc>
          <w:tcPr>
            <w:tcW w:w="10%" w:type="pct"/>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20"/>
              </w:rPr>
            </w:pPr>
            <w:r>
              <w:rPr>
                <w:rFonts w:ascii="Times New Roman" w:eastAsia="Times New Roman" w:hAnsi="Times New Roman" w:cs="Times New Roman"/>
                <w:b w:val="0"/>
                <w:i w:val="0"/>
                <w:vanish w:val="0"/>
                <w:color w:val="000000"/>
                <w:sz w:val="20"/>
              </w:rPr>
              <w:t>0</w:t>
            </w:r>
          </w:p>
        </w:tc>
        <w:tc>
          <w:tcPr>
            <w:tcW w:w="10%" w:type="pct"/>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20"/>
              </w:rPr>
            </w:pPr>
            <w:r>
              <w:rPr>
                <w:rFonts w:ascii="Times New Roman" w:eastAsia="Times New Roman" w:hAnsi="Times New Roman" w:cs="Times New Roman"/>
                <w:b w:val="0"/>
                <w:i w:val="0"/>
                <w:vanish w:val="0"/>
                <w:color w:val="000000"/>
                <w:sz w:val="20"/>
              </w:rPr>
              <w:t>število</w:t>
            </w:r>
          </w:p>
        </w:tc>
        <w:tc>
          <w:tcPr>
            <w:tcW w:w="10%" w:type="pct"/>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center"/>
              <w:rPr>
                <w:rFonts w:ascii="Times New Roman" w:eastAsia="Times New Roman" w:hAnsi="Times New Roman" w:cs="Times New Roman"/>
                <w:b w:val="0"/>
                <w:i w:val="0"/>
                <w:vanish w:val="0"/>
                <w:color w:val="000000"/>
                <w:sz w:val="20"/>
              </w:rPr>
            </w:pPr>
            <w:r>
              <w:rPr>
                <w:rFonts w:ascii="Times New Roman" w:eastAsia="Times New Roman" w:hAnsi="Times New Roman" w:cs="Times New Roman"/>
                <w:b w:val="0"/>
                <w:i w:val="0"/>
                <w:vanish w:val="0"/>
                <w:color w:val="000000"/>
                <w:sz w:val="20"/>
              </w:rPr>
              <w:t>2021</w:t>
            </w:r>
          </w:p>
        </w:tc>
        <w:tc>
          <w:tcPr>
            <w:tcW w:w="10%" w:type="pct"/>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center"/>
              <w:rPr>
                <w:rFonts w:ascii="Times New Roman" w:eastAsia="Times New Roman" w:hAnsi="Times New Roman" w:cs="Times New Roman"/>
                <w:b w:val="0"/>
                <w:i w:val="0"/>
                <w:vanish w:val="0"/>
                <w:color w:val="000000"/>
                <w:sz w:val="20"/>
              </w:rPr>
            </w:pPr>
            <w:r>
              <w:rPr>
                <w:rFonts w:ascii="Times New Roman" w:eastAsia="Times New Roman" w:hAnsi="Times New Roman" w:cs="Times New Roman"/>
                <w:b w:val="0"/>
                <w:i w:val="0"/>
                <w:vanish w:val="0"/>
                <w:color w:val="000000"/>
                <w:sz w:val="20"/>
              </w:rPr>
              <w:t>2</w:t>
            </w:r>
          </w:p>
        </w:tc>
        <w:tc>
          <w:tcPr>
            <w:tcW w:w="10%" w:type="pct"/>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20"/>
              </w:rPr>
            </w:pPr>
            <w:r>
              <w:rPr>
                <w:rFonts w:ascii="Times New Roman" w:eastAsia="Times New Roman" w:hAnsi="Times New Roman" w:cs="Times New Roman"/>
                <w:b w:val="0"/>
                <w:i w:val="0"/>
                <w:vanish w:val="0"/>
                <w:color w:val="000000"/>
                <w:sz w:val="20"/>
              </w:rPr>
              <w:t>število</w:t>
            </w:r>
          </w:p>
        </w:tc>
        <w:tc>
          <w:tcPr>
            <w:tcW w:w="10%" w:type="pct"/>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20"/>
              </w:rPr>
            </w:pPr>
            <w:r>
              <w:rPr>
                <w:rFonts w:ascii="Times New Roman" w:eastAsia="Times New Roman" w:hAnsi="Times New Roman" w:cs="Times New Roman"/>
                <w:b w:val="0"/>
                <w:i w:val="0"/>
                <w:vanish w:val="0"/>
                <w:color w:val="000000"/>
                <w:sz w:val="20"/>
              </w:rPr>
              <w:t>Evidenca policije (UKP GPU).</w:t>
            </w:r>
          </w:p>
        </w:tc>
        <w:tc>
          <w:tcPr>
            <w:tcW w:w="10%" w:type="pct"/>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20"/>
              </w:rPr>
            </w:pPr>
          </w:p>
        </w:tc>
      </w:tr>
      <w:tr>
        <w:tblPrEx>
          <w:tblW w:w="100%" w:type="pct"/>
          <w:tblLayout w:type="fixed"/>
        </w:tblPrEx>
        <w:trPr>
          <w:cantSplit w:val="0"/>
          <w:trHeight w:hRule="auto" w:val="0"/>
          <w:tblHeader w:val="0"/>
        </w:trPr>
        <w:tc>
          <w:tcPr>
            <w:tcW w:w="5%" w:type="pct"/>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20"/>
              </w:rPr>
            </w:pPr>
            <w:r>
              <w:rPr>
                <w:rFonts w:ascii="Times New Roman" w:eastAsia="Times New Roman" w:hAnsi="Times New Roman" w:cs="Times New Roman"/>
                <w:b w:val="0"/>
                <w:i w:val="0"/>
                <w:vanish w:val="0"/>
                <w:color w:val="000000"/>
                <w:sz w:val="20"/>
              </w:rPr>
              <w:t>R.3.10</w:t>
            </w:r>
          </w:p>
        </w:tc>
        <w:tc>
          <w:tcPr>
            <w:tcW w:w="15%" w:type="pct"/>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20"/>
              </w:rPr>
            </w:pPr>
            <w:r>
              <w:rPr>
                <w:rFonts w:ascii="Times New Roman" w:eastAsia="Times New Roman" w:hAnsi="Times New Roman" w:cs="Times New Roman"/>
                <w:b w:val="0"/>
                <w:i w:val="0"/>
                <w:vanish w:val="0"/>
                <w:color w:val="000000"/>
                <w:sz w:val="20"/>
              </w:rPr>
              <w:t>Število oblikovanih/razširjenih pobud za zaščito/podporo pričam in žvižgačem</w:t>
            </w:r>
          </w:p>
        </w:tc>
        <w:tc>
          <w:tcPr>
            <w:tcW w:w="10%" w:type="pct"/>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20"/>
              </w:rPr>
            </w:pPr>
            <w:r>
              <w:rPr>
                <w:rFonts w:ascii="Times New Roman" w:eastAsia="Times New Roman" w:hAnsi="Times New Roman" w:cs="Times New Roman"/>
                <w:b w:val="0"/>
                <w:i w:val="0"/>
                <w:vanish w:val="0"/>
                <w:color w:val="000000"/>
                <w:sz w:val="20"/>
              </w:rPr>
              <w:t>število</w:t>
            </w:r>
          </w:p>
        </w:tc>
        <w:tc>
          <w:tcPr>
            <w:tcW w:w="10%" w:type="pct"/>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20"/>
              </w:rPr>
            </w:pPr>
            <w:r>
              <w:rPr>
                <w:rFonts w:ascii="Times New Roman" w:eastAsia="Times New Roman" w:hAnsi="Times New Roman" w:cs="Times New Roman"/>
                <w:b w:val="0"/>
                <w:i w:val="0"/>
                <w:vanish w:val="0"/>
                <w:color w:val="000000"/>
                <w:sz w:val="20"/>
              </w:rPr>
              <w:t>0</w:t>
            </w:r>
          </w:p>
        </w:tc>
        <w:tc>
          <w:tcPr>
            <w:tcW w:w="10%" w:type="pct"/>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20"/>
              </w:rPr>
            </w:pPr>
            <w:r>
              <w:rPr>
                <w:rFonts w:ascii="Times New Roman" w:eastAsia="Times New Roman" w:hAnsi="Times New Roman" w:cs="Times New Roman"/>
                <w:b w:val="0"/>
                <w:i w:val="0"/>
                <w:vanish w:val="0"/>
                <w:color w:val="000000"/>
                <w:sz w:val="20"/>
              </w:rPr>
              <w:t>število</w:t>
            </w:r>
          </w:p>
        </w:tc>
        <w:tc>
          <w:tcPr>
            <w:tcW w:w="10%" w:type="pct"/>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center"/>
              <w:rPr>
                <w:rFonts w:ascii="Times New Roman" w:eastAsia="Times New Roman" w:hAnsi="Times New Roman" w:cs="Times New Roman"/>
                <w:b w:val="0"/>
                <w:i w:val="0"/>
                <w:vanish w:val="0"/>
                <w:color w:val="000000"/>
                <w:sz w:val="20"/>
              </w:rPr>
            </w:pPr>
            <w:r>
              <w:rPr>
                <w:rFonts w:ascii="Times New Roman" w:eastAsia="Times New Roman" w:hAnsi="Times New Roman" w:cs="Times New Roman"/>
                <w:b w:val="0"/>
                <w:i w:val="0"/>
                <w:vanish w:val="0"/>
                <w:color w:val="000000"/>
                <w:sz w:val="20"/>
              </w:rPr>
              <w:t>2021</w:t>
            </w:r>
          </w:p>
        </w:tc>
        <w:tc>
          <w:tcPr>
            <w:tcW w:w="10%" w:type="pct"/>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center"/>
              <w:rPr>
                <w:rFonts w:ascii="Times New Roman" w:eastAsia="Times New Roman" w:hAnsi="Times New Roman" w:cs="Times New Roman"/>
                <w:b w:val="0"/>
                <w:i w:val="0"/>
                <w:vanish w:val="0"/>
                <w:color w:val="000000"/>
                <w:sz w:val="20"/>
              </w:rPr>
            </w:pPr>
            <w:r>
              <w:rPr>
                <w:rFonts w:ascii="Times New Roman" w:eastAsia="Times New Roman" w:hAnsi="Times New Roman" w:cs="Times New Roman"/>
                <w:b w:val="0"/>
                <w:i w:val="0"/>
                <w:vanish w:val="0"/>
                <w:color w:val="000000"/>
                <w:sz w:val="20"/>
              </w:rPr>
              <w:t>1</w:t>
            </w:r>
          </w:p>
        </w:tc>
        <w:tc>
          <w:tcPr>
            <w:tcW w:w="10%" w:type="pct"/>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20"/>
              </w:rPr>
            </w:pPr>
            <w:r>
              <w:rPr>
                <w:rFonts w:ascii="Times New Roman" w:eastAsia="Times New Roman" w:hAnsi="Times New Roman" w:cs="Times New Roman"/>
                <w:b w:val="0"/>
                <w:i w:val="0"/>
                <w:vanish w:val="0"/>
                <w:color w:val="000000"/>
                <w:sz w:val="20"/>
              </w:rPr>
              <w:t>število</w:t>
            </w:r>
          </w:p>
        </w:tc>
        <w:tc>
          <w:tcPr>
            <w:tcW w:w="10%" w:type="pct"/>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20"/>
              </w:rPr>
            </w:pPr>
            <w:r>
              <w:rPr>
                <w:rFonts w:ascii="Times New Roman" w:eastAsia="Times New Roman" w:hAnsi="Times New Roman" w:cs="Times New Roman"/>
                <w:b w:val="0"/>
                <w:i w:val="0"/>
                <w:vanish w:val="0"/>
                <w:color w:val="000000"/>
                <w:sz w:val="20"/>
              </w:rPr>
              <w:t>Letno in polletno poročilo o delu policije; interne evidence MNZ in policije.</w:t>
            </w:r>
          </w:p>
        </w:tc>
        <w:tc>
          <w:tcPr>
            <w:tcW w:w="10%" w:type="pct"/>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20"/>
              </w:rPr>
            </w:pPr>
          </w:p>
        </w:tc>
      </w:tr>
      <w:tr>
        <w:tblPrEx>
          <w:tblW w:w="100%" w:type="pct"/>
          <w:tblLayout w:type="fixed"/>
        </w:tblPrEx>
        <w:trPr>
          <w:cantSplit w:val="0"/>
          <w:trHeight w:hRule="auto" w:val="0"/>
          <w:tblHeader w:val="0"/>
        </w:trPr>
        <w:tc>
          <w:tcPr>
            <w:tcW w:w="5%" w:type="pct"/>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20"/>
              </w:rPr>
            </w:pPr>
            <w:r>
              <w:rPr>
                <w:rFonts w:ascii="Times New Roman" w:eastAsia="Times New Roman" w:hAnsi="Times New Roman" w:cs="Times New Roman"/>
                <w:b w:val="0"/>
                <w:i w:val="0"/>
                <w:vanish w:val="0"/>
                <w:color w:val="000000"/>
                <w:sz w:val="20"/>
              </w:rPr>
              <w:t>R.3.11</w:t>
            </w:r>
          </w:p>
        </w:tc>
        <w:tc>
          <w:tcPr>
            <w:tcW w:w="15%" w:type="pct"/>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20"/>
              </w:rPr>
            </w:pPr>
            <w:r>
              <w:rPr>
                <w:rFonts w:ascii="Times New Roman" w:eastAsia="Times New Roman" w:hAnsi="Times New Roman" w:cs="Times New Roman"/>
                <w:b w:val="0"/>
                <w:i w:val="0"/>
                <w:vanish w:val="0"/>
                <w:color w:val="000000"/>
                <w:sz w:val="20"/>
              </w:rPr>
              <w:t>Število kritičnih infrastruktur/javnih prostorov z novimi/prilagojenimi zmogljivostmi za zaščito pred incidenti, povezanimi z varnostjo</w:t>
            </w:r>
          </w:p>
        </w:tc>
        <w:tc>
          <w:tcPr>
            <w:tcW w:w="10%" w:type="pct"/>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20"/>
              </w:rPr>
            </w:pPr>
            <w:r>
              <w:rPr>
                <w:rFonts w:ascii="Times New Roman" w:eastAsia="Times New Roman" w:hAnsi="Times New Roman" w:cs="Times New Roman"/>
                <w:b w:val="0"/>
                <w:i w:val="0"/>
                <w:vanish w:val="0"/>
                <w:color w:val="000000"/>
                <w:sz w:val="20"/>
              </w:rPr>
              <w:t>število</w:t>
            </w:r>
          </w:p>
        </w:tc>
        <w:tc>
          <w:tcPr>
            <w:tcW w:w="10%" w:type="pct"/>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20"/>
              </w:rPr>
            </w:pPr>
            <w:r>
              <w:rPr>
                <w:rFonts w:ascii="Times New Roman" w:eastAsia="Times New Roman" w:hAnsi="Times New Roman" w:cs="Times New Roman"/>
                <w:b w:val="0"/>
                <w:i w:val="0"/>
                <w:vanish w:val="0"/>
                <w:color w:val="000000"/>
                <w:sz w:val="20"/>
              </w:rPr>
              <w:t>0</w:t>
            </w:r>
          </w:p>
        </w:tc>
        <w:tc>
          <w:tcPr>
            <w:tcW w:w="10%" w:type="pct"/>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20"/>
              </w:rPr>
            </w:pPr>
            <w:r>
              <w:rPr>
                <w:rFonts w:ascii="Times New Roman" w:eastAsia="Times New Roman" w:hAnsi="Times New Roman" w:cs="Times New Roman"/>
                <w:b w:val="0"/>
                <w:i w:val="0"/>
                <w:vanish w:val="0"/>
                <w:color w:val="000000"/>
                <w:sz w:val="20"/>
              </w:rPr>
              <w:t>število</w:t>
            </w:r>
          </w:p>
        </w:tc>
        <w:tc>
          <w:tcPr>
            <w:tcW w:w="10%" w:type="pct"/>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center"/>
              <w:rPr>
                <w:rFonts w:ascii="Times New Roman" w:eastAsia="Times New Roman" w:hAnsi="Times New Roman" w:cs="Times New Roman"/>
                <w:b w:val="0"/>
                <w:i w:val="0"/>
                <w:vanish w:val="0"/>
                <w:color w:val="000000"/>
                <w:sz w:val="20"/>
              </w:rPr>
            </w:pPr>
            <w:r>
              <w:rPr>
                <w:rFonts w:ascii="Times New Roman" w:eastAsia="Times New Roman" w:hAnsi="Times New Roman" w:cs="Times New Roman"/>
                <w:b w:val="0"/>
                <w:i w:val="0"/>
                <w:vanish w:val="0"/>
                <w:color w:val="000000"/>
                <w:sz w:val="20"/>
              </w:rPr>
              <w:t>2021</w:t>
            </w:r>
          </w:p>
        </w:tc>
        <w:tc>
          <w:tcPr>
            <w:tcW w:w="10%" w:type="pct"/>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center"/>
              <w:rPr>
                <w:rFonts w:ascii="Times New Roman" w:eastAsia="Times New Roman" w:hAnsi="Times New Roman" w:cs="Times New Roman"/>
                <w:b w:val="0"/>
                <w:i w:val="0"/>
                <w:vanish w:val="0"/>
                <w:color w:val="000000"/>
                <w:sz w:val="20"/>
              </w:rPr>
            </w:pPr>
            <w:r>
              <w:rPr>
                <w:rFonts w:ascii="Times New Roman" w:eastAsia="Times New Roman" w:hAnsi="Times New Roman" w:cs="Times New Roman"/>
                <w:b w:val="0"/>
                <w:i w:val="0"/>
                <w:vanish w:val="0"/>
                <w:color w:val="000000"/>
                <w:sz w:val="20"/>
              </w:rPr>
              <w:t>56</w:t>
            </w:r>
          </w:p>
        </w:tc>
        <w:tc>
          <w:tcPr>
            <w:tcW w:w="10%" w:type="pct"/>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20"/>
              </w:rPr>
            </w:pPr>
            <w:r>
              <w:rPr>
                <w:rFonts w:ascii="Times New Roman" w:eastAsia="Times New Roman" w:hAnsi="Times New Roman" w:cs="Times New Roman"/>
                <w:b w:val="0"/>
                <w:i w:val="0"/>
                <w:vanish w:val="0"/>
                <w:color w:val="000000"/>
                <w:sz w:val="20"/>
              </w:rPr>
              <w:t>število</w:t>
            </w:r>
          </w:p>
        </w:tc>
        <w:tc>
          <w:tcPr>
            <w:tcW w:w="10%" w:type="pct"/>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20"/>
              </w:rPr>
            </w:pPr>
            <w:r>
              <w:rPr>
                <w:rFonts w:ascii="Times New Roman" w:eastAsia="Times New Roman" w:hAnsi="Times New Roman" w:cs="Times New Roman"/>
                <w:b w:val="0"/>
                <w:i w:val="0"/>
                <w:vanish w:val="0"/>
                <w:color w:val="000000"/>
                <w:sz w:val="20"/>
              </w:rPr>
              <w:t>Letno in polletno poročilo o delu policije; interne evidence MNZ in policije</w:t>
            </w:r>
          </w:p>
        </w:tc>
        <w:tc>
          <w:tcPr>
            <w:tcW w:w="10%" w:type="pct"/>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20"/>
              </w:rPr>
            </w:pPr>
          </w:p>
        </w:tc>
      </w:tr>
      <w:tr>
        <w:tblPrEx>
          <w:tblW w:w="100%" w:type="pct"/>
          <w:tblLayout w:type="fixed"/>
        </w:tblPrEx>
        <w:trPr>
          <w:cantSplit w:val="0"/>
          <w:trHeight w:hRule="auto" w:val="0"/>
          <w:tblHeader w:val="0"/>
        </w:trPr>
        <w:tc>
          <w:tcPr>
            <w:tcW w:w="5%" w:type="pct"/>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20"/>
              </w:rPr>
            </w:pPr>
            <w:r>
              <w:rPr>
                <w:rFonts w:ascii="Times New Roman" w:eastAsia="Times New Roman" w:hAnsi="Times New Roman" w:cs="Times New Roman"/>
                <w:b w:val="0"/>
                <w:i w:val="0"/>
                <w:vanish w:val="0"/>
                <w:color w:val="000000"/>
                <w:sz w:val="20"/>
              </w:rPr>
              <w:t>R.3.12</w:t>
            </w:r>
          </w:p>
        </w:tc>
        <w:tc>
          <w:tcPr>
            <w:tcW w:w="15%" w:type="pct"/>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20"/>
              </w:rPr>
            </w:pPr>
            <w:r>
              <w:rPr>
                <w:rFonts w:ascii="Times New Roman" w:eastAsia="Times New Roman" w:hAnsi="Times New Roman" w:cs="Times New Roman"/>
                <w:b w:val="0"/>
                <w:i w:val="0"/>
                <w:vanish w:val="0"/>
                <w:color w:val="000000"/>
                <w:sz w:val="20"/>
              </w:rPr>
              <w:t>Število udeležencev, ki menijo, da je usposabljanje koristno za njihovo delo</w:t>
            </w:r>
          </w:p>
        </w:tc>
        <w:tc>
          <w:tcPr>
            <w:tcW w:w="10%" w:type="pct"/>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20"/>
              </w:rPr>
            </w:pPr>
            <w:r>
              <w:rPr>
                <w:rFonts w:ascii="Times New Roman" w:eastAsia="Times New Roman" w:hAnsi="Times New Roman" w:cs="Times New Roman"/>
                <w:b w:val="0"/>
                <w:i w:val="0"/>
                <w:vanish w:val="0"/>
                <w:color w:val="000000"/>
                <w:sz w:val="20"/>
              </w:rPr>
              <w:t>število</w:t>
            </w:r>
          </w:p>
        </w:tc>
        <w:tc>
          <w:tcPr>
            <w:tcW w:w="10%" w:type="pct"/>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20"/>
              </w:rPr>
            </w:pPr>
            <w:r>
              <w:rPr>
                <w:rFonts w:ascii="Times New Roman" w:eastAsia="Times New Roman" w:hAnsi="Times New Roman" w:cs="Times New Roman"/>
                <w:b w:val="0"/>
                <w:i w:val="0"/>
                <w:vanish w:val="0"/>
                <w:color w:val="000000"/>
                <w:sz w:val="20"/>
              </w:rPr>
              <w:t>0</w:t>
            </w:r>
          </w:p>
        </w:tc>
        <w:tc>
          <w:tcPr>
            <w:tcW w:w="10%" w:type="pct"/>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20"/>
              </w:rPr>
            </w:pPr>
            <w:r>
              <w:rPr>
                <w:rFonts w:ascii="Times New Roman" w:eastAsia="Times New Roman" w:hAnsi="Times New Roman" w:cs="Times New Roman"/>
                <w:b w:val="0"/>
                <w:i w:val="0"/>
                <w:vanish w:val="0"/>
                <w:color w:val="000000"/>
                <w:sz w:val="20"/>
              </w:rPr>
              <w:t>delež</w:t>
            </w:r>
          </w:p>
        </w:tc>
        <w:tc>
          <w:tcPr>
            <w:tcW w:w="10%" w:type="pct"/>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center"/>
              <w:rPr>
                <w:rFonts w:ascii="Times New Roman" w:eastAsia="Times New Roman" w:hAnsi="Times New Roman" w:cs="Times New Roman"/>
                <w:b w:val="0"/>
                <w:i w:val="0"/>
                <w:vanish w:val="0"/>
                <w:color w:val="000000"/>
                <w:sz w:val="20"/>
              </w:rPr>
            </w:pPr>
            <w:r>
              <w:rPr>
                <w:rFonts w:ascii="Times New Roman" w:eastAsia="Times New Roman" w:hAnsi="Times New Roman" w:cs="Times New Roman"/>
                <w:b w:val="0"/>
                <w:i w:val="0"/>
                <w:vanish w:val="0"/>
                <w:color w:val="000000"/>
                <w:sz w:val="20"/>
              </w:rPr>
              <w:t>2021</w:t>
            </w:r>
          </w:p>
        </w:tc>
        <w:tc>
          <w:tcPr>
            <w:tcW w:w="10%" w:type="pct"/>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center"/>
              <w:rPr>
                <w:rFonts w:ascii="Times New Roman" w:eastAsia="Times New Roman" w:hAnsi="Times New Roman" w:cs="Times New Roman"/>
                <w:b w:val="0"/>
                <w:i w:val="0"/>
                <w:vanish w:val="0"/>
                <w:color w:val="000000"/>
                <w:sz w:val="20"/>
              </w:rPr>
            </w:pPr>
            <w:r>
              <w:rPr>
                <w:rFonts w:ascii="Times New Roman" w:eastAsia="Times New Roman" w:hAnsi="Times New Roman" w:cs="Times New Roman"/>
                <w:b w:val="0"/>
                <w:i w:val="0"/>
                <w:vanish w:val="0"/>
                <w:color w:val="000000"/>
                <w:sz w:val="20"/>
              </w:rPr>
              <w:t>10.472</w:t>
            </w:r>
          </w:p>
        </w:tc>
        <w:tc>
          <w:tcPr>
            <w:tcW w:w="10%" w:type="pct"/>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20"/>
              </w:rPr>
            </w:pPr>
            <w:r>
              <w:rPr>
                <w:rFonts w:ascii="Times New Roman" w:eastAsia="Times New Roman" w:hAnsi="Times New Roman" w:cs="Times New Roman"/>
                <w:b w:val="0"/>
                <w:i w:val="0"/>
                <w:vanish w:val="0"/>
                <w:color w:val="000000"/>
                <w:sz w:val="20"/>
              </w:rPr>
              <w:t>število</w:t>
            </w:r>
          </w:p>
        </w:tc>
        <w:tc>
          <w:tcPr>
            <w:tcW w:w="10%" w:type="pct"/>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20"/>
              </w:rPr>
            </w:pPr>
            <w:r>
              <w:rPr>
                <w:rFonts w:ascii="Times New Roman" w:eastAsia="Times New Roman" w:hAnsi="Times New Roman" w:cs="Times New Roman"/>
                <w:b w:val="0"/>
                <w:i w:val="0"/>
                <w:vanish w:val="0"/>
                <w:color w:val="000000"/>
                <w:sz w:val="20"/>
              </w:rPr>
              <w:t>Podatki nacionalne PNR enote in ISCIU, liste prisotnosti na usposabljanjih, anketni listi.</w:t>
            </w:r>
          </w:p>
        </w:tc>
        <w:tc>
          <w:tcPr>
            <w:tcW w:w="10%" w:type="pct"/>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20"/>
              </w:rPr>
            </w:pPr>
          </w:p>
        </w:tc>
      </w:tr>
      <w:tr>
        <w:tblPrEx>
          <w:tblW w:w="100%" w:type="pct"/>
          <w:tblLayout w:type="fixed"/>
        </w:tblPrEx>
        <w:trPr>
          <w:cantSplit w:val="0"/>
          <w:trHeight w:hRule="auto" w:val="0"/>
          <w:tblHeader w:val="0"/>
        </w:trPr>
        <w:tc>
          <w:tcPr>
            <w:tcW w:w="5%" w:type="pct"/>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20"/>
              </w:rPr>
            </w:pPr>
            <w:r>
              <w:rPr>
                <w:rFonts w:ascii="Times New Roman" w:eastAsia="Times New Roman" w:hAnsi="Times New Roman" w:cs="Times New Roman"/>
                <w:b w:val="0"/>
                <w:i w:val="0"/>
                <w:vanish w:val="0"/>
                <w:color w:val="000000"/>
                <w:sz w:val="20"/>
              </w:rPr>
              <w:t>R.3.13</w:t>
            </w:r>
          </w:p>
        </w:tc>
        <w:tc>
          <w:tcPr>
            <w:tcW w:w="15%" w:type="pct"/>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20"/>
              </w:rPr>
            </w:pPr>
            <w:r>
              <w:rPr>
                <w:rFonts w:ascii="Times New Roman" w:eastAsia="Times New Roman" w:hAnsi="Times New Roman" w:cs="Times New Roman"/>
                <w:b w:val="0"/>
                <w:i w:val="0"/>
                <w:vanish w:val="0"/>
                <w:color w:val="000000"/>
                <w:sz w:val="20"/>
              </w:rPr>
              <w:t>Število udeležencev, ki tri mesece po končanem usposabljanju poročajo, da uporabljajo spretnosti in kompetence, pridobljene med tem usposabljanjem</w:t>
            </w:r>
          </w:p>
        </w:tc>
        <w:tc>
          <w:tcPr>
            <w:tcW w:w="10%" w:type="pct"/>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20"/>
              </w:rPr>
            </w:pPr>
            <w:r>
              <w:rPr>
                <w:rFonts w:ascii="Times New Roman" w:eastAsia="Times New Roman" w:hAnsi="Times New Roman" w:cs="Times New Roman"/>
                <w:b w:val="0"/>
                <w:i w:val="0"/>
                <w:vanish w:val="0"/>
                <w:color w:val="000000"/>
                <w:sz w:val="20"/>
              </w:rPr>
              <w:t>število</w:t>
            </w:r>
          </w:p>
        </w:tc>
        <w:tc>
          <w:tcPr>
            <w:tcW w:w="10%" w:type="pct"/>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20"/>
              </w:rPr>
            </w:pPr>
            <w:r>
              <w:rPr>
                <w:rFonts w:ascii="Times New Roman" w:eastAsia="Times New Roman" w:hAnsi="Times New Roman" w:cs="Times New Roman"/>
                <w:b w:val="0"/>
                <w:i w:val="0"/>
                <w:vanish w:val="0"/>
                <w:color w:val="000000"/>
                <w:sz w:val="20"/>
              </w:rPr>
              <w:t>0</w:t>
            </w:r>
          </w:p>
        </w:tc>
        <w:tc>
          <w:tcPr>
            <w:tcW w:w="10%" w:type="pct"/>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20"/>
              </w:rPr>
            </w:pPr>
            <w:r>
              <w:rPr>
                <w:rFonts w:ascii="Times New Roman" w:eastAsia="Times New Roman" w:hAnsi="Times New Roman" w:cs="Times New Roman"/>
                <w:b w:val="0"/>
                <w:i w:val="0"/>
                <w:vanish w:val="0"/>
                <w:color w:val="000000"/>
                <w:sz w:val="20"/>
              </w:rPr>
              <w:t>delež</w:t>
            </w:r>
          </w:p>
        </w:tc>
        <w:tc>
          <w:tcPr>
            <w:tcW w:w="10%" w:type="pct"/>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center"/>
              <w:rPr>
                <w:rFonts w:ascii="Times New Roman" w:eastAsia="Times New Roman" w:hAnsi="Times New Roman" w:cs="Times New Roman"/>
                <w:b w:val="0"/>
                <w:i w:val="0"/>
                <w:vanish w:val="0"/>
                <w:color w:val="000000"/>
                <w:sz w:val="20"/>
              </w:rPr>
            </w:pPr>
            <w:r>
              <w:rPr>
                <w:rFonts w:ascii="Times New Roman" w:eastAsia="Times New Roman" w:hAnsi="Times New Roman" w:cs="Times New Roman"/>
                <w:b w:val="0"/>
                <w:i w:val="0"/>
                <w:vanish w:val="0"/>
                <w:color w:val="000000"/>
                <w:sz w:val="20"/>
              </w:rPr>
              <w:t>2021</w:t>
            </w:r>
          </w:p>
        </w:tc>
        <w:tc>
          <w:tcPr>
            <w:tcW w:w="10%" w:type="pct"/>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center"/>
              <w:rPr>
                <w:rFonts w:ascii="Times New Roman" w:eastAsia="Times New Roman" w:hAnsi="Times New Roman" w:cs="Times New Roman"/>
                <w:b w:val="0"/>
                <w:i w:val="0"/>
                <w:vanish w:val="0"/>
                <w:color w:val="000000"/>
                <w:sz w:val="20"/>
              </w:rPr>
            </w:pPr>
            <w:r>
              <w:rPr>
                <w:rFonts w:ascii="Times New Roman" w:eastAsia="Times New Roman" w:hAnsi="Times New Roman" w:cs="Times New Roman"/>
                <w:b w:val="0"/>
                <w:i w:val="0"/>
                <w:vanish w:val="0"/>
                <w:color w:val="000000"/>
                <w:sz w:val="20"/>
              </w:rPr>
              <w:t>8.703</w:t>
            </w:r>
          </w:p>
        </w:tc>
        <w:tc>
          <w:tcPr>
            <w:tcW w:w="10%" w:type="pct"/>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20"/>
              </w:rPr>
            </w:pPr>
            <w:r>
              <w:rPr>
                <w:rFonts w:ascii="Times New Roman" w:eastAsia="Times New Roman" w:hAnsi="Times New Roman" w:cs="Times New Roman"/>
                <w:b w:val="0"/>
                <w:i w:val="0"/>
                <w:vanish w:val="0"/>
                <w:color w:val="000000"/>
                <w:sz w:val="20"/>
              </w:rPr>
              <w:t>število</w:t>
            </w:r>
          </w:p>
        </w:tc>
        <w:tc>
          <w:tcPr>
            <w:tcW w:w="10%" w:type="pct"/>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20"/>
              </w:rPr>
            </w:pPr>
            <w:r>
              <w:rPr>
                <w:rFonts w:ascii="Times New Roman" w:eastAsia="Times New Roman" w:hAnsi="Times New Roman" w:cs="Times New Roman"/>
                <w:b w:val="0"/>
                <w:i w:val="0"/>
                <w:vanish w:val="0"/>
                <w:color w:val="000000"/>
                <w:sz w:val="20"/>
              </w:rPr>
              <w:t>Podatki nacionalne PNR enote in ISCIU, liste prisotnosti na usposabljanjih, anketni listi.</w:t>
            </w:r>
          </w:p>
        </w:tc>
        <w:tc>
          <w:tcPr>
            <w:tcW w:w="10%" w:type="pct"/>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20"/>
              </w:rPr>
            </w:pPr>
          </w:p>
        </w:tc>
      </w:tr>
    </w:tbl>
    <w:p w:rsidR="00A77B3E">
      <w:pPr>
        <w:spacing w:before="100" w:after="0"/>
        <w:jc w:val="start"/>
        <w:rPr>
          <w:rFonts w:ascii="Times New Roman" w:eastAsia="Times New Roman" w:hAnsi="Times New Roman" w:cs="Times New Roman"/>
          <w:b w:val="0"/>
          <w:i w:val="0"/>
          <w:vanish w:val="0"/>
          <w:color w:val="000000"/>
          <w:sz w:val="20"/>
        </w:rPr>
        <w:sectPr>
          <w:headerReference w:type="even" r:id="rId46"/>
          <w:headerReference w:type="default" r:id="rId47"/>
          <w:footerReference w:type="even" r:id="rId48"/>
          <w:footerReference w:type="default" r:id="rId49"/>
          <w:headerReference w:type="first" r:id="rId50"/>
          <w:footerReference w:type="first" r:id="rId51"/>
          <w:type w:val="nextPage"/>
          <w:pgSz w:w="16838" w:h="11906" w:orient="landscape"/>
          <w:pgMar w:top="720" w:right="720" w:bottom="864" w:left="936" w:header="288" w:footer="72" w:gutter="0"/>
          <w:cols w:space="720"/>
          <w:noEndnote/>
          <w:docGrid w:linePitch="360"/>
        </w:sectPr>
      </w:pPr>
    </w:p>
    <w:p w:rsidR="00A77B3E">
      <w:pPr>
        <w:spacing w:before="100" w:after="0"/>
        <w:jc w:val="start"/>
        <w:rPr>
          <w:rFonts w:ascii="Times New Roman" w:eastAsia="Times New Roman" w:hAnsi="Times New Roman" w:cs="Times New Roman"/>
          <w:b w:val="0"/>
          <w:i w:val="0"/>
          <w:vanish w:val="0"/>
          <w:color w:val="000000"/>
          <w:sz w:val="0"/>
        </w:rPr>
      </w:pPr>
      <w:r>
        <w:rPr>
          <w:rFonts w:ascii="Times New Roman" w:eastAsia="Times New Roman" w:hAnsi="Times New Roman" w:cs="Times New Roman"/>
          <w:b w:val="0"/>
          <w:i w:val="0"/>
          <w:vanish w:val="0"/>
          <w:color w:val="000000"/>
          <w:sz w:val="24"/>
        </w:rPr>
        <w:t>2.1. Specifični cilj 3. Preprečevanje kriminala in boj proti njemu</w:t>
      </w:r>
    </w:p>
    <w:p w:rsidR="00A77B3E">
      <w:pPr>
        <w:pStyle w:val="Heading3"/>
        <w:spacing w:before="100" w:after="0"/>
        <w:jc w:val="start"/>
        <w:rPr>
          <w:rFonts w:ascii="Times New Roman" w:eastAsia="Times New Roman" w:hAnsi="Times New Roman" w:cs="Times New Roman"/>
          <w:b w:val="0"/>
          <w:i w:val="0"/>
          <w:vanish w:val="0"/>
          <w:color w:val="000000"/>
          <w:sz w:val="24"/>
        </w:rPr>
      </w:pPr>
      <w:bookmarkStart w:id="21" w:name="_Toc256000076"/>
      <w:r>
        <w:rPr>
          <w:rFonts w:ascii="Times New Roman" w:eastAsia="Times New Roman" w:hAnsi="Times New Roman" w:cs="Times New Roman"/>
          <w:b w:val="0"/>
          <w:i w:val="0"/>
          <w:vanish w:val="0"/>
          <w:color w:val="000000"/>
          <w:sz w:val="24"/>
        </w:rPr>
        <w:t>2.1.3. Okvirna razčlenitev programskih sredstev (EU) po vrsti ukrepa</w:t>
      </w:r>
      <w:bookmarkEnd w:id="21"/>
    </w:p>
    <w:p w:rsidR="00A77B3E">
      <w:pPr>
        <w:spacing w:before="100" w:after="0"/>
        <w:jc w:val="start"/>
        <w:rPr>
          <w:rFonts w:ascii="Times New Roman" w:eastAsia="Times New Roman" w:hAnsi="Times New Roman" w:cs="Times New Roman"/>
          <w:b w:val="0"/>
          <w:i w:val="0"/>
          <w:vanish w:val="0"/>
          <w:color w:val="000000"/>
          <w:sz w:val="24"/>
        </w:rPr>
      </w:pPr>
      <w:r>
        <w:rPr>
          <w:rFonts w:ascii="Times New Roman" w:eastAsia="Times New Roman" w:hAnsi="Times New Roman" w:cs="Times New Roman"/>
          <w:b w:val="0"/>
          <w:i w:val="0"/>
          <w:vanish w:val="0"/>
          <w:color w:val="000000"/>
          <w:sz w:val="24"/>
        </w:rPr>
        <w:t>Sklic: člen 22(5) uredbe o skupnih določbah, člen 16(2) uredbe o AMIF, člen 13(12) uredbe o SNV ali člen 13(18) uredbe o IUMV</w:t>
      </w:r>
    </w:p>
    <w:p w:rsidR="00A77B3E">
      <w:pPr>
        <w:pStyle w:val="Heading4"/>
        <w:spacing w:before="100" w:after="0"/>
        <w:jc w:val="start"/>
        <w:rPr>
          <w:rFonts w:ascii="Times New Roman" w:eastAsia="Times New Roman" w:hAnsi="Times New Roman" w:cs="Times New Roman"/>
          <w:b w:val="0"/>
          <w:i w:val="0"/>
          <w:vanish w:val="0"/>
          <w:color w:val="000000"/>
          <w:sz w:val="24"/>
        </w:rPr>
      </w:pPr>
      <w:bookmarkStart w:id="22" w:name="_Toc256000077"/>
      <w:r>
        <w:rPr>
          <w:rFonts w:ascii="Times New Roman" w:eastAsia="Times New Roman" w:hAnsi="Times New Roman" w:cs="Times New Roman"/>
          <w:b w:val="0"/>
          <w:i w:val="0"/>
          <w:vanish w:val="0"/>
          <w:color w:val="000000"/>
          <w:sz w:val="24"/>
        </w:rPr>
        <w:t>Tabela 3: Okvirna razčlenitev</w:t>
      </w:r>
      <w:bookmarkEnd w:id="22"/>
    </w:p>
    <w:p w:rsidR="00A77B3E">
      <w:pPr>
        <w:spacing w:before="100" w:after="0"/>
        <w:jc w:val="start"/>
        <w:rPr>
          <w:rFonts w:ascii="Times New Roman" w:eastAsia="Times New Roman" w:hAnsi="Times New Roman" w:cs="Times New Roman"/>
          <w:b w:val="0"/>
          <w:i w:val="0"/>
          <w:vanish w:val="0"/>
          <w:color w:val="000000"/>
          <w:sz w:val="0"/>
        </w:rPr>
      </w:pPr>
    </w:p>
    <w:tbl>
      <w:tblPr>
        <w:tblW w:w="100%" w:type="pct"/>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CellMar>
          <w:start w:w="5.4pt" w:type="dxa"/>
          <w:end w:w="5.4pt" w:type="dxa"/>
        </w:tblCellMar>
      </w:tblPr>
      <w:tblGrid>
        <w:gridCol w:w="1845"/>
        <w:gridCol w:w="10989"/>
        <w:gridCol w:w="2468"/>
      </w:tblGrid>
      <w:tr>
        <w:tblPrEx>
          <w:tblW w:w="100%" w:type="pct"/>
        </w:tblPrEx>
        <w:trPr>
          <w:cantSplit w:val="0"/>
          <w:trHeight w:hRule="auto" w:val="0"/>
          <w:tblHeader/>
        </w:trPr>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20"/>
              </w:rPr>
            </w:pPr>
            <w:r>
              <w:rPr>
                <w:rFonts w:ascii="Times New Roman" w:eastAsia="Times New Roman" w:hAnsi="Times New Roman" w:cs="Times New Roman"/>
                <w:b w:val="0"/>
                <w:i w:val="0"/>
                <w:vanish w:val="0"/>
                <w:color w:val="000000"/>
                <w:sz w:val="20"/>
              </w:rPr>
              <w:t>Vrsta intervencije</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20"/>
              </w:rPr>
            </w:pPr>
            <w:r>
              <w:rPr>
                <w:rFonts w:ascii="Times New Roman" w:eastAsia="Times New Roman" w:hAnsi="Times New Roman" w:cs="Times New Roman"/>
                <w:b w:val="0"/>
                <w:i w:val="0"/>
                <w:vanish w:val="0"/>
                <w:color w:val="000000"/>
                <w:sz w:val="20"/>
              </w:rPr>
              <w:t>Oznaka</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20"/>
              </w:rPr>
            </w:pPr>
            <w:r>
              <w:rPr>
                <w:rFonts w:ascii="Times New Roman" w:eastAsia="Times New Roman" w:hAnsi="Times New Roman" w:cs="Times New Roman"/>
                <w:b w:val="0"/>
                <w:i w:val="0"/>
                <w:vanish w:val="0"/>
                <w:color w:val="000000"/>
                <w:sz w:val="20"/>
              </w:rPr>
              <w:t>Okvirni znesek (v EUR)</w:t>
            </w:r>
          </w:p>
        </w:tc>
      </w:tr>
      <w:tr>
        <w:tblPrEx>
          <w:tblW w:w="100%" w:type="pct"/>
        </w:tblPrEx>
        <w:trPr>
          <w:cantSplit w:val="0"/>
          <w:trHeight w:hRule="auto" w:val="0"/>
          <w:tblHeader w:val="0"/>
        </w:trPr>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20"/>
              </w:rPr>
            </w:pPr>
            <w:r>
              <w:rPr>
                <w:rFonts w:ascii="Times New Roman" w:eastAsia="Times New Roman" w:hAnsi="Times New Roman" w:cs="Times New Roman"/>
                <w:b w:val="0"/>
                <w:i w:val="0"/>
                <w:vanish w:val="0"/>
                <w:color w:val="000000"/>
                <w:sz w:val="20"/>
              </w:rPr>
              <w:t>Vrsta ukrepa</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20"/>
              </w:rPr>
            </w:pPr>
            <w:r>
              <w:rPr>
                <w:rFonts w:ascii="Times New Roman" w:eastAsia="Times New Roman" w:hAnsi="Times New Roman" w:cs="Times New Roman"/>
                <w:b w:val="0"/>
                <w:i w:val="0"/>
                <w:vanish w:val="0"/>
                <w:color w:val="000000"/>
                <w:sz w:val="20"/>
              </w:rPr>
              <w:t>001.Sistemi IKT, interoperabilnost, kakovost podatkov (razen opreme)</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20"/>
              </w:rPr>
            </w:pPr>
            <w:r>
              <w:rPr>
                <w:rFonts w:ascii="Times New Roman" w:eastAsia="Times New Roman" w:hAnsi="Times New Roman" w:cs="Times New Roman"/>
                <w:b w:val="0"/>
                <w:i w:val="0"/>
                <w:vanish w:val="0"/>
                <w:color w:val="000000"/>
                <w:sz w:val="20"/>
              </w:rPr>
              <w:t>5.101.877,80</w:t>
            </w:r>
          </w:p>
        </w:tc>
      </w:tr>
      <w:tr>
        <w:tblPrEx>
          <w:tblW w:w="100%" w:type="pct"/>
        </w:tblPrEx>
        <w:trPr>
          <w:cantSplit w:val="0"/>
          <w:trHeight w:hRule="auto" w:val="0"/>
          <w:tblHeader w:val="0"/>
        </w:trPr>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20"/>
              </w:rPr>
            </w:pPr>
            <w:r>
              <w:rPr>
                <w:rFonts w:ascii="Times New Roman" w:eastAsia="Times New Roman" w:hAnsi="Times New Roman" w:cs="Times New Roman"/>
                <w:b w:val="0"/>
                <w:i w:val="0"/>
                <w:vanish w:val="0"/>
                <w:color w:val="000000"/>
                <w:sz w:val="20"/>
              </w:rPr>
              <w:t>Vrsta ukrepa</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20"/>
              </w:rPr>
            </w:pPr>
            <w:r>
              <w:rPr>
                <w:rFonts w:ascii="Times New Roman" w:eastAsia="Times New Roman" w:hAnsi="Times New Roman" w:cs="Times New Roman"/>
                <w:b w:val="0"/>
                <w:i w:val="0"/>
                <w:vanish w:val="0"/>
                <w:color w:val="000000"/>
                <w:sz w:val="20"/>
              </w:rPr>
              <w:t>002.Omrežja, centri odličnosti, strukture sodelovanja, skupni ukrepi in operacije</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20"/>
              </w:rPr>
            </w:pPr>
            <w:r>
              <w:rPr>
                <w:rFonts w:ascii="Times New Roman" w:eastAsia="Times New Roman" w:hAnsi="Times New Roman" w:cs="Times New Roman"/>
                <w:b w:val="0"/>
                <w:i w:val="0"/>
                <w:vanish w:val="0"/>
                <w:color w:val="000000"/>
                <w:sz w:val="20"/>
              </w:rPr>
              <w:t>514.375,00</w:t>
            </w:r>
          </w:p>
        </w:tc>
      </w:tr>
      <w:tr>
        <w:tblPrEx>
          <w:tblW w:w="100%" w:type="pct"/>
        </w:tblPrEx>
        <w:trPr>
          <w:cantSplit w:val="0"/>
          <w:trHeight w:hRule="auto" w:val="0"/>
          <w:tblHeader w:val="0"/>
        </w:trPr>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20"/>
              </w:rPr>
            </w:pPr>
            <w:r>
              <w:rPr>
                <w:rFonts w:ascii="Times New Roman" w:eastAsia="Times New Roman" w:hAnsi="Times New Roman" w:cs="Times New Roman"/>
                <w:b w:val="0"/>
                <w:i w:val="0"/>
                <w:vanish w:val="0"/>
                <w:color w:val="000000"/>
                <w:sz w:val="20"/>
              </w:rPr>
              <w:t>Vrsta ukrepa</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20"/>
              </w:rPr>
            </w:pPr>
            <w:r>
              <w:rPr>
                <w:rFonts w:ascii="Times New Roman" w:eastAsia="Times New Roman" w:hAnsi="Times New Roman" w:cs="Times New Roman"/>
                <w:b w:val="0"/>
                <w:i w:val="0"/>
                <w:vanish w:val="0"/>
                <w:color w:val="000000"/>
                <w:sz w:val="20"/>
              </w:rPr>
              <w:t>003.Skupne preiskovalne skupine ali druge skupne operacije</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20"/>
              </w:rPr>
            </w:pPr>
            <w:r>
              <w:rPr>
                <w:rFonts w:ascii="Times New Roman" w:eastAsia="Times New Roman" w:hAnsi="Times New Roman" w:cs="Times New Roman"/>
                <w:b w:val="0"/>
                <w:i w:val="0"/>
                <w:vanish w:val="0"/>
                <w:color w:val="000000"/>
                <w:sz w:val="20"/>
              </w:rPr>
              <w:t>125.000,00</w:t>
            </w:r>
          </w:p>
        </w:tc>
      </w:tr>
      <w:tr>
        <w:tblPrEx>
          <w:tblW w:w="100%" w:type="pct"/>
        </w:tblPrEx>
        <w:trPr>
          <w:cantSplit w:val="0"/>
          <w:trHeight w:hRule="auto" w:val="0"/>
          <w:tblHeader w:val="0"/>
        </w:trPr>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20"/>
              </w:rPr>
            </w:pPr>
            <w:r>
              <w:rPr>
                <w:rFonts w:ascii="Times New Roman" w:eastAsia="Times New Roman" w:hAnsi="Times New Roman" w:cs="Times New Roman"/>
                <w:b w:val="0"/>
                <w:i w:val="0"/>
                <w:vanish w:val="0"/>
                <w:color w:val="000000"/>
                <w:sz w:val="20"/>
              </w:rPr>
              <w:t>Vrsta ukrepa</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20"/>
              </w:rPr>
            </w:pPr>
            <w:r>
              <w:rPr>
                <w:rFonts w:ascii="Times New Roman" w:eastAsia="Times New Roman" w:hAnsi="Times New Roman" w:cs="Times New Roman"/>
                <w:b w:val="0"/>
                <w:i w:val="0"/>
                <w:vanish w:val="0"/>
                <w:color w:val="000000"/>
                <w:sz w:val="20"/>
              </w:rPr>
              <w:t>004.Napotitev ali premestitev strokovnjakov</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20"/>
              </w:rPr>
            </w:pPr>
            <w:r>
              <w:rPr>
                <w:rFonts w:ascii="Times New Roman" w:eastAsia="Times New Roman" w:hAnsi="Times New Roman" w:cs="Times New Roman"/>
                <w:b w:val="0"/>
                <w:i w:val="0"/>
                <w:vanish w:val="0"/>
                <w:color w:val="000000"/>
                <w:sz w:val="20"/>
              </w:rPr>
              <w:t>0,00</w:t>
            </w:r>
          </w:p>
        </w:tc>
      </w:tr>
      <w:tr>
        <w:tblPrEx>
          <w:tblW w:w="100%" w:type="pct"/>
        </w:tblPrEx>
        <w:trPr>
          <w:cantSplit w:val="0"/>
          <w:trHeight w:hRule="auto" w:val="0"/>
          <w:tblHeader w:val="0"/>
        </w:trPr>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20"/>
              </w:rPr>
            </w:pPr>
            <w:r>
              <w:rPr>
                <w:rFonts w:ascii="Times New Roman" w:eastAsia="Times New Roman" w:hAnsi="Times New Roman" w:cs="Times New Roman"/>
                <w:b w:val="0"/>
                <w:i w:val="0"/>
                <w:vanish w:val="0"/>
                <w:color w:val="000000"/>
                <w:sz w:val="20"/>
              </w:rPr>
              <w:t>Vrsta ukrepa</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20"/>
              </w:rPr>
            </w:pPr>
            <w:r>
              <w:rPr>
                <w:rFonts w:ascii="Times New Roman" w:eastAsia="Times New Roman" w:hAnsi="Times New Roman" w:cs="Times New Roman"/>
                <w:b w:val="0"/>
                <w:i w:val="0"/>
                <w:vanish w:val="0"/>
                <w:color w:val="000000"/>
                <w:sz w:val="20"/>
              </w:rPr>
              <w:t>005.Usposabljanje</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20"/>
              </w:rPr>
            </w:pPr>
            <w:r>
              <w:rPr>
                <w:rFonts w:ascii="Times New Roman" w:eastAsia="Times New Roman" w:hAnsi="Times New Roman" w:cs="Times New Roman"/>
                <w:b w:val="0"/>
                <w:i w:val="0"/>
                <w:vanish w:val="0"/>
                <w:color w:val="000000"/>
                <w:sz w:val="20"/>
              </w:rPr>
              <w:t>1.674.055,31</w:t>
            </w:r>
          </w:p>
        </w:tc>
      </w:tr>
      <w:tr>
        <w:tblPrEx>
          <w:tblW w:w="100%" w:type="pct"/>
        </w:tblPrEx>
        <w:trPr>
          <w:cantSplit w:val="0"/>
          <w:trHeight w:hRule="auto" w:val="0"/>
          <w:tblHeader w:val="0"/>
        </w:trPr>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20"/>
              </w:rPr>
            </w:pPr>
            <w:r>
              <w:rPr>
                <w:rFonts w:ascii="Times New Roman" w:eastAsia="Times New Roman" w:hAnsi="Times New Roman" w:cs="Times New Roman"/>
                <w:b w:val="0"/>
                <w:i w:val="0"/>
                <w:vanish w:val="0"/>
                <w:color w:val="000000"/>
                <w:sz w:val="20"/>
              </w:rPr>
              <w:t>Vrsta ukrepa</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20"/>
              </w:rPr>
            </w:pPr>
            <w:r>
              <w:rPr>
                <w:rFonts w:ascii="Times New Roman" w:eastAsia="Times New Roman" w:hAnsi="Times New Roman" w:cs="Times New Roman"/>
                <w:b w:val="0"/>
                <w:i w:val="0"/>
                <w:vanish w:val="0"/>
                <w:color w:val="000000"/>
                <w:sz w:val="20"/>
              </w:rPr>
              <w:t>006.Izmenjava dobrih praks, delavnice, konference, dogodki, kampanje za ozaveščanje, dejavnosti komuniciranja</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20"/>
              </w:rPr>
            </w:pPr>
            <w:r>
              <w:rPr>
                <w:rFonts w:ascii="Times New Roman" w:eastAsia="Times New Roman" w:hAnsi="Times New Roman" w:cs="Times New Roman"/>
                <w:b w:val="0"/>
                <w:i w:val="0"/>
                <w:vanish w:val="0"/>
                <w:color w:val="000000"/>
                <w:sz w:val="20"/>
              </w:rPr>
              <w:t>230.925,00</w:t>
            </w:r>
          </w:p>
        </w:tc>
      </w:tr>
      <w:tr>
        <w:tblPrEx>
          <w:tblW w:w="100%" w:type="pct"/>
        </w:tblPrEx>
        <w:trPr>
          <w:cantSplit w:val="0"/>
          <w:trHeight w:hRule="auto" w:val="0"/>
          <w:tblHeader w:val="0"/>
        </w:trPr>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20"/>
              </w:rPr>
            </w:pPr>
            <w:r>
              <w:rPr>
                <w:rFonts w:ascii="Times New Roman" w:eastAsia="Times New Roman" w:hAnsi="Times New Roman" w:cs="Times New Roman"/>
                <w:b w:val="0"/>
                <w:i w:val="0"/>
                <w:vanish w:val="0"/>
                <w:color w:val="000000"/>
                <w:sz w:val="20"/>
              </w:rPr>
              <w:t>Vrsta ukrepa</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20"/>
              </w:rPr>
            </w:pPr>
            <w:r>
              <w:rPr>
                <w:rFonts w:ascii="Times New Roman" w:eastAsia="Times New Roman" w:hAnsi="Times New Roman" w:cs="Times New Roman"/>
                <w:b w:val="0"/>
                <w:i w:val="0"/>
                <w:vanish w:val="0"/>
                <w:color w:val="000000"/>
                <w:sz w:val="20"/>
              </w:rPr>
              <w:t>007.Študije, pilotni projekti, ocene tveganja</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20"/>
              </w:rPr>
            </w:pPr>
            <w:r>
              <w:rPr>
                <w:rFonts w:ascii="Times New Roman" w:eastAsia="Times New Roman" w:hAnsi="Times New Roman" w:cs="Times New Roman"/>
                <w:b w:val="0"/>
                <w:i w:val="0"/>
                <w:vanish w:val="0"/>
                <w:color w:val="000000"/>
                <w:sz w:val="20"/>
              </w:rPr>
              <w:t>139.000,00</w:t>
            </w:r>
          </w:p>
        </w:tc>
      </w:tr>
      <w:tr>
        <w:tblPrEx>
          <w:tblW w:w="100%" w:type="pct"/>
        </w:tblPrEx>
        <w:trPr>
          <w:cantSplit w:val="0"/>
          <w:trHeight w:hRule="auto" w:val="0"/>
          <w:tblHeader w:val="0"/>
        </w:trPr>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20"/>
              </w:rPr>
            </w:pPr>
            <w:r>
              <w:rPr>
                <w:rFonts w:ascii="Times New Roman" w:eastAsia="Times New Roman" w:hAnsi="Times New Roman" w:cs="Times New Roman"/>
                <w:b w:val="0"/>
                <w:i w:val="0"/>
                <w:vanish w:val="0"/>
                <w:color w:val="000000"/>
                <w:sz w:val="20"/>
              </w:rPr>
              <w:t>Vrsta ukrepa</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20"/>
              </w:rPr>
            </w:pPr>
            <w:r>
              <w:rPr>
                <w:rFonts w:ascii="Times New Roman" w:eastAsia="Times New Roman" w:hAnsi="Times New Roman" w:cs="Times New Roman"/>
                <w:b w:val="0"/>
                <w:i w:val="0"/>
                <w:vanish w:val="0"/>
                <w:color w:val="000000"/>
                <w:sz w:val="20"/>
              </w:rPr>
              <w:t>008.Oprema</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20"/>
              </w:rPr>
            </w:pPr>
            <w:r>
              <w:rPr>
                <w:rFonts w:ascii="Times New Roman" w:eastAsia="Times New Roman" w:hAnsi="Times New Roman" w:cs="Times New Roman"/>
                <w:b w:val="0"/>
                <w:i w:val="0"/>
                <w:vanish w:val="0"/>
                <w:color w:val="000000"/>
                <w:sz w:val="20"/>
              </w:rPr>
              <w:t>4.002.424,90</w:t>
            </w:r>
          </w:p>
        </w:tc>
      </w:tr>
      <w:tr>
        <w:tblPrEx>
          <w:tblW w:w="100%" w:type="pct"/>
        </w:tblPrEx>
        <w:trPr>
          <w:cantSplit w:val="0"/>
          <w:trHeight w:hRule="auto" w:val="0"/>
          <w:tblHeader w:val="0"/>
        </w:trPr>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20"/>
              </w:rPr>
            </w:pPr>
            <w:r>
              <w:rPr>
                <w:rFonts w:ascii="Times New Roman" w:eastAsia="Times New Roman" w:hAnsi="Times New Roman" w:cs="Times New Roman"/>
                <w:b w:val="0"/>
                <w:i w:val="0"/>
                <w:vanish w:val="0"/>
                <w:color w:val="000000"/>
                <w:sz w:val="20"/>
              </w:rPr>
              <w:t>Vrsta ukrepa</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20"/>
              </w:rPr>
            </w:pPr>
            <w:r>
              <w:rPr>
                <w:rFonts w:ascii="Times New Roman" w:eastAsia="Times New Roman" w:hAnsi="Times New Roman" w:cs="Times New Roman"/>
                <w:b w:val="0"/>
                <w:i w:val="0"/>
                <w:vanish w:val="0"/>
                <w:color w:val="000000"/>
                <w:sz w:val="20"/>
              </w:rPr>
              <w:t>009.Prevozna sredstva</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20"/>
              </w:rPr>
            </w:pPr>
            <w:r>
              <w:rPr>
                <w:rFonts w:ascii="Times New Roman" w:eastAsia="Times New Roman" w:hAnsi="Times New Roman" w:cs="Times New Roman"/>
                <w:b w:val="0"/>
                <w:i w:val="0"/>
                <w:vanish w:val="0"/>
                <w:color w:val="000000"/>
                <w:sz w:val="20"/>
              </w:rPr>
              <w:t>1.283.758,17</w:t>
            </w:r>
          </w:p>
        </w:tc>
      </w:tr>
      <w:tr>
        <w:tblPrEx>
          <w:tblW w:w="100%" w:type="pct"/>
        </w:tblPrEx>
        <w:trPr>
          <w:cantSplit w:val="0"/>
          <w:trHeight w:hRule="auto" w:val="0"/>
          <w:tblHeader w:val="0"/>
        </w:trPr>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20"/>
              </w:rPr>
            </w:pPr>
            <w:r>
              <w:rPr>
                <w:rFonts w:ascii="Times New Roman" w:eastAsia="Times New Roman" w:hAnsi="Times New Roman" w:cs="Times New Roman"/>
                <w:b w:val="0"/>
                <w:i w:val="0"/>
                <w:vanish w:val="0"/>
                <w:color w:val="000000"/>
                <w:sz w:val="20"/>
              </w:rPr>
              <w:t>Vrsta ukrepa</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20"/>
              </w:rPr>
            </w:pPr>
            <w:r>
              <w:rPr>
                <w:rFonts w:ascii="Times New Roman" w:eastAsia="Times New Roman" w:hAnsi="Times New Roman" w:cs="Times New Roman"/>
                <w:b w:val="0"/>
                <w:i w:val="0"/>
                <w:vanish w:val="0"/>
                <w:color w:val="000000"/>
                <w:sz w:val="20"/>
              </w:rPr>
              <w:t>010.Stavbe, objekti</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20"/>
              </w:rPr>
            </w:pPr>
            <w:r>
              <w:rPr>
                <w:rFonts w:ascii="Times New Roman" w:eastAsia="Times New Roman" w:hAnsi="Times New Roman" w:cs="Times New Roman"/>
                <w:b w:val="0"/>
                <w:i w:val="0"/>
                <w:vanish w:val="0"/>
                <w:color w:val="000000"/>
                <w:sz w:val="20"/>
              </w:rPr>
              <w:t>393.600,00</w:t>
            </w:r>
          </w:p>
        </w:tc>
      </w:tr>
      <w:tr>
        <w:tblPrEx>
          <w:tblW w:w="100%" w:type="pct"/>
        </w:tblPrEx>
        <w:trPr>
          <w:cantSplit w:val="0"/>
          <w:trHeight w:hRule="auto" w:val="0"/>
          <w:tblHeader w:val="0"/>
        </w:trPr>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20"/>
              </w:rPr>
            </w:pPr>
            <w:r>
              <w:rPr>
                <w:rFonts w:ascii="Times New Roman" w:eastAsia="Times New Roman" w:hAnsi="Times New Roman" w:cs="Times New Roman"/>
                <w:b w:val="0"/>
                <w:i w:val="0"/>
                <w:vanish w:val="0"/>
                <w:color w:val="000000"/>
                <w:sz w:val="20"/>
              </w:rPr>
              <w:t>Vrsta ukrepa</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20"/>
              </w:rPr>
            </w:pPr>
            <w:r>
              <w:rPr>
                <w:rFonts w:ascii="Times New Roman" w:eastAsia="Times New Roman" w:hAnsi="Times New Roman" w:cs="Times New Roman"/>
                <w:b w:val="0"/>
                <w:i w:val="0"/>
                <w:vanish w:val="0"/>
                <w:color w:val="000000"/>
                <w:sz w:val="20"/>
              </w:rPr>
              <w:t>011.Uporaba raziskovalnih projektov ali drugi nadaljnji ukrepi na podlagi teh projektov</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20"/>
              </w:rPr>
            </w:pPr>
            <w:r>
              <w:rPr>
                <w:rFonts w:ascii="Times New Roman" w:eastAsia="Times New Roman" w:hAnsi="Times New Roman" w:cs="Times New Roman"/>
                <w:b w:val="0"/>
                <w:i w:val="0"/>
                <w:vanish w:val="0"/>
                <w:color w:val="000000"/>
                <w:sz w:val="20"/>
              </w:rPr>
              <w:t>100.000,00</w:t>
            </w:r>
          </w:p>
        </w:tc>
      </w:tr>
    </w:tbl>
    <w:p w:rsidR="00A77B3E">
      <w:pPr>
        <w:spacing w:before="100" w:after="0"/>
        <w:jc w:val="start"/>
        <w:rPr>
          <w:rFonts w:ascii="Times New Roman" w:eastAsia="Times New Roman" w:hAnsi="Times New Roman" w:cs="Times New Roman"/>
          <w:b w:val="0"/>
          <w:i w:val="0"/>
          <w:vanish w:val="0"/>
          <w:color w:val="000000"/>
          <w:sz w:val="20"/>
        </w:rPr>
        <w:sectPr>
          <w:type w:val="nextPage"/>
          <w:pgSz w:w="16838" w:h="11906" w:orient="landscape"/>
          <w:pgMar w:top="720" w:right="720" w:bottom="864" w:left="936" w:header="288" w:footer="72" w:gutter="0"/>
          <w:cols w:space="720"/>
          <w:noEndnote/>
          <w:docGrid w:linePitch="360"/>
        </w:sectPr>
      </w:pPr>
    </w:p>
    <w:p w:rsidR="00A77B3E">
      <w:pPr>
        <w:pStyle w:val="Heading2"/>
        <w:spacing w:before="100" w:after="0"/>
        <w:jc w:val="start"/>
        <w:rPr>
          <w:rFonts w:ascii="TimesNewRoman" w:eastAsia="TimesNewRoman" w:hAnsi="TimesNewRoman" w:cs="TimesNewRoman"/>
          <w:b w:val="0"/>
          <w:i w:val="0"/>
          <w:vanish w:val="0"/>
          <w:color w:val="000000"/>
          <w:sz w:val="24"/>
        </w:rPr>
      </w:pPr>
      <w:bookmarkStart w:id="23" w:name="_Toc256000078"/>
      <w:r>
        <w:rPr>
          <w:rFonts w:ascii="TimesNewRoman" w:eastAsia="TimesNewRoman" w:hAnsi="TimesNewRoman" w:cs="TimesNewRoman"/>
          <w:b w:val="0"/>
          <w:i w:val="0"/>
          <w:vanish w:val="0"/>
          <w:color w:val="000000"/>
          <w:sz w:val="24"/>
        </w:rPr>
        <w:t>2.2. Tehnična pomoč: TA.36(5). Tehnična pomoč – pavšalna stopnja (člen 36(5) uredbe o skupnih določbah)</w:t>
      </w:r>
      <w:bookmarkEnd w:id="23"/>
    </w:p>
    <w:p w:rsidR="00A77B3E">
      <w:pPr>
        <w:spacing w:before="100" w:after="0"/>
        <w:jc w:val="start"/>
        <w:rPr>
          <w:rFonts w:ascii="TimesNewRoman" w:eastAsia="TimesNewRoman" w:hAnsi="TimesNewRoman" w:cs="TimesNewRoman"/>
          <w:b w:val="0"/>
          <w:i w:val="0"/>
          <w:vanish w:val="0"/>
          <w:color w:val="000000"/>
          <w:sz w:val="0"/>
        </w:rPr>
      </w:pPr>
    </w:p>
    <w:p w:rsidR="00A77B3E">
      <w:pPr>
        <w:spacing w:before="100" w:after="0"/>
        <w:jc w:val="start"/>
        <w:rPr>
          <w:rFonts w:ascii="TimesNewRoman" w:eastAsia="TimesNewRoman" w:hAnsi="TimesNewRoman" w:cs="TimesNewRoman"/>
          <w:b w:val="0"/>
          <w:i w:val="0"/>
          <w:vanish w:val="0"/>
          <w:color w:val="000000"/>
          <w:sz w:val="0"/>
        </w:rPr>
      </w:pPr>
      <w:r>
        <w:rPr>
          <w:rFonts w:ascii="TimesNewRoman" w:eastAsia="TimesNewRoman" w:hAnsi="TimesNewRoman" w:cs="TimesNewRoman"/>
          <w:b w:val="0"/>
          <w:i w:val="0"/>
          <w:vanish w:val="0"/>
          <w:color w:val="000000"/>
          <w:sz w:val="24"/>
        </w:rPr>
        <w:t>Sklic: člen 22(3)(f), člen 36(5) ter člena 37 in 95 uredbe o skupnih določbah</w:t>
      </w:r>
    </w:p>
    <w:p w:rsidR="00A77B3E">
      <w:pPr>
        <w:pStyle w:val="Heading3"/>
        <w:spacing w:before="100" w:after="0"/>
        <w:jc w:val="start"/>
        <w:rPr>
          <w:rFonts w:ascii="TimesNewRoman" w:eastAsia="TimesNewRoman" w:hAnsi="TimesNewRoman" w:cs="TimesNewRoman"/>
          <w:b w:val="0"/>
          <w:i w:val="0"/>
          <w:vanish w:val="0"/>
          <w:color w:val="000000"/>
          <w:sz w:val="24"/>
        </w:rPr>
      </w:pPr>
      <w:bookmarkStart w:id="24" w:name="_Toc256000079"/>
      <w:r>
        <w:rPr>
          <w:rFonts w:ascii="TimesNewRoman" w:eastAsia="TimesNewRoman" w:hAnsi="TimesNewRoman" w:cs="TimesNewRoman"/>
          <w:b w:val="0"/>
          <w:i w:val="0"/>
          <w:vanish w:val="0"/>
          <w:color w:val="000000"/>
          <w:sz w:val="24"/>
        </w:rPr>
        <w:t>2.2.1. Opis</w:t>
      </w:r>
      <w:bookmarkEnd w:id="24"/>
    </w:p>
    <w:p w:rsidR="00A77B3E">
      <w:pPr>
        <w:spacing w:before="100" w:after="0"/>
        <w:jc w:val="start"/>
        <w:rPr>
          <w:rFonts w:ascii="TimesNewRoman" w:eastAsia="TimesNewRoman" w:hAnsi="TimesNewRoman" w:cs="TimesNewRoman"/>
          <w:b w:val="0"/>
          <w:i w:val="0"/>
          <w:vanish w:val="0"/>
          <w:color w:val="000000"/>
          <w:sz w:val="0"/>
        </w:rPr>
      </w:pPr>
    </w:p>
    <w:tbl>
      <w:tblPr>
        <w:tblW w:w="100%" w:type="pct"/>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Layout w:type="fixed"/>
        <w:tblCellMar>
          <w:start w:w="5.4pt" w:type="dxa"/>
          <w:end w:w="5.4pt" w:type="dxa"/>
        </w:tblCellMar>
      </w:tblPr>
      <w:tblGrid>
        <w:gridCol w:w="10240"/>
      </w:tblGrid>
      <w:tr>
        <w:tblPrEx>
          <w:tblW w:w="100%" w:type="pct"/>
          <w:tblLayout w:type="fixed"/>
        </w:tblPrEx>
        <w:trPr>
          <w:cantSplit w:val="0"/>
          <w:trHeight w:hRule="auto" w:val="0"/>
          <w:tblHeader w:val="0"/>
        </w:trPr>
        <w:tc>
          <w:tcPr>
            <w:tcW w:w="100%" w:type="pct"/>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NewRoman" w:eastAsia="TimesNewRoman" w:hAnsi="TimesNewRoman" w:cs="TimesNewRoman"/>
                <w:b w:val="0"/>
                <w:i w:val="0"/>
                <w:vanish w:val="0"/>
                <w:color w:val="000000"/>
                <w:sz w:val="0"/>
              </w:rPr>
            </w:pPr>
          </w:p>
          <w:p w:rsidR="00A77B3E">
            <w:pPr>
              <w:spacing w:before="100" w:after="0"/>
              <w:jc w:val="start"/>
              <w:rPr>
                <w:rFonts w:ascii="TimesNewRoman" w:eastAsia="TimesNewRoman" w:hAnsi="TimesNewRoman" w:cs="TimesNewRoman"/>
                <w:b w:val="0"/>
                <w:i w:val="0"/>
                <w:vanish w:val="0"/>
                <w:color w:val="000000"/>
                <w:sz w:val="24"/>
              </w:rPr>
            </w:pPr>
            <w:r>
              <w:rPr>
                <w:rFonts w:ascii="TimesNewRoman" w:eastAsia="TimesNewRoman" w:hAnsi="TimesNewRoman" w:cs="TimesNewRoman"/>
                <w:b w:val="0"/>
                <w:i w:val="0"/>
                <w:vanish w:val="0"/>
                <w:color w:val="000000"/>
                <w:sz w:val="24"/>
              </w:rPr>
              <w:t>Sredstva tehnične pomoči (TP) bodo v večini namenjena za krepitev zmogljivosti (tj. plače osebja, izobraževanja in usposabljanja, itd.) v okviru organa upravljanja tj. MNZ, Služba za evropska sredstva, Projektna enota za sklade notranje varnosti in migracije, ki se bo skladno s povečanim obsegom dodeljenih sredstev in posledično povečanim številom operacij okrepila. Sredstva TP bodo namenjena tudi za delovanje revizijskega organa tj. Ministrstva za finance, Urada za nadzor proračuna ter dveh posredniških teles. To sta Ministrstvo za finance, Sektor za upravljanje s sredstvi EU/CA za izvajanje finančnih transakcij med EU in nacionalnim proračunom ter posredniško telo za operacije, ki se izvajajo na podlagi javnih razpisov. Načrtovani stroški so vezani na stroške osebja, usposabljanj in tekoče stroški delovanja v vseh fazah programiranja (priprava, upravljanje in nadzor, spremljanje in vrednotenje).</w:t>
            </w:r>
          </w:p>
          <w:p w:rsidR="00A77B3E">
            <w:pPr>
              <w:spacing w:before="100" w:after="0"/>
              <w:jc w:val="start"/>
              <w:rPr>
                <w:rFonts w:ascii="TimesNewRoman" w:eastAsia="TimesNewRoman" w:hAnsi="TimesNewRoman" w:cs="TimesNewRoman"/>
                <w:b w:val="0"/>
                <w:i w:val="0"/>
                <w:vanish w:val="0"/>
                <w:color w:val="000000"/>
                <w:sz w:val="24"/>
              </w:rPr>
            </w:pPr>
            <w:r>
              <w:rPr>
                <w:rFonts w:ascii="TimesNewRoman" w:eastAsia="TimesNewRoman" w:hAnsi="TimesNewRoman" w:cs="TimesNewRoman"/>
                <w:b w:val="0"/>
                <w:i w:val="0"/>
                <w:vanish w:val="0"/>
                <w:color w:val="000000"/>
                <w:sz w:val="24"/>
              </w:rPr>
              <w:t>Del sredstev bo namenjen za postavitev, nadgradnjo in vzdrževanje informacijskega sistema MIGRA III, ki je namenjen upravljanju in nadzoru EU sredstev skladov s področja notranje varnosti in migracij. Uporablja se za načrtovanje, izvajanje, spremljanje operacij, tako z vsebinskega, kot tudi finančnega vidika.</w:t>
            </w:r>
          </w:p>
          <w:p w:rsidR="00A77B3E">
            <w:pPr>
              <w:spacing w:before="100" w:after="0"/>
              <w:jc w:val="start"/>
              <w:rPr>
                <w:rFonts w:ascii="TimesNewRoman" w:eastAsia="TimesNewRoman" w:hAnsi="TimesNewRoman" w:cs="TimesNewRoman"/>
                <w:b w:val="0"/>
                <w:i w:val="0"/>
                <w:vanish w:val="0"/>
                <w:color w:val="000000"/>
                <w:sz w:val="24"/>
              </w:rPr>
            </w:pPr>
            <w:r>
              <w:rPr>
                <w:rFonts w:ascii="TimesNewRoman" w:eastAsia="TimesNewRoman" w:hAnsi="TimesNewRoman" w:cs="TimesNewRoman"/>
                <w:b w:val="0"/>
                <w:i w:val="0"/>
                <w:vanish w:val="0"/>
                <w:color w:val="000000"/>
                <w:sz w:val="24"/>
              </w:rPr>
              <w:t>Preko nje bo potekala tudi izmenjava podatkov z aplikacijo SFC21 in bo osnova za pripravo vseh poročil. Dostop bodo imeli tako upravičenci, kot tudi drugi organi v sistemu upravljanja in nadzora.</w:t>
            </w:r>
          </w:p>
          <w:p w:rsidR="00A77B3E">
            <w:pPr>
              <w:spacing w:before="100" w:after="0"/>
              <w:jc w:val="start"/>
              <w:rPr>
                <w:rFonts w:ascii="TimesNewRoman" w:eastAsia="TimesNewRoman" w:hAnsi="TimesNewRoman" w:cs="TimesNewRoman"/>
                <w:b w:val="0"/>
                <w:i w:val="0"/>
                <w:vanish w:val="0"/>
                <w:color w:val="000000"/>
                <w:sz w:val="24"/>
              </w:rPr>
            </w:pPr>
            <w:r>
              <w:rPr>
                <w:rFonts w:ascii="TimesNewRoman" w:eastAsia="TimesNewRoman" w:hAnsi="TimesNewRoman" w:cs="TimesNewRoman"/>
                <w:b w:val="0"/>
                <w:i w:val="0"/>
                <w:vanish w:val="0"/>
                <w:color w:val="000000"/>
                <w:sz w:val="24"/>
              </w:rPr>
              <w:t>Manjši del sredstev pa bo namenjen področju obveščanja in objavljanja ter študijam in evalvacijam.</w:t>
            </w:r>
          </w:p>
          <w:p w:rsidR="00A77B3E">
            <w:pPr>
              <w:spacing w:before="100" w:after="0"/>
              <w:jc w:val="start"/>
              <w:rPr>
                <w:rFonts w:ascii="TimesNewRoman" w:eastAsia="TimesNewRoman" w:hAnsi="TimesNewRoman" w:cs="TimesNewRoman"/>
                <w:b w:val="0"/>
                <w:i w:val="0"/>
                <w:vanish w:val="0"/>
                <w:color w:val="000000"/>
                <w:sz w:val="6"/>
              </w:rPr>
            </w:pPr>
          </w:p>
          <w:p w:rsidR="00A77B3E">
            <w:pPr>
              <w:spacing w:before="100" w:after="0"/>
              <w:jc w:val="start"/>
              <w:rPr>
                <w:rFonts w:ascii="TimesNewRoman" w:eastAsia="TimesNewRoman" w:hAnsi="TimesNewRoman" w:cs="TimesNewRoman"/>
                <w:b w:val="0"/>
                <w:i w:val="0"/>
                <w:vanish w:val="0"/>
                <w:color w:val="000000"/>
                <w:sz w:val="6"/>
              </w:rPr>
            </w:pPr>
          </w:p>
        </w:tc>
      </w:tr>
    </w:tbl>
    <w:p w:rsidR="00A77B3E">
      <w:pPr>
        <w:spacing w:before="100" w:after="0"/>
        <w:jc w:val="start"/>
        <w:rPr>
          <w:rFonts w:ascii="TimesNewRoman" w:eastAsia="TimesNewRoman" w:hAnsi="TimesNewRoman" w:cs="TimesNewRoman"/>
          <w:b w:val="0"/>
          <w:i w:val="0"/>
          <w:vanish w:val="0"/>
          <w:color w:val="000000"/>
          <w:sz w:val="24"/>
        </w:rPr>
        <w:sectPr>
          <w:headerReference w:type="even" r:id="rId52"/>
          <w:headerReference w:type="default" r:id="rId53"/>
          <w:footerReference w:type="even" r:id="rId54"/>
          <w:footerReference w:type="default" r:id="rId55"/>
          <w:headerReference w:type="first" r:id="rId56"/>
          <w:footerReference w:type="first" r:id="rId57"/>
          <w:type w:val="nextPage"/>
          <w:pgSz w:w="11906" w:h="16838" w:orient="portrait"/>
          <w:pgMar w:top="720" w:right="936" w:bottom="864" w:left="720" w:header="0" w:footer="72" w:gutter="0"/>
          <w:cols w:space="720"/>
          <w:noEndnote/>
          <w:docGrid w:linePitch="360"/>
        </w:sectPr>
      </w:pPr>
    </w:p>
    <w:p w:rsidR="00A77B3E">
      <w:pPr>
        <w:spacing w:before="100" w:after="0"/>
        <w:jc w:val="start"/>
        <w:rPr>
          <w:rFonts w:ascii="Times New Roman" w:eastAsia="Times New Roman" w:hAnsi="Times New Roman" w:cs="Times New Roman"/>
          <w:b w:val="0"/>
          <w:i w:val="0"/>
          <w:vanish w:val="0"/>
          <w:color w:val="000000"/>
          <w:sz w:val="0"/>
        </w:rPr>
      </w:pPr>
      <w:r>
        <w:rPr>
          <w:rFonts w:ascii="Times New Roman" w:eastAsia="Times New Roman" w:hAnsi="Times New Roman" w:cs="Times New Roman"/>
          <w:b w:val="0"/>
          <w:i w:val="0"/>
          <w:vanish w:val="0"/>
          <w:color w:val="000000"/>
          <w:sz w:val="24"/>
        </w:rPr>
        <w:t>2.2. Tehnična pomoč TA.36(5). Tehnična pomoč – pavšalna stopnja (člen 36(5) uredbe o skupnih določbah)</w:t>
      </w:r>
    </w:p>
    <w:p w:rsidR="00A77B3E">
      <w:pPr>
        <w:pStyle w:val="Heading3"/>
        <w:spacing w:before="100" w:after="0"/>
        <w:jc w:val="start"/>
        <w:rPr>
          <w:rFonts w:ascii="Times New Roman" w:eastAsia="Times New Roman" w:hAnsi="Times New Roman" w:cs="Times New Roman"/>
          <w:b w:val="0"/>
          <w:i w:val="0"/>
          <w:vanish w:val="0"/>
          <w:color w:val="000000"/>
          <w:sz w:val="24"/>
        </w:rPr>
      </w:pPr>
      <w:bookmarkStart w:id="25" w:name="_Toc256000080"/>
      <w:r>
        <w:rPr>
          <w:rFonts w:ascii="Times New Roman" w:eastAsia="Times New Roman" w:hAnsi="Times New Roman" w:cs="Times New Roman"/>
          <w:b w:val="0"/>
          <w:i w:val="0"/>
          <w:vanish w:val="0"/>
          <w:color w:val="000000"/>
          <w:sz w:val="24"/>
        </w:rPr>
        <w:t>2.2.2. Okvirna razčlenitev tehnične pomoči v skladu s členom 37 uredbe o skupnih določbah</w:t>
      </w:r>
      <w:bookmarkEnd w:id="25"/>
    </w:p>
    <w:p w:rsidR="00A77B3E">
      <w:pPr>
        <w:pStyle w:val="Heading4"/>
        <w:spacing w:before="100" w:after="0"/>
        <w:jc w:val="start"/>
        <w:rPr>
          <w:rFonts w:ascii="Times New Roman" w:eastAsia="Times New Roman" w:hAnsi="Times New Roman" w:cs="Times New Roman"/>
          <w:b w:val="0"/>
          <w:i w:val="0"/>
          <w:vanish w:val="0"/>
          <w:color w:val="000000"/>
          <w:sz w:val="24"/>
        </w:rPr>
      </w:pPr>
      <w:bookmarkStart w:id="26" w:name="_Toc256000081"/>
      <w:r>
        <w:rPr>
          <w:rFonts w:ascii="Times New Roman" w:eastAsia="Times New Roman" w:hAnsi="Times New Roman" w:cs="Times New Roman"/>
          <w:b w:val="0"/>
          <w:i w:val="0"/>
          <w:vanish w:val="0"/>
          <w:color w:val="000000"/>
          <w:sz w:val="24"/>
        </w:rPr>
        <w:t>Tabela 4: Okvirna razčlenitev</w:t>
      </w:r>
      <w:bookmarkEnd w:id="26"/>
    </w:p>
    <w:p w:rsidR="00A77B3E">
      <w:pPr>
        <w:spacing w:before="100" w:after="0"/>
        <w:jc w:val="start"/>
        <w:rPr>
          <w:rFonts w:ascii="Times New Roman" w:eastAsia="Times New Roman" w:hAnsi="Times New Roman" w:cs="Times New Roman"/>
          <w:b w:val="0"/>
          <w:i w:val="0"/>
          <w:vanish w:val="0"/>
          <w:color w:val="000000"/>
          <w:sz w:val="0"/>
        </w:rPr>
      </w:pPr>
    </w:p>
    <w:tbl>
      <w:tblPr>
        <w:tblW w:w="100%" w:type="pct"/>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CellMar>
          <w:start w:w="5.4pt" w:type="dxa"/>
          <w:end w:w="5.4pt" w:type="dxa"/>
        </w:tblCellMar>
      </w:tblPr>
      <w:tblGrid>
        <w:gridCol w:w="2404"/>
        <w:gridCol w:w="5238"/>
        <w:gridCol w:w="2728"/>
      </w:tblGrid>
      <w:tr>
        <w:tblPrEx>
          <w:tblW w:w="100%" w:type="pct"/>
        </w:tblPrEx>
        <w:trPr>
          <w:cantSplit w:val="0"/>
          <w:trHeight w:hRule="auto" w:val="0"/>
          <w:tblHeader/>
        </w:trPr>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20"/>
              </w:rPr>
            </w:pPr>
            <w:r>
              <w:rPr>
                <w:rFonts w:ascii="Times New Roman" w:eastAsia="Times New Roman" w:hAnsi="Times New Roman" w:cs="Times New Roman"/>
                <w:b w:val="0"/>
                <w:i w:val="0"/>
                <w:vanish w:val="0"/>
                <w:color w:val="000000"/>
                <w:sz w:val="20"/>
              </w:rPr>
              <w:t>Vrsta intervencije</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20"/>
              </w:rPr>
            </w:pPr>
            <w:r>
              <w:rPr>
                <w:rFonts w:ascii="Times New Roman" w:eastAsia="Times New Roman" w:hAnsi="Times New Roman" w:cs="Times New Roman"/>
                <w:b w:val="0"/>
                <w:i w:val="0"/>
                <w:vanish w:val="0"/>
                <w:color w:val="000000"/>
                <w:sz w:val="20"/>
              </w:rPr>
              <w:t>Oznaka</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20"/>
              </w:rPr>
            </w:pPr>
            <w:r>
              <w:rPr>
                <w:rFonts w:ascii="Times New Roman" w:eastAsia="Times New Roman" w:hAnsi="Times New Roman" w:cs="Times New Roman"/>
                <w:b w:val="0"/>
                <w:i w:val="0"/>
                <w:vanish w:val="0"/>
                <w:color w:val="000000"/>
                <w:sz w:val="20"/>
              </w:rPr>
              <w:t>Okvirni znesek (v EUR)</w:t>
            </w:r>
          </w:p>
        </w:tc>
      </w:tr>
      <w:tr>
        <w:tblPrEx>
          <w:tblW w:w="100%" w:type="pct"/>
        </w:tblPrEx>
        <w:trPr>
          <w:cantSplit w:val="0"/>
          <w:trHeight w:hRule="auto" w:val="0"/>
          <w:tblHeader w:val="0"/>
        </w:trPr>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20"/>
              </w:rPr>
            </w:pPr>
            <w:r>
              <w:rPr>
                <w:rFonts w:ascii="Times New Roman" w:eastAsia="Times New Roman" w:hAnsi="Times New Roman" w:cs="Times New Roman"/>
                <w:b w:val="0"/>
                <w:i w:val="0"/>
                <w:vanish w:val="0"/>
                <w:color w:val="000000"/>
                <w:sz w:val="20"/>
              </w:rPr>
              <w:t>Področje intervencije</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20"/>
              </w:rPr>
            </w:pPr>
            <w:r>
              <w:rPr>
                <w:rFonts w:ascii="Times New Roman" w:eastAsia="Times New Roman" w:hAnsi="Times New Roman" w:cs="Times New Roman"/>
                <w:b w:val="0"/>
                <w:i w:val="0"/>
                <w:vanish w:val="0"/>
                <w:color w:val="000000"/>
                <w:sz w:val="20"/>
              </w:rPr>
              <w:t>034.Informacijske in komunikacijske dejavnosti</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20"/>
              </w:rPr>
            </w:pPr>
            <w:r>
              <w:rPr>
                <w:rFonts w:ascii="Times New Roman" w:eastAsia="Times New Roman" w:hAnsi="Times New Roman" w:cs="Times New Roman"/>
                <w:b w:val="0"/>
                <w:i w:val="0"/>
                <w:vanish w:val="0"/>
                <w:color w:val="000000"/>
                <w:sz w:val="20"/>
              </w:rPr>
              <w:t>80.000,00</w:t>
            </w:r>
          </w:p>
        </w:tc>
      </w:tr>
      <w:tr>
        <w:tblPrEx>
          <w:tblW w:w="100%" w:type="pct"/>
        </w:tblPrEx>
        <w:trPr>
          <w:cantSplit w:val="0"/>
          <w:trHeight w:hRule="auto" w:val="0"/>
          <w:tblHeader w:val="0"/>
        </w:trPr>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20"/>
              </w:rPr>
            </w:pPr>
            <w:r>
              <w:rPr>
                <w:rFonts w:ascii="Times New Roman" w:eastAsia="Times New Roman" w:hAnsi="Times New Roman" w:cs="Times New Roman"/>
                <w:b w:val="0"/>
                <w:i w:val="0"/>
                <w:vanish w:val="0"/>
                <w:color w:val="000000"/>
                <w:sz w:val="20"/>
              </w:rPr>
              <w:t>Področje intervencije</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20"/>
              </w:rPr>
            </w:pPr>
            <w:r>
              <w:rPr>
                <w:rFonts w:ascii="Times New Roman" w:eastAsia="Times New Roman" w:hAnsi="Times New Roman" w:cs="Times New Roman"/>
                <w:b w:val="0"/>
                <w:i w:val="0"/>
                <w:vanish w:val="0"/>
                <w:color w:val="000000"/>
                <w:sz w:val="20"/>
              </w:rPr>
              <w:t>035.Priprava, izvajanje, spremljanje in nadzor</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20"/>
              </w:rPr>
            </w:pPr>
            <w:r>
              <w:rPr>
                <w:rFonts w:ascii="Times New Roman" w:eastAsia="Times New Roman" w:hAnsi="Times New Roman" w:cs="Times New Roman"/>
                <w:b w:val="0"/>
                <w:i w:val="0"/>
                <w:vanish w:val="0"/>
                <w:color w:val="000000"/>
                <w:sz w:val="20"/>
              </w:rPr>
              <w:t>1.545.836,80</w:t>
            </w:r>
          </w:p>
        </w:tc>
      </w:tr>
      <w:tr>
        <w:tblPrEx>
          <w:tblW w:w="100%" w:type="pct"/>
        </w:tblPrEx>
        <w:trPr>
          <w:cantSplit w:val="0"/>
          <w:trHeight w:hRule="auto" w:val="0"/>
          <w:tblHeader w:val="0"/>
        </w:trPr>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20"/>
              </w:rPr>
            </w:pPr>
            <w:r>
              <w:rPr>
                <w:rFonts w:ascii="Times New Roman" w:eastAsia="Times New Roman" w:hAnsi="Times New Roman" w:cs="Times New Roman"/>
                <w:b w:val="0"/>
                <w:i w:val="0"/>
                <w:vanish w:val="0"/>
                <w:color w:val="000000"/>
                <w:sz w:val="20"/>
              </w:rPr>
              <w:t>Področje intervencije</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20"/>
              </w:rPr>
            </w:pPr>
            <w:r>
              <w:rPr>
                <w:rFonts w:ascii="Times New Roman" w:eastAsia="Times New Roman" w:hAnsi="Times New Roman" w:cs="Times New Roman"/>
                <w:b w:val="0"/>
                <w:i w:val="0"/>
                <w:vanish w:val="0"/>
                <w:color w:val="000000"/>
                <w:sz w:val="20"/>
              </w:rPr>
              <w:t>036.Ocenjevanje in študije, zbiranje podatkov</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20"/>
              </w:rPr>
            </w:pPr>
            <w:r>
              <w:rPr>
                <w:rFonts w:ascii="Times New Roman" w:eastAsia="Times New Roman" w:hAnsi="Times New Roman" w:cs="Times New Roman"/>
                <w:b w:val="0"/>
                <w:i w:val="0"/>
                <w:vanish w:val="0"/>
                <w:color w:val="000000"/>
                <w:sz w:val="20"/>
              </w:rPr>
              <w:t>200.000,00</w:t>
            </w:r>
          </w:p>
        </w:tc>
      </w:tr>
      <w:tr>
        <w:tblPrEx>
          <w:tblW w:w="100%" w:type="pct"/>
        </w:tblPrEx>
        <w:trPr>
          <w:cantSplit w:val="0"/>
          <w:trHeight w:hRule="auto" w:val="0"/>
          <w:tblHeader w:val="0"/>
        </w:trPr>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20"/>
              </w:rPr>
            </w:pPr>
            <w:r>
              <w:rPr>
                <w:rFonts w:ascii="Times New Roman" w:eastAsia="Times New Roman" w:hAnsi="Times New Roman" w:cs="Times New Roman"/>
                <w:b w:val="0"/>
                <w:i w:val="0"/>
                <w:vanish w:val="0"/>
                <w:color w:val="000000"/>
                <w:sz w:val="20"/>
              </w:rPr>
              <w:t>Področje intervencije</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20"/>
              </w:rPr>
            </w:pPr>
            <w:r>
              <w:rPr>
                <w:rFonts w:ascii="Times New Roman" w:eastAsia="Times New Roman" w:hAnsi="Times New Roman" w:cs="Times New Roman"/>
                <w:b w:val="0"/>
                <w:i w:val="0"/>
                <w:vanish w:val="0"/>
                <w:color w:val="000000"/>
                <w:sz w:val="20"/>
              </w:rPr>
              <w:t>037.Krepitev zmogljivosti</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20"/>
              </w:rPr>
            </w:pPr>
            <w:r>
              <w:rPr>
                <w:rFonts w:ascii="Times New Roman" w:eastAsia="Times New Roman" w:hAnsi="Times New Roman" w:cs="Times New Roman"/>
                <w:b w:val="0"/>
                <w:i w:val="0"/>
                <w:vanish w:val="0"/>
                <w:color w:val="000000"/>
                <w:sz w:val="20"/>
              </w:rPr>
              <w:t>0,00</w:t>
            </w:r>
          </w:p>
        </w:tc>
      </w:tr>
    </w:tbl>
    <w:p w:rsidR="00A77B3E">
      <w:pPr>
        <w:spacing w:before="100" w:after="0"/>
        <w:jc w:val="start"/>
        <w:rPr>
          <w:rFonts w:ascii="Times New Roman" w:eastAsia="Times New Roman" w:hAnsi="Times New Roman" w:cs="Times New Roman"/>
          <w:b w:val="0"/>
          <w:i w:val="0"/>
          <w:vanish w:val="0"/>
          <w:color w:val="000000"/>
          <w:sz w:val="20"/>
        </w:rPr>
        <w:sectPr>
          <w:type w:val="nextPage"/>
          <w:pgSz w:w="11906" w:h="16838" w:orient="portrait"/>
          <w:pgMar w:top="720" w:right="936" w:bottom="864" w:left="720" w:header="0" w:footer="72" w:gutter="0"/>
          <w:cols w:space="720"/>
          <w:noEndnote/>
          <w:docGrid w:linePitch="360"/>
        </w:sectPr>
      </w:pPr>
    </w:p>
    <w:p w:rsidR="00A77B3E">
      <w:pPr>
        <w:pStyle w:val="Heading1"/>
        <w:spacing w:before="100" w:after="0"/>
        <w:jc w:val="start"/>
        <w:rPr>
          <w:rFonts w:ascii="Times New Roman" w:eastAsia="Times New Roman" w:hAnsi="Times New Roman" w:cs="Times New Roman"/>
          <w:b w:val="0"/>
          <w:i w:val="0"/>
          <w:vanish w:val="0"/>
          <w:color w:val="000000"/>
          <w:sz w:val="24"/>
        </w:rPr>
      </w:pPr>
      <w:bookmarkStart w:id="27" w:name="_Toc256000082"/>
      <w:r>
        <w:rPr>
          <w:rFonts w:ascii="Times New Roman" w:eastAsia="Times New Roman" w:hAnsi="Times New Roman" w:cs="Times New Roman"/>
          <w:b w:val="0"/>
          <w:i w:val="0"/>
          <w:vanish w:val="0"/>
          <w:color w:val="000000"/>
          <w:sz w:val="24"/>
        </w:rPr>
        <w:t>3. Načrt financiranja</w:t>
      </w:r>
      <w:bookmarkEnd w:id="27"/>
    </w:p>
    <w:p w:rsidR="00A77B3E">
      <w:pPr>
        <w:spacing w:before="100" w:after="0"/>
        <w:jc w:val="star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24"/>
        </w:rPr>
        <w:t>Sklic: člen 22(3)(g) uredbe o skupnih določbah</w:t>
      </w:r>
    </w:p>
    <w:p w:rsidR="00A77B3E">
      <w:pPr>
        <w:pStyle w:val="Heading2"/>
        <w:spacing w:before="100" w:after="0"/>
        <w:jc w:val="start"/>
        <w:rPr>
          <w:rFonts w:ascii="TimesNewRoman" w:eastAsia="TimesNewRoman" w:hAnsi="TimesNewRoman" w:cs="TimesNewRoman"/>
          <w:b w:val="0"/>
          <w:i w:val="0"/>
          <w:vanish w:val="0"/>
          <w:color w:val="000000"/>
          <w:sz w:val="24"/>
        </w:rPr>
      </w:pPr>
      <w:bookmarkStart w:id="28" w:name="_Toc256000083"/>
      <w:r>
        <w:rPr>
          <w:rFonts w:ascii="TimesNewRoman" w:eastAsia="TimesNewRoman" w:hAnsi="TimesNewRoman" w:cs="TimesNewRoman"/>
          <w:b w:val="0"/>
          <w:i w:val="0"/>
          <w:vanish w:val="0"/>
          <w:color w:val="000000"/>
          <w:sz w:val="24"/>
        </w:rPr>
        <w:t>3.1. Finančna sredstva po letih</w:t>
      </w:r>
      <w:bookmarkEnd w:id="28"/>
    </w:p>
    <w:p w:rsidR="00A77B3E">
      <w:pPr>
        <w:pStyle w:val="Heading4"/>
        <w:spacing w:before="100" w:after="0"/>
        <w:jc w:val="start"/>
        <w:rPr>
          <w:rFonts w:ascii="TimesNewRoman" w:eastAsia="TimesNewRoman" w:hAnsi="TimesNewRoman" w:cs="TimesNewRoman"/>
          <w:b w:val="0"/>
          <w:i w:val="0"/>
          <w:vanish w:val="0"/>
          <w:color w:val="000000"/>
          <w:sz w:val="24"/>
        </w:rPr>
      </w:pPr>
      <w:bookmarkStart w:id="29" w:name="_Toc256000084"/>
      <w:r>
        <w:rPr>
          <w:rFonts w:ascii="TimesNewRoman" w:eastAsia="TimesNewRoman" w:hAnsi="TimesNewRoman" w:cs="TimesNewRoman"/>
          <w:b w:val="0"/>
          <w:i w:val="0"/>
          <w:vanish w:val="0"/>
          <w:color w:val="000000"/>
          <w:sz w:val="24"/>
        </w:rPr>
        <w:t>Tabela 5: Finančna sredstva po letih</w:t>
      </w:r>
      <w:bookmarkEnd w:id="29"/>
    </w:p>
    <w:tbl>
      <w:tblPr>
        <w:tblW w:w="100%" w:type="pct"/>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CellMar>
          <w:start w:w="5.4pt" w:type="dxa"/>
          <w:end w:w="5.4pt" w:type="dxa"/>
        </w:tblCellMar>
      </w:tblPr>
      <w:tblGrid>
        <w:gridCol w:w="4336"/>
        <w:gridCol w:w="667"/>
        <w:gridCol w:w="1454"/>
        <w:gridCol w:w="1454"/>
        <w:gridCol w:w="1454"/>
        <w:gridCol w:w="1454"/>
        <w:gridCol w:w="1454"/>
        <w:gridCol w:w="1454"/>
        <w:gridCol w:w="1575"/>
      </w:tblGrid>
      <w:tr>
        <w:tblPrEx>
          <w:tblW w:w="100%" w:type="pct"/>
        </w:tblPrEx>
        <w:trPr>
          <w:cantSplit w:val="0"/>
          <w:trHeight w:hRule="auto" w:val="0"/>
          <w:tblHeader/>
        </w:trPr>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rsidR="00A77B3E">
            <w:pPr>
              <w:spacing w:before="100" w:after="0"/>
              <w:jc w:val="center"/>
              <w:rPr>
                <w:rFonts w:ascii="TimesNewRoman" w:eastAsia="TimesNewRoman" w:hAnsi="TimesNewRoman" w:cs="TimesNewRoman"/>
                <w:b w:val="0"/>
                <w:i w:val="0"/>
                <w:vanish w:val="0"/>
                <w:color w:val="000000"/>
                <w:sz w:val="16"/>
              </w:rPr>
            </w:pPr>
            <w:r>
              <w:rPr>
                <w:rFonts w:ascii="TimesNewRoman" w:eastAsia="TimesNewRoman" w:hAnsi="TimesNewRoman" w:cs="TimesNewRoman"/>
                <w:b w:val="0"/>
                <w:i w:val="0"/>
                <w:vanish w:val="0"/>
                <w:color w:val="000000"/>
                <w:sz w:val="16"/>
              </w:rPr>
              <w:t>Vrsta dodelitve</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rsidR="00A77B3E">
            <w:pPr>
              <w:spacing w:before="100" w:after="0"/>
              <w:jc w:val="center"/>
              <w:rPr>
                <w:rFonts w:ascii="TimesNewRoman" w:eastAsia="TimesNewRoman" w:hAnsi="TimesNewRoman" w:cs="TimesNewRoman"/>
                <w:b w:val="0"/>
                <w:i w:val="0"/>
                <w:vanish w:val="0"/>
                <w:color w:val="000000"/>
                <w:sz w:val="16"/>
              </w:rPr>
            </w:pPr>
            <w:r>
              <w:rPr>
                <w:rFonts w:ascii="TimesNewRoman" w:eastAsia="TimesNewRoman" w:hAnsi="TimesNewRoman" w:cs="TimesNewRoman"/>
                <w:b w:val="0"/>
                <w:i w:val="0"/>
                <w:vanish w:val="0"/>
                <w:color w:val="000000"/>
                <w:sz w:val="16"/>
              </w:rPr>
              <w:t>2021</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rsidR="00A77B3E">
            <w:pPr>
              <w:spacing w:before="100" w:after="0"/>
              <w:jc w:val="center"/>
              <w:rPr>
                <w:rFonts w:ascii="TimesNewRoman" w:eastAsia="TimesNewRoman" w:hAnsi="TimesNewRoman" w:cs="TimesNewRoman"/>
                <w:b w:val="0"/>
                <w:i w:val="0"/>
                <w:vanish w:val="0"/>
                <w:color w:val="000000"/>
                <w:sz w:val="16"/>
              </w:rPr>
            </w:pPr>
            <w:r>
              <w:rPr>
                <w:rFonts w:ascii="TimesNewRoman" w:eastAsia="TimesNewRoman" w:hAnsi="TimesNewRoman" w:cs="TimesNewRoman"/>
                <w:b w:val="0"/>
                <w:i w:val="0"/>
                <w:vanish w:val="0"/>
                <w:color w:val="000000"/>
                <w:sz w:val="16"/>
              </w:rPr>
              <w:t>2022</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rsidR="00A77B3E">
            <w:pPr>
              <w:spacing w:before="100" w:after="0"/>
              <w:jc w:val="center"/>
              <w:rPr>
                <w:rFonts w:ascii="TimesNewRoman" w:eastAsia="TimesNewRoman" w:hAnsi="TimesNewRoman" w:cs="TimesNewRoman"/>
                <w:b w:val="0"/>
                <w:i w:val="0"/>
                <w:vanish w:val="0"/>
                <w:color w:val="000000"/>
                <w:sz w:val="16"/>
              </w:rPr>
            </w:pPr>
            <w:r>
              <w:rPr>
                <w:rFonts w:ascii="TimesNewRoman" w:eastAsia="TimesNewRoman" w:hAnsi="TimesNewRoman" w:cs="TimesNewRoman"/>
                <w:b w:val="0"/>
                <w:i w:val="0"/>
                <w:vanish w:val="0"/>
                <w:color w:val="000000"/>
                <w:sz w:val="16"/>
              </w:rPr>
              <w:t>2023</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rsidR="00A77B3E">
            <w:pPr>
              <w:spacing w:before="100" w:after="0"/>
              <w:jc w:val="center"/>
              <w:rPr>
                <w:rFonts w:ascii="TimesNewRoman" w:eastAsia="TimesNewRoman" w:hAnsi="TimesNewRoman" w:cs="TimesNewRoman"/>
                <w:b w:val="0"/>
                <w:i w:val="0"/>
                <w:vanish w:val="0"/>
                <w:color w:val="000000"/>
                <w:sz w:val="16"/>
              </w:rPr>
            </w:pPr>
            <w:r>
              <w:rPr>
                <w:rFonts w:ascii="TimesNewRoman" w:eastAsia="TimesNewRoman" w:hAnsi="TimesNewRoman" w:cs="TimesNewRoman"/>
                <w:b w:val="0"/>
                <w:i w:val="0"/>
                <w:vanish w:val="0"/>
                <w:color w:val="000000"/>
                <w:sz w:val="16"/>
              </w:rPr>
              <w:t>2024</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rsidR="00A77B3E">
            <w:pPr>
              <w:spacing w:before="100" w:after="0"/>
              <w:jc w:val="center"/>
              <w:rPr>
                <w:rFonts w:ascii="TimesNewRoman" w:eastAsia="TimesNewRoman" w:hAnsi="TimesNewRoman" w:cs="TimesNewRoman"/>
                <w:b w:val="0"/>
                <w:i w:val="0"/>
                <w:vanish w:val="0"/>
                <w:color w:val="000000"/>
                <w:sz w:val="16"/>
              </w:rPr>
            </w:pPr>
            <w:r>
              <w:rPr>
                <w:rFonts w:ascii="TimesNewRoman" w:eastAsia="TimesNewRoman" w:hAnsi="TimesNewRoman" w:cs="TimesNewRoman"/>
                <w:b w:val="0"/>
                <w:i w:val="0"/>
                <w:vanish w:val="0"/>
                <w:color w:val="000000"/>
                <w:sz w:val="16"/>
              </w:rPr>
              <w:t>2025</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rsidR="00A77B3E">
            <w:pPr>
              <w:spacing w:before="100" w:after="0"/>
              <w:jc w:val="center"/>
              <w:rPr>
                <w:rFonts w:ascii="TimesNewRoman" w:eastAsia="TimesNewRoman" w:hAnsi="TimesNewRoman" w:cs="TimesNewRoman"/>
                <w:b w:val="0"/>
                <w:i w:val="0"/>
                <w:vanish w:val="0"/>
                <w:color w:val="000000"/>
                <w:sz w:val="16"/>
              </w:rPr>
            </w:pPr>
            <w:r>
              <w:rPr>
                <w:rFonts w:ascii="TimesNewRoman" w:eastAsia="TimesNewRoman" w:hAnsi="TimesNewRoman" w:cs="TimesNewRoman"/>
                <w:b w:val="0"/>
                <w:i w:val="0"/>
                <w:vanish w:val="0"/>
                <w:color w:val="000000"/>
                <w:sz w:val="16"/>
              </w:rPr>
              <w:t>2026</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rsidR="00A77B3E">
            <w:pPr>
              <w:spacing w:before="100" w:after="0"/>
              <w:jc w:val="center"/>
              <w:rPr>
                <w:rFonts w:ascii="TimesNewRoman" w:eastAsia="TimesNewRoman" w:hAnsi="TimesNewRoman" w:cs="TimesNewRoman"/>
                <w:b w:val="0"/>
                <w:i w:val="0"/>
                <w:vanish w:val="0"/>
                <w:color w:val="000000"/>
                <w:sz w:val="16"/>
              </w:rPr>
            </w:pPr>
            <w:r>
              <w:rPr>
                <w:rFonts w:ascii="TimesNewRoman" w:eastAsia="TimesNewRoman" w:hAnsi="TimesNewRoman" w:cs="TimesNewRoman"/>
                <w:b w:val="0"/>
                <w:i w:val="0"/>
                <w:vanish w:val="0"/>
                <w:color w:val="000000"/>
                <w:sz w:val="16"/>
              </w:rPr>
              <w:t>2027</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rsidR="00A77B3E">
            <w:pPr>
              <w:spacing w:before="100" w:after="0"/>
              <w:jc w:val="center"/>
              <w:rPr>
                <w:rFonts w:ascii="TimesNewRoman" w:eastAsia="TimesNewRoman" w:hAnsi="TimesNewRoman" w:cs="TimesNewRoman"/>
                <w:b w:val="0"/>
                <w:i w:val="0"/>
                <w:vanish w:val="0"/>
                <w:color w:val="000000"/>
                <w:sz w:val="16"/>
              </w:rPr>
            </w:pPr>
            <w:r>
              <w:rPr>
                <w:rFonts w:ascii="TimesNewRoman" w:eastAsia="TimesNewRoman" w:hAnsi="TimesNewRoman" w:cs="TimesNewRoman"/>
                <w:b w:val="0"/>
                <w:i w:val="0"/>
                <w:vanish w:val="0"/>
                <w:color w:val="000000"/>
                <w:sz w:val="16"/>
              </w:rPr>
              <w:t>Skupaj</w:t>
            </w:r>
          </w:p>
        </w:tc>
      </w:tr>
      <w:tr>
        <w:tblPrEx>
          <w:tblW w:w="100%" w:type="pct"/>
        </w:tblPrEx>
        <w:trPr>
          <w:cantSplit w:val="0"/>
          <w:trHeight w:hRule="auto" w:val="0"/>
          <w:tblHeader w:val="0"/>
        </w:trPr>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NewRoman" w:eastAsia="TimesNewRoman" w:hAnsi="TimesNewRoman" w:cs="TimesNewRoman"/>
                <w:b w:val="0"/>
                <w:i w:val="0"/>
                <w:vanish w:val="0"/>
                <w:color w:val="000000"/>
                <w:sz w:val="16"/>
              </w:rPr>
            </w:pPr>
            <w:r>
              <w:rPr>
                <w:rFonts w:ascii="TimesNewRoman" w:eastAsia="TimesNewRoman" w:hAnsi="TimesNewRoman" w:cs="TimesNewRoman"/>
                <w:b w:val="0"/>
                <w:i w:val="0"/>
                <w:vanish w:val="0"/>
                <w:color w:val="000000"/>
                <w:sz w:val="16"/>
              </w:rPr>
              <w:t>Začetna dodelitev</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NewRoman" w:eastAsia="TimesNewRoman" w:hAnsi="TimesNewRoman" w:cs="TimesNewRoman"/>
                <w:b w:val="0"/>
                <w:i w:val="0"/>
                <w:vanish w:val="0"/>
                <w:color w:val="000000"/>
                <w:sz w:val="16"/>
              </w:rPr>
            </w:pPr>
            <w:r>
              <w:rPr>
                <w:rFonts w:ascii="TimesNewRoman" w:eastAsia="TimesNewRoman" w:hAnsi="TimesNewRoman" w:cs="TimesNewRoman"/>
                <w:b w:val="0"/>
                <w:i w:val="0"/>
                <w:vanish w:val="0"/>
                <w:color w:val="000000"/>
                <w:sz w:val="16"/>
              </w:rPr>
              <w:t>0,00</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NewRoman" w:eastAsia="TimesNewRoman" w:hAnsi="TimesNewRoman" w:cs="TimesNewRoman"/>
                <w:b w:val="0"/>
                <w:i w:val="0"/>
                <w:vanish w:val="0"/>
                <w:color w:val="000000"/>
                <w:sz w:val="16"/>
              </w:rPr>
            </w:pPr>
            <w:r>
              <w:rPr>
                <w:rFonts w:ascii="TimesNewRoman" w:eastAsia="TimesNewRoman" w:hAnsi="TimesNewRoman" w:cs="TimesNewRoman"/>
                <w:b w:val="0"/>
                <w:i w:val="0"/>
                <w:vanish w:val="0"/>
                <w:color w:val="000000"/>
                <w:sz w:val="16"/>
              </w:rPr>
              <w:t>3.652.219,00</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NewRoman" w:eastAsia="TimesNewRoman" w:hAnsi="TimesNewRoman" w:cs="TimesNewRoman"/>
                <w:b w:val="0"/>
                <w:i w:val="0"/>
                <w:vanish w:val="0"/>
                <w:color w:val="000000"/>
                <w:sz w:val="16"/>
              </w:rPr>
            </w:pPr>
            <w:r>
              <w:rPr>
                <w:rFonts w:ascii="TimesNewRoman" w:eastAsia="TimesNewRoman" w:hAnsi="TimesNewRoman" w:cs="TimesNewRoman"/>
                <w:b w:val="0"/>
                <w:i w:val="0"/>
                <w:vanish w:val="0"/>
                <w:color w:val="000000"/>
                <w:sz w:val="16"/>
              </w:rPr>
              <w:t>5.466.360,00</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NewRoman" w:eastAsia="TimesNewRoman" w:hAnsi="TimesNewRoman" w:cs="TimesNewRoman"/>
                <w:b w:val="0"/>
                <w:i w:val="0"/>
                <w:vanish w:val="0"/>
                <w:color w:val="000000"/>
                <w:sz w:val="16"/>
              </w:rPr>
            </w:pPr>
            <w:r>
              <w:rPr>
                <w:rFonts w:ascii="TimesNewRoman" w:eastAsia="TimesNewRoman" w:hAnsi="TimesNewRoman" w:cs="TimesNewRoman"/>
                <w:b w:val="0"/>
                <w:i w:val="0"/>
                <w:vanish w:val="0"/>
                <w:color w:val="000000"/>
                <w:sz w:val="16"/>
              </w:rPr>
              <w:t>5.334.086,00</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NewRoman" w:eastAsia="TimesNewRoman" w:hAnsi="TimesNewRoman" w:cs="TimesNewRoman"/>
                <w:b w:val="0"/>
                <w:i w:val="0"/>
                <w:vanish w:val="0"/>
                <w:color w:val="000000"/>
                <w:sz w:val="16"/>
              </w:rPr>
            </w:pPr>
            <w:r>
              <w:rPr>
                <w:rFonts w:ascii="TimesNewRoman" w:eastAsia="TimesNewRoman" w:hAnsi="TimesNewRoman" w:cs="TimesNewRoman"/>
                <w:b w:val="0"/>
                <w:i w:val="0"/>
                <w:vanish w:val="0"/>
                <w:color w:val="000000"/>
                <w:sz w:val="16"/>
              </w:rPr>
              <w:t>4.597.863,00</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NewRoman" w:eastAsia="TimesNewRoman" w:hAnsi="TimesNewRoman" w:cs="TimesNewRoman"/>
                <w:b w:val="0"/>
                <w:i w:val="0"/>
                <w:vanish w:val="0"/>
                <w:color w:val="000000"/>
                <w:sz w:val="16"/>
              </w:rPr>
            </w:pPr>
            <w:r>
              <w:rPr>
                <w:rFonts w:ascii="TimesNewRoman" w:eastAsia="TimesNewRoman" w:hAnsi="TimesNewRoman" w:cs="TimesNewRoman"/>
                <w:b w:val="0"/>
                <w:i w:val="0"/>
                <w:vanish w:val="0"/>
                <w:color w:val="000000"/>
                <w:sz w:val="16"/>
              </w:rPr>
              <w:t>3.911.028,00</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NewRoman" w:eastAsia="TimesNewRoman" w:hAnsi="TimesNewRoman" w:cs="TimesNewRoman"/>
                <w:b w:val="0"/>
                <w:i w:val="0"/>
                <w:vanish w:val="0"/>
                <w:color w:val="000000"/>
                <w:sz w:val="16"/>
              </w:rPr>
            </w:pPr>
            <w:r>
              <w:rPr>
                <w:rFonts w:ascii="TimesNewRoman" w:eastAsia="TimesNewRoman" w:hAnsi="TimesNewRoman" w:cs="TimesNewRoman"/>
                <w:b w:val="0"/>
                <w:i w:val="0"/>
                <w:vanish w:val="0"/>
                <w:color w:val="000000"/>
                <w:sz w:val="16"/>
              </w:rPr>
              <w:t>3.546.111,00</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NewRoman" w:eastAsia="TimesNewRoman" w:hAnsi="TimesNewRoman" w:cs="TimesNewRoman"/>
                <w:b w:val="0"/>
                <w:i w:val="0"/>
                <w:vanish w:val="0"/>
                <w:color w:val="000000"/>
                <w:sz w:val="16"/>
              </w:rPr>
            </w:pPr>
            <w:r>
              <w:rPr>
                <w:rFonts w:ascii="TimesNewRoman" w:eastAsia="TimesNewRoman" w:hAnsi="TimesNewRoman" w:cs="TimesNewRoman"/>
                <w:b w:val="0"/>
                <w:i w:val="0"/>
                <w:vanish w:val="0"/>
                <w:color w:val="000000"/>
                <w:sz w:val="16"/>
              </w:rPr>
              <w:t>26.507.667,00</w:t>
            </w:r>
          </w:p>
        </w:tc>
      </w:tr>
      <w:tr>
        <w:tblPrEx>
          <w:tblW w:w="100%" w:type="pct"/>
        </w:tblPrEx>
        <w:trPr>
          <w:cantSplit w:val="0"/>
          <w:trHeight w:hRule="auto" w:val="0"/>
          <w:tblHeader w:val="0"/>
        </w:trPr>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NewRoman" w:eastAsia="TimesNewRoman" w:hAnsi="TimesNewRoman" w:cs="TimesNewRoman"/>
                <w:b w:val="0"/>
                <w:i w:val="0"/>
                <w:vanish w:val="0"/>
                <w:color w:val="000000"/>
                <w:sz w:val="16"/>
              </w:rPr>
            </w:pPr>
            <w:r>
              <w:rPr>
                <w:rFonts w:ascii="TimesNewRoman" w:eastAsia="TimesNewRoman" w:hAnsi="TimesNewRoman" w:cs="TimesNewRoman"/>
                <w:b w:val="0"/>
                <w:i w:val="0"/>
                <w:vanish w:val="0"/>
                <w:color w:val="000000"/>
                <w:sz w:val="16"/>
              </w:rPr>
              <w:t>Vmesni pregled</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NewRoman" w:eastAsia="TimesNewRoman" w:hAnsi="TimesNewRoman" w:cs="TimesNewRoman"/>
                <w:b w:val="0"/>
                <w:i w:val="0"/>
                <w:vanish w:val="0"/>
                <w:color w:val="000000"/>
                <w:sz w:val="16"/>
              </w:rPr>
            </w:pP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NewRoman" w:eastAsia="TimesNewRoman" w:hAnsi="TimesNewRoman" w:cs="TimesNewRoman"/>
                <w:b w:val="0"/>
                <w:i w:val="0"/>
                <w:vanish w:val="0"/>
                <w:color w:val="000000"/>
                <w:sz w:val="16"/>
              </w:rPr>
            </w:pP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NewRoman" w:eastAsia="TimesNewRoman" w:hAnsi="TimesNewRoman" w:cs="TimesNewRoman"/>
                <w:b w:val="0"/>
                <w:i w:val="0"/>
                <w:vanish w:val="0"/>
                <w:color w:val="000000"/>
                <w:sz w:val="16"/>
              </w:rPr>
            </w:pP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NewRoman" w:eastAsia="TimesNewRoman" w:hAnsi="TimesNewRoman" w:cs="TimesNewRoman"/>
                <w:b w:val="0"/>
                <w:i w:val="0"/>
                <w:vanish w:val="0"/>
                <w:color w:val="000000"/>
                <w:sz w:val="16"/>
              </w:rPr>
            </w:pP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NewRoman" w:eastAsia="TimesNewRoman" w:hAnsi="TimesNewRoman" w:cs="TimesNewRoman"/>
                <w:b w:val="0"/>
                <w:i w:val="0"/>
                <w:vanish w:val="0"/>
                <w:color w:val="000000"/>
                <w:sz w:val="16"/>
              </w:rPr>
            </w:pP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NewRoman" w:eastAsia="TimesNewRoman" w:hAnsi="TimesNewRoman" w:cs="TimesNewRoman"/>
                <w:b w:val="0"/>
                <w:i w:val="0"/>
                <w:vanish w:val="0"/>
                <w:color w:val="000000"/>
                <w:sz w:val="16"/>
              </w:rPr>
            </w:pP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NewRoman" w:eastAsia="TimesNewRoman" w:hAnsi="TimesNewRoman" w:cs="TimesNewRoman"/>
                <w:b w:val="0"/>
                <w:i w:val="0"/>
                <w:vanish w:val="0"/>
                <w:color w:val="000000"/>
                <w:sz w:val="16"/>
              </w:rPr>
            </w:pP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NewRoman" w:eastAsia="TimesNewRoman" w:hAnsi="TimesNewRoman" w:cs="TimesNewRoman"/>
                <w:b w:val="0"/>
                <w:i w:val="0"/>
                <w:vanish w:val="0"/>
                <w:color w:val="000000"/>
                <w:sz w:val="16"/>
              </w:rPr>
            </w:pPr>
          </w:p>
        </w:tc>
      </w:tr>
      <w:tr>
        <w:tblPrEx>
          <w:tblW w:w="100%" w:type="pct"/>
        </w:tblPrEx>
        <w:trPr>
          <w:cantSplit w:val="0"/>
          <w:trHeight w:hRule="auto" w:val="0"/>
          <w:tblHeader w:val="0"/>
        </w:trPr>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NewRoman" w:eastAsia="TimesNewRoman" w:hAnsi="TimesNewRoman" w:cs="TimesNewRoman"/>
                <w:b w:val="0"/>
                <w:i w:val="0"/>
                <w:vanish w:val="0"/>
                <w:color w:val="000000"/>
                <w:sz w:val="16"/>
              </w:rPr>
            </w:pPr>
            <w:r>
              <w:rPr>
                <w:rFonts w:ascii="TimesNewRoman" w:eastAsia="TimesNewRoman" w:hAnsi="TimesNewRoman" w:cs="TimesNewRoman"/>
                <w:b w:val="0"/>
                <w:i w:val="0"/>
                <w:vanish w:val="0"/>
                <w:color w:val="000000"/>
                <w:sz w:val="16"/>
              </w:rPr>
              <w:t>Tematski instrument – delovni program I</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NewRoman" w:eastAsia="TimesNewRoman" w:hAnsi="TimesNewRoman" w:cs="TimesNewRoman"/>
                <w:b w:val="0"/>
                <w:i w:val="0"/>
                <w:vanish w:val="0"/>
                <w:color w:val="000000"/>
                <w:sz w:val="16"/>
              </w:rPr>
            </w:pP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NewRoman" w:eastAsia="TimesNewRoman" w:hAnsi="TimesNewRoman" w:cs="TimesNewRoman"/>
                <w:b w:val="0"/>
                <w:i w:val="0"/>
                <w:vanish w:val="0"/>
                <w:color w:val="000000"/>
                <w:sz w:val="16"/>
              </w:rPr>
            </w:pPr>
            <w:r>
              <w:rPr>
                <w:rFonts w:ascii="TimesNewRoman" w:eastAsia="TimesNewRoman" w:hAnsi="TimesNewRoman" w:cs="TimesNewRoman"/>
                <w:b w:val="0"/>
                <w:i w:val="0"/>
                <w:vanish w:val="0"/>
                <w:color w:val="000000"/>
                <w:sz w:val="16"/>
              </w:rPr>
              <w:t>57.240,00</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NewRoman" w:eastAsia="TimesNewRoman" w:hAnsi="TimesNewRoman" w:cs="TimesNewRoman"/>
                <w:b w:val="0"/>
                <w:i w:val="0"/>
                <w:vanish w:val="0"/>
                <w:color w:val="000000"/>
                <w:sz w:val="16"/>
              </w:rPr>
            </w:pP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NewRoman" w:eastAsia="TimesNewRoman" w:hAnsi="TimesNewRoman" w:cs="TimesNewRoman"/>
                <w:b w:val="0"/>
                <w:i w:val="0"/>
                <w:vanish w:val="0"/>
                <w:color w:val="000000"/>
                <w:sz w:val="16"/>
              </w:rPr>
            </w:pP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NewRoman" w:eastAsia="TimesNewRoman" w:hAnsi="TimesNewRoman" w:cs="TimesNewRoman"/>
                <w:b w:val="0"/>
                <w:i w:val="0"/>
                <w:vanish w:val="0"/>
                <w:color w:val="000000"/>
                <w:sz w:val="16"/>
              </w:rPr>
            </w:pP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NewRoman" w:eastAsia="TimesNewRoman" w:hAnsi="TimesNewRoman" w:cs="TimesNewRoman"/>
                <w:b w:val="0"/>
                <w:i w:val="0"/>
                <w:vanish w:val="0"/>
                <w:color w:val="000000"/>
                <w:sz w:val="16"/>
              </w:rPr>
            </w:pP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NewRoman" w:eastAsia="TimesNewRoman" w:hAnsi="TimesNewRoman" w:cs="TimesNewRoman"/>
                <w:b w:val="0"/>
                <w:i w:val="0"/>
                <w:vanish w:val="0"/>
                <w:color w:val="000000"/>
                <w:sz w:val="16"/>
              </w:rPr>
            </w:pP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NewRoman" w:eastAsia="TimesNewRoman" w:hAnsi="TimesNewRoman" w:cs="TimesNewRoman"/>
                <w:b w:val="0"/>
                <w:i w:val="0"/>
                <w:vanish w:val="0"/>
                <w:color w:val="000000"/>
                <w:sz w:val="16"/>
              </w:rPr>
            </w:pPr>
            <w:r>
              <w:rPr>
                <w:rFonts w:ascii="TimesNewRoman" w:eastAsia="TimesNewRoman" w:hAnsi="TimesNewRoman" w:cs="TimesNewRoman"/>
                <w:b w:val="0"/>
                <w:i w:val="0"/>
                <w:vanish w:val="0"/>
                <w:color w:val="000000"/>
                <w:sz w:val="16"/>
              </w:rPr>
              <w:t>57.240,00</w:t>
            </w:r>
          </w:p>
        </w:tc>
      </w:tr>
      <w:tr>
        <w:tblPrEx>
          <w:tblW w:w="100%" w:type="pct"/>
        </w:tblPrEx>
        <w:trPr>
          <w:cantSplit w:val="0"/>
          <w:trHeight w:hRule="auto" w:val="0"/>
          <w:tblHeader w:val="0"/>
        </w:trPr>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NewRoman" w:eastAsia="TimesNewRoman" w:hAnsi="TimesNewRoman" w:cs="TimesNewRoman"/>
                <w:b w:val="0"/>
                <w:i w:val="0"/>
                <w:vanish w:val="0"/>
                <w:color w:val="000000"/>
                <w:sz w:val="16"/>
              </w:rPr>
            </w:pPr>
            <w:r>
              <w:rPr>
                <w:rFonts w:ascii="TimesNewRoman" w:eastAsia="TimesNewRoman" w:hAnsi="TimesNewRoman" w:cs="TimesNewRoman"/>
                <w:b w:val="0"/>
                <w:i w:val="0"/>
                <w:vanish w:val="0"/>
                <w:color w:val="000000"/>
                <w:sz w:val="16"/>
              </w:rPr>
              <w:t>Tematski instrument – delovni program II</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NewRoman" w:eastAsia="TimesNewRoman" w:hAnsi="TimesNewRoman" w:cs="TimesNewRoman"/>
                <w:b w:val="0"/>
                <w:i w:val="0"/>
                <w:vanish w:val="0"/>
                <w:color w:val="000000"/>
                <w:sz w:val="16"/>
              </w:rPr>
            </w:pP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NewRoman" w:eastAsia="TimesNewRoman" w:hAnsi="TimesNewRoman" w:cs="TimesNewRoman"/>
                <w:b w:val="0"/>
                <w:i w:val="0"/>
                <w:vanish w:val="0"/>
                <w:color w:val="000000"/>
                <w:sz w:val="16"/>
              </w:rPr>
            </w:pP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NewRoman" w:eastAsia="TimesNewRoman" w:hAnsi="TimesNewRoman" w:cs="TimesNewRoman"/>
                <w:b w:val="0"/>
                <w:i w:val="0"/>
                <w:vanish w:val="0"/>
                <w:color w:val="000000"/>
                <w:sz w:val="16"/>
              </w:rPr>
            </w:pP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NewRoman" w:eastAsia="TimesNewRoman" w:hAnsi="TimesNewRoman" w:cs="TimesNewRoman"/>
                <w:b w:val="0"/>
                <w:i w:val="0"/>
                <w:vanish w:val="0"/>
                <w:color w:val="000000"/>
                <w:sz w:val="16"/>
              </w:rPr>
            </w:pP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NewRoman" w:eastAsia="TimesNewRoman" w:hAnsi="TimesNewRoman" w:cs="TimesNewRoman"/>
                <w:b w:val="0"/>
                <w:i w:val="0"/>
                <w:vanish w:val="0"/>
                <w:color w:val="000000"/>
                <w:sz w:val="16"/>
              </w:rPr>
            </w:pP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NewRoman" w:eastAsia="TimesNewRoman" w:hAnsi="TimesNewRoman" w:cs="TimesNewRoman"/>
                <w:b w:val="0"/>
                <w:i w:val="0"/>
                <w:vanish w:val="0"/>
                <w:color w:val="000000"/>
                <w:sz w:val="16"/>
              </w:rPr>
            </w:pP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NewRoman" w:eastAsia="TimesNewRoman" w:hAnsi="TimesNewRoman" w:cs="TimesNewRoman"/>
                <w:b w:val="0"/>
                <w:i w:val="0"/>
                <w:vanish w:val="0"/>
                <w:color w:val="000000"/>
                <w:sz w:val="16"/>
              </w:rPr>
            </w:pP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NewRoman" w:eastAsia="TimesNewRoman" w:hAnsi="TimesNewRoman" w:cs="TimesNewRoman"/>
                <w:b w:val="0"/>
                <w:i w:val="0"/>
                <w:vanish w:val="0"/>
                <w:color w:val="000000"/>
                <w:sz w:val="16"/>
              </w:rPr>
            </w:pPr>
          </w:p>
        </w:tc>
      </w:tr>
      <w:tr>
        <w:tblPrEx>
          <w:tblW w:w="100%" w:type="pct"/>
        </w:tblPrEx>
        <w:trPr>
          <w:cantSplit w:val="0"/>
          <w:trHeight w:hRule="auto" w:val="0"/>
          <w:tblHeader w:val="0"/>
        </w:trPr>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NewRoman" w:eastAsia="TimesNewRoman" w:hAnsi="TimesNewRoman" w:cs="TimesNewRoman"/>
                <w:b w:val="0"/>
                <w:i w:val="0"/>
                <w:vanish w:val="0"/>
                <w:color w:val="000000"/>
                <w:sz w:val="16"/>
              </w:rPr>
            </w:pPr>
            <w:r>
              <w:rPr>
                <w:rFonts w:ascii="TimesNewRoman" w:eastAsia="TimesNewRoman" w:hAnsi="TimesNewRoman" w:cs="TimesNewRoman"/>
                <w:b w:val="0"/>
                <w:i w:val="0"/>
                <w:vanish w:val="0"/>
                <w:color w:val="000000"/>
                <w:sz w:val="16"/>
              </w:rPr>
              <w:t>Tematski instrument – delovni program III</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NewRoman" w:eastAsia="TimesNewRoman" w:hAnsi="TimesNewRoman" w:cs="TimesNewRoman"/>
                <w:b w:val="0"/>
                <w:i w:val="0"/>
                <w:vanish w:val="0"/>
                <w:color w:val="000000"/>
                <w:sz w:val="16"/>
              </w:rPr>
            </w:pP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NewRoman" w:eastAsia="TimesNewRoman" w:hAnsi="TimesNewRoman" w:cs="TimesNewRoman"/>
                <w:b w:val="0"/>
                <w:i w:val="0"/>
                <w:vanish w:val="0"/>
                <w:color w:val="000000"/>
                <w:sz w:val="16"/>
              </w:rPr>
            </w:pP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NewRoman" w:eastAsia="TimesNewRoman" w:hAnsi="TimesNewRoman" w:cs="TimesNewRoman"/>
                <w:b w:val="0"/>
                <w:i w:val="0"/>
                <w:vanish w:val="0"/>
                <w:color w:val="000000"/>
                <w:sz w:val="16"/>
              </w:rPr>
            </w:pP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NewRoman" w:eastAsia="TimesNewRoman" w:hAnsi="TimesNewRoman" w:cs="TimesNewRoman"/>
                <w:b w:val="0"/>
                <w:i w:val="0"/>
                <w:vanish w:val="0"/>
                <w:color w:val="000000"/>
                <w:sz w:val="16"/>
              </w:rPr>
            </w:pP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NewRoman" w:eastAsia="TimesNewRoman" w:hAnsi="TimesNewRoman" w:cs="TimesNewRoman"/>
                <w:b w:val="0"/>
                <w:i w:val="0"/>
                <w:vanish w:val="0"/>
                <w:color w:val="000000"/>
                <w:sz w:val="16"/>
              </w:rPr>
            </w:pP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NewRoman" w:eastAsia="TimesNewRoman" w:hAnsi="TimesNewRoman" w:cs="TimesNewRoman"/>
                <w:b w:val="0"/>
                <w:i w:val="0"/>
                <w:vanish w:val="0"/>
                <w:color w:val="000000"/>
                <w:sz w:val="16"/>
              </w:rPr>
            </w:pP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NewRoman" w:eastAsia="TimesNewRoman" w:hAnsi="TimesNewRoman" w:cs="TimesNewRoman"/>
                <w:b w:val="0"/>
                <w:i w:val="0"/>
                <w:vanish w:val="0"/>
                <w:color w:val="000000"/>
                <w:sz w:val="16"/>
              </w:rPr>
            </w:pP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NewRoman" w:eastAsia="TimesNewRoman" w:hAnsi="TimesNewRoman" w:cs="TimesNewRoman"/>
                <w:b w:val="0"/>
                <w:i w:val="0"/>
                <w:vanish w:val="0"/>
                <w:color w:val="000000"/>
                <w:sz w:val="16"/>
              </w:rPr>
            </w:pPr>
          </w:p>
        </w:tc>
      </w:tr>
      <w:tr>
        <w:tblPrEx>
          <w:tblW w:w="100%" w:type="pct"/>
        </w:tblPrEx>
        <w:trPr>
          <w:cantSplit w:val="0"/>
          <w:trHeight w:hRule="auto" w:val="0"/>
          <w:tblHeader w:val="0"/>
        </w:trPr>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NewRoman" w:eastAsia="TimesNewRoman" w:hAnsi="TimesNewRoman" w:cs="TimesNewRoman"/>
                <w:b w:val="0"/>
                <w:i w:val="0"/>
                <w:vanish w:val="0"/>
                <w:color w:val="000000"/>
                <w:sz w:val="16"/>
              </w:rPr>
            </w:pPr>
            <w:r>
              <w:rPr>
                <w:rFonts w:ascii="TimesNewRoman" w:eastAsia="TimesNewRoman" w:hAnsi="TimesNewRoman" w:cs="TimesNewRoman"/>
                <w:b w:val="0"/>
                <w:i w:val="0"/>
                <w:vanish w:val="0"/>
                <w:color w:val="000000"/>
                <w:sz w:val="16"/>
              </w:rPr>
              <w:t>Premestitev (v)</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NewRoman" w:eastAsia="TimesNewRoman" w:hAnsi="TimesNewRoman" w:cs="TimesNewRoman"/>
                <w:b w:val="0"/>
                <w:i w:val="0"/>
                <w:vanish w:val="0"/>
                <w:color w:val="000000"/>
                <w:sz w:val="16"/>
              </w:rPr>
            </w:pP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NewRoman" w:eastAsia="TimesNewRoman" w:hAnsi="TimesNewRoman" w:cs="TimesNewRoman"/>
                <w:b w:val="0"/>
                <w:i w:val="0"/>
                <w:vanish w:val="0"/>
                <w:color w:val="000000"/>
                <w:sz w:val="16"/>
              </w:rPr>
            </w:pP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NewRoman" w:eastAsia="TimesNewRoman" w:hAnsi="TimesNewRoman" w:cs="TimesNewRoman"/>
                <w:b w:val="0"/>
                <w:i w:val="0"/>
                <w:vanish w:val="0"/>
                <w:color w:val="000000"/>
                <w:sz w:val="16"/>
              </w:rPr>
            </w:pP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NewRoman" w:eastAsia="TimesNewRoman" w:hAnsi="TimesNewRoman" w:cs="TimesNewRoman"/>
                <w:b w:val="0"/>
                <w:i w:val="0"/>
                <w:vanish w:val="0"/>
                <w:color w:val="000000"/>
                <w:sz w:val="16"/>
              </w:rPr>
            </w:pP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NewRoman" w:eastAsia="TimesNewRoman" w:hAnsi="TimesNewRoman" w:cs="TimesNewRoman"/>
                <w:b w:val="0"/>
                <w:i w:val="0"/>
                <w:vanish w:val="0"/>
                <w:color w:val="000000"/>
                <w:sz w:val="16"/>
              </w:rPr>
            </w:pPr>
            <w:r>
              <w:rPr>
                <w:rFonts w:ascii="TimesNewRoman" w:eastAsia="TimesNewRoman" w:hAnsi="TimesNewRoman" w:cs="TimesNewRoman"/>
                <w:b w:val="0"/>
                <w:i w:val="0"/>
                <w:vanish w:val="0"/>
                <w:color w:val="000000"/>
                <w:sz w:val="16"/>
              </w:rPr>
              <w:t>1.897.181,09</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NewRoman" w:eastAsia="TimesNewRoman" w:hAnsi="TimesNewRoman" w:cs="TimesNewRoman"/>
                <w:b w:val="0"/>
                <w:i w:val="0"/>
                <w:vanish w:val="0"/>
                <w:color w:val="000000"/>
                <w:sz w:val="16"/>
              </w:rPr>
            </w:pPr>
            <w:r>
              <w:rPr>
                <w:rFonts w:ascii="TimesNewRoman" w:eastAsia="TimesNewRoman" w:hAnsi="TimesNewRoman" w:cs="TimesNewRoman"/>
                <w:b w:val="0"/>
                <w:i w:val="0"/>
                <w:vanish w:val="0"/>
                <w:color w:val="000000"/>
                <w:sz w:val="16"/>
              </w:rPr>
              <w:t>1.897.181,10</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NewRoman" w:eastAsia="TimesNewRoman" w:hAnsi="TimesNewRoman" w:cs="TimesNewRoman"/>
                <w:b w:val="0"/>
                <w:i w:val="0"/>
                <w:vanish w:val="0"/>
                <w:color w:val="000000"/>
                <w:sz w:val="16"/>
              </w:rPr>
            </w:pPr>
            <w:r>
              <w:rPr>
                <w:rFonts w:ascii="TimesNewRoman" w:eastAsia="TimesNewRoman" w:hAnsi="TimesNewRoman" w:cs="TimesNewRoman"/>
                <w:b w:val="0"/>
                <w:i w:val="0"/>
                <w:vanish w:val="0"/>
                <w:color w:val="000000"/>
                <w:sz w:val="16"/>
              </w:rPr>
              <w:t>1.897.181,10</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NewRoman" w:eastAsia="TimesNewRoman" w:hAnsi="TimesNewRoman" w:cs="TimesNewRoman"/>
                <w:b w:val="0"/>
                <w:i w:val="0"/>
                <w:vanish w:val="0"/>
                <w:color w:val="000000"/>
                <w:sz w:val="16"/>
              </w:rPr>
            </w:pPr>
            <w:r>
              <w:rPr>
                <w:rFonts w:ascii="TimesNewRoman" w:eastAsia="TimesNewRoman" w:hAnsi="TimesNewRoman" w:cs="TimesNewRoman"/>
                <w:b w:val="0"/>
                <w:i w:val="0"/>
                <w:vanish w:val="0"/>
                <w:color w:val="000000"/>
                <w:sz w:val="16"/>
              </w:rPr>
              <w:t>5.691.543,29</w:t>
            </w:r>
          </w:p>
        </w:tc>
      </w:tr>
      <w:tr>
        <w:tblPrEx>
          <w:tblW w:w="100%" w:type="pct"/>
        </w:tblPrEx>
        <w:trPr>
          <w:cantSplit w:val="0"/>
          <w:trHeight w:hRule="auto" w:val="0"/>
          <w:tblHeader w:val="0"/>
        </w:trPr>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NewRoman" w:eastAsia="TimesNewRoman" w:hAnsi="TimesNewRoman" w:cs="TimesNewRoman"/>
                <w:b w:val="0"/>
                <w:i w:val="0"/>
                <w:vanish w:val="0"/>
                <w:color w:val="000000"/>
                <w:sz w:val="16"/>
              </w:rPr>
            </w:pPr>
            <w:r>
              <w:rPr>
                <w:rFonts w:ascii="TimesNewRoman" w:eastAsia="TimesNewRoman" w:hAnsi="TimesNewRoman" w:cs="TimesNewRoman"/>
                <w:b w:val="0"/>
                <w:i w:val="0"/>
                <w:vanish w:val="0"/>
                <w:color w:val="000000"/>
                <w:sz w:val="16"/>
              </w:rPr>
              <w:t>Premestitev (iz)</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NewRoman" w:eastAsia="TimesNewRoman" w:hAnsi="TimesNewRoman" w:cs="TimesNewRoman"/>
                <w:b w:val="0"/>
                <w:i w:val="0"/>
                <w:vanish w:val="0"/>
                <w:color w:val="000000"/>
                <w:sz w:val="16"/>
              </w:rPr>
            </w:pP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NewRoman" w:eastAsia="TimesNewRoman" w:hAnsi="TimesNewRoman" w:cs="TimesNewRoman"/>
                <w:b w:val="0"/>
                <w:i w:val="0"/>
                <w:vanish w:val="0"/>
                <w:color w:val="000000"/>
                <w:sz w:val="16"/>
              </w:rPr>
            </w:pP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NewRoman" w:eastAsia="TimesNewRoman" w:hAnsi="TimesNewRoman" w:cs="TimesNewRoman"/>
                <w:b w:val="0"/>
                <w:i w:val="0"/>
                <w:vanish w:val="0"/>
                <w:color w:val="000000"/>
                <w:sz w:val="16"/>
              </w:rPr>
            </w:pP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NewRoman" w:eastAsia="TimesNewRoman" w:hAnsi="TimesNewRoman" w:cs="TimesNewRoman"/>
                <w:b w:val="0"/>
                <w:i w:val="0"/>
                <w:vanish w:val="0"/>
                <w:color w:val="000000"/>
                <w:sz w:val="16"/>
              </w:rPr>
            </w:pP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NewRoman" w:eastAsia="TimesNewRoman" w:hAnsi="TimesNewRoman" w:cs="TimesNewRoman"/>
                <w:b w:val="0"/>
                <w:i w:val="0"/>
                <w:vanish w:val="0"/>
                <w:color w:val="000000"/>
                <w:sz w:val="16"/>
              </w:rPr>
            </w:pP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NewRoman" w:eastAsia="TimesNewRoman" w:hAnsi="TimesNewRoman" w:cs="TimesNewRoman"/>
                <w:b w:val="0"/>
                <w:i w:val="0"/>
                <w:vanish w:val="0"/>
                <w:color w:val="000000"/>
                <w:sz w:val="16"/>
              </w:rPr>
            </w:pP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NewRoman" w:eastAsia="TimesNewRoman" w:hAnsi="TimesNewRoman" w:cs="TimesNewRoman"/>
                <w:b w:val="0"/>
                <w:i w:val="0"/>
                <w:vanish w:val="0"/>
                <w:color w:val="000000"/>
                <w:sz w:val="16"/>
              </w:rPr>
            </w:pP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NewRoman" w:eastAsia="TimesNewRoman" w:hAnsi="TimesNewRoman" w:cs="TimesNewRoman"/>
                <w:b w:val="0"/>
                <w:i w:val="0"/>
                <w:vanish w:val="0"/>
                <w:color w:val="000000"/>
                <w:sz w:val="16"/>
              </w:rPr>
            </w:pPr>
          </w:p>
        </w:tc>
      </w:tr>
      <w:tr>
        <w:tblPrEx>
          <w:tblW w:w="100%" w:type="pct"/>
        </w:tblPrEx>
        <w:trPr>
          <w:cantSplit w:val="0"/>
          <w:trHeight w:hRule="auto" w:val="0"/>
          <w:tblHeader w:val="0"/>
        </w:trPr>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NewRoman" w:eastAsia="TimesNewRoman" w:hAnsi="TimesNewRoman" w:cs="TimesNewRoman"/>
                <w:b w:val="0"/>
                <w:i w:val="0"/>
                <w:vanish w:val="0"/>
                <w:color w:val="000000"/>
                <w:sz w:val="16"/>
              </w:rPr>
            </w:pPr>
            <w:r>
              <w:rPr>
                <w:rFonts w:ascii="TimesNewRoman" w:eastAsia="TimesNewRoman" w:hAnsi="TimesNewRoman" w:cs="TimesNewRoman"/>
                <w:b w:val="0"/>
                <w:i w:val="0"/>
                <w:vanish w:val="0"/>
                <w:color w:val="000000"/>
                <w:sz w:val="16"/>
              </w:rPr>
              <w:t>Skupaj</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NewRoman" w:eastAsia="TimesNewRoman" w:hAnsi="TimesNewRoman" w:cs="TimesNewRoman"/>
                <w:b w:val="0"/>
                <w:i w:val="0"/>
                <w:vanish w:val="0"/>
                <w:color w:val="000000"/>
                <w:sz w:val="16"/>
              </w:rPr>
            </w:pPr>
            <w:r>
              <w:rPr>
                <w:rFonts w:ascii="TimesNewRoman" w:eastAsia="TimesNewRoman" w:hAnsi="TimesNewRoman" w:cs="TimesNewRoman"/>
                <w:b w:val="0"/>
                <w:i w:val="0"/>
                <w:vanish w:val="0"/>
                <w:color w:val="000000"/>
                <w:sz w:val="16"/>
              </w:rPr>
              <w:t>0,00</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NewRoman" w:eastAsia="TimesNewRoman" w:hAnsi="TimesNewRoman" w:cs="TimesNewRoman"/>
                <w:b w:val="0"/>
                <w:i w:val="0"/>
                <w:vanish w:val="0"/>
                <w:color w:val="000000"/>
                <w:sz w:val="16"/>
              </w:rPr>
            </w:pPr>
            <w:r>
              <w:rPr>
                <w:rFonts w:ascii="TimesNewRoman" w:eastAsia="TimesNewRoman" w:hAnsi="TimesNewRoman" w:cs="TimesNewRoman"/>
                <w:b w:val="0"/>
                <w:i w:val="0"/>
                <w:vanish w:val="0"/>
                <w:color w:val="000000"/>
                <w:sz w:val="16"/>
              </w:rPr>
              <w:t>3.709.459,00</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NewRoman" w:eastAsia="TimesNewRoman" w:hAnsi="TimesNewRoman" w:cs="TimesNewRoman"/>
                <w:b w:val="0"/>
                <w:i w:val="0"/>
                <w:vanish w:val="0"/>
                <w:color w:val="000000"/>
                <w:sz w:val="16"/>
              </w:rPr>
            </w:pPr>
            <w:r>
              <w:rPr>
                <w:rFonts w:ascii="TimesNewRoman" w:eastAsia="TimesNewRoman" w:hAnsi="TimesNewRoman" w:cs="TimesNewRoman"/>
                <w:b w:val="0"/>
                <w:i w:val="0"/>
                <w:vanish w:val="0"/>
                <w:color w:val="000000"/>
                <w:sz w:val="16"/>
              </w:rPr>
              <w:t>5.466.360,00</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NewRoman" w:eastAsia="TimesNewRoman" w:hAnsi="TimesNewRoman" w:cs="TimesNewRoman"/>
                <w:b w:val="0"/>
                <w:i w:val="0"/>
                <w:vanish w:val="0"/>
                <w:color w:val="000000"/>
                <w:sz w:val="16"/>
              </w:rPr>
            </w:pPr>
            <w:r>
              <w:rPr>
                <w:rFonts w:ascii="TimesNewRoman" w:eastAsia="TimesNewRoman" w:hAnsi="TimesNewRoman" w:cs="TimesNewRoman"/>
                <w:b w:val="0"/>
                <w:i w:val="0"/>
                <w:vanish w:val="0"/>
                <w:color w:val="000000"/>
                <w:sz w:val="16"/>
              </w:rPr>
              <w:t>5.334.086,00</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NewRoman" w:eastAsia="TimesNewRoman" w:hAnsi="TimesNewRoman" w:cs="TimesNewRoman"/>
                <w:b w:val="0"/>
                <w:i w:val="0"/>
                <w:vanish w:val="0"/>
                <w:color w:val="000000"/>
                <w:sz w:val="16"/>
              </w:rPr>
            </w:pPr>
            <w:r>
              <w:rPr>
                <w:rFonts w:ascii="TimesNewRoman" w:eastAsia="TimesNewRoman" w:hAnsi="TimesNewRoman" w:cs="TimesNewRoman"/>
                <w:b w:val="0"/>
                <w:i w:val="0"/>
                <w:vanish w:val="0"/>
                <w:color w:val="000000"/>
                <w:sz w:val="16"/>
              </w:rPr>
              <w:t>6.495.044,09</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NewRoman" w:eastAsia="TimesNewRoman" w:hAnsi="TimesNewRoman" w:cs="TimesNewRoman"/>
                <w:b w:val="0"/>
                <w:i w:val="0"/>
                <w:vanish w:val="0"/>
                <w:color w:val="000000"/>
                <w:sz w:val="16"/>
              </w:rPr>
            </w:pPr>
            <w:r>
              <w:rPr>
                <w:rFonts w:ascii="TimesNewRoman" w:eastAsia="TimesNewRoman" w:hAnsi="TimesNewRoman" w:cs="TimesNewRoman"/>
                <w:b w:val="0"/>
                <w:i w:val="0"/>
                <w:vanish w:val="0"/>
                <w:color w:val="000000"/>
                <w:sz w:val="16"/>
              </w:rPr>
              <w:t>5.808.209,10</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NewRoman" w:eastAsia="TimesNewRoman" w:hAnsi="TimesNewRoman" w:cs="TimesNewRoman"/>
                <w:b w:val="0"/>
                <w:i w:val="0"/>
                <w:vanish w:val="0"/>
                <w:color w:val="000000"/>
                <w:sz w:val="16"/>
              </w:rPr>
            </w:pPr>
            <w:r>
              <w:rPr>
                <w:rFonts w:ascii="TimesNewRoman" w:eastAsia="TimesNewRoman" w:hAnsi="TimesNewRoman" w:cs="TimesNewRoman"/>
                <w:b w:val="0"/>
                <w:i w:val="0"/>
                <w:vanish w:val="0"/>
                <w:color w:val="000000"/>
                <w:sz w:val="16"/>
              </w:rPr>
              <w:t>5.443.292,10</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NewRoman" w:eastAsia="TimesNewRoman" w:hAnsi="TimesNewRoman" w:cs="TimesNewRoman"/>
                <w:b w:val="0"/>
                <w:i w:val="0"/>
                <w:vanish w:val="0"/>
                <w:color w:val="000000"/>
                <w:sz w:val="16"/>
              </w:rPr>
            </w:pPr>
            <w:r>
              <w:rPr>
                <w:rFonts w:ascii="TimesNewRoman" w:eastAsia="TimesNewRoman" w:hAnsi="TimesNewRoman" w:cs="TimesNewRoman"/>
                <w:b w:val="0"/>
                <w:i w:val="0"/>
                <w:vanish w:val="0"/>
                <w:color w:val="000000"/>
                <w:sz w:val="16"/>
              </w:rPr>
              <w:t>32.256.450,29</w:t>
            </w:r>
          </w:p>
        </w:tc>
      </w:tr>
    </w:tbl>
    <w:p w:rsidR="00A77B3E">
      <w:pPr>
        <w:spacing w:before="100" w:after="0"/>
        <w:jc w:val="start"/>
        <w:rPr>
          <w:rFonts w:ascii="TimesNewRoman" w:eastAsia="TimesNewRoman" w:hAnsi="TimesNewRoman" w:cs="TimesNewRoman"/>
          <w:b w:val="0"/>
          <w:i w:val="0"/>
          <w:vanish w:val="0"/>
          <w:color w:val="000000"/>
          <w:sz w:val="24"/>
        </w:rPr>
      </w:pPr>
      <w:r>
        <w:rPr>
          <w:rFonts w:ascii="TimesNewRoman" w:eastAsia="TimesNewRoman" w:hAnsi="TimesNewRoman" w:cs="TimesNewRoman"/>
          <w:b w:val="0"/>
          <w:i w:val="0"/>
          <w:vanish w:val="0"/>
          <w:color w:val="000000"/>
          <w:sz w:val="16"/>
        </w:rPr>
        <w:br w:type="page"/>
      </w:r>
    </w:p>
    <w:p w:rsidR="00A77B3E">
      <w:pPr>
        <w:pStyle w:val="Heading2"/>
        <w:spacing w:before="100" w:after="0"/>
        <w:jc w:val="start"/>
        <w:rPr>
          <w:rFonts w:ascii="TimesNewRoman" w:eastAsia="TimesNewRoman" w:hAnsi="TimesNewRoman" w:cs="TimesNewRoman"/>
          <w:b w:val="0"/>
          <w:i w:val="0"/>
          <w:vanish w:val="0"/>
          <w:color w:val="000000"/>
          <w:sz w:val="24"/>
        </w:rPr>
      </w:pPr>
      <w:bookmarkStart w:id="30" w:name="_Toc256000085"/>
      <w:r>
        <w:rPr>
          <w:rFonts w:ascii="TimesNewRoman" w:eastAsia="TimesNewRoman" w:hAnsi="TimesNewRoman" w:cs="TimesNewRoman"/>
          <w:b w:val="0"/>
          <w:i w:val="0"/>
          <w:vanish w:val="0"/>
          <w:color w:val="000000"/>
          <w:sz w:val="24"/>
        </w:rPr>
        <w:t>3.2. Skupna dodelitev finančnih sredstev</w:t>
      </w:r>
      <w:bookmarkEnd w:id="30"/>
    </w:p>
    <w:p w:rsidR="00A77B3E">
      <w:pPr>
        <w:pStyle w:val="Heading4"/>
        <w:spacing w:before="100" w:after="0"/>
        <w:jc w:val="start"/>
        <w:rPr>
          <w:rFonts w:ascii="TimesNewRoman" w:eastAsia="TimesNewRoman" w:hAnsi="TimesNewRoman" w:cs="TimesNewRoman"/>
          <w:b w:val="0"/>
          <w:i w:val="0"/>
          <w:vanish w:val="0"/>
          <w:color w:val="000000"/>
          <w:sz w:val="24"/>
        </w:rPr>
      </w:pPr>
      <w:bookmarkStart w:id="31" w:name="_Toc256000086"/>
      <w:r>
        <w:rPr>
          <w:rFonts w:ascii="TimesNewRoman" w:eastAsia="TimesNewRoman" w:hAnsi="TimesNewRoman" w:cs="TimesNewRoman"/>
          <w:b w:val="0"/>
          <w:i w:val="0"/>
          <w:vanish w:val="0"/>
          <w:color w:val="000000"/>
          <w:sz w:val="24"/>
        </w:rPr>
        <w:t>Tabela 6: Skupna dodelitev finančnih sredstev po skladih in nacionalni prispevek</w:t>
      </w:r>
      <w:bookmarkEnd w:id="31"/>
    </w:p>
    <w:tbl>
      <w:tblPr>
        <w:tblW w:w="100%" w:type="pct"/>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CellMar>
          <w:start w:w="5.4pt" w:type="dxa"/>
          <w:end w:w="5.4pt" w:type="dxa"/>
        </w:tblCellMar>
      </w:tblPr>
      <w:tblGrid>
        <w:gridCol w:w="3061"/>
        <w:gridCol w:w="1531"/>
        <w:gridCol w:w="1530"/>
        <w:gridCol w:w="1530"/>
        <w:gridCol w:w="1530"/>
        <w:gridCol w:w="1530"/>
        <w:gridCol w:w="1530"/>
        <w:gridCol w:w="1530"/>
        <w:gridCol w:w="1530"/>
      </w:tblGrid>
      <w:tr>
        <w:tblPrEx>
          <w:tblW w:w="100%" w:type="pct"/>
        </w:tblPrEx>
        <w:trPr>
          <w:cantSplit w:val="0"/>
          <w:trHeight w:hRule="auto" w:val="0"/>
          <w:tblHeader/>
        </w:trPr>
        <w:tc>
          <w:tcPr>
            <w:tcW w:w="20%" w:type="pct"/>
            <w:vMerge w:val="restart"/>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rsidR="00A77B3E">
            <w:pPr>
              <w:spacing w:before="100" w:after="0"/>
              <w:jc w:val="center"/>
              <w:rPr>
                <w:rFonts w:ascii="TimesNewRoman" w:eastAsia="TimesNewRoman" w:hAnsi="TimesNewRoman" w:cs="TimesNewRoman"/>
                <w:b w:val="0"/>
                <w:i w:val="0"/>
                <w:vanish w:val="0"/>
                <w:color w:val="000000"/>
                <w:sz w:val="16"/>
              </w:rPr>
            </w:pPr>
            <w:r>
              <w:rPr>
                <w:rFonts w:ascii="TimesNewRoman" w:eastAsia="TimesNewRoman" w:hAnsi="TimesNewRoman" w:cs="TimesNewRoman"/>
                <w:b w:val="0"/>
                <w:i w:val="0"/>
                <w:vanish w:val="0"/>
                <w:color w:val="000000"/>
                <w:sz w:val="16"/>
              </w:rPr>
              <w:t>Specifični cilji (SC)</w:t>
            </w:r>
          </w:p>
        </w:tc>
        <w:tc>
          <w:tcPr>
            <w:tcW w:w="10%" w:type="pct"/>
            <w:vMerge w:val="restart"/>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rsidR="00A77B3E">
            <w:pPr>
              <w:spacing w:before="100" w:after="0"/>
              <w:jc w:val="center"/>
              <w:rPr>
                <w:rFonts w:ascii="TimesNewRoman" w:eastAsia="TimesNewRoman" w:hAnsi="TimesNewRoman" w:cs="TimesNewRoman"/>
                <w:b w:val="0"/>
                <w:i w:val="0"/>
                <w:vanish w:val="0"/>
                <w:color w:val="000000"/>
                <w:sz w:val="16"/>
              </w:rPr>
            </w:pPr>
            <w:r>
              <w:rPr>
                <w:rFonts w:ascii="TimesNewRoman" w:eastAsia="TimesNewRoman" w:hAnsi="TimesNewRoman" w:cs="TimesNewRoman"/>
                <w:b w:val="0"/>
                <w:i w:val="0"/>
                <w:vanish w:val="0"/>
                <w:color w:val="000000"/>
                <w:sz w:val="16"/>
              </w:rPr>
              <w:t>Vrsta ukrepa</w:t>
            </w:r>
          </w:p>
        </w:tc>
        <w:tc>
          <w:tcPr>
            <w:tcW w:w="10%" w:type="pct"/>
            <w:vMerge w:val="restart"/>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rsidR="00A77B3E">
            <w:pPr>
              <w:spacing w:before="100" w:after="0"/>
              <w:jc w:val="center"/>
              <w:rPr>
                <w:rFonts w:ascii="TimesNewRoman" w:eastAsia="TimesNewRoman" w:hAnsi="TimesNewRoman" w:cs="TimesNewRoman"/>
                <w:b w:val="0"/>
                <w:i w:val="0"/>
                <w:vanish w:val="0"/>
                <w:color w:val="000000"/>
                <w:sz w:val="16"/>
              </w:rPr>
            </w:pPr>
            <w:r>
              <w:rPr>
                <w:rFonts w:ascii="TimesNewRoman" w:eastAsia="TimesNewRoman" w:hAnsi="TimesNewRoman" w:cs="TimesNewRoman"/>
                <w:b w:val="0"/>
                <w:i w:val="0"/>
                <w:vanish w:val="0"/>
                <w:color w:val="000000"/>
                <w:sz w:val="16"/>
              </w:rPr>
              <w:t>Osnova za izračun podpore Unije (skupne ali javne)</w:t>
            </w:r>
          </w:p>
        </w:tc>
        <w:tc>
          <w:tcPr>
            <w:tcW w:w="10%" w:type="pct"/>
            <w:vMerge w:val="restart"/>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rsidR="00A77B3E">
            <w:pPr>
              <w:spacing w:before="100" w:after="0"/>
              <w:jc w:val="center"/>
              <w:rPr>
                <w:rFonts w:ascii="TimesNewRoman" w:eastAsia="TimesNewRoman" w:hAnsi="TimesNewRoman" w:cs="TimesNewRoman"/>
                <w:b w:val="0"/>
                <w:i w:val="0"/>
                <w:vanish w:val="0"/>
                <w:color w:val="000000"/>
                <w:sz w:val="16"/>
              </w:rPr>
            </w:pPr>
            <w:r>
              <w:rPr>
                <w:rFonts w:ascii="TimesNewRoman" w:eastAsia="TimesNewRoman" w:hAnsi="TimesNewRoman" w:cs="TimesNewRoman"/>
                <w:b w:val="0"/>
                <w:i w:val="0"/>
                <w:vanish w:val="0"/>
                <w:color w:val="000000"/>
                <w:sz w:val="16"/>
              </w:rPr>
              <w:t>Prispevek Unije (a)</w:t>
            </w:r>
          </w:p>
        </w:tc>
        <w:tc>
          <w:tcPr>
            <w:tcW w:w="10%" w:type="pct"/>
            <w:vMerge w:val="restart"/>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rsidR="00A77B3E">
            <w:pPr>
              <w:spacing w:before="100" w:after="0"/>
              <w:jc w:val="center"/>
              <w:rPr>
                <w:rFonts w:ascii="TimesNewRoman" w:eastAsia="TimesNewRoman" w:hAnsi="TimesNewRoman" w:cs="TimesNewRoman"/>
                <w:b w:val="0"/>
                <w:i w:val="0"/>
                <w:vanish w:val="0"/>
                <w:color w:val="000000"/>
                <w:sz w:val="16"/>
              </w:rPr>
            </w:pPr>
            <w:r>
              <w:rPr>
                <w:rFonts w:ascii="TimesNewRoman" w:eastAsia="TimesNewRoman" w:hAnsi="TimesNewRoman" w:cs="TimesNewRoman"/>
                <w:b w:val="0"/>
                <w:i w:val="0"/>
                <w:vanish w:val="0"/>
                <w:color w:val="000000"/>
                <w:sz w:val="16"/>
              </w:rPr>
              <w:t>Nacionalni prispevek (b) = (c) + (d)</w:t>
            </w:r>
          </w:p>
        </w:tc>
        <w:tc>
          <w:tcPr>
            <w:tcW w:w="10%" w:type="pct"/>
            <w:gridSpan w:val="2"/>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rsidR="00A77B3E">
            <w:pPr>
              <w:spacing w:before="100" w:after="0"/>
              <w:jc w:val="center"/>
              <w:rPr>
                <w:rFonts w:ascii="TimesNewRoman" w:eastAsia="TimesNewRoman" w:hAnsi="TimesNewRoman" w:cs="TimesNewRoman"/>
                <w:b w:val="0"/>
                <w:i w:val="0"/>
                <w:vanish w:val="0"/>
                <w:color w:val="000000"/>
                <w:sz w:val="16"/>
              </w:rPr>
            </w:pPr>
            <w:r>
              <w:rPr>
                <w:rFonts w:ascii="TimesNewRoman" w:eastAsia="TimesNewRoman" w:hAnsi="TimesNewRoman" w:cs="TimesNewRoman"/>
                <w:b w:val="0"/>
                <w:i w:val="0"/>
                <w:vanish w:val="0"/>
                <w:color w:val="000000"/>
                <w:sz w:val="16"/>
              </w:rPr>
              <w:t>Okvirna razčlenitev nacionalnega prispevka</w:t>
            </w:r>
          </w:p>
        </w:tc>
        <w:tc>
          <w:tcPr>
            <w:tcW w:w="10%" w:type="pct"/>
            <w:vMerge w:val="restart"/>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rsidR="00A77B3E">
            <w:pPr>
              <w:spacing w:before="100" w:after="0"/>
              <w:jc w:val="center"/>
              <w:rPr>
                <w:rFonts w:ascii="TimesNewRoman" w:eastAsia="TimesNewRoman" w:hAnsi="TimesNewRoman" w:cs="TimesNewRoman"/>
                <w:b w:val="0"/>
                <w:i w:val="0"/>
                <w:vanish w:val="0"/>
                <w:color w:val="000000"/>
                <w:sz w:val="16"/>
              </w:rPr>
            </w:pPr>
            <w:r>
              <w:rPr>
                <w:rFonts w:ascii="TimesNewRoman" w:eastAsia="TimesNewRoman" w:hAnsi="TimesNewRoman" w:cs="TimesNewRoman"/>
                <w:b w:val="0"/>
                <w:i w:val="0"/>
                <w:vanish w:val="0"/>
                <w:color w:val="000000"/>
                <w:sz w:val="16"/>
              </w:rPr>
              <w:t>Skupaj (e) = (a) + (b)</w:t>
            </w:r>
          </w:p>
        </w:tc>
        <w:tc>
          <w:tcPr>
            <w:tcW w:w="10%" w:type="pct"/>
            <w:vMerge w:val="restart"/>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rsidR="00A77B3E">
            <w:pPr>
              <w:spacing w:before="100" w:after="0"/>
              <w:jc w:val="center"/>
              <w:rPr>
                <w:rFonts w:ascii="TimesNewRoman" w:eastAsia="TimesNewRoman" w:hAnsi="TimesNewRoman" w:cs="TimesNewRoman"/>
                <w:b w:val="0"/>
                <w:i w:val="0"/>
                <w:vanish w:val="0"/>
                <w:color w:val="000000"/>
                <w:sz w:val="16"/>
              </w:rPr>
            </w:pPr>
            <w:r>
              <w:rPr>
                <w:rFonts w:ascii="TimesNewRoman" w:eastAsia="TimesNewRoman" w:hAnsi="TimesNewRoman" w:cs="TimesNewRoman"/>
                <w:b w:val="0"/>
                <w:i w:val="0"/>
                <w:vanish w:val="0"/>
                <w:color w:val="000000"/>
                <w:sz w:val="16"/>
              </w:rPr>
              <w:t>Stopnja sofinanciranja (f) = (a) / (e)</w:t>
            </w:r>
          </w:p>
        </w:tc>
      </w:tr>
      <w:tr>
        <w:tblPrEx>
          <w:tblW w:w="100%" w:type="pct"/>
        </w:tblPrEx>
        <w:trPr>
          <w:cantSplit w:val="0"/>
          <w:trHeight w:hRule="auto" w:val="0"/>
          <w:tblHeader/>
        </w:trPr>
        <w:tc>
          <w:tcPr>
            <w:tcW w:w="10%" w:type="pct"/>
            <w:vMerge/>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rsidR="00A77B3E">
            <w:pPr>
              <w:spacing w:before="100" w:after="0"/>
              <w:jc w:val="center"/>
              <w:rPr>
                <w:rFonts w:ascii="TimesNewRoman" w:eastAsia="TimesNewRoman" w:hAnsi="TimesNewRoman" w:cs="TimesNewRoman"/>
                <w:b w:val="0"/>
                <w:i w:val="0"/>
                <w:vanish w:val="0"/>
                <w:color w:val="000000"/>
                <w:sz w:val="16"/>
              </w:rPr>
            </w:pPr>
          </w:p>
        </w:tc>
        <w:tc>
          <w:tcPr>
            <w:tcW w:w="10%" w:type="pct"/>
            <w:vMerge/>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rsidR="00A77B3E">
            <w:pPr>
              <w:spacing w:before="100" w:after="0"/>
              <w:jc w:val="center"/>
              <w:rPr>
                <w:rFonts w:ascii="TimesNewRoman" w:eastAsia="TimesNewRoman" w:hAnsi="TimesNewRoman" w:cs="TimesNewRoman"/>
                <w:b w:val="0"/>
                <w:i w:val="0"/>
                <w:vanish w:val="0"/>
                <w:color w:val="000000"/>
                <w:sz w:val="16"/>
              </w:rPr>
            </w:pPr>
          </w:p>
        </w:tc>
        <w:tc>
          <w:tcPr>
            <w:tcW w:w="10%" w:type="pct"/>
            <w:vMerge/>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rsidR="00A77B3E">
            <w:pPr>
              <w:spacing w:before="100" w:after="0"/>
              <w:jc w:val="center"/>
              <w:rPr>
                <w:rFonts w:ascii="TimesNewRoman" w:eastAsia="TimesNewRoman" w:hAnsi="TimesNewRoman" w:cs="TimesNewRoman"/>
                <w:b w:val="0"/>
                <w:i w:val="0"/>
                <w:vanish w:val="0"/>
                <w:color w:val="000000"/>
                <w:sz w:val="16"/>
              </w:rPr>
            </w:pPr>
          </w:p>
        </w:tc>
        <w:tc>
          <w:tcPr>
            <w:tcW w:w="10%" w:type="pct"/>
            <w:vMerge/>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rsidR="00A77B3E">
            <w:pPr>
              <w:spacing w:before="100" w:after="0"/>
              <w:jc w:val="center"/>
              <w:rPr>
                <w:rFonts w:ascii="TimesNewRoman" w:eastAsia="TimesNewRoman" w:hAnsi="TimesNewRoman" w:cs="TimesNewRoman"/>
                <w:b w:val="0"/>
                <w:i w:val="0"/>
                <w:vanish w:val="0"/>
                <w:color w:val="000000"/>
                <w:sz w:val="16"/>
              </w:rPr>
            </w:pPr>
          </w:p>
        </w:tc>
        <w:tc>
          <w:tcPr>
            <w:tcW w:w="10%" w:type="pct"/>
            <w:vMerge/>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rsidR="00A77B3E">
            <w:pPr>
              <w:spacing w:before="100" w:after="0"/>
              <w:jc w:val="center"/>
              <w:rPr>
                <w:rFonts w:ascii="TimesNewRoman" w:eastAsia="TimesNewRoman" w:hAnsi="TimesNewRoman" w:cs="TimesNewRoman"/>
                <w:b w:val="0"/>
                <w:i w:val="0"/>
                <w:vanish w:val="0"/>
                <w:color w:val="000000"/>
                <w:sz w:val="16"/>
              </w:rPr>
            </w:pPr>
          </w:p>
        </w:tc>
        <w:tc>
          <w:tcPr>
            <w:tcW w:w="10%" w:type="pct"/>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rsidR="00A77B3E">
            <w:pPr>
              <w:spacing w:before="100" w:after="0"/>
              <w:jc w:val="center"/>
              <w:rPr>
                <w:rFonts w:ascii="TimesNewRoman" w:eastAsia="TimesNewRoman" w:hAnsi="TimesNewRoman" w:cs="TimesNewRoman"/>
                <w:b w:val="0"/>
                <w:i w:val="0"/>
                <w:vanish w:val="0"/>
                <w:color w:val="000000"/>
                <w:sz w:val="16"/>
              </w:rPr>
            </w:pPr>
            <w:r>
              <w:rPr>
                <w:rFonts w:ascii="TimesNewRoman" w:eastAsia="TimesNewRoman" w:hAnsi="TimesNewRoman" w:cs="TimesNewRoman"/>
                <w:b w:val="0"/>
                <w:i w:val="0"/>
                <w:vanish w:val="0"/>
                <w:color w:val="000000"/>
                <w:sz w:val="16"/>
              </w:rPr>
              <w:t>Javno (c)</w:t>
            </w:r>
          </w:p>
        </w:tc>
        <w:tc>
          <w:tcPr>
            <w:tcW w:w="10%" w:type="pct"/>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rsidR="00A77B3E">
            <w:pPr>
              <w:spacing w:before="100" w:after="0"/>
              <w:jc w:val="center"/>
              <w:rPr>
                <w:rFonts w:ascii="TimesNewRoman" w:eastAsia="TimesNewRoman" w:hAnsi="TimesNewRoman" w:cs="TimesNewRoman"/>
                <w:b w:val="0"/>
                <w:i w:val="0"/>
                <w:vanish w:val="0"/>
                <w:color w:val="000000"/>
                <w:sz w:val="16"/>
              </w:rPr>
            </w:pPr>
            <w:r>
              <w:rPr>
                <w:rFonts w:ascii="TimesNewRoman" w:eastAsia="TimesNewRoman" w:hAnsi="TimesNewRoman" w:cs="TimesNewRoman"/>
                <w:b w:val="0"/>
                <w:i w:val="0"/>
                <w:vanish w:val="0"/>
                <w:color w:val="000000"/>
                <w:sz w:val="16"/>
              </w:rPr>
              <w:t>Zasebno (d)</w:t>
            </w:r>
          </w:p>
        </w:tc>
        <w:tc>
          <w:tcPr>
            <w:tcW w:w="10%" w:type="pct"/>
            <w:vMerge/>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rsidR="00A77B3E">
            <w:pPr>
              <w:spacing w:before="100" w:after="0"/>
              <w:jc w:val="center"/>
              <w:rPr>
                <w:rFonts w:ascii="TimesNewRoman" w:eastAsia="TimesNewRoman" w:hAnsi="TimesNewRoman" w:cs="TimesNewRoman"/>
                <w:b w:val="0"/>
                <w:i w:val="0"/>
                <w:vanish w:val="0"/>
                <w:color w:val="000000"/>
                <w:sz w:val="16"/>
              </w:rPr>
            </w:pPr>
          </w:p>
        </w:tc>
        <w:tc>
          <w:tcPr>
            <w:tcW w:w="10%" w:type="pct"/>
            <w:vMerge/>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rsidR="00A77B3E">
            <w:pPr>
              <w:spacing w:before="100" w:after="0"/>
              <w:jc w:val="center"/>
              <w:rPr>
                <w:rFonts w:ascii="TimesNewRoman" w:eastAsia="TimesNewRoman" w:hAnsi="TimesNewRoman" w:cs="TimesNewRoman"/>
                <w:b w:val="0"/>
                <w:i w:val="0"/>
                <w:vanish w:val="0"/>
                <w:color w:val="000000"/>
                <w:sz w:val="16"/>
              </w:rPr>
            </w:pPr>
          </w:p>
        </w:tc>
      </w:tr>
      <w:tr>
        <w:tblPrEx>
          <w:tblW w:w="100%" w:type="pct"/>
        </w:tblPrEx>
        <w:trPr>
          <w:cantSplit w:val="0"/>
          <w:trHeight w:hRule="auto" w:val="0"/>
          <w:tblHeader w:val="0"/>
        </w:trPr>
        <w:tc>
          <w:tcPr>
            <w:tcW w:w="10%" w:type="pct"/>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NewRoman" w:eastAsia="TimesNewRoman" w:hAnsi="TimesNewRoman" w:cs="TimesNewRoman"/>
                <w:b w:val="0"/>
                <w:i w:val="0"/>
                <w:vanish w:val="0"/>
                <w:color w:val="000000"/>
                <w:sz w:val="16"/>
              </w:rPr>
            </w:pPr>
            <w:r>
              <w:rPr>
                <w:rFonts w:ascii="TimesNewRoman" w:eastAsia="TimesNewRoman" w:hAnsi="TimesNewRoman" w:cs="TimesNewRoman"/>
                <w:b w:val="0"/>
                <w:i w:val="0"/>
                <w:vanish w:val="0"/>
                <w:color w:val="000000"/>
                <w:sz w:val="16"/>
              </w:rPr>
              <w:t>Izmenjava informacij</w:t>
            </w:r>
          </w:p>
        </w:tc>
        <w:tc>
          <w:tcPr>
            <w:tcW w:w="10%" w:type="pct"/>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NewRoman" w:eastAsia="TimesNewRoman" w:hAnsi="TimesNewRoman" w:cs="TimesNewRoman"/>
                <w:b w:val="0"/>
                <w:i w:val="0"/>
                <w:vanish w:val="0"/>
                <w:color w:val="000000"/>
                <w:sz w:val="16"/>
              </w:rPr>
            </w:pPr>
            <w:r>
              <w:rPr>
                <w:rFonts w:ascii="TimesNewRoman" w:eastAsia="TimesNewRoman" w:hAnsi="TimesNewRoman" w:cs="TimesNewRoman"/>
                <w:b w:val="0"/>
                <w:i w:val="0"/>
                <w:vanish w:val="0"/>
                <w:color w:val="000000"/>
                <w:sz w:val="16"/>
              </w:rPr>
              <w:t>Redni ukrepi</w:t>
            </w:r>
          </w:p>
        </w:tc>
        <w:tc>
          <w:tcPr>
            <w:tcW w:w="10%" w:type="pct"/>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NewRoman" w:eastAsia="TimesNewRoman" w:hAnsi="TimesNewRoman" w:cs="TimesNewRoman"/>
                <w:b w:val="0"/>
                <w:i w:val="0"/>
                <w:vanish w:val="0"/>
                <w:color w:val="000000"/>
                <w:sz w:val="16"/>
              </w:rPr>
            </w:pPr>
            <w:r>
              <w:rPr>
                <w:rFonts w:ascii="TimesNewRoman" w:eastAsia="TimesNewRoman" w:hAnsi="TimesNewRoman" w:cs="TimesNewRoman"/>
                <w:b w:val="0"/>
                <w:i w:val="0"/>
                <w:vanish w:val="0"/>
                <w:color w:val="000000"/>
                <w:sz w:val="16"/>
              </w:rPr>
              <w:t>Skupaj</w:t>
            </w:r>
          </w:p>
        </w:tc>
        <w:tc>
          <w:tcPr>
            <w:tcW w:w="10%" w:type="pct"/>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NewRoman" w:eastAsia="TimesNewRoman" w:hAnsi="TimesNewRoman" w:cs="TimesNewRoman"/>
                <w:b w:val="0"/>
                <w:i w:val="0"/>
                <w:vanish w:val="0"/>
                <w:color w:val="000000"/>
                <w:sz w:val="16"/>
              </w:rPr>
            </w:pPr>
            <w:r>
              <w:rPr>
                <w:rFonts w:ascii="TimesNewRoman" w:eastAsia="TimesNewRoman" w:hAnsi="TimesNewRoman" w:cs="TimesNewRoman"/>
                <w:b w:val="0"/>
                <w:i w:val="0"/>
                <w:vanish w:val="0"/>
                <w:color w:val="000000"/>
                <w:sz w:val="16"/>
              </w:rPr>
              <w:t>6.919.097,31</w:t>
            </w:r>
          </w:p>
        </w:tc>
        <w:tc>
          <w:tcPr>
            <w:tcW w:w="10%" w:type="pct"/>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NewRoman" w:eastAsia="TimesNewRoman" w:hAnsi="TimesNewRoman" w:cs="TimesNewRoman"/>
                <w:b w:val="0"/>
                <w:i w:val="0"/>
                <w:vanish w:val="0"/>
                <w:color w:val="000000"/>
                <w:sz w:val="16"/>
              </w:rPr>
            </w:pPr>
            <w:r>
              <w:rPr>
                <w:rFonts w:ascii="TimesNewRoman" w:eastAsia="TimesNewRoman" w:hAnsi="TimesNewRoman" w:cs="TimesNewRoman"/>
                <w:b w:val="0"/>
                <w:i w:val="0"/>
                <w:vanish w:val="0"/>
                <w:color w:val="000000"/>
                <w:sz w:val="16"/>
              </w:rPr>
              <w:t>2.306.365,77</w:t>
            </w:r>
          </w:p>
        </w:tc>
        <w:tc>
          <w:tcPr>
            <w:tcW w:w="10%" w:type="pct"/>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NewRoman" w:eastAsia="TimesNewRoman" w:hAnsi="TimesNewRoman" w:cs="TimesNewRoman"/>
                <w:b w:val="0"/>
                <w:i w:val="0"/>
                <w:vanish w:val="0"/>
                <w:color w:val="000000"/>
                <w:sz w:val="16"/>
              </w:rPr>
            </w:pPr>
            <w:r>
              <w:rPr>
                <w:rFonts w:ascii="TimesNewRoman" w:eastAsia="TimesNewRoman" w:hAnsi="TimesNewRoman" w:cs="TimesNewRoman"/>
                <w:b w:val="0"/>
                <w:i w:val="0"/>
                <w:vanish w:val="0"/>
                <w:color w:val="000000"/>
                <w:sz w:val="16"/>
              </w:rPr>
              <w:t>2.306.365,77</w:t>
            </w:r>
          </w:p>
        </w:tc>
        <w:tc>
          <w:tcPr>
            <w:tcW w:w="10%" w:type="pct"/>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NewRoman" w:eastAsia="TimesNewRoman" w:hAnsi="TimesNewRoman" w:cs="TimesNewRoman"/>
                <w:b w:val="0"/>
                <w:i w:val="0"/>
                <w:vanish w:val="0"/>
                <w:color w:val="000000"/>
                <w:sz w:val="16"/>
              </w:rPr>
            </w:pPr>
          </w:p>
        </w:tc>
        <w:tc>
          <w:tcPr>
            <w:tcW w:w="10%" w:type="pct"/>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NewRoman" w:eastAsia="TimesNewRoman" w:hAnsi="TimesNewRoman" w:cs="TimesNewRoman"/>
                <w:b w:val="0"/>
                <w:i w:val="0"/>
                <w:vanish w:val="0"/>
                <w:color w:val="000000"/>
                <w:sz w:val="16"/>
              </w:rPr>
            </w:pPr>
            <w:r>
              <w:rPr>
                <w:rFonts w:ascii="TimesNewRoman" w:eastAsia="TimesNewRoman" w:hAnsi="TimesNewRoman" w:cs="TimesNewRoman"/>
                <w:b w:val="0"/>
                <w:i w:val="0"/>
                <w:vanish w:val="0"/>
                <w:color w:val="000000"/>
                <w:sz w:val="16"/>
              </w:rPr>
              <w:t>9.225.463,08</w:t>
            </w:r>
          </w:p>
        </w:tc>
        <w:tc>
          <w:tcPr>
            <w:tcW w:w="10%" w:type="pct"/>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NewRoman" w:eastAsia="TimesNewRoman" w:hAnsi="TimesNewRoman" w:cs="TimesNewRoman"/>
                <w:b w:val="0"/>
                <w:i w:val="0"/>
                <w:vanish w:val="0"/>
                <w:color w:val="000000"/>
                <w:sz w:val="16"/>
              </w:rPr>
            </w:pPr>
            <w:r>
              <w:rPr>
                <w:rFonts w:ascii="TimesNewRoman" w:eastAsia="TimesNewRoman" w:hAnsi="TimesNewRoman" w:cs="TimesNewRoman"/>
                <w:b w:val="0"/>
                <w:i w:val="0"/>
                <w:vanish w:val="0"/>
                <w:color w:val="000000"/>
                <w:sz w:val="16"/>
              </w:rPr>
              <w:t>75,0000000000%</w:t>
            </w:r>
          </w:p>
        </w:tc>
      </w:tr>
      <w:tr>
        <w:tblPrEx>
          <w:tblW w:w="100%" w:type="pct"/>
        </w:tblPrEx>
        <w:trPr>
          <w:cantSplit w:val="0"/>
          <w:trHeight w:hRule="auto" w:val="0"/>
          <w:tblHeader w:val="0"/>
        </w:trPr>
        <w:tc>
          <w:tcPr>
            <w:tcW w:w="10%" w:type="pct"/>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NewRoman" w:eastAsia="TimesNewRoman" w:hAnsi="TimesNewRoman" w:cs="TimesNewRoman"/>
                <w:b w:val="0"/>
                <w:i w:val="0"/>
                <w:vanish w:val="0"/>
                <w:color w:val="000000"/>
                <w:sz w:val="16"/>
              </w:rPr>
            </w:pPr>
            <w:r>
              <w:rPr>
                <w:rFonts w:ascii="TimesNewRoman" w:eastAsia="TimesNewRoman" w:hAnsi="TimesNewRoman" w:cs="TimesNewRoman"/>
                <w:b w:val="0"/>
                <w:i w:val="0"/>
                <w:vanish w:val="0"/>
                <w:color w:val="000000"/>
                <w:sz w:val="16"/>
              </w:rPr>
              <w:t>Izmenjava informacij</w:t>
            </w:r>
          </w:p>
        </w:tc>
        <w:tc>
          <w:tcPr>
            <w:tcW w:w="10%" w:type="pct"/>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NewRoman" w:eastAsia="TimesNewRoman" w:hAnsi="TimesNewRoman" w:cs="TimesNewRoman"/>
                <w:b w:val="0"/>
                <w:i w:val="0"/>
                <w:vanish w:val="0"/>
                <w:color w:val="000000"/>
                <w:sz w:val="16"/>
              </w:rPr>
            </w:pPr>
            <w:r>
              <w:rPr>
                <w:rFonts w:ascii="TimesNewRoman" w:eastAsia="TimesNewRoman" w:hAnsi="TimesNewRoman" w:cs="TimesNewRoman"/>
                <w:b w:val="0"/>
                <w:i w:val="0"/>
                <w:vanish w:val="0"/>
                <w:color w:val="000000"/>
                <w:sz w:val="16"/>
              </w:rPr>
              <w:t>Ukrepi iz Priloge IV</w:t>
            </w:r>
          </w:p>
        </w:tc>
        <w:tc>
          <w:tcPr>
            <w:tcW w:w="10%" w:type="pct"/>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NewRoman" w:eastAsia="TimesNewRoman" w:hAnsi="TimesNewRoman" w:cs="TimesNewRoman"/>
                <w:b w:val="0"/>
                <w:i w:val="0"/>
                <w:vanish w:val="0"/>
                <w:color w:val="000000"/>
                <w:sz w:val="16"/>
              </w:rPr>
            </w:pPr>
            <w:r>
              <w:rPr>
                <w:rFonts w:ascii="TimesNewRoman" w:eastAsia="TimesNewRoman" w:hAnsi="TimesNewRoman" w:cs="TimesNewRoman"/>
                <w:b w:val="0"/>
                <w:i w:val="0"/>
                <w:vanish w:val="0"/>
                <w:color w:val="000000"/>
                <w:sz w:val="16"/>
              </w:rPr>
              <w:t>Skupaj</w:t>
            </w:r>
          </w:p>
        </w:tc>
        <w:tc>
          <w:tcPr>
            <w:tcW w:w="10%" w:type="pct"/>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NewRoman" w:eastAsia="TimesNewRoman" w:hAnsi="TimesNewRoman" w:cs="TimesNewRoman"/>
                <w:b w:val="0"/>
                <w:i w:val="0"/>
                <w:vanish w:val="0"/>
                <w:color w:val="000000"/>
                <w:sz w:val="16"/>
              </w:rPr>
            </w:pPr>
            <w:r>
              <w:rPr>
                <w:rFonts w:ascii="TimesNewRoman" w:eastAsia="TimesNewRoman" w:hAnsi="TimesNewRoman" w:cs="TimesNewRoman"/>
                <w:b w:val="0"/>
                <w:i w:val="0"/>
                <w:vanish w:val="0"/>
                <w:color w:val="000000"/>
                <w:sz w:val="16"/>
              </w:rPr>
              <w:t>570.000,00</w:t>
            </w:r>
          </w:p>
        </w:tc>
        <w:tc>
          <w:tcPr>
            <w:tcW w:w="10%" w:type="pct"/>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NewRoman" w:eastAsia="TimesNewRoman" w:hAnsi="TimesNewRoman" w:cs="TimesNewRoman"/>
                <w:b w:val="0"/>
                <w:i w:val="0"/>
                <w:vanish w:val="0"/>
                <w:color w:val="000000"/>
                <w:sz w:val="16"/>
              </w:rPr>
            </w:pPr>
            <w:r>
              <w:rPr>
                <w:rFonts w:ascii="TimesNewRoman" w:eastAsia="TimesNewRoman" w:hAnsi="TimesNewRoman" w:cs="TimesNewRoman"/>
                <w:b w:val="0"/>
                <w:i w:val="0"/>
                <w:vanish w:val="0"/>
                <w:color w:val="000000"/>
                <w:sz w:val="16"/>
              </w:rPr>
              <w:t>63.333,34</w:t>
            </w:r>
          </w:p>
        </w:tc>
        <w:tc>
          <w:tcPr>
            <w:tcW w:w="10%" w:type="pct"/>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NewRoman" w:eastAsia="TimesNewRoman" w:hAnsi="TimesNewRoman" w:cs="TimesNewRoman"/>
                <w:b w:val="0"/>
                <w:i w:val="0"/>
                <w:vanish w:val="0"/>
                <w:color w:val="000000"/>
                <w:sz w:val="16"/>
              </w:rPr>
            </w:pPr>
            <w:r>
              <w:rPr>
                <w:rFonts w:ascii="TimesNewRoman" w:eastAsia="TimesNewRoman" w:hAnsi="TimesNewRoman" w:cs="TimesNewRoman"/>
                <w:b w:val="0"/>
                <w:i w:val="0"/>
                <w:vanish w:val="0"/>
                <w:color w:val="000000"/>
                <w:sz w:val="16"/>
              </w:rPr>
              <w:t>63.333,34</w:t>
            </w:r>
          </w:p>
        </w:tc>
        <w:tc>
          <w:tcPr>
            <w:tcW w:w="10%" w:type="pct"/>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NewRoman" w:eastAsia="TimesNewRoman" w:hAnsi="TimesNewRoman" w:cs="TimesNewRoman"/>
                <w:b w:val="0"/>
                <w:i w:val="0"/>
                <w:vanish w:val="0"/>
                <w:color w:val="000000"/>
                <w:sz w:val="16"/>
              </w:rPr>
            </w:pPr>
          </w:p>
        </w:tc>
        <w:tc>
          <w:tcPr>
            <w:tcW w:w="10%" w:type="pct"/>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NewRoman" w:eastAsia="TimesNewRoman" w:hAnsi="TimesNewRoman" w:cs="TimesNewRoman"/>
                <w:b w:val="0"/>
                <w:i w:val="0"/>
                <w:vanish w:val="0"/>
                <w:color w:val="000000"/>
                <w:sz w:val="16"/>
              </w:rPr>
            </w:pPr>
            <w:r>
              <w:rPr>
                <w:rFonts w:ascii="TimesNewRoman" w:eastAsia="TimesNewRoman" w:hAnsi="TimesNewRoman" w:cs="TimesNewRoman"/>
                <w:b w:val="0"/>
                <w:i w:val="0"/>
                <w:vanish w:val="0"/>
                <w:color w:val="000000"/>
                <w:sz w:val="16"/>
              </w:rPr>
              <w:t>633.333,34</w:t>
            </w:r>
          </w:p>
        </w:tc>
        <w:tc>
          <w:tcPr>
            <w:tcW w:w="10%" w:type="pct"/>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NewRoman" w:eastAsia="TimesNewRoman" w:hAnsi="TimesNewRoman" w:cs="TimesNewRoman"/>
                <w:b w:val="0"/>
                <w:i w:val="0"/>
                <w:vanish w:val="0"/>
                <w:color w:val="000000"/>
                <w:sz w:val="16"/>
              </w:rPr>
            </w:pPr>
            <w:r>
              <w:rPr>
                <w:rFonts w:ascii="TimesNewRoman" w:eastAsia="TimesNewRoman" w:hAnsi="TimesNewRoman" w:cs="TimesNewRoman"/>
                <w:b w:val="0"/>
                <w:i w:val="0"/>
                <w:vanish w:val="0"/>
                <w:color w:val="000000"/>
                <w:sz w:val="16"/>
              </w:rPr>
              <w:t>89,9999990526%</w:t>
            </w:r>
          </w:p>
        </w:tc>
      </w:tr>
      <w:tr>
        <w:tblPrEx>
          <w:tblW w:w="100%" w:type="pct"/>
        </w:tblPrEx>
        <w:trPr>
          <w:cantSplit w:val="0"/>
          <w:trHeight w:hRule="auto" w:val="0"/>
          <w:tblHeader w:val="0"/>
        </w:trPr>
        <w:tc>
          <w:tcPr>
            <w:tcW w:w="10%" w:type="pct"/>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NewRoman" w:eastAsia="TimesNewRoman" w:hAnsi="TimesNewRoman" w:cs="TimesNewRoman"/>
                <w:b w:val="0"/>
                <w:i w:val="0"/>
                <w:vanish w:val="0"/>
                <w:color w:val="000000"/>
                <w:sz w:val="16"/>
              </w:rPr>
            </w:pPr>
            <w:r>
              <w:rPr>
                <w:rFonts w:ascii="TimesNewRoman" w:eastAsia="TimesNewRoman" w:hAnsi="TimesNewRoman" w:cs="TimesNewRoman"/>
                <w:b w:val="0"/>
                <w:i w:val="0"/>
                <w:vanish w:val="0"/>
                <w:color w:val="000000"/>
                <w:sz w:val="16"/>
              </w:rPr>
              <w:t>Izmenjava informacij</w:t>
            </w:r>
          </w:p>
        </w:tc>
        <w:tc>
          <w:tcPr>
            <w:tcW w:w="10%" w:type="pct"/>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NewRoman" w:eastAsia="TimesNewRoman" w:hAnsi="TimesNewRoman" w:cs="TimesNewRoman"/>
                <w:b w:val="0"/>
                <w:i w:val="0"/>
                <w:vanish w:val="0"/>
                <w:color w:val="000000"/>
                <w:sz w:val="16"/>
              </w:rPr>
            </w:pPr>
            <w:r>
              <w:rPr>
                <w:rFonts w:ascii="TimesNewRoman" w:eastAsia="TimesNewRoman" w:hAnsi="TimesNewRoman" w:cs="TimesNewRoman"/>
                <w:b w:val="0"/>
                <w:i w:val="0"/>
                <w:vanish w:val="0"/>
                <w:color w:val="000000"/>
                <w:sz w:val="16"/>
              </w:rPr>
              <w:t>Operativna podpora</w:t>
            </w:r>
          </w:p>
        </w:tc>
        <w:tc>
          <w:tcPr>
            <w:tcW w:w="10%" w:type="pct"/>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NewRoman" w:eastAsia="TimesNewRoman" w:hAnsi="TimesNewRoman" w:cs="TimesNewRoman"/>
                <w:b w:val="0"/>
                <w:i w:val="0"/>
                <w:vanish w:val="0"/>
                <w:color w:val="000000"/>
                <w:sz w:val="16"/>
              </w:rPr>
            </w:pPr>
            <w:r>
              <w:rPr>
                <w:rFonts w:ascii="TimesNewRoman" w:eastAsia="TimesNewRoman" w:hAnsi="TimesNewRoman" w:cs="TimesNewRoman"/>
                <w:b w:val="0"/>
                <w:i w:val="0"/>
                <w:vanish w:val="0"/>
                <w:color w:val="000000"/>
                <w:sz w:val="16"/>
              </w:rPr>
              <w:t>Skupaj</w:t>
            </w:r>
          </w:p>
        </w:tc>
        <w:tc>
          <w:tcPr>
            <w:tcW w:w="10%" w:type="pct"/>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NewRoman" w:eastAsia="TimesNewRoman" w:hAnsi="TimesNewRoman" w:cs="TimesNewRoman"/>
                <w:b w:val="0"/>
                <w:i w:val="0"/>
                <w:vanish w:val="0"/>
                <w:color w:val="000000"/>
                <w:sz w:val="16"/>
              </w:rPr>
            </w:pPr>
            <w:r>
              <w:rPr>
                <w:rFonts w:ascii="TimesNewRoman" w:eastAsia="TimesNewRoman" w:hAnsi="TimesNewRoman" w:cs="TimesNewRoman"/>
                <w:b w:val="0"/>
                <w:i w:val="0"/>
                <w:vanish w:val="0"/>
                <w:color w:val="000000"/>
                <w:sz w:val="16"/>
              </w:rPr>
              <w:t>1.280.000,00</w:t>
            </w:r>
          </w:p>
        </w:tc>
        <w:tc>
          <w:tcPr>
            <w:tcW w:w="10%" w:type="pct"/>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NewRoman" w:eastAsia="TimesNewRoman" w:hAnsi="TimesNewRoman" w:cs="TimesNewRoman"/>
                <w:b w:val="0"/>
                <w:i w:val="0"/>
                <w:vanish w:val="0"/>
                <w:color w:val="000000"/>
                <w:sz w:val="16"/>
              </w:rPr>
            </w:pPr>
          </w:p>
        </w:tc>
        <w:tc>
          <w:tcPr>
            <w:tcW w:w="10%" w:type="pct"/>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NewRoman" w:eastAsia="TimesNewRoman" w:hAnsi="TimesNewRoman" w:cs="TimesNewRoman"/>
                <w:b w:val="0"/>
                <w:i w:val="0"/>
                <w:vanish w:val="0"/>
                <w:color w:val="000000"/>
                <w:sz w:val="16"/>
              </w:rPr>
            </w:pPr>
          </w:p>
        </w:tc>
        <w:tc>
          <w:tcPr>
            <w:tcW w:w="10%" w:type="pct"/>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NewRoman" w:eastAsia="TimesNewRoman" w:hAnsi="TimesNewRoman" w:cs="TimesNewRoman"/>
                <w:b w:val="0"/>
                <w:i w:val="0"/>
                <w:vanish w:val="0"/>
                <w:color w:val="000000"/>
                <w:sz w:val="16"/>
              </w:rPr>
            </w:pPr>
          </w:p>
        </w:tc>
        <w:tc>
          <w:tcPr>
            <w:tcW w:w="10%" w:type="pct"/>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NewRoman" w:eastAsia="TimesNewRoman" w:hAnsi="TimesNewRoman" w:cs="TimesNewRoman"/>
                <w:b w:val="0"/>
                <w:i w:val="0"/>
                <w:vanish w:val="0"/>
                <w:color w:val="000000"/>
                <w:sz w:val="16"/>
              </w:rPr>
            </w:pPr>
            <w:r>
              <w:rPr>
                <w:rFonts w:ascii="TimesNewRoman" w:eastAsia="TimesNewRoman" w:hAnsi="TimesNewRoman" w:cs="TimesNewRoman"/>
                <w:b w:val="0"/>
                <w:i w:val="0"/>
                <w:vanish w:val="0"/>
                <w:color w:val="000000"/>
                <w:sz w:val="16"/>
              </w:rPr>
              <w:t>1.280.000,00</w:t>
            </w:r>
          </w:p>
        </w:tc>
        <w:tc>
          <w:tcPr>
            <w:tcW w:w="10%" w:type="pct"/>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NewRoman" w:eastAsia="TimesNewRoman" w:hAnsi="TimesNewRoman" w:cs="TimesNewRoman"/>
                <w:b w:val="0"/>
                <w:i w:val="0"/>
                <w:vanish w:val="0"/>
                <w:color w:val="000000"/>
                <w:sz w:val="16"/>
              </w:rPr>
            </w:pPr>
            <w:r>
              <w:rPr>
                <w:rFonts w:ascii="TimesNewRoman" w:eastAsia="TimesNewRoman" w:hAnsi="TimesNewRoman" w:cs="TimesNewRoman"/>
                <w:b w:val="0"/>
                <w:i w:val="0"/>
                <w:vanish w:val="0"/>
                <w:color w:val="000000"/>
                <w:sz w:val="16"/>
              </w:rPr>
              <w:t>100,0000000000%</w:t>
            </w:r>
          </w:p>
        </w:tc>
      </w:tr>
      <w:tr>
        <w:tblPrEx>
          <w:tblW w:w="100%" w:type="pct"/>
        </w:tblPrEx>
        <w:trPr>
          <w:cantSplit w:val="0"/>
          <w:trHeight w:hRule="auto" w:val="0"/>
          <w:tblHeader w:val="0"/>
        </w:trPr>
        <w:tc>
          <w:tcPr>
            <w:tcW w:w="10%" w:type="pct"/>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NewRoman" w:eastAsia="TimesNewRoman" w:hAnsi="TimesNewRoman" w:cs="TimesNewRoman"/>
                <w:b w:val="0"/>
                <w:i w:val="0"/>
                <w:vanish w:val="0"/>
                <w:color w:val="000000"/>
                <w:sz w:val="16"/>
              </w:rPr>
            </w:pPr>
            <w:r>
              <w:rPr>
                <w:rFonts w:ascii="TimesNewRoman" w:eastAsia="TimesNewRoman" w:hAnsi="TimesNewRoman" w:cs="TimesNewRoman"/>
                <w:b w:val="0"/>
                <w:i w:val="0"/>
                <w:vanish w:val="0"/>
                <w:color w:val="000000"/>
                <w:sz w:val="16"/>
              </w:rPr>
              <w:t>Skupaj Izmenjava informacij</w:t>
            </w:r>
          </w:p>
        </w:tc>
        <w:tc>
          <w:tcPr>
            <w:tcW w:w="10%" w:type="pct"/>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NewRoman" w:eastAsia="TimesNewRoman" w:hAnsi="TimesNewRoman" w:cs="TimesNewRoman"/>
                <w:b w:val="0"/>
                <w:i w:val="0"/>
                <w:vanish w:val="0"/>
                <w:color w:val="000000"/>
                <w:sz w:val="16"/>
              </w:rPr>
            </w:pPr>
          </w:p>
        </w:tc>
        <w:tc>
          <w:tcPr>
            <w:tcW w:w="10%" w:type="pct"/>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NewRoman" w:eastAsia="TimesNewRoman" w:hAnsi="TimesNewRoman" w:cs="TimesNewRoman"/>
                <w:b w:val="0"/>
                <w:i w:val="0"/>
                <w:vanish w:val="0"/>
                <w:color w:val="000000"/>
                <w:sz w:val="16"/>
              </w:rPr>
            </w:pPr>
          </w:p>
        </w:tc>
        <w:tc>
          <w:tcPr>
            <w:tcW w:w="10%" w:type="pct"/>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NewRoman" w:eastAsia="TimesNewRoman" w:hAnsi="TimesNewRoman" w:cs="TimesNewRoman"/>
                <w:b w:val="0"/>
                <w:i w:val="0"/>
                <w:vanish w:val="0"/>
                <w:color w:val="000000"/>
                <w:sz w:val="16"/>
              </w:rPr>
            </w:pPr>
            <w:r>
              <w:rPr>
                <w:rFonts w:ascii="TimesNewRoman" w:eastAsia="TimesNewRoman" w:hAnsi="TimesNewRoman" w:cs="TimesNewRoman"/>
                <w:b w:val="0"/>
                <w:i w:val="0"/>
                <w:vanish w:val="0"/>
                <w:color w:val="000000"/>
                <w:sz w:val="16"/>
              </w:rPr>
              <w:t>8.769.097,31</w:t>
            </w:r>
          </w:p>
        </w:tc>
        <w:tc>
          <w:tcPr>
            <w:tcW w:w="10%" w:type="pct"/>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NewRoman" w:eastAsia="TimesNewRoman" w:hAnsi="TimesNewRoman" w:cs="TimesNewRoman"/>
                <w:b w:val="0"/>
                <w:i w:val="0"/>
                <w:vanish w:val="0"/>
                <w:color w:val="000000"/>
                <w:sz w:val="16"/>
              </w:rPr>
            </w:pPr>
            <w:r>
              <w:rPr>
                <w:rFonts w:ascii="TimesNewRoman" w:eastAsia="TimesNewRoman" w:hAnsi="TimesNewRoman" w:cs="TimesNewRoman"/>
                <w:b w:val="0"/>
                <w:i w:val="0"/>
                <w:vanish w:val="0"/>
                <w:color w:val="000000"/>
                <w:sz w:val="16"/>
              </w:rPr>
              <w:t>2.369.699,11</w:t>
            </w:r>
          </w:p>
        </w:tc>
        <w:tc>
          <w:tcPr>
            <w:tcW w:w="10%" w:type="pct"/>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NewRoman" w:eastAsia="TimesNewRoman" w:hAnsi="TimesNewRoman" w:cs="TimesNewRoman"/>
                <w:b w:val="0"/>
                <w:i w:val="0"/>
                <w:vanish w:val="0"/>
                <w:color w:val="000000"/>
                <w:sz w:val="16"/>
              </w:rPr>
            </w:pPr>
            <w:r>
              <w:rPr>
                <w:rFonts w:ascii="TimesNewRoman" w:eastAsia="TimesNewRoman" w:hAnsi="TimesNewRoman" w:cs="TimesNewRoman"/>
                <w:b w:val="0"/>
                <w:i w:val="0"/>
                <w:vanish w:val="0"/>
                <w:color w:val="000000"/>
                <w:sz w:val="16"/>
              </w:rPr>
              <w:t>2.369.699,11</w:t>
            </w:r>
          </w:p>
        </w:tc>
        <w:tc>
          <w:tcPr>
            <w:tcW w:w="10%" w:type="pct"/>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NewRoman" w:eastAsia="TimesNewRoman" w:hAnsi="TimesNewRoman" w:cs="TimesNewRoman"/>
                <w:b w:val="0"/>
                <w:i w:val="0"/>
                <w:vanish w:val="0"/>
                <w:color w:val="000000"/>
                <w:sz w:val="16"/>
              </w:rPr>
            </w:pPr>
          </w:p>
        </w:tc>
        <w:tc>
          <w:tcPr>
            <w:tcW w:w="10%" w:type="pct"/>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NewRoman" w:eastAsia="TimesNewRoman" w:hAnsi="TimesNewRoman" w:cs="TimesNewRoman"/>
                <w:b w:val="0"/>
                <w:i w:val="0"/>
                <w:vanish w:val="0"/>
                <w:color w:val="000000"/>
                <w:sz w:val="16"/>
              </w:rPr>
            </w:pPr>
            <w:r>
              <w:rPr>
                <w:rFonts w:ascii="TimesNewRoman" w:eastAsia="TimesNewRoman" w:hAnsi="TimesNewRoman" w:cs="TimesNewRoman"/>
                <w:b w:val="0"/>
                <w:i w:val="0"/>
                <w:vanish w:val="0"/>
                <w:color w:val="000000"/>
                <w:sz w:val="16"/>
              </w:rPr>
              <w:t>11.138.796,42</w:t>
            </w:r>
          </w:p>
        </w:tc>
        <w:tc>
          <w:tcPr>
            <w:tcW w:w="10%" w:type="pct"/>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NewRoman" w:eastAsia="TimesNewRoman" w:hAnsi="TimesNewRoman" w:cs="TimesNewRoman"/>
                <w:b w:val="0"/>
                <w:i w:val="0"/>
                <w:vanish w:val="0"/>
                <w:color w:val="000000"/>
                <w:sz w:val="16"/>
              </w:rPr>
            </w:pPr>
            <w:r>
              <w:rPr>
                <w:rFonts w:ascii="TimesNewRoman" w:eastAsia="TimesNewRoman" w:hAnsi="TimesNewRoman" w:cs="TimesNewRoman"/>
                <w:b w:val="0"/>
                <w:i w:val="0"/>
                <w:vanish w:val="0"/>
                <w:color w:val="000000"/>
                <w:sz w:val="16"/>
              </w:rPr>
              <w:t>78,7257166695%</w:t>
            </w:r>
          </w:p>
        </w:tc>
      </w:tr>
      <w:tr>
        <w:tblPrEx>
          <w:tblW w:w="100%" w:type="pct"/>
        </w:tblPrEx>
        <w:trPr>
          <w:cantSplit w:val="0"/>
          <w:trHeight w:hRule="auto" w:val="0"/>
          <w:tblHeader w:val="0"/>
        </w:trPr>
        <w:tc>
          <w:tcPr>
            <w:tcW w:w="10%" w:type="pct"/>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NewRoman" w:eastAsia="TimesNewRoman" w:hAnsi="TimesNewRoman" w:cs="TimesNewRoman"/>
                <w:b w:val="0"/>
                <w:i w:val="0"/>
                <w:vanish w:val="0"/>
                <w:color w:val="000000"/>
                <w:sz w:val="16"/>
              </w:rPr>
            </w:pPr>
            <w:r>
              <w:rPr>
                <w:rFonts w:ascii="TimesNewRoman" w:eastAsia="TimesNewRoman" w:hAnsi="TimesNewRoman" w:cs="TimesNewRoman"/>
                <w:b w:val="0"/>
                <w:i w:val="0"/>
                <w:vanish w:val="0"/>
                <w:color w:val="000000"/>
                <w:sz w:val="16"/>
              </w:rPr>
              <w:t>Čezmejno sodelovanje</w:t>
            </w:r>
          </w:p>
        </w:tc>
        <w:tc>
          <w:tcPr>
            <w:tcW w:w="10%" w:type="pct"/>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NewRoman" w:eastAsia="TimesNewRoman" w:hAnsi="TimesNewRoman" w:cs="TimesNewRoman"/>
                <w:b w:val="0"/>
                <w:i w:val="0"/>
                <w:vanish w:val="0"/>
                <w:color w:val="000000"/>
                <w:sz w:val="16"/>
              </w:rPr>
            </w:pPr>
            <w:r>
              <w:rPr>
                <w:rFonts w:ascii="TimesNewRoman" w:eastAsia="TimesNewRoman" w:hAnsi="TimesNewRoman" w:cs="TimesNewRoman"/>
                <w:b w:val="0"/>
                <w:i w:val="0"/>
                <w:vanish w:val="0"/>
                <w:color w:val="000000"/>
                <w:sz w:val="16"/>
              </w:rPr>
              <w:t>Redni ukrepi</w:t>
            </w:r>
          </w:p>
        </w:tc>
        <w:tc>
          <w:tcPr>
            <w:tcW w:w="10%" w:type="pct"/>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NewRoman" w:eastAsia="TimesNewRoman" w:hAnsi="TimesNewRoman" w:cs="TimesNewRoman"/>
                <w:b w:val="0"/>
                <w:i w:val="0"/>
                <w:vanish w:val="0"/>
                <w:color w:val="000000"/>
                <w:sz w:val="16"/>
              </w:rPr>
            </w:pPr>
            <w:r>
              <w:rPr>
                <w:rFonts w:ascii="TimesNewRoman" w:eastAsia="TimesNewRoman" w:hAnsi="TimesNewRoman" w:cs="TimesNewRoman"/>
                <w:b w:val="0"/>
                <w:i w:val="0"/>
                <w:vanish w:val="0"/>
                <w:color w:val="000000"/>
                <w:sz w:val="16"/>
              </w:rPr>
              <w:t>Skupaj</w:t>
            </w:r>
          </w:p>
        </w:tc>
        <w:tc>
          <w:tcPr>
            <w:tcW w:w="10%" w:type="pct"/>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NewRoman" w:eastAsia="TimesNewRoman" w:hAnsi="TimesNewRoman" w:cs="TimesNewRoman"/>
                <w:b w:val="0"/>
                <w:i w:val="0"/>
                <w:vanish w:val="0"/>
                <w:color w:val="000000"/>
                <w:sz w:val="16"/>
              </w:rPr>
            </w:pPr>
            <w:r>
              <w:rPr>
                <w:rFonts w:ascii="TimesNewRoman" w:eastAsia="TimesNewRoman" w:hAnsi="TimesNewRoman" w:cs="TimesNewRoman"/>
                <w:b w:val="0"/>
                <w:i w:val="0"/>
                <w:vanish w:val="0"/>
                <w:color w:val="000000"/>
                <w:sz w:val="16"/>
              </w:rPr>
              <w:t>8.042.500,00</w:t>
            </w:r>
          </w:p>
        </w:tc>
        <w:tc>
          <w:tcPr>
            <w:tcW w:w="10%" w:type="pct"/>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NewRoman" w:eastAsia="TimesNewRoman" w:hAnsi="TimesNewRoman" w:cs="TimesNewRoman"/>
                <w:b w:val="0"/>
                <w:i w:val="0"/>
                <w:vanish w:val="0"/>
                <w:color w:val="000000"/>
                <w:sz w:val="16"/>
              </w:rPr>
            </w:pPr>
            <w:r>
              <w:rPr>
                <w:rFonts w:ascii="TimesNewRoman" w:eastAsia="TimesNewRoman" w:hAnsi="TimesNewRoman" w:cs="TimesNewRoman"/>
                <w:b w:val="0"/>
                <w:i w:val="0"/>
                <w:vanish w:val="0"/>
                <w:color w:val="000000"/>
                <w:sz w:val="16"/>
              </w:rPr>
              <w:t>2.680.833,34</w:t>
            </w:r>
          </w:p>
        </w:tc>
        <w:tc>
          <w:tcPr>
            <w:tcW w:w="10%" w:type="pct"/>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NewRoman" w:eastAsia="TimesNewRoman" w:hAnsi="TimesNewRoman" w:cs="TimesNewRoman"/>
                <w:b w:val="0"/>
                <w:i w:val="0"/>
                <w:vanish w:val="0"/>
                <w:color w:val="000000"/>
                <w:sz w:val="16"/>
              </w:rPr>
            </w:pPr>
            <w:r>
              <w:rPr>
                <w:rFonts w:ascii="TimesNewRoman" w:eastAsia="TimesNewRoman" w:hAnsi="TimesNewRoman" w:cs="TimesNewRoman"/>
                <w:b w:val="0"/>
                <w:i w:val="0"/>
                <w:vanish w:val="0"/>
                <w:color w:val="000000"/>
                <w:sz w:val="16"/>
              </w:rPr>
              <w:t>2.680.833,34</w:t>
            </w:r>
          </w:p>
        </w:tc>
        <w:tc>
          <w:tcPr>
            <w:tcW w:w="10%" w:type="pct"/>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NewRoman" w:eastAsia="TimesNewRoman" w:hAnsi="TimesNewRoman" w:cs="TimesNewRoman"/>
                <w:b w:val="0"/>
                <w:i w:val="0"/>
                <w:vanish w:val="0"/>
                <w:color w:val="000000"/>
                <w:sz w:val="16"/>
              </w:rPr>
            </w:pPr>
          </w:p>
        </w:tc>
        <w:tc>
          <w:tcPr>
            <w:tcW w:w="10%" w:type="pct"/>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NewRoman" w:eastAsia="TimesNewRoman" w:hAnsi="TimesNewRoman" w:cs="TimesNewRoman"/>
                <w:b w:val="0"/>
                <w:i w:val="0"/>
                <w:vanish w:val="0"/>
                <w:color w:val="000000"/>
                <w:sz w:val="16"/>
              </w:rPr>
            </w:pPr>
            <w:r>
              <w:rPr>
                <w:rFonts w:ascii="TimesNewRoman" w:eastAsia="TimesNewRoman" w:hAnsi="TimesNewRoman" w:cs="TimesNewRoman"/>
                <w:b w:val="0"/>
                <w:i w:val="0"/>
                <w:vanish w:val="0"/>
                <w:color w:val="000000"/>
                <w:sz w:val="16"/>
              </w:rPr>
              <w:t>10.723.333,34</w:t>
            </w:r>
          </w:p>
        </w:tc>
        <w:tc>
          <w:tcPr>
            <w:tcW w:w="10%" w:type="pct"/>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NewRoman" w:eastAsia="TimesNewRoman" w:hAnsi="TimesNewRoman" w:cs="TimesNewRoman"/>
                <w:b w:val="0"/>
                <w:i w:val="0"/>
                <w:vanish w:val="0"/>
                <w:color w:val="000000"/>
                <w:sz w:val="16"/>
              </w:rPr>
            </w:pPr>
            <w:r>
              <w:rPr>
                <w:rFonts w:ascii="TimesNewRoman" w:eastAsia="TimesNewRoman" w:hAnsi="TimesNewRoman" w:cs="TimesNewRoman"/>
                <w:b w:val="0"/>
                <w:i w:val="0"/>
                <w:vanish w:val="0"/>
                <w:color w:val="000000"/>
                <w:sz w:val="16"/>
              </w:rPr>
              <w:t>74,9999999534%</w:t>
            </w:r>
          </w:p>
        </w:tc>
      </w:tr>
      <w:tr>
        <w:tblPrEx>
          <w:tblW w:w="100%" w:type="pct"/>
        </w:tblPrEx>
        <w:trPr>
          <w:cantSplit w:val="0"/>
          <w:trHeight w:hRule="auto" w:val="0"/>
          <w:tblHeader w:val="0"/>
        </w:trPr>
        <w:tc>
          <w:tcPr>
            <w:tcW w:w="10%" w:type="pct"/>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NewRoman" w:eastAsia="TimesNewRoman" w:hAnsi="TimesNewRoman" w:cs="TimesNewRoman"/>
                <w:b w:val="0"/>
                <w:i w:val="0"/>
                <w:vanish w:val="0"/>
                <w:color w:val="000000"/>
                <w:sz w:val="16"/>
              </w:rPr>
            </w:pPr>
            <w:r>
              <w:rPr>
                <w:rFonts w:ascii="TimesNewRoman" w:eastAsia="TimesNewRoman" w:hAnsi="TimesNewRoman" w:cs="TimesNewRoman"/>
                <w:b w:val="0"/>
                <w:i w:val="0"/>
                <w:vanish w:val="0"/>
                <w:color w:val="000000"/>
                <w:sz w:val="16"/>
              </w:rPr>
              <w:t>Čezmejno sodelovanje</w:t>
            </w:r>
          </w:p>
        </w:tc>
        <w:tc>
          <w:tcPr>
            <w:tcW w:w="10%" w:type="pct"/>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NewRoman" w:eastAsia="TimesNewRoman" w:hAnsi="TimesNewRoman" w:cs="TimesNewRoman"/>
                <w:b w:val="0"/>
                <w:i w:val="0"/>
                <w:vanish w:val="0"/>
                <w:color w:val="000000"/>
                <w:sz w:val="16"/>
              </w:rPr>
            </w:pPr>
            <w:r>
              <w:rPr>
                <w:rFonts w:ascii="TimesNewRoman" w:eastAsia="TimesNewRoman" w:hAnsi="TimesNewRoman" w:cs="TimesNewRoman"/>
                <w:b w:val="0"/>
                <w:i w:val="0"/>
                <w:vanish w:val="0"/>
                <w:color w:val="000000"/>
                <w:sz w:val="16"/>
              </w:rPr>
              <w:t>Posebni ukrepi</w:t>
            </w:r>
          </w:p>
        </w:tc>
        <w:tc>
          <w:tcPr>
            <w:tcW w:w="10%" w:type="pct"/>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NewRoman" w:eastAsia="TimesNewRoman" w:hAnsi="TimesNewRoman" w:cs="TimesNewRoman"/>
                <w:b w:val="0"/>
                <w:i w:val="0"/>
                <w:vanish w:val="0"/>
                <w:color w:val="000000"/>
                <w:sz w:val="16"/>
              </w:rPr>
            </w:pPr>
            <w:r>
              <w:rPr>
                <w:rFonts w:ascii="TimesNewRoman" w:eastAsia="TimesNewRoman" w:hAnsi="TimesNewRoman" w:cs="TimesNewRoman"/>
                <w:b w:val="0"/>
                <w:i w:val="0"/>
                <w:vanish w:val="0"/>
                <w:color w:val="000000"/>
                <w:sz w:val="16"/>
              </w:rPr>
              <w:t>Skupaj</w:t>
            </w:r>
          </w:p>
        </w:tc>
        <w:tc>
          <w:tcPr>
            <w:tcW w:w="10%" w:type="pct"/>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NewRoman" w:eastAsia="TimesNewRoman" w:hAnsi="TimesNewRoman" w:cs="TimesNewRoman"/>
                <w:b w:val="0"/>
                <w:i w:val="0"/>
                <w:vanish w:val="0"/>
                <w:color w:val="000000"/>
                <w:sz w:val="16"/>
              </w:rPr>
            </w:pPr>
            <w:r>
              <w:rPr>
                <w:rFonts w:ascii="TimesNewRoman" w:eastAsia="TimesNewRoman" w:hAnsi="TimesNewRoman" w:cs="TimesNewRoman"/>
                <w:b w:val="0"/>
                <w:i w:val="0"/>
                <w:vanish w:val="0"/>
                <w:color w:val="000000"/>
                <w:sz w:val="16"/>
              </w:rPr>
              <w:t>54.000,00</w:t>
            </w:r>
          </w:p>
        </w:tc>
        <w:tc>
          <w:tcPr>
            <w:tcW w:w="10%" w:type="pct"/>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NewRoman" w:eastAsia="TimesNewRoman" w:hAnsi="TimesNewRoman" w:cs="TimesNewRoman"/>
                <w:b w:val="0"/>
                <w:i w:val="0"/>
                <w:vanish w:val="0"/>
                <w:color w:val="000000"/>
                <w:sz w:val="16"/>
              </w:rPr>
            </w:pPr>
            <w:r>
              <w:rPr>
                <w:rFonts w:ascii="TimesNewRoman" w:eastAsia="TimesNewRoman" w:hAnsi="TimesNewRoman" w:cs="TimesNewRoman"/>
                <w:b w:val="0"/>
                <w:i w:val="0"/>
                <w:vanish w:val="0"/>
                <w:color w:val="000000"/>
                <w:sz w:val="16"/>
              </w:rPr>
              <w:t>6.000,00</w:t>
            </w:r>
          </w:p>
        </w:tc>
        <w:tc>
          <w:tcPr>
            <w:tcW w:w="10%" w:type="pct"/>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NewRoman" w:eastAsia="TimesNewRoman" w:hAnsi="TimesNewRoman" w:cs="TimesNewRoman"/>
                <w:b w:val="0"/>
                <w:i w:val="0"/>
                <w:vanish w:val="0"/>
                <w:color w:val="000000"/>
                <w:sz w:val="16"/>
              </w:rPr>
            </w:pPr>
            <w:r>
              <w:rPr>
                <w:rFonts w:ascii="TimesNewRoman" w:eastAsia="TimesNewRoman" w:hAnsi="TimesNewRoman" w:cs="TimesNewRoman"/>
                <w:b w:val="0"/>
                <w:i w:val="0"/>
                <w:vanish w:val="0"/>
                <w:color w:val="000000"/>
                <w:sz w:val="16"/>
              </w:rPr>
              <w:t>6.000,00</w:t>
            </w:r>
          </w:p>
        </w:tc>
        <w:tc>
          <w:tcPr>
            <w:tcW w:w="10%" w:type="pct"/>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NewRoman" w:eastAsia="TimesNewRoman" w:hAnsi="TimesNewRoman" w:cs="TimesNewRoman"/>
                <w:b w:val="0"/>
                <w:i w:val="0"/>
                <w:vanish w:val="0"/>
                <w:color w:val="000000"/>
                <w:sz w:val="16"/>
              </w:rPr>
            </w:pPr>
          </w:p>
        </w:tc>
        <w:tc>
          <w:tcPr>
            <w:tcW w:w="10%" w:type="pct"/>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NewRoman" w:eastAsia="TimesNewRoman" w:hAnsi="TimesNewRoman" w:cs="TimesNewRoman"/>
                <w:b w:val="0"/>
                <w:i w:val="0"/>
                <w:vanish w:val="0"/>
                <w:color w:val="000000"/>
                <w:sz w:val="16"/>
              </w:rPr>
            </w:pPr>
            <w:r>
              <w:rPr>
                <w:rFonts w:ascii="TimesNewRoman" w:eastAsia="TimesNewRoman" w:hAnsi="TimesNewRoman" w:cs="TimesNewRoman"/>
                <w:b w:val="0"/>
                <w:i w:val="0"/>
                <w:vanish w:val="0"/>
                <w:color w:val="000000"/>
                <w:sz w:val="16"/>
              </w:rPr>
              <w:t>60.000,00</w:t>
            </w:r>
          </w:p>
        </w:tc>
        <w:tc>
          <w:tcPr>
            <w:tcW w:w="10%" w:type="pct"/>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NewRoman" w:eastAsia="TimesNewRoman" w:hAnsi="TimesNewRoman" w:cs="TimesNewRoman"/>
                <w:b w:val="0"/>
                <w:i w:val="0"/>
                <w:vanish w:val="0"/>
                <w:color w:val="000000"/>
                <w:sz w:val="16"/>
              </w:rPr>
            </w:pPr>
            <w:r>
              <w:rPr>
                <w:rFonts w:ascii="TimesNewRoman" w:eastAsia="TimesNewRoman" w:hAnsi="TimesNewRoman" w:cs="TimesNewRoman"/>
                <w:b w:val="0"/>
                <w:i w:val="0"/>
                <w:vanish w:val="0"/>
                <w:color w:val="000000"/>
                <w:sz w:val="16"/>
              </w:rPr>
              <w:t>90,0000000000%</w:t>
            </w:r>
          </w:p>
        </w:tc>
      </w:tr>
      <w:tr>
        <w:tblPrEx>
          <w:tblW w:w="100%" w:type="pct"/>
        </w:tblPrEx>
        <w:trPr>
          <w:cantSplit w:val="0"/>
          <w:trHeight w:hRule="auto" w:val="0"/>
          <w:tblHeader w:val="0"/>
        </w:trPr>
        <w:tc>
          <w:tcPr>
            <w:tcW w:w="10%" w:type="pct"/>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NewRoman" w:eastAsia="TimesNewRoman" w:hAnsi="TimesNewRoman" w:cs="TimesNewRoman"/>
                <w:b w:val="0"/>
                <w:i w:val="0"/>
                <w:vanish w:val="0"/>
                <w:color w:val="000000"/>
                <w:sz w:val="16"/>
              </w:rPr>
            </w:pPr>
            <w:r>
              <w:rPr>
                <w:rFonts w:ascii="TimesNewRoman" w:eastAsia="TimesNewRoman" w:hAnsi="TimesNewRoman" w:cs="TimesNewRoman"/>
                <w:b w:val="0"/>
                <w:i w:val="0"/>
                <w:vanish w:val="0"/>
                <w:color w:val="000000"/>
                <w:sz w:val="16"/>
              </w:rPr>
              <w:t>Čezmejno sodelovanje</w:t>
            </w:r>
          </w:p>
        </w:tc>
        <w:tc>
          <w:tcPr>
            <w:tcW w:w="10%" w:type="pct"/>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NewRoman" w:eastAsia="TimesNewRoman" w:hAnsi="TimesNewRoman" w:cs="TimesNewRoman"/>
                <w:b w:val="0"/>
                <w:i w:val="0"/>
                <w:vanish w:val="0"/>
                <w:color w:val="000000"/>
                <w:sz w:val="16"/>
              </w:rPr>
            </w:pPr>
            <w:r>
              <w:rPr>
                <w:rFonts w:ascii="TimesNewRoman" w:eastAsia="TimesNewRoman" w:hAnsi="TimesNewRoman" w:cs="TimesNewRoman"/>
                <w:b w:val="0"/>
                <w:i w:val="0"/>
                <w:vanish w:val="0"/>
                <w:color w:val="000000"/>
                <w:sz w:val="16"/>
              </w:rPr>
              <w:t>Ukrepi iz Priloge IV</w:t>
            </w:r>
          </w:p>
        </w:tc>
        <w:tc>
          <w:tcPr>
            <w:tcW w:w="10%" w:type="pct"/>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NewRoman" w:eastAsia="TimesNewRoman" w:hAnsi="TimesNewRoman" w:cs="TimesNewRoman"/>
                <w:b w:val="0"/>
                <w:i w:val="0"/>
                <w:vanish w:val="0"/>
                <w:color w:val="000000"/>
                <w:sz w:val="16"/>
              </w:rPr>
            </w:pPr>
            <w:r>
              <w:rPr>
                <w:rFonts w:ascii="TimesNewRoman" w:eastAsia="TimesNewRoman" w:hAnsi="TimesNewRoman" w:cs="TimesNewRoman"/>
                <w:b w:val="0"/>
                <w:i w:val="0"/>
                <w:vanish w:val="0"/>
                <w:color w:val="000000"/>
                <w:sz w:val="16"/>
              </w:rPr>
              <w:t>Skupaj</w:t>
            </w:r>
          </w:p>
        </w:tc>
        <w:tc>
          <w:tcPr>
            <w:tcW w:w="10%" w:type="pct"/>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NewRoman" w:eastAsia="TimesNewRoman" w:hAnsi="TimesNewRoman" w:cs="TimesNewRoman"/>
                <w:b w:val="0"/>
                <w:i w:val="0"/>
                <w:vanish w:val="0"/>
                <w:color w:val="000000"/>
                <w:sz w:val="16"/>
              </w:rPr>
            </w:pPr>
          </w:p>
        </w:tc>
        <w:tc>
          <w:tcPr>
            <w:tcW w:w="10%" w:type="pct"/>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NewRoman" w:eastAsia="TimesNewRoman" w:hAnsi="TimesNewRoman" w:cs="TimesNewRoman"/>
                <w:b w:val="0"/>
                <w:i w:val="0"/>
                <w:vanish w:val="0"/>
                <w:color w:val="000000"/>
                <w:sz w:val="16"/>
              </w:rPr>
            </w:pPr>
          </w:p>
        </w:tc>
        <w:tc>
          <w:tcPr>
            <w:tcW w:w="10%" w:type="pct"/>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NewRoman" w:eastAsia="TimesNewRoman" w:hAnsi="TimesNewRoman" w:cs="TimesNewRoman"/>
                <w:b w:val="0"/>
                <w:i w:val="0"/>
                <w:vanish w:val="0"/>
                <w:color w:val="000000"/>
                <w:sz w:val="16"/>
              </w:rPr>
            </w:pPr>
          </w:p>
        </w:tc>
        <w:tc>
          <w:tcPr>
            <w:tcW w:w="10%" w:type="pct"/>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NewRoman" w:eastAsia="TimesNewRoman" w:hAnsi="TimesNewRoman" w:cs="TimesNewRoman"/>
                <w:b w:val="0"/>
                <w:i w:val="0"/>
                <w:vanish w:val="0"/>
                <w:color w:val="000000"/>
                <w:sz w:val="16"/>
              </w:rPr>
            </w:pPr>
          </w:p>
        </w:tc>
        <w:tc>
          <w:tcPr>
            <w:tcW w:w="10%" w:type="pct"/>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NewRoman" w:eastAsia="TimesNewRoman" w:hAnsi="TimesNewRoman" w:cs="TimesNewRoman"/>
                <w:b w:val="0"/>
                <w:i w:val="0"/>
                <w:vanish w:val="0"/>
                <w:color w:val="000000"/>
                <w:sz w:val="16"/>
              </w:rPr>
            </w:pPr>
          </w:p>
        </w:tc>
        <w:tc>
          <w:tcPr>
            <w:tcW w:w="10%" w:type="pct"/>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NewRoman" w:eastAsia="TimesNewRoman" w:hAnsi="TimesNewRoman" w:cs="TimesNewRoman"/>
                <w:b w:val="0"/>
                <w:i w:val="0"/>
                <w:vanish w:val="0"/>
                <w:color w:val="000000"/>
                <w:sz w:val="16"/>
              </w:rPr>
            </w:pPr>
          </w:p>
        </w:tc>
      </w:tr>
      <w:tr>
        <w:tblPrEx>
          <w:tblW w:w="100%" w:type="pct"/>
        </w:tblPrEx>
        <w:trPr>
          <w:cantSplit w:val="0"/>
          <w:trHeight w:hRule="auto" w:val="0"/>
          <w:tblHeader w:val="0"/>
        </w:trPr>
        <w:tc>
          <w:tcPr>
            <w:tcW w:w="10%" w:type="pct"/>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NewRoman" w:eastAsia="TimesNewRoman" w:hAnsi="TimesNewRoman" w:cs="TimesNewRoman"/>
                <w:b w:val="0"/>
                <w:i w:val="0"/>
                <w:vanish w:val="0"/>
                <w:color w:val="000000"/>
                <w:sz w:val="16"/>
              </w:rPr>
            </w:pPr>
            <w:r>
              <w:rPr>
                <w:rFonts w:ascii="TimesNewRoman" w:eastAsia="TimesNewRoman" w:hAnsi="TimesNewRoman" w:cs="TimesNewRoman"/>
                <w:b w:val="0"/>
                <w:i w:val="0"/>
                <w:vanish w:val="0"/>
                <w:color w:val="000000"/>
                <w:sz w:val="16"/>
              </w:rPr>
              <w:t>Skupaj Čezmejno sodelovanje</w:t>
            </w:r>
          </w:p>
        </w:tc>
        <w:tc>
          <w:tcPr>
            <w:tcW w:w="10%" w:type="pct"/>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NewRoman" w:eastAsia="TimesNewRoman" w:hAnsi="TimesNewRoman" w:cs="TimesNewRoman"/>
                <w:b w:val="0"/>
                <w:i w:val="0"/>
                <w:vanish w:val="0"/>
                <w:color w:val="000000"/>
                <w:sz w:val="16"/>
              </w:rPr>
            </w:pPr>
          </w:p>
        </w:tc>
        <w:tc>
          <w:tcPr>
            <w:tcW w:w="10%" w:type="pct"/>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NewRoman" w:eastAsia="TimesNewRoman" w:hAnsi="TimesNewRoman" w:cs="TimesNewRoman"/>
                <w:b w:val="0"/>
                <w:i w:val="0"/>
                <w:vanish w:val="0"/>
                <w:color w:val="000000"/>
                <w:sz w:val="16"/>
              </w:rPr>
            </w:pPr>
          </w:p>
        </w:tc>
        <w:tc>
          <w:tcPr>
            <w:tcW w:w="10%" w:type="pct"/>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NewRoman" w:eastAsia="TimesNewRoman" w:hAnsi="TimesNewRoman" w:cs="TimesNewRoman"/>
                <w:b w:val="0"/>
                <w:i w:val="0"/>
                <w:vanish w:val="0"/>
                <w:color w:val="000000"/>
                <w:sz w:val="16"/>
              </w:rPr>
            </w:pPr>
            <w:r>
              <w:rPr>
                <w:rFonts w:ascii="TimesNewRoman" w:eastAsia="TimesNewRoman" w:hAnsi="TimesNewRoman" w:cs="TimesNewRoman"/>
                <w:b w:val="0"/>
                <w:i w:val="0"/>
                <w:vanish w:val="0"/>
                <w:color w:val="000000"/>
                <w:sz w:val="16"/>
              </w:rPr>
              <w:t>8.096.500,00</w:t>
            </w:r>
          </w:p>
        </w:tc>
        <w:tc>
          <w:tcPr>
            <w:tcW w:w="10%" w:type="pct"/>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NewRoman" w:eastAsia="TimesNewRoman" w:hAnsi="TimesNewRoman" w:cs="TimesNewRoman"/>
                <w:b w:val="0"/>
                <w:i w:val="0"/>
                <w:vanish w:val="0"/>
                <w:color w:val="000000"/>
                <w:sz w:val="16"/>
              </w:rPr>
            </w:pPr>
            <w:r>
              <w:rPr>
                <w:rFonts w:ascii="TimesNewRoman" w:eastAsia="TimesNewRoman" w:hAnsi="TimesNewRoman" w:cs="TimesNewRoman"/>
                <w:b w:val="0"/>
                <w:i w:val="0"/>
                <w:vanish w:val="0"/>
                <w:color w:val="000000"/>
                <w:sz w:val="16"/>
              </w:rPr>
              <w:t>2.686.833,34</w:t>
            </w:r>
          </w:p>
        </w:tc>
        <w:tc>
          <w:tcPr>
            <w:tcW w:w="10%" w:type="pct"/>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NewRoman" w:eastAsia="TimesNewRoman" w:hAnsi="TimesNewRoman" w:cs="TimesNewRoman"/>
                <w:b w:val="0"/>
                <w:i w:val="0"/>
                <w:vanish w:val="0"/>
                <w:color w:val="000000"/>
                <w:sz w:val="16"/>
              </w:rPr>
            </w:pPr>
            <w:r>
              <w:rPr>
                <w:rFonts w:ascii="TimesNewRoman" w:eastAsia="TimesNewRoman" w:hAnsi="TimesNewRoman" w:cs="TimesNewRoman"/>
                <w:b w:val="0"/>
                <w:i w:val="0"/>
                <w:vanish w:val="0"/>
                <w:color w:val="000000"/>
                <w:sz w:val="16"/>
              </w:rPr>
              <w:t>2.686.833,34</w:t>
            </w:r>
          </w:p>
        </w:tc>
        <w:tc>
          <w:tcPr>
            <w:tcW w:w="10%" w:type="pct"/>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NewRoman" w:eastAsia="TimesNewRoman" w:hAnsi="TimesNewRoman" w:cs="TimesNewRoman"/>
                <w:b w:val="0"/>
                <w:i w:val="0"/>
                <w:vanish w:val="0"/>
                <w:color w:val="000000"/>
                <w:sz w:val="16"/>
              </w:rPr>
            </w:pPr>
          </w:p>
        </w:tc>
        <w:tc>
          <w:tcPr>
            <w:tcW w:w="10%" w:type="pct"/>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NewRoman" w:eastAsia="TimesNewRoman" w:hAnsi="TimesNewRoman" w:cs="TimesNewRoman"/>
                <w:b w:val="0"/>
                <w:i w:val="0"/>
                <w:vanish w:val="0"/>
                <w:color w:val="000000"/>
                <w:sz w:val="16"/>
              </w:rPr>
            </w:pPr>
            <w:r>
              <w:rPr>
                <w:rFonts w:ascii="TimesNewRoman" w:eastAsia="TimesNewRoman" w:hAnsi="TimesNewRoman" w:cs="TimesNewRoman"/>
                <w:b w:val="0"/>
                <w:i w:val="0"/>
                <w:vanish w:val="0"/>
                <w:color w:val="000000"/>
                <w:sz w:val="16"/>
              </w:rPr>
              <w:t>10.783.333,34</w:t>
            </w:r>
          </w:p>
        </w:tc>
        <w:tc>
          <w:tcPr>
            <w:tcW w:w="10%" w:type="pct"/>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NewRoman" w:eastAsia="TimesNewRoman" w:hAnsi="TimesNewRoman" w:cs="TimesNewRoman"/>
                <w:b w:val="0"/>
                <w:i w:val="0"/>
                <w:vanish w:val="0"/>
                <w:color w:val="000000"/>
                <w:sz w:val="16"/>
              </w:rPr>
            </w:pPr>
            <w:r>
              <w:rPr>
                <w:rFonts w:ascii="TimesNewRoman" w:eastAsia="TimesNewRoman" w:hAnsi="TimesNewRoman" w:cs="TimesNewRoman"/>
                <w:b w:val="0"/>
                <w:i w:val="0"/>
                <w:vanish w:val="0"/>
                <w:color w:val="000000"/>
                <w:sz w:val="16"/>
              </w:rPr>
              <w:t>75,0834620865%</w:t>
            </w:r>
          </w:p>
        </w:tc>
      </w:tr>
      <w:tr>
        <w:tblPrEx>
          <w:tblW w:w="100%" w:type="pct"/>
        </w:tblPrEx>
        <w:trPr>
          <w:cantSplit w:val="0"/>
          <w:trHeight w:hRule="auto" w:val="0"/>
          <w:tblHeader w:val="0"/>
        </w:trPr>
        <w:tc>
          <w:tcPr>
            <w:tcW w:w="10%" w:type="pct"/>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NewRoman" w:eastAsia="TimesNewRoman" w:hAnsi="TimesNewRoman" w:cs="TimesNewRoman"/>
                <w:b w:val="0"/>
                <w:i w:val="0"/>
                <w:vanish w:val="0"/>
                <w:color w:val="000000"/>
                <w:sz w:val="16"/>
              </w:rPr>
            </w:pPr>
            <w:r>
              <w:rPr>
                <w:rFonts w:ascii="TimesNewRoman" w:eastAsia="TimesNewRoman" w:hAnsi="TimesNewRoman" w:cs="TimesNewRoman"/>
                <w:b w:val="0"/>
                <w:i w:val="0"/>
                <w:vanish w:val="0"/>
                <w:color w:val="000000"/>
                <w:sz w:val="16"/>
              </w:rPr>
              <w:t>Preprečevanje kriminala in boj proti njemu</w:t>
            </w:r>
          </w:p>
        </w:tc>
        <w:tc>
          <w:tcPr>
            <w:tcW w:w="10%" w:type="pct"/>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NewRoman" w:eastAsia="TimesNewRoman" w:hAnsi="TimesNewRoman" w:cs="TimesNewRoman"/>
                <w:b w:val="0"/>
                <w:i w:val="0"/>
                <w:vanish w:val="0"/>
                <w:color w:val="000000"/>
                <w:sz w:val="16"/>
              </w:rPr>
            </w:pPr>
            <w:r>
              <w:rPr>
                <w:rFonts w:ascii="TimesNewRoman" w:eastAsia="TimesNewRoman" w:hAnsi="TimesNewRoman" w:cs="TimesNewRoman"/>
                <w:b w:val="0"/>
                <w:i w:val="0"/>
                <w:vanish w:val="0"/>
                <w:color w:val="000000"/>
                <w:sz w:val="16"/>
              </w:rPr>
              <w:t>Redni ukrepi</w:t>
            </w:r>
          </w:p>
        </w:tc>
        <w:tc>
          <w:tcPr>
            <w:tcW w:w="10%" w:type="pct"/>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NewRoman" w:eastAsia="TimesNewRoman" w:hAnsi="TimesNewRoman" w:cs="TimesNewRoman"/>
                <w:b w:val="0"/>
                <w:i w:val="0"/>
                <w:vanish w:val="0"/>
                <w:color w:val="000000"/>
                <w:sz w:val="16"/>
              </w:rPr>
            </w:pPr>
            <w:r>
              <w:rPr>
                <w:rFonts w:ascii="TimesNewRoman" w:eastAsia="TimesNewRoman" w:hAnsi="TimesNewRoman" w:cs="TimesNewRoman"/>
                <w:b w:val="0"/>
                <w:i w:val="0"/>
                <w:vanish w:val="0"/>
                <w:color w:val="000000"/>
                <w:sz w:val="16"/>
              </w:rPr>
              <w:t>Skupaj</w:t>
            </w:r>
          </w:p>
        </w:tc>
        <w:tc>
          <w:tcPr>
            <w:tcW w:w="10%" w:type="pct"/>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NewRoman" w:eastAsia="TimesNewRoman" w:hAnsi="TimesNewRoman" w:cs="TimesNewRoman"/>
                <w:b w:val="0"/>
                <w:i w:val="0"/>
                <w:vanish w:val="0"/>
                <w:color w:val="000000"/>
                <w:sz w:val="16"/>
              </w:rPr>
            </w:pPr>
            <w:r>
              <w:rPr>
                <w:rFonts w:ascii="TimesNewRoman" w:eastAsia="TimesNewRoman" w:hAnsi="TimesNewRoman" w:cs="TimesNewRoman"/>
                <w:b w:val="0"/>
                <w:i w:val="0"/>
                <w:vanish w:val="0"/>
                <w:color w:val="000000"/>
                <w:sz w:val="16"/>
              </w:rPr>
              <w:t>10.907.358,17</w:t>
            </w:r>
          </w:p>
        </w:tc>
        <w:tc>
          <w:tcPr>
            <w:tcW w:w="10%" w:type="pct"/>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NewRoman" w:eastAsia="TimesNewRoman" w:hAnsi="TimesNewRoman" w:cs="TimesNewRoman"/>
                <w:b w:val="0"/>
                <w:i w:val="0"/>
                <w:vanish w:val="0"/>
                <w:color w:val="000000"/>
                <w:sz w:val="16"/>
              </w:rPr>
            </w:pPr>
            <w:r>
              <w:rPr>
                <w:rFonts w:ascii="TimesNewRoman" w:eastAsia="TimesNewRoman" w:hAnsi="TimesNewRoman" w:cs="TimesNewRoman"/>
                <w:b w:val="0"/>
                <w:i w:val="0"/>
                <w:vanish w:val="0"/>
                <w:color w:val="000000"/>
                <w:sz w:val="16"/>
              </w:rPr>
              <w:t>3.635.786,06</w:t>
            </w:r>
          </w:p>
        </w:tc>
        <w:tc>
          <w:tcPr>
            <w:tcW w:w="10%" w:type="pct"/>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NewRoman" w:eastAsia="TimesNewRoman" w:hAnsi="TimesNewRoman" w:cs="TimesNewRoman"/>
                <w:b w:val="0"/>
                <w:i w:val="0"/>
                <w:vanish w:val="0"/>
                <w:color w:val="000000"/>
                <w:sz w:val="16"/>
              </w:rPr>
            </w:pPr>
            <w:r>
              <w:rPr>
                <w:rFonts w:ascii="TimesNewRoman" w:eastAsia="TimesNewRoman" w:hAnsi="TimesNewRoman" w:cs="TimesNewRoman"/>
                <w:b w:val="0"/>
                <w:i w:val="0"/>
                <w:vanish w:val="0"/>
                <w:color w:val="000000"/>
                <w:sz w:val="16"/>
              </w:rPr>
              <w:t>3.635.786,06</w:t>
            </w:r>
          </w:p>
        </w:tc>
        <w:tc>
          <w:tcPr>
            <w:tcW w:w="10%" w:type="pct"/>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NewRoman" w:eastAsia="TimesNewRoman" w:hAnsi="TimesNewRoman" w:cs="TimesNewRoman"/>
                <w:b w:val="0"/>
                <w:i w:val="0"/>
                <w:vanish w:val="0"/>
                <w:color w:val="000000"/>
                <w:sz w:val="16"/>
              </w:rPr>
            </w:pPr>
          </w:p>
        </w:tc>
        <w:tc>
          <w:tcPr>
            <w:tcW w:w="10%" w:type="pct"/>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NewRoman" w:eastAsia="TimesNewRoman" w:hAnsi="TimesNewRoman" w:cs="TimesNewRoman"/>
                <w:b w:val="0"/>
                <w:i w:val="0"/>
                <w:vanish w:val="0"/>
                <w:color w:val="000000"/>
                <w:sz w:val="16"/>
              </w:rPr>
            </w:pPr>
            <w:r>
              <w:rPr>
                <w:rFonts w:ascii="TimesNewRoman" w:eastAsia="TimesNewRoman" w:hAnsi="TimesNewRoman" w:cs="TimesNewRoman"/>
                <w:b w:val="0"/>
                <w:i w:val="0"/>
                <w:vanish w:val="0"/>
                <w:color w:val="000000"/>
                <w:sz w:val="16"/>
              </w:rPr>
              <w:t>14.543.144,23</w:t>
            </w:r>
          </w:p>
        </w:tc>
        <w:tc>
          <w:tcPr>
            <w:tcW w:w="10%" w:type="pct"/>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NewRoman" w:eastAsia="TimesNewRoman" w:hAnsi="TimesNewRoman" w:cs="TimesNewRoman"/>
                <w:b w:val="0"/>
                <w:i w:val="0"/>
                <w:vanish w:val="0"/>
                <w:color w:val="000000"/>
                <w:sz w:val="16"/>
              </w:rPr>
            </w:pPr>
            <w:r>
              <w:rPr>
                <w:rFonts w:ascii="TimesNewRoman" w:eastAsia="TimesNewRoman" w:hAnsi="TimesNewRoman" w:cs="TimesNewRoman"/>
                <w:b w:val="0"/>
                <w:i w:val="0"/>
                <w:vanish w:val="0"/>
                <w:color w:val="000000"/>
                <w:sz w:val="16"/>
              </w:rPr>
              <w:t>74,9999999828%</w:t>
            </w:r>
          </w:p>
        </w:tc>
      </w:tr>
      <w:tr>
        <w:tblPrEx>
          <w:tblW w:w="100%" w:type="pct"/>
        </w:tblPrEx>
        <w:trPr>
          <w:cantSplit w:val="0"/>
          <w:trHeight w:hRule="auto" w:val="0"/>
          <w:tblHeader w:val="0"/>
        </w:trPr>
        <w:tc>
          <w:tcPr>
            <w:tcW w:w="10%" w:type="pct"/>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NewRoman" w:eastAsia="TimesNewRoman" w:hAnsi="TimesNewRoman" w:cs="TimesNewRoman"/>
                <w:b w:val="0"/>
                <w:i w:val="0"/>
                <w:vanish w:val="0"/>
                <w:color w:val="000000"/>
                <w:sz w:val="16"/>
              </w:rPr>
            </w:pPr>
            <w:r>
              <w:rPr>
                <w:rFonts w:ascii="TimesNewRoman" w:eastAsia="TimesNewRoman" w:hAnsi="TimesNewRoman" w:cs="TimesNewRoman"/>
                <w:b w:val="0"/>
                <w:i w:val="0"/>
                <w:vanish w:val="0"/>
                <w:color w:val="000000"/>
                <w:sz w:val="16"/>
              </w:rPr>
              <w:t>Preprečevanje kriminala in boj proti njemu</w:t>
            </w:r>
          </w:p>
        </w:tc>
        <w:tc>
          <w:tcPr>
            <w:tcW w:w="10%" w:type="pct"/>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NewRoman" w:eastAsia="TimesNewRoman" w:hAnsi="TimesNewRoman" w:cs="TimesNewRoman"/>
                <w:b w:val="0"/>
                <w:i w:val="0"/>
                <w:vanish w:val="0"/>
                <w:color w:val="000000"/>
                <w:sz w:val="16"/>
              </w:rPr>
            </w:pPr>
            <w:r>
              <w:rPr>
                <w:rFonts w:ascii="TimesNewRoman" w:eastAsia="TimesNewRoman" w:hAnsi="TimesNewRoman" w:cs="TimesNewRoman"/>
                <w:b w:val="0"/>
                <w:i w:val="0"/>
                <w:vanish w:val="0"/>
                <w:color w:val="000000"/>
                <w:sz w:val="16"/>
              </w:rPr>
              <w:t>Ukrepi iz Priloge IV</w:t>
            </w:r>
          </w:p>
        </w:tc>
        <w:tc>
          <w:tcPr>
            <w:tcW w:w="10%" w:type="pct"/>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NewRoman" w:eastAsia="TimesNewRoman" w:hAnsi="TimesNewRoman" w:cs="TimesNewRoman"/>
                <w:b w:val="0"/>
                <w:i w:val="0"/>
                <w:vanish w:val="0"/>
                <w:color w:val="000000"/>
                <w:sz w:val="16"/>
              </w:rPr>
            </w:pPr>
            <w:r>
              <w:rPr>
                <w:rFonts w:ascii="TimesNewRoman" w:eastAsia="TimesNewRoman" w:hAnsi="TimesNewRoman" w:cs="TimesNewRoman"/>
                <w:b w:val="0"/>
                <w:i w:val="0"/>
                <w:vanish w:val="0"/>
                <w:color w:val="000000"/>
                <w:sz w:val="16"/>
              </w:rPr>
              <w:t>Skupaj</w:t>
            </w:r>
          </w:p>
        </w:tc>
        <w:tc>
          <w:tcPr>
            <w:tcW w:w="10%" w:type="pct"/>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NewRoman" w:eastAsia="TimesNewRoman" w:hAnsi="TimesNewRoman" w:cs="TimesNewRoman"/>
                <w:b w:val="0"/>
                <w:i w:val="0"/>
                <w:vanish w:val="0"/>
                <w:color w:val="000000"/>
                <w:sz w:val="16"/>
              </w:rPr>
            </w:pPr>
            <w:r>
              <w:rPr>
                <w:rFonts w:ascii="TimesNewRoman" w:eastAsia="TimesNewRoman" w:hAnsi="TimesNewRoman" w:cs="TimesNewRoman"/>
                <w:b w:val="0"/>
                <w:i w:val="0"/>
                <w:vanish w:val="0"/>
                <w:color w:val="000000"/>
                <w:sz w:val="16"/>
              </w:rPr>
              <w:t>2.657.658,01</w:t>
            </w:r>
          </w:p>
        </w:tc>
        <w:tc>
          <w:tcPr>
            <w:tcW w:w="10%" w:type="pct"/>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NewRoman" w:eastAsia="TimesNewRoman" w:hAnsi="TimesNewRoman" w:cs="TimesNewRoman"/>
                <w:b w:val="0"/>
                <w:i w:val="0"/>
                <w:vanish w:val="0"/>
                <w:color w:val="000000"/>
                <w:sz w:val="16"/>
              </w:rPr>
            </w:pPr>
            <w:r>
              <w:rPr>
                <w:rFonts w:ascii="TimesNewRoman" w:eastAsia="TimesNewRoman" w:hAnsi="TimesNewRoman" w:cs="TimesNewRoman"/>
                <w:b w:val="0"/>
                <w:i w:val="0"/>
                <w:vanish w:val="0"/>
                <w:color w:val="000000"/>
                <w:sz w:val="16"/>
              </w:rPr>
              <w:t>295.295,34</w:t>
            </w:r>
          </w:p>
        </w:tc>
        <w:tc>
          <w:tcPr>
            <w:tcW w:w="10%" w:type="pct"/>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NewRoman" w:eastAsia="TimesNewRoman" w:hAnsi="TimesNewRoman" w:cs="TimesNewRoman"/>
                <w:b w:val="0"/>
                <w:i w:val="0"/>
                <w:vanish w:val="0"/>
                <w:color w:val="000000"/>
                <w:sz w:val="16"/>
              </w:rPr>
            </w:pPr>
            <w:r>
              <w:rPr>
                <w:rFonts w:ascii="TimesNewRoman" w:eastAsia="TimesNewRoman" w:hAnsi="TimesNewRoman" w:cs="TimesNewRoman"/>
                <w:b w:val="0"/>
                <w:i w:val="0"/>
                <w:vanish w:val="0"/>
                <w:color w:val="000000"/>
                <w:sz w:val="16"/>
              </w:rPr>
              <w:t>295.295,34</w:t>
            </w:r>
          </w:p>
        </w:tc>
        <w:tc>
          <w:tcPr>
            <w:tcW w:w="10%" w:type="pct"/>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NewRoman" w:eastAsia="TimesNewRoman" w:hAnsi="TimesNewRoman" w:cs="TimesNewRoman"/>
                <w:b w:val="0"/>
                <w:i w:val="0"/>
                <w:vanish w:val="0"/>
                <w:color w:val="000000"/>
                <w:sz w:val="16"/>
              </w:rPr>
            </w:pPr>
          </w:p>
        </w:tc>
        <w:tc>
          <w:tcPr>
            <w:tcW w:w="10%" w:type="pct"/>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NewRoman" w:eastAsia="TimesNewRoman" w:hAnsi="TimesNewRoman" w:cs="TimesNewRoman"/>
                <w:b w:val="0"/>
                <w:i w:val="0"/>
                <w:vanish w:val="0"/>
                <w:color w:val="000000"/>
                <w:sz w:val="16"/>
              </w:rPr>
            </w:pPr>
            <w:r>
              <w:rPr>
                <w:rFonts w:ascii="TimesNewRoman" w:eastAsia="TimesNewRoman" w:hAnsi="TimesNewRoman" w:cs="TimesNewRoman"/>
                <w:b w:val="0"/>
                <w:i w:val="0"/>
                <w:vanish w:val="0"/>
                <w:color w:val="000000"/>
                <w:sz w:val="16"/>
              </w:rPr>
              <w:t>2.952.953,35</w:t>
            </w:r>
          </w:p>
        </w:tc>
        <w:tc>
          <w:tcPr>
            <w:tcW w:w="10%" w:type="pct"/>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NewRoman" w:eastAsia="TimesNewRoman" w:hAnsi="TimesNewRoman" w:cs="TimesNewRoman"/>
                <w:b w:val="0"/>
                <w:i w:val="0"/>
                <w:vanish w:val="0"/>
                <w:color w:val="000000"/>
                <w:sz w:val="16"/>
              </w:rPr>
            </w:pPr>
            <w:r>
              <w:rPr>
                <w:rFonts w:ascii="TimesNewRoman" w:eastAsia="TimesNewRoman" w:hAnsi="TimesNewRoman" w:cs="TimesNewRoman"/>
                <w:b w:val="0"/>
                <w:i w:val="0"/>
                <w:vanish w:val="0"/>
                <w:color w:val="000000"/>
                <w:sz w:val="16"/>
              </w:rPr>
              <w:t>89,9999998307%</w:t>
            </w:r>
          </w:p>
        </w:tc>
      </w:tr>
      <w:tr>
        <w:tblPrEx>
          <w:tblW w:w="100%" w:type="pct"/>
        </w:tblPrEx>
        <w:trPr>
          <w:cantSplit w:val="0"/>
          <w:trHeight w:hRule="auto" w:val="0"/>
          <w:tblHeader w:val="0"/>
        </w:trPr>
        <w:tc>
          <w:tcPr>
            <w:tcW w:w="10%" w:type="pct"/>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NewRoman" w:eastAsia="TimesNewRoman" w:hAnsi="TimesNewRoman" w:cs="TimesNewRoman"/>
                <w:b w:val="0"/>
                <w:i w:val="0"/>
                <w:vanish w:val="0"/>
                <w:color w:val="000000"/>
                <w:sz w:val="16"/>
              </w:rPr>
            </w:pPr>
            <w:r>
              <w:rPr>
                <w:rFonts w:ascii="TimesNewRoman" w:eastAsia="TimesNewRoman" w:hAnsi="TimesNewRoman" w:cs="TimesNewRoman"/>
                <w:b w:val="0"/>
                <w:i w:val="0"/>
                <w:vanish w:val="0"/>
                <w:color w:val="000000"/>
                <w:sz w:val="16"/>
              </w:rPr>
              <w:t>Skupaj Preprečevanje kriminala in boj proti njemu</w:t>
            </w:r>
          </w:p>
        </w:tc>
        <w:tc>
          <w:tcPr>
            <w:tcW w:w="10%" w:type="pct"/>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NewRoman" w:eastAsia="TimesNewRoman" w:hAnsi="TimesNewRoman" w:cs="TimesNewRoman"/>
                <w:b w:val="0"/>
                <w:i w:val="0"/>
                <w:vanish w:val="0"/>
                <w:color w:val="000000"/>
                <w:sz w:val="16"/>
              </w:rPr>
            </w:pPr>
          </w:p>
        </w:tc>
        <w:tc>
          <w:tcPr>
            <w:tcW w:w="10%" w:type="pct"/>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NewRoman" w:eastAsia="TimesNewRoman" w:hAnsi="TimesNewRoman" w:cs="TimesNewRoman"/>
                <w:b w:val="0"/>
                <w:i w:val="0"/>
                <w:vanish w:val="0"/>
                <w:color w:val="000000"/>
                <w:sz w:val="16"/>
              </w:rPr>
            </w:pPr>
          </w:p>
        </w:tc>
        <w:tc>
          <w:tcPr>
            <w:tcW w:w="10%" w:type="pct"/>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NewRoman" w:eastAsia="TimesNewRoman" w:hAnsi="TimesNewRoman" w:cs="TimesNewRoman"/>
                <w:b w:val="0"/>
                <w:i w:val="0"/>
                <w:vanish w:val="0"/>
                <w:color w:val="000000"/>
                <w:sz w:val="16"/>
              </w:rPr>
            </w:pPr>
            <w:r>
              <w:rPr>
                <w:rFonts w:ascii="TimesNewRoman" w:eastAsia="TimesNewRoman" w:hAnsi="TimesNewRoman" w:cs="TimesNewRoman"/>
                <w:b w:val="0"/>
                <w:i w:val="0"/>
                <w:vanish w:val="0"/>
                <w:color w:val="000000"/>
                <w:sz w:val="16"/>
              </w:rPr>
              <w:t>13.565.016,18</w:t>
            </w:r>
          </w:p>
        </w:tc>
        <w:tc>
          <w:tcPr>
            <w:tcW w:w="10%" w:type="pct"/>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NewRoman" w:eastAsia="TimesNewRoman" w:hAnsi="TimesNewRoman" w:cs="TimesNewRoman"/>
                <w:b w:val="0"/>
                <w:i w:val="0"/>
                <w:vanish w:val="0"/>
                <w:color w:val="000000"/>
                <w:sz w:val="16"/>
              </w:rPr>
            </w:pPr>
            <w:r>
              <w:rPr>
                <w:rFonts w:ascii="TimesNewRoman" w:eastAsia="TimesNewRoman" w:hAnsi="TimesNewRoman" w:cs="TimesNewRoman"/>
                <w:b w:val="0"/>
                <w:i w:val="0"/>
                <w:vanish w:val="0"/>
                <w:color w:val="000000"/>
                <w:sz w:val="16"/>
              </w:rPr>
              <w:t>3.931.081,40</w:t>
            </w:r>
          </w:p>
        </w:tc>
        <w:tc>
          <w:tcPr>
            <w:tcW w:w="10%" w:type="pct"/>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NewRoman" w:eastAsia="TimesNewRoman" w:hAnsi="TimesNewRoman" w:cs="TimesNewRoman"/>
                <w:b w:val="0"/>
                <w:i w:val="0"/>
                <w:vanish w:val="0"/>
                <w:color w:val="000000"/>
                <w:sz w:val="16"/>
              </w:rPr>
            </w:pPr>
            <w:r>
              <w:rPr>
                <w:rFonts w:ascii="TimesNewRoman" w:eastAsia="TimesNewRoman" w:hAnsi="TimesNewRoman" w:cs="TimesNewRoman"/>
                <w:b w:val="0"/>
                <w:i w:val="0"/>
                <w:vanish w:val="0"/>
                <w:color w:val="000000"/>
                <w:sz w:val="16"/>
              </w:rPr>
              <w:t>3.931.081,40</w:t>
            </w:r>
          </w:p>
        </w:tc>
        <w:tc>
          <w:tcPr>
            <w:tcW w:w="10%" w:type="pct"/>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NewRoman" w:eastAsia="TimesNewRoman" w:hAnsi="TimesNewRoman" w:cs="TimesNewRoman"/>
                <w:b w:val="0"/>
                <w:i w:val="0"/>
                <w:vanish w:val="0"/>
                <w:color w:val="000000"/>
                <w:sz w:val="16"/>
              </w:rPr>
            </w:pPr>
          </w:p>
        </w:tc>
        <w:tc>
          <w:tcPr>
            <w:tcW w:w="10%" w:type="pct"/>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NewRoman" w:eastAsia="TimesNewRoman" w:hAnsi="TimesNewRoman" w:cs="TimesNewRoman"/>
                <w:b w:val="0"/>
                <w:i w:val="0"/>
                <w:vanish w:val="0"/>
                <w:color w:val="000000"/>
                <w:sz w:val="16"/>
              </w:rPr>
            </w:pPr>
            <w:r>
              <w:rPr>
                <w:rFonts w:ascii="TimesNewRoman" w:eastAsia="TimesNewRoman" w:hAnsi="TimesNewRoman" w:cs="TimesNewRoman"/>
                <w:b w:val="0"/>
                <w:i w:val="0"/>
                <w:vanish w:val="0"/>
                <w:color w:val="000000"/>
                <w:sz w:val="16"/>
              </w:rPr>
              <w:t>17.496.097,58</w:t>
            </w:r>
          </w:p>
        </w:tc>
        <w:tc>
          <w:tcPr>
            <w:tcW w:w="10%" w:type="pct"/>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NewRoman" w:eastAsia="TimesNewRoman" w:hAnsi="TimesNewRoman" w:cs="TimesNewRoman"/>
                <w:b w:val="0"/>
                <w:i w:val="0"/>
                <w:vanish w:val="0"/>
                <w:color w:val="000000"/>
                <w:sz w:val="16"/>
              </w:rPr>
            </w:pPr>
            <w:r>
              <w:rPr>
                <w:rFonts w:ascii="TimesNewRoman" w:eastAsia="TimesNewRoman" w:hAnsi="TimesNewRoman" w:cs="TimesNewRoman"/>
                <w:b w:val="0"/>
                <w:i w:val="0"/>
                <w:vanish w:val="0"/>
                <w:color w:val="000000"/>
                <w:sz w:val="16"/>
              </w:rPr>
              <w:t>77,5316673788%</w:t>
            </w:r>
          </w:p>
        </w:tc>
      </w:tr>
      <w:tr>
        <w:tblPrEx>
          <w:tblW w:w="100%" w:type="pct"/>
        </w:tblPrEx>
        <w:trPr>
          <w:cantSplit w:val="0"/>
          <w:trHeight w:hRule="auto" w:val="0"/>
          <w:tblHeader w:val="0"/>
        </w:trPr>
        <w:tc>
          <w:tcPr>
            <w:tcW w:w="10%" w:type="pct"/>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NewRoman" w:eastAsia="TimesNewRoman" w:hAnsi="TimesNewRoman" w:cs="TimesNewRoman"/>
                <w:b w:val="0"/>
                <w:i w:val="0"/>
                <w:vanish w:val="0"/>
                <w:color w:val="000000"/>
                <w:sz w:val="16"/>
              </w:rPr>
            </w:pPr>
            <w:r>
              <w:rPr>
                <w:rFonts w:ascii="TimesNewRoman" w:eastAsia="TimesNewRoman" w:hAnsi="TimesNewRoman" w:cs="TimesNewRoman"/>
                <w:b w:val="0"/>
                <w:i w:val="0"/>
                <w:vanish w:val="0"/>
                <w:color w:val="000000"/>
                <w:sz w:val="16"/>
              </w:rPr>
              <w:t>Tehnična pomoč – pavšalna stopnja (člen 36(5) uredbe o skupnih določbah)</w:t>
            </w:r>
          </w:p>
        </w:tc>
        <w:tc>
          <w:tcPr>
            <w:tcW w:w="10%" w:type="pct"/>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NewRoman" w:eastAsia="TimesNewRoman" w:hAnsi="TimesNewRoman" w:cs="TimesNewRoman"/>
                <w:b w:val="0"/>
                <w:i w:val="0"/>
                <w:vanish w:val="0"/>
                <w:color w:val="000000"/>
                <w:sz w:val="16"/>
              </w:rPr>
            </w:pPr>
          </w:p>
        </w:tc>
        <w:tc>
          <w:tcPr>
            <w:tcW w:w="10%" w:type="pct"/>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NewRoman" w:eastAsia="TimesNewRoman" w:hAnsi="TimesNewRoman" w:cs="TimesNewRoman"/>
                <w:b w:val="0"/>
                <w:i w:val="0"/>
                <w:vanish w:val="0"/>
                <w:color w:val="000000"/>
                <w:sz w:val="16"/>
              </w:rPr>
            </w:pPr>
          </w:p>
        </w:tc>
        <w:tc>
          <w:tcPr>
            <w:tcW w:w="10%" w:type="pct"/>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NewRoman" w:eastAsia="TimesNewRoman" w:hAnsi="TimesNewRoman" w:cs="TimesNewRoman"/>
                <w:b w:val="0"/>
                <w:i w:val="0"/>
                <w:vanish w:val="0"/>
                <w:color w:val="000000"/>
                <w:sz w:val="16"/>
              </w:rPr>
            </w:pPr>
            <w:r>
              <w:rPr>
                <w:rFonts w:ascii="TimesNewRoman" w:eastAsia="TimesNewRoman" w:hAnsi="TimesNewRoman" w:cs="TimesNewRoman"/>
                <w:b w:val="0"/>
                <w:i w:val="0"/>
                <w:vanish w:val="0"/>
                <w:color w:val="000000"/>
                <w:sz w:val="16"/>
              </w:rPr>
              <w:t>1.825.836,80</w:t>
            </w:r>
          </w:p>
        </w:tc>
        <w:tc>
          <w:tcPr>
            <w:tcW w:w="10%" w:type="pct"/>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NewRoman" w:eastAsia="TimesNewRoman" w:hAnsi="TimesNewRoman" w:cs="TimesNewRoman"/>
                <w:b w:val="0"/>
                <w:i w:val="0"/>
                <w:vanish w:val="0"/>
                <w:color w:val="000000"/>
                <w:sz w:val="16"/>
              </w:rPr>
            </w:pPr>
          </w:p>
        </w:tc>
        <w:tc>
          <w:tcPr>
            <w:tcW w:w="10%" w:type="pct"/>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NewRoman" w:eastAsia="TimesNewRoman" w:hAnsi="TimesNewRoman" w:cs="TimesNewRoman"/>
                <w:b w:val="0"/>
                <w:i w:val="0"/>
                <w:vanish w:val="0"/>
                <w:color w:val="000000"/>
                <w:sz w:val="16"/>
              </w:rPr>
            </w:pPr>
          </w:p>
        </w:tc>
        <w:tc>
          <w:tcPr>
            <w:tcW w:w="10%" w:type="pct"/>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NewRoman" w:eastAsia="TimesNewRoman" w:hAnsi="TimesNewRoman" w:cs="TimesNewRoman"/>
                <w:b w:val="0"/>
                <w:i w:val="0"/>
                <w:vanish w:val="0"/>
                <w:color w:val="000000"/>
                <w:sz w:val="16"/>
              </w:rPr>
            </w:pPr>
          </w:p>
        </w:tc>
        <w:tc>
          <w:tcPr>
            <w:tcW w:w="10%" w:type="pct"/>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NewRoman" w:eastAsia="TimesNewRoman" w:hAnsi="TimesNewRoman" w:cs="TimesNewRoman"/>
                <w:b w:val="0"/>
                <w:i w:val="0"/>
                <w:vanish w:val="0"/>
                <w:color w:val="000000"/>
                <w:sz w:val="16"/>
              </w:rPr>
            </w:pPr>
            <w:r>
              <w:rPr>
                <w:rFonts w:ascii="TimesNewRoman" w:eastAsia="TimesNewRoman" w:hAnsi="TimesNewRoman" w:cs="TimesNewRoman"/>
                <w:b w:val="0"/>
                <w:i w:val="0"/>
                <w:vanish w:val="0"/>
                <w:color w:val="000000"/>
                <w:sz w:val="16"/>
              </w:rPr>
              <w:t>1.825.836,80</w:t>
            </w:r>
          </w:p>
        </w:tc>
        <w:tc>
          <w:tcPr>
            <w:tcW w:w="10%" w:type="pct"/>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NewRoman" w:eastAsia="TimesNewRoman" w:hAnsi="TimesNewRoman" w:cs="TimesNewRoman"/>
                <w:b w:val="0"/>
                <w:i w:val="0"/>
                <w:vanish w:val="0"/>
                <w:color w:val="000000"/>
                <w:sz w:val="16"/>
              </w:rPr>
            </w:pPr>
            <w:r>
              <w:rPr>
                <w:rFonts w:ascii="TimesNewRoman" w:eastAsia="TimesNewRoman" w:hAnsi="TimesNewRoman" w:cs="TimesNewRoman"/>
                <w:b w:val="0"/>
                <w:i w:val="0"/>
                <w:vanish w:val="0"/>
                <w:color w:val="000000"/>
                <w:sz w:val="16"/>
              </w:rPr>
              <w:t>100,0000000000%</w:t>
            </w:r>
          </w:p>
        </w:tc>
      </w:tr>
      <w:tr>
        <w:tblPrEx>
          <w:tblW w:w="100%" w:type="pct"/>
        </w:tblPrEx>
        <w:trPr>
          <w:cantSplit w:val="0"/>
          <w:trHeight w:hRule="auto" w:val="0"/>
          <w:tblHeader w:val="0"/>
        </w:trPr>
        <w:tc>
          <w:tcPr>
            <w:tcW w:w="10%" w:type="pct"/>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NewRoman" w:eastAsia="TimesNewRoman" w:hAnsi="TimesNewRoman" w:cs="TimesNewRoman"/>
                <w:b w:val="0"/>
                <w:i w:val="0"/>
                <w:vanish w:val="0"/>
                <w:color w:val="000000"/>
                <w:sz w:val="16"/>
              </w:rPr>
            </w:pPr>
            <w:r>
              <w:rPr>
                <w:rFonts w:ascii="TimesNewRoman" w:eastAsia="TimesNewRoman" w:hAnsi="TimesNewRoman" w:cs="TimesNewRoman"/>
                <w:b w:val="0"/>
                <w:i w:val="0"/>
                <w:vanish w:val="0"/>
                <w:color w:val="000000"/>
                <w:sz w:val="16"/>
              </w:rPr>
              <w:t>Skupaj</w:t>
            </w:r>
          </w:p>
        </w:tc>
        <w:tc>
          <w:tcPr>
            <w:tcW w:w="10%" w:type="pct"/>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NewRoman" w:eastAsia="TimesNewRoman" w:hAnsi="TimesNewRoman" w:cs="TimesNewRoman"/>
                <w:b w:val="0"/>
                <w:i w:val="0"/>
                <w:vanish w:val="0"/>
                <w:color w:val="000000"/>
                <w:sz w:val="16"/>
              </w:rPr>
            </w:pPr>
          </w:p>
        </w:tc>
        <w:tc>
          <w:tcPr>
            <w:tcW w:w="10%" w:type="pct"/>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NewRoman" w:eastAsia="TimesNewRoman" w:hAnsi="TimesNewRoman" w:cs="TimesNewRoman"/>
                <w:b w:val="0"/>
                <w:i w:val="0"/>
                <w:vanish w:val="0"/>
                <w:color w:val="000000"/>
                <w:sz w:val="16"/>
              </w:rPr>
            </w:pPr>
          </w:p>
        </w:tc>
        <w:tc>
          <w:tcPr>
            <w:tcW w:w="10%" w:type="pct"/>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NewRoman" w:eastAsia="TimesNewRoman" w:hAnsi="TimesNewRoman" w:cs="TimesNewRoman"/>
                <w:b w:val="0"/>
                <w:i w:val="0"/>
                <w:vanish w:val="0"/>
                <w:color w:val="000000"/>
                <w:sz w:val="16"/>
              </w:rPr>
            </w:pPr>
            <w:r>
              <w:rPr>
                <w:rFonts w:ascii="TimesNewRoman" w:eastAsia="TimesNewRoman" w:hAnsi="TimesNewRoman" w:cs="TimesNewRoman"/>
                <w:b w:val="0"/>
                <w:i w:val="0"/>
                <w:vanish w:val="0"/>
                <w:color w:val="000000"/>
                <w:sz w:val="16"/>
              </w:rPr>
              <w:t>32.256.450,29</w:t>
            </w:r>
          </w:p>
        </w:tc>
        <w:tc>
          <w:tcPr>
            <w:tcW w:w="10%" w:type="pct"/>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NewRoman" w:eastAsia="TimesNewRoman" w:hAnsi="TimesNewRoman" w:cs="TimesNewRoman"/>
                <w:b w:val="0"/>
                <w:i w:val="0"/>
                <w:vanish w:val="0"/>
                <w:color w:val="000000"/>
                <w:sz w:val="16"/>
              </w:rPr>
            </w:pPr>
            <w:r>
              <w:rPr>
                <w:rFonts w:ascii="TimesNewRoman" w:eastAsia="TimesNewRoman" w:hAnsi="TimesNewRoman" w:cs="TimesNewRoman"/>
                <w:b w:val="0"/>
                <w:i w:val="0"/>
                <w:vanish w:val="0"/>
                <w:color w:val="000000"/>
                <w:sz w:val="16"/>
              </w:rPr>
              <w:t>8.987.613,85</w:t>
            </w:r>
          </w:p>
        </w:tc>
        <w:tc>
          <w:tcPr>
            <w:tcW w:w="10%" w:type="pct"/>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NewRoman" w:eastAsia="TimesNewRoman" w:hAnsi="TimesNewRoman" w:cs="TimesNewRoman"/>
                <w:b w:val="0"/>
                <w:i w:val="0"/>
                <w:vanish w:val="0"/>
                <w:color w:val="000000"/>
                <w:sz w:val="16"/>
              </w:rPr>
            </w:pPr>
            <w:r>
              <w:rPr>
                <w:rFonts w:ascii="TimesNewRoman" w:eastAsia="TimesNewRoman" w:hAnsi="TimesNewRoman" w:cs="TimesNewRoman"/>
                <w:b w:val="0"/>
                <w:i w:val="0"/>
                <w:vanish w:val="0"/>
                <w:color w:val="000000"/>
                <w:sz w:val="16"/>
              </w:rPr>
              <w:t>8.987.613,85</w:t>
            </w:r>
          </w:p>
        </w:tc>
        <w:tc>
          <w:tcPr>
            <w:tcW w:w="10%" w:type="pct"/>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NewRoman" w:eastAsia="TimesNewRoman" w:hAnsi="TimesNewRoman" w:cs="TimesNewRoman"/>
                <w:b w:val="0"/>
                <w:i w:val="0"/>
                <w:vanish w:val="0"/>
                <w:color w:val="000000"/>
                <w:sz w:val="16"/>
              </w:rPr>
            </w:pPr>
          </w:p>
        </w:tc>
        <w:tc>
          <w:tcPr>
            <w:tcW w:w="10%" w:type="pct"/>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NewRoman" w:eastAsia="TimesNewRoman" w:hAnsi="TimesNewRoman" w:cs="TimesNewRoman"/>
                <w:b w:val="0"/>
                <w:i w:val="0"/>
                <w:vanish w:val="0"/>
                <w:color w:val="000000"/>
                <w:sz w:val="16"/>
              </w:rPr>
            </w:pPr>
            <w:r>
              <w:rPr>
                <w:rFonts w:ascii="TimesNewRoman" w:eastAsia="TimesNewRoman" w:hAnsi="TimesNewRoman" w:cs="TimesNewRoman"/>
                <w:b w:val="0"/>
                <w:i w:val="0"/>
                <w:vanish w:val="0"/>
                <w:color w:val="000000"/>
                <w:sz w:val="16"/>
              </w:rPr>
              <w:t>41.244.064,14</w:t>
            </w:r>
          </w:p>
        </w:tc>
        <w:tc>
          <w:tcPr>
            <w:tcW w:w="10%" w:type="pct"/>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NewRoman" w:eastAsia="TimesNewRoman" w:hAnsi="TimesNewRoman" w:cs="TimesNewRoman"/>
                <w:b w:val="0"/>
                <w:i w:val="0"/>
                <w:vanish w:val="0"/>
                <w:color w:val="000000"/>
                <w:sz w:val="16"/>
              </w:rPr>
            </w:pPr>
            <w:r>
              <w:rPr>
                <w:rFonts w:ascii="TimesNewRoman" w:eastAsia="TimesNewRoman" w:hAnsi="TimesNewRoman" w:cs="TimesNewRoman"/>
                <w:b w:val="0"/>
                <w:i w:val="0"/>
                <w:vanish w:val="0"/>
                <w:color w:val="000000"/>
                <w:sz w:val="16"/>
              </w:rPr>
              <w:t>78,2087094533%</w:t>
            </w:r>
          </w:p>
        </w:tc>
      </w:tr>
    </w:tbl>
    <w:p w:rsidR="00A77B3E">
      <w:pPr>
        <w:spacing w:before="100" w:after="0"/>
        <w:jc w:val="start"/>
        <w:rPr>
          <w:rFonts w:ascii="TimesNewRoman" w:eastAsia="TimesNewRoman" w:hAnsi="TimesNewRoman" w:cs="TimesNewRoman"/>
          <w:b w:val="0"/>
          <w:i w:val="0"/>
          <w:vanish w:val="0"/>
          <w:color w:val="000000"/>
          <w:sz w:val="24"/>
        </w:rPr>
      </w:pPr>
      <w:r>
        <w:rPr>
          <w:rFonts w:ascii="TimesNewRoman" w:eastAsia="TimesNewRoman" w:hAnsi="TimesNewRoman" w:cs="TimesNewRoman"/>
          <w:b w:val="0"/>
          <w:i w:val="0"/>
          <w:vanish w:val="0"/>
          <w:color w:val="000000"/>
          <w:sz w:val="16"/>
        </w:rPr>
        <w:br w:type="page"/>
      </w:r>
    </w:p>
    <w:p w:rsidR="00A77B3E">
      <w:pPr>
        <w:pStyle w:val="Heading2"/>
        <w:spacing w:before="100" w:after="0"/>
        <w:jc w:val="start"/>
        <w:rPr>
          <w:rFonts w:ascii="TimesNewRoman" w:eastAsia="TimesNewRoman" w:hAnsi="TimesNewRoman" w:cs="TimesNewRoman"/>
          <w:b w:val="0"/>
          <w:i w:val="0"/>
          <w:vanish w:val="0"/>
          <w:color w:val="000000"/>
          <w:sz w:val="24"/>
        </w:rPr>
      </w:pPr>
      <w:bookmarkStart w:id="32" w:name="_Toc256000087"/>
      <w:r>
        <w:rPr>
          <w:rFonts w:ascii="TimesNewRoman" w:eastAsia="TimesNewRoman" w:hAnsi="TimesNewRoman" w:cs="TimesNewRoman"/>
          <w:b w:val="0"/>
          <w:i w:val="0"/>
          <w:vanish w:val="0"/>
          <w:color w:val="000000"/>
          <w:sz w:val="24"/>
        </w:rPr>
        <w:t>3.3. Prerazporeditve</w:t>
      </w:r>
      <w:bookmarkEnd w:id="32"/>
    </w:p>
    <w:p w:rsidR="00A77B3E">
      <w:pPr>
        <w:spacing w:before="100" w:after="0"/>
        <w:jc w:val="start"/>
        <w:rPr>
          <w:rFonts w:ascii="TimesNewRoman" w:eastAsia="TimesNewRoman" w:hAnsi="TimesNewRoman" w:cs="TimesNewRoman"/>
          <w:b w:val="0"/>
          <w:i w:val="0"/>
          <w:vanish w:val="0"/>
          <w:color w:val="000000"/>
          <w:sz w:val="0"/>
          <w:vertAlign w:val="baseline"/>
        </w:rPr>
      </w:pPr>
      <w:r>
        <w:rPr>
          <w:rFonts w:ascii="TimesNewRoman" w:eastAsia="TimesNewRoman" w:hAnsi="TimesNewRoman" w:cs="TimesNewRoman"/>
          <w:b w:val="0"/>
          <w:i w:val="0"/>
          <w:vanish w:val="0"/>
          <w:color w:val="000000"/>
          <w:sz w:val="24"/>
        </w:rPr>
        <w:t>Tabela 7: Prerazporeditve med skladi z deljenim upravljanjem</w:t>
      </w:r>
      <w:r>
        <w:rPr>
          <w:rFonts w:ascii="TimesNewRoman" w:eastAsia="TimesNewRoman" w:hAnsi="TimesNewRoman" w:cs="TimesNewRoman"/>
          <w:b w:val="0"/>
          <w:i w:val="0"/>
          <w:vanish w:val="0"/>
          <w:color w:val="000000"/>
          <w:sz w:val="24"/>
          <w:vertAlign w:val="superscript"/>
        </w:rPr>
        <w:t>1</w:t>
      </w:r>
    </w:p>
    <w:p w:rsidR="00A77B3E">
      <w:pPr>
        <w:spacing w:before="100" w:after="0"/>
        <w:jc w:val="start"/>
        <w:rPr>
          <w:rFonts w:ascii="TimesNewRoman" w:eastAsia="TimesNewRoman" w:hAnsi="TimesNewRoman" w:cs="TimesNewRoman"/>
          <w:b w:val="0"/>
          <w:i w:val="0"/>
          <w:vanish w:val="0"/>
          <w:color w:val="000000"/>
          <w:sz w:val="12"/>
          <w:vertAlign w:val="baseline"/>
        </w:rPr>
      </w:pPr>
    </w:p>
    <w:tbl>
      <w:tblPr>
        <w:tblW w:w="100%" w:type="pct"/>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CellMar>
          <w:start w:w="5.4pt" w:type="dxa"/>
          <w:end w:w="5.4pt" w:type="dxa"/>
        </w:tblCellMar>
      </w:tblPr>
      <w:tblGrid>
        <w:gridCol w:w="4323"/>
        <w:gridCol w:w="1303"/>
        <w:gridCol w:w="1373"/>
        <w:gridCol w:w="1302"/>
        <w:gridCol w:w="1208"/>
        <w:gridCol w:w="3119"/>
        <w:gridCol w:w="1253"/>
        <w:gridCol w:w="1421"/>
      </w:tblGrid>
      <w:tr>
        <w:tblPrEx>
          <w:tblW w:w="100%" w:type="pct"/>
        </w:tblPrEx>
        <w:trPr>
          <w:cantSplit w:val="0"/>
          <w:trHeight w:val="160"/>
          <w:tblHeader/>
        </w:trPr>
        <w:tc>
          <w:tcPr>
            <w:vMerge w:val="restart"/>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rsidR="00A77B3E">
            <w:pPr>
              <w:spacing w:before="100" w:after="0"/>
              <w:jc w:val="center"/>
              <w:rPr>
                <w:rFonts w:ascii="TimesNewRoman" w:eastAsia="TimesNewRoman" w:hAnsi="TimesNewRoman" w:cs="TimesNewRoman"/>
                <w:b w:val="0"/>
                <w:i w:val="0"/>
                <w:vanish w:val="0"/>
                <w:color w:val="000000"/>
                <w:sz w:val="24"/>
                <w:vertAlign w:val="baseline"/>
              </w:rPr>
            </w:pPr>
            <w:r>
              <w:rPr>
                <w:rFonts w:ascii="TimesNewRoman" w:eastAsia="TimesNewRoman" w:hAnsi="TimesNewRoman" w:cs="TimesNewRoman"/>
                <w:b w:val="0"/>
                <w:i w:val="0"/>
                <w:vanish w:val="0"/>
                <w:color w:val="000000"/>
                <w:sz w:val="24"/>
                <w:vertAlign w:val="baseline"/>
              </w:rPr>
              <w:t>Prerazporeditveni sklad</w:t>
            </w:r>
          </w:p>
        </w:tc>
        <w:tc>
          <w:tcPr>
            <w:gridSpan w:val="7"/>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rsidR="00A77B3E">
            <w:pPr>
              <w:spacing w:before="100" w:after="0"/>
              <w:jc w:val="center"/>
              <w:rPr>
                <w:rFonts w:ascii="TimesNewRoman" w:eastAsia="TimesNewRoman" w:hAnsi="TimesNewRoman" w:cs="TimesNewRoman"/>
                <w:b w:val="0"/>
                <w:i w:val="0"/>
                <w:vanish w:val="0"/>
                <w:color w:val="000000"/>
                <w:sz w:val="24"/>
                <w:vertAlign w:val="baseline"/>
              </w:rPr>
            </w:pPr>
            <w:r>
              <w:rPr>
                <w:rFonts w:ascii="TimesNewRoman" w:eastAsia="TimesNewRoman" w:hAnsi="TimesNewRoman" w:cs="TimesNewRoman"/>
                <w:b w:val="0"/>
                <w:i w:val="0"/>
                <w:vanish w:val="0"/>
                <w:color w:val="000000"/>
                <w:sz w:val="24"/>
                <w:vertAlign w:val="baseline"/>
              </w:rPr>
              <w:t>Sklad prejemnik</w:t>
            </w:r>
          </w:p>
        </w:tc>
      </w:tr>
      <w:tr>
        <w:tblPrEx>
          <w:tblW w:w="100%" w:type="pct"/>
        </w:tblPrEx>
        <w:trPr>
          <w:cantSplit w:val="0"/>
          <w:trHeight w:val="160"/>
          <w:tblHeader/>
        </w:trPr>
        <w:tc>
          <w:tcPr>
            <w:vMerge/>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rsidR="00A77B3E">
            <w:pPr>
              <w:spacing w:before="100" w:after="0"/>
              <w:jc w:val="center"/>
              <w:rPr>
                <w:rFonts w:ascii="TimesNewRoman" w:eastAsia="TimesNewRoman" w:hAnsi="TimesNewRoman" w:cs="TimesNewRoman"/>
                <w:b w:val="0"/>
                <w:i w:val="0"/>
                <w:vanish w:val="0"/>
                <w:color w:val="000000"/>
                <w:sz w:val="24"/>
                <w:vertAlign w:val="baseline"/>
              </w:rPr>
            </w:pP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rsidR="00A77B3E">
            <w:pPr>
              <w:spacing w:before="100" w:after="0"/>
              <w:jc w:val="center"/>
              <w:rPr>
                <w:rFonts w:ascii="TimesNewRoman" w:eastAsia="TimesNewRoman" w:hAnsi="TimesNewRoman" w:cs="TimesNewRoman"/>
                <w:b w:val="0"/>
                <w:i w:val="0"/>
                <w:vanish w:val="0"/>
                <w:color w:val="000000"/>
                <w:sz w:val="24"/>
                <w:vertAlign w:val="baseline"/>
              </w:rPr>
            </w:pPr>
            <w:r>
              <w:rPr>
                <w:rFonts w:ascii="TimesNewRoman" w:eastAsia="TimesNewRoman" w:hAnsi="TimesNewRoman" w:cs="TimesNewRoman"/>
                <w:b w:val="0"/>
                <w:i w:val="0"/>
                <w:vanish w:val="0"/>
                <w:color w:val="000000"/>
                <w:sz w:val="24"/>
                <w:vertAlign w:val="baseline"/>
              </w:rPr>
              <w:t>AMIF</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rsidR="00A77B3E">
            <w:pPr>
              <w:spacing w:before="100" w:after="0"/>
              <w:jc w:val="center"/>
              <w:rPr>
                <w:rFonts w:ascii="TimesNewRoman" w:eastAsia="TimesNewRoman" w:hAnsi="TimesNewRoman" w:cs="TimesNewRoman"/>
                <w:b w:val="0"/>
                <w:i w:val="0"/>
                <w:vanish w:val="0"/>
                <w:color w:val="000000"/>
                <w:sz w:val="24"/>
                <w:vertAlign w:val="baseline"/>
              </w:rPr>
            </w:pPr>
            <w:r>
              <w:rPr>
                <w:rFonts w:ascii="TimesNewRoman" w:eastAsia="TimesNewRoman" w:hAnsi="TimesNewRoman" w:cs="TimesNewRoman"/>
                <w:b w:val="0"/>
                <w:i w:val="0"/>
                <w:vanish w:val="0"/>
                <w:color w:val="000000"/>
                <w:sz w:val="24"/>
                <w:vertAlign w:val="baseline"/>
              </w:rPr>
              <w:t>IUMV</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rsidR="00A77B3E">
            <w:pPr>
              <w:spacing w:before="100" w:after="0"/>
              <w:jc w:val="center"/>
              <w:rPr>
                <w:rFonts w:ascii="TimesNewRoman" w:eastAsia="TimesNewRoman" w:hAnsi="TimesNewRoman" w:cs="TimesNewRoman"/>
                <w:b w:val="0"/>
                <w:i w:val="0"/>
                <w:vanish w:val="0"/>
                <w:color w:val="000000"/>
                <w:sz w:val="24"/>
                <w:vertAlign w:val="baseline"/>
              </w:rPr>
            </w:pPr>
            <w:r>
              <w:rPr>
                <w:rFonts w:ascii="TimesNewRoman" w:eastAsia="TimesNewRoman" w:hAnsi="TimesNewRoman" w:cs="TimesNewRoman"/>
                <w:b w:val="0"/>
                <w:i w:val="0"/>
                <w:vanish w:val="0"/>
                <w:color w:val="000000"/>
                <w:sz w:val="24"/>
                <w:vertAlign w:val="baseline"/>
              </w:rPr>
              <w:t>ESRR</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rsidR="00A77B3E">
            <w:pPr>
              <w:spacing w:before="100" w:after="0"/>
              <w:jc w:val="center"/>
              <w:rPr>
                <w:rFonts w:ascii="TimesNewRoman" w:eastAsia="TimesNewRoman" w:hAnsi="TimesNewRoman" w:cs="TimesNewRoman"/>
                <w:b w:val="0"/>
                <w:i w:val="0"/>
                <w:vanish w:val="0"/>
                <w:color w:val="000000"/>
                <w:sz w:val="24"/>
                <w:vertAlign w:val="baseline"/>
              </w:rPr>
            </w:pPr>
            <w:r>
              <w:rPr>
                <w:rFonts w:ascii="TimesNewRoman" w:eastAsia="TimesNewRoman" w:hAnsi="TimesNewRoman" w:cs="TimesNewRoman"/>
                <w:b w:val="0"/>
                <w:i w:val="0"/>
                <w:vanish w:val="0"/>
                <w:color w:val="000000"/>
                <w:sz w:val="24"/>
                <w:vertAlign w:val="baseline"/>
              </w:rPr>
              <w:t>ESS+</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rsidR="00A77B3E">
            <w:pPr>
              <w:spacing w:before="100" w:after="0"/>
              <w:jc w:val="center"/>
              <w:rPr>
                <w:rFonts w:ascii="TimesNewRoman" w:eastAsia="TimesNewRoman" w:hAnsi="TimesNewRoman" w:cs="TimesNewRoman"/>
                <w:b w:val="0"/>
                <w:i w:val="0"/>
                <w:vanish w:val="0"/>
                <w:color w:val="000000"/>
                <w:sz w:val="24"/>
                <w:vertAlign w:val="baseline"/>
              </w:rPr>
            </w:pPr>
            <w:r>
              <w:rPr>
                <w:rFonts w:ascii="TimesNewRoman" w:eastAsia="TimesNewRoman" w:hAnsi="TimesNewRoman" w:cs="TimesNewRoman"/>
                <w:b w:val="0"/>
                <w:i w:val="0"/>
                <w:vanish w:val="0"/>
                <w:color w:val="000000"/>
                <w:sz w:val="24"/>
                <w:vertAlign w:val="baseline"/>
              </w:rPr>
              <w:t>Kohezijski sklad</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rsidR="00A77B3E">
            <w:pPr>
              <w:spacing w:before="100" w:after="0"/>
              <w:jc w:val="center"/>
              <w:rPr>
                <w:rFonts w:ascii="TimesNewRoman" w:eastAsia="TimesNewRoman" w:hAnsi="TimesNewRoman" w:cs="TimesNewRoman"/>
                <w:b w:val="0"/>
                <w:i w:val="0"/>
                <w:vanish w:val="0"/>
                <w:color w:val="000000"/>
                <w:sz w:val="24"/>
                <w:vertAlign w:val="baseline"/>
              </w:rPr>
            </w:pPr>
            <w:r>
              <w:rPr>
                <w:rFonts w:ascii="TimesNewRoman" w:eastAsia="TimesNewRoman" w:hAnsi="TimesNewRoman" w:cs="TimesNewRoman"/>
                <w:b w:val="0"/>
                <w:i w:val="0"/>
                <w:vanish w:val="0"/>
                <w:color w:val="000000"/>
                <w:sz w:val="24"/>
                <w:vertAlign w:val="baseline"/>
              </w:rPr>
              <w:t>ESPR</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rsidR="00A77B3E">
            <w:pPr>
              <w:spacing w:before="100" w:after="0"/>
              <w:jc w:val="center"/>
              <w:rPr>
                <w:rFonts w:ascii="TimesNewRoman" w:eastAsia="TimesNewRoman" w:hAnsi="TimesNewRoman" w:cs="TimesNewRoman"/>
                <w:b w:val="0"/>
                <w:i w:val="0"/>
                <w:vanish w:val="0"/>
                <w:color w:val="000000"/>
                <w:sz w:val="24"/>
                <w:vertAlign w:val="baseline"/>
              </w:rPr>
            </w:pPr>
            <w:r>
              <w:rPr>
                <w:rFonts w:ascii="TimesNewRoman" w:eastAsia="TimesNewRoman" w:hAnsi="TimesNewRoman" w:cs="TimesNewRoman"/>
                <w:b w:val="0"/>
                <w:i w:val="0"/>
                <w:vanish w:val="0"/>
                <w:color w:val="000000"/>
                <w:sz w:val="24"/>
                <w:vertAlign w:val="baseline"/>
              </w:rPr>
              <w:t>Skupaj</w:t>
            </w:r>
          </w:p>
        </w:tc>
      </w:tr>
      <w:tr>
        <w:tblPrEx>
          <w:tblW w:w="100%" w:type="pct"/>
        </w:tblPrEx>
        <w:trPr>
          <w:cantSplit w:val="0"/>
          <w:trHeight w:hRule="auto" w:val="0"/>
          <w:tblHeader w:val="0"/>
        </w:trPr>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rsidR="00A77B3E">
            <w:pPr>
              <w:spacing w:before="100" w:after="0"/>
              <w:jc w:val="center"/>
              <w:rPr>
                <w:rFonts w:ascii="TimesNewRoman" w:eastAsia="TimesNewRoman" w:hAnsi="TimesNewRoman" w:cs="TimesNewRoman"/>
                <w:b w:val="0"/>
                <w:i w:val="0"/>
                <w:vanish w:val="0"/>
                <w:color w:val="000000"/>
                <w:sz w:val="24"/>
                <w:vertAlign w:val="baseline"/>
              </w:rPr>
            </w:pPr>
            <w:r>
              <w:rPr>
                <w:rFonts w:ascii="TimesNewRoman" w:eastAsia="TimesNewRoman" w:hAnsi="TimesNewRoman" w:cs="TimesNewRoman"/>
                <w:b w:val="0"/>
                <w:i w:val="0"/>
                <w:vanish w:val="0"/>
                <w:color w:val="000000"/>
                <w:sz w:val="24"/>
                <w:vertAlign w:val="baseline"/>
              </w:rPr>
              <w:t>SNV</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rsidR="00A77B3E">
            <w:pPr>
              <w:spacing w:before="100" w:after="0"/>
              <w:jc w:val="end"/>
              <w:rPr>
                <w:rFonts w:ascii="TimesNewRoman" w:eastAsia="TimesNewRoman" w:hAnsi="TimesNewRoman" w:cs="TimesNewRoman"/>
                <w:b w:val="0"/>
                <w:i w:val="0"/>
                <w:vanish w:val="0"/>
                <w:color w:val="000000"/>
                <w:sz w:val="24"/>
                <w:vertAlign w:val="baseline"/>
              </w:rPr>
            </w:pP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rsidR="00A77B3E">
            <w:pPr>
              <w:spacing w:before="100" w:after="0"/>
              <w:jc w:val="end"/>
              <w:rPr>
                <w:rFonts w:ascii="TimesNewRoman" w:eastAsia="TimesNewRoman" w:hAnsi="TimesNewRoman" w:cs="TimesNewRoman"/>
                <w:b w:val="0"/>
                <w:i w:val="0"/>
                <w:vanish w:val="0"/>
                <w:color w:val="000000"/>
                <w:sz w:val="24"/>
                <w:vertAlign w:val="baseline"/>
              </w:rPr>
            </w:pP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rsidR="00A77B3E">
            <w:pPr>
              <w:spacing w:before="100" w:after="0"/>
              <w:jc w:val="end"/>
              <w:rPr>
                <w:rFonts w:ascii="TimesNewRoman" w:eastAsia="TimesNewRoman" w:hAnsi="TimesNewRoman" w:cs="TimesNewRoman"/>
                <w:b w:val="0"/>
                <w:i w:val="0"/>
                <w:vanish w:val="0"/>
                <w:color w:val="000000"/>
                <w:sz w:val="24"/>
                <w:vertAlign w:val="baseline"/>
              </w:rPr>
            </w:pP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rsidR="00A77B3E">
            <w:pPr>
              <w:spacing w:before="100" w:after="0"/>
              <w:jc w:val="end"/>
              <w:rPr>
                <w:rFonts w:ascii="TimesNewRoman" w:eastAsia="TimesNewRoman" w:hAnsi="TimesNewRoman" w:cs="TimesNewRoman"/>
                <w:b w:val="0"/>
                <w:i w:val="0"/>
                <w:vanish w:val="0"/>
                <w:color w:val="000000"/>
                <w:sz w:val="24"/>
                <w:vertAlign w:val="baseline"/>
              </w:rPr>
            </w:pP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rsidR="00A77B3E">
            <w:pPr>
              <w:spacing w:before="100" w:after="0"/>
              <w:jc w:val="end"/>
              <w:rPr>
                <w:rFonts w:ascii="TimesNewRoman" w:eastAsia="TimesNewRoman" w:hAnsi="TimesNewRoman" w:cs="TimesNewRoman"/>
                <w:b w:val="0"/>
                <w:i w:val="0"/>
                <w:vanish w:val="0"/>
                <w:color w:val="000000"/>
                <w:sz w:val="24"/>
                <w:vertAlign w:val="baseline"/>
              </w:rPr>
            </w:pP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rsidR="00A77B3E">
            <w:pPr>
              <w:spacing w:before="100" w:after="0"/>
              <w:jc w:val="end"/>
              <w:rPr>
                <w:rFonts w:ascii="TimesNewRoman" w:eastAsia="TimesNewRoman" w:hAnsi="TimesNewRoman" w:cs="TimesNewRoman"/>
                <w:b w:val="0"/>
                <w:i w:val="0"/>
                <w:vanish w:val="0"/>
                <w:color w:val="000000"/>
                <w:sz w:val="24"/>
                <w:vertAlign w:val="baseline"/>
              </w:rPr>
            </w:pP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rsidR="00A77B3E">
            <w:pPr>
              <w:spacing w:before="100" w:after="0"/>
              <w:jc w:val="end"/>
              <w:rPr>
                <w:rFonts w:ascii="TimesNewRoman" w:eastAsia="TimesNewRoman" w:hAnsi="TimesNewRoman" w:cs="TimesNewRoman"/>
                <w:b w:val="0"/>
                <w:i w:val="0"/>
                <w:vanish w:val="0"/>
                <w:color w:val="000000"/>
                <w:sz w:val="24"/>
                <w:vertAlign w:val="baseline"/>
              </w:rPr>
            </w:pPr>
          </w:p>
        </w:tc>
      </w:tr>
    </w:tbl>
    <w:p w:rsidR="00A77B3E">
      <w:pPr>
        <w:spacing w:before="100" w:after="0"/>
        <w:jc w:val="start"/>
        <w:rPr>
          <w:rFonts w:ascii="TimesNewRoman" w:eastAsia="TimesNewRoman" w:hAnsi="TimesNewRoman" w:cs="TimesNewRoman"/>
          <w:b w:val="0"/>
          <w:i w:val="0"/>
          <w:vanish w:val="0"/>
          <w:color w:val="000000"/>
          <w:sz w:val="24"/>
          <w:vertAlign w:val="baseline"/>
        </w:rPr>
      </w:pPr>
      <w:r>
        <w:rPr>
          <w:rFonts w:ascii="TimesNewRoman" w:eastAsia="TimesNewRoman" w:hAnsi="TimesNewRoman" w:cs="TimesNewRoman"/>
          <w:b w:val="0"/>
          <w:i w:val="0"/>
          <w:vanish w:val="0"/>
          <w:color w:val="000000"/>
          <w:sz w:val="24"/>
          <w:vertAlign w:val="superscript"/>
        </w:rPr>
        <w:t>1</w:t>
      </w:r>
      <w:r>
        <w:rPr>
          <w:rFonts w:ascii="TimesNewRoman" w:eastAsia="TimesNewRoman" w:hAnsi="TimesNewRoman" w:cs="TimesNewRoman"/>
          <w:b w:val="0"/>
          <w:i w:val="0"/>
          <w:vanish w:val="0"/>
          <w:color w:val="000000"/>
          <w:sz w:val="24"/>
          <w:vertAlign w:val="baseline"/>
        </w:rPr>
        <w:t>Kumulativni zneski za vse prerazporeditve v programskem obdobju</w:t>
      </w:r>
    </w:p>
    <w:p w:rsidR="00A77B3E">
      <w:pPr>
        <w:spacing w:before="100" w:after="0"/>
        <w:jc w:val="start"/>
        <w:rPr>
          <w:rFonts w:ascii="TimesNewRoman" w:eastAsia="TimesNewRoman" w:hAnsi="TimesNewRoman" w:cs="TimesNewRoman"/>
          <w:b w:val="0"/>
          <w:i w:val="0"/>
          <w:vanish w:val="0"/>
          <w:color w:val="000000"/>
          <w:sz w:val="0"/>
          <w:vertAlign w:val="baseline"/>
        </w:rPr>
      </w:pPr>
      <w:r>
        <w:rPr>
          <w:rFonts w:ascii="TimesNewRoman" w:eastAsia="TimesNewRoman" w:hAnsi="TimesNewRoman" w:cs="TimesNewRoman"/>
          <w:b w:val="0"/>
          <w:i w:val="0"/>
          <w:vanish w:val="0"/>
          <w:color w:val="000000"/>
          <w:sz w:val="24"/>
          <w:vertAlign w:val="baseline"/>
        </w:rPr>
        <w:br w:type="page"/>
      </w:r>
      <w:r>
        <w:rPr>
          <w:rFonts w:ascii="TimesNewRoman" w:eastAsia="TimesNewRoman" w:hAnsi="TimesNewRoman" w:cs="TimesNewRoman"/>
          <w:b w:val="0"/>
          <w:i w:val="0"/>
          <w:vanish w:val="0"/>
          <w:color w:val="000000"/>
          <w:sz w:val="24"/>
          <w:vertAlign w:val="baseline"/>
        </w:rPr>
        <w:t>Tabela 8: Prerazporeditve v instrumente v okviru neposrednega ali posrednega upravljanja</w:t>
      </w:r>
      <w:r>
        <w:rPr>
          <w:rFonts w:ascii="TimesNewRoman" w:eastAsia="TimesNewRoman" w:hAnsi="TimesNewRoman" w:cs="TimesNewRoman"/>
          <w:b w:val="0"/>
          <w:i w:val="0"/>
          <w:vanish w:val="0"/>
          <w:color w:val="000000"/>
          <w:sz w:val="24"/>
          <w:vertAlign w:val="superscript"/>
        </w:rPr>
        <w:t>1</w:t>
      </w:r>
    </w:p>
    <w:p w:rsidR="00A77B3E">
      <w:pPr>
        <w:spacing w:before="100" w:after="0"/>
        <w:jc w:val="start"/>
        <w:rPr>
          <w:rFonts w:ascii="TimesNewRoman" w:eastAsia="TimesNewRoman" w:hAnsi="TimesNewRoman" w:cs="TimesNewRoman"/>
          <w:b w:val="0"/>
          <w:i w:val="0"/>
          <w:vanish w:val="0"/>
          <w:color w:val="000000"/>
          <w:sz w:val="12"/>
          <w:vertAlign w:val="baseline"/>
        </w:rPr>
      </w:pPr>
    </w:p>
    <w:tbl>
      <w:tblPr>
        <w:tblW w:w="100%" w:type="pct"/>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CellMar>
          <w:start w:w="5.4pt" w:type="dxa"/>
          <w:end w:w="5.4pt" w:type="dxa"/>
        </w:tblCellMar>
      </w:tblPr>
      <w:tblGrid>
        <w:gridCol w:w="5016"/>
        <w:gridCol w:w="10286"/>
      </w:tblGrid>
      <w:tr>
        <w:tblPrEx>
          <w:tblW w:w="100%" w:type="pct"/>
        </w:tblPrEx>
        <w:trPr>
          <w:cantSplit w:val="0"/>
          <w:trHeight w:hRule="auto" w:val="0"/>
          <w:tblHeader/>
        </w:trPr>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rsidR="00A77B3E">
            <w:pPr>
              <w:spacing w:before="100" w:after="0"/>
              <w:jc w:val="center"/>
              <w:rPr>
                <w:rFonts w:ascii="TimesNewRoman" w:eastAsia="TimesNewRoman" w:hAnsi="TimesNewRoman" w:cs="TimesNewRoman"/>
                <w:b w:val="0"/>
                <w:i w:val="0"/>
                <w:vanish w:val="0"/>
                <w:color w:val="000000"/>
                <w:sz w:val="24"/>
                <w:vertAlign w:val="baseline"/>
              </w:rPr>
            </w:pPr>
            <w:r>
              <w:rPr>
                <w:rFonts w:ascii="TimesNewRoman" w:eastAsia="TimesNewRoman" w:hAnsi="TimesNewRoman" w:cs="TimesNewRoman"/>
                <w:b w:val="0"/>
                <w:i w:val="0"/>
                <w:vanish w:val="0"/>
                <w:color w:val="000000"/>
                <w:sz w:val="24"/>
                <w:vertAlign w:val="baseline"/>
              </w:rPr>
              <w:t>Instrument</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rsidR="00A77B3E">
            <w:pPr>
              <w:spacing w:before="100" w:after="0"/>
              <w:jc w:val="center"/>
              <w:rPr>
                <w:rFonts w:ascii="TimesNewRoman" w:eastAsia="TimesNewRoman" w:hAnsi="TimesNewRoman" w:cs="TimesNewRoman"/>
                <w:b w:val="0"/>
                <w:i w:val="0"/>
                <w:vanish w:val="0"/>
                <w:color w:val="000000"/>
                <w:sz w:val="24"/>
                <w:vertAlign w:val="baseline"/>
              </w:rPr>
            </w:pPr>
            <w:r>
              <w:rPr>
                <w:rFonts w:ascii="TimesNewRoman" w:eastAsia="TimesNewRoman" w:hAnsi="TimesNewRoman" w:cs="TimesNewRoman"/>
                <w:b w:val="0"/>
                <w:i w:val="0"/>
                <w:vanish w:val="0"/>
                <w:color w:val="000000"/>
                <w:sz w:val="24"/>
                <w:vertAlign w:val="baseline"/>
              </w:rPr>
              <w:t>Znesek prerazporeditve</w:t>
            </w:r>
          </w:p>
        </w:tc>
      </w:tr>
      <w:tr>
        <w:tblPrEx>
          <w:tblW w:w="100%" w:type="pct"/>
        </w:tblPrEx>
        <w:trPr>
          <w:cantSplit w:val="0"/>
          <w:trHeight w:hRule="auto" w:val="0"/>
          <w:tblHeader w:val="0"/>
        </w:trPr>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rsidR="00A77B3E">
            <w:pPr>
              <w:spacing w:before="100" w:after="0"/>
              <w:jc w:val="center"/>
              <w:rPr>
                <w:rFonts w:ascii="TimesNewRoman" w:eastAsia="TimesNewRoman" w:hAnsi="TimesNewRoman" w:cs="TimesNewRoman"/>
                <w:b w:val="0"/>
                <w:i w:val="0"/>
                <w:vanish w:val="0"/>
                <w:color w:val="000000"/>
                <w:sz w:val="24"/>
                <w:vertAlign w:val="baseline"/>
              </w:rPr>
            </w:pP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rsidR="00A77B3E">
            <w:pPr>
              <w:spacing w:before="100" w:after="0"/>
              <w:jc w:val="end"/>
              <w:rPr>
                <w:rFonts w:ascii="TimesNewRoman" w:eastAsia="TimesNewRoman" w:hAnsi="TimesNewRoman" w:cs="TimesNewRoman"/>
                <w:b w:val="0"/>
                <w:i w:val="0"/>
                <w:vanish w:val="0"/>
                <w:color w:val="000000"/>
                <w:sz w:val="24"/>
                <w:vertAlign w:val="baseline"/>
              </w:rPr>
            </w:pPr>
            <w:r>
              <w:rPr>
                <w:rFonts w:ascii="TimesNewRoman" w:eastAsia="TimesNewRoman" w:hAnsi="TimesNewRoman" w:cs="TimesNewRoman"/>
                <w:b w:val="0"/>
                <w:i w:val="0"/>
                <w:vanish w:val="0"/>
                <w:color w:val="000000"/>
                <w:sz w:val="24"/>
                <w:vertAlign w:val="baseline"/>
              </w:rPr>
              <w:t>0,00</w:t>
            </w:r>
          </w:p>
        </w:tc>
      </w:tr>
    </w:tbl>
    <w:p w:rsidR="00A77B3E">
      <w:pPr>
        <w:spacing w:before="100" w:after="0"/>
        <w:jc w:val="start"/>
        <w:rPr>
          <w:rFonts w:ascii="TimesNewRoman" w:eastAsia="TimesNewRoman" w:hAnsi="TimesNewRoman" w:cs="TimesNewRoman"/>
          <w:b w:val="0"/>
          <w:i w:val="0"/>
          <w:vanish w:val="0"/>
          <w:color w:val="000000"/>
          <w:sz w:val="24"/>
          <w:vertAlign w:val="baseline"/>
        </w:rPr>
        <w:sectPr>
          <w:headerReference w:type="even" r:id="rId58"/>
          <w:headerReference w:type="default" r:id="rId59"/>
          <w:footerReference w:type="even" r:id="rId60"/>
          <w:footerReference w:type="default" r:id="rId61"/>
          <w:headerReference w:type="first" r:id="rId62"/>
          <w:footerReference w:type="first" r:id="rId63"/>
          <w:type w:val="nextPage"/>
          <w:pgSz w:w="16838" w:h="11906" w:orient="landscape"/>
          <w:pgMar w:top="720" w:right="720" w:bottom="864" w:left="936" w:header="288" w:footer="72" w:gutter="0"/>
          <w:cols w:space="720"/>
          <w:noEndnote/>
          <w:docGrid w:linePitch="360"/>
        </w:sectPr>
      </w:pPr>
      <w:r>
        <w:rPr>
          <w:rFonts w:ascii="TimesNewRoman" w:eastAsia="TimesNewRoman" w:hAnsi="TimesNewRoman" w:cs="TimesNewRoman"/>
          <w:b w:val="0"/>
          <w:i w:val="0"/>
          <w:vanish w:val="0"/>
          <w:color w:val="000000"/>
          <w:sz w:val="24"/>
          <w:vertAlign w:val="superscript"/>
        </w:rPr>
        <w:t>1</w:t>
      </w:r>
      <w:r>
        <w:rPr>
          <w:rFonts w:ascii="TimesNewRoman" w:eastAsia="TimesNewRoman" w:hAnsi="TimesNewRoman" w:cs="TimesNewRoman"/>
          <w:b w:val="0"/>
          <w:i w:val="0"/>
          <w:vanish w:val="0"/>
          <w:color w:val="000000"/>
          <w:sz w:val="24"/>
          <w:vertAlign w:val="baseline"/>
        </w:rPr>
        <w:t>Kumulativni zneski za vse prerazporeditve v programskem obdobju</w:t>
      </w:r>
    </w:p>
    <w:p w:rsidR="00A77B3E">
      <w:pPr>
        <w:pStyle w:val="Heading1"/>
        <w:spacing w:before="100" w:after="0"/>
        <w:jc w:val="start"/>
        <w:rPr>
          <w:rFonts w:ascii="Times New Roman" w:eastAsia="Times New Roman" w:hAnsi="Times New Roman" w:cs="Times New Roman"/>
          <w:b w:val="0"/>
          <w:i w:val="0"/>
          <w:vanish w:val="0"/>
          <w:color w:val="000000"/>
          <w:sz w:val="24"/>
          <w:vertAlign w:val="baseline"/>
        </w:rPr>
      </w:pPr>
      <w:bookmarkStart w:id="33" w:name="_Toc256000088"/>
      <w:r>
        <w:rPr>
          <w:rFonts w:ascii="Times New Roman" w:eastAsia="Times New Roman" w:hAnsi="Times New Roman" w:cs="Times New Roman"/>
          <w:b w:val="0"/>
          <w:i w:val="0"/>
          <w:vanish w:val="0"/>
          <w:color w:val="000000"/>
          <w:sz w:val="24"/>
          <w:vertAlign w:val="baseline"/>
        </w:rPr>
        <w:t>4. Omogočitveni pogoji</w:t>
      </w:r>
      <w:bookmarkEnd w:id="33"/>
    </w:p>
    <w:p w:rsidR="00A77B3E">
      <w:pPr>
        <w:spacing w:before="100" w:after="0"/>
        <w:jc w:val="start"/>
        <w:rPr>
          <w:rFonts w:ascii="Times New Roman" w:eastAsia="Times New Roman" w:hAnsi="Times New Roman" w:cs="Times New Roman"/>
          <w:b w:val="0"/>
          <w:i w:val="0"/>
          <w:vanish w:val="0"/>
          <w:color w:val="000000"/>
          <w:sz w:val="24"/>
          <w:vertAlign w:val="baseline"/>
        </w:rPr>
      </w:pPr>
      <w:r>
        <w:rPr>
          <w:rFonts w:ascii="Times New Roman" w:eastAsia="Times New Roman" w:hAnsi="Times New Roman" w:cs="Times New Roman"/>
          <w:b w:val="0"/>
          <w:i w:val="0"/>
          <w:vanish w:val="0"/>
          <w:color w:val="000000"/>
          <w:sz w:val="24"/>
          <w:vertAlign w:val="baseline"/>
        </w:rPr>
        <w:t>Sklic: člen 22(3)(i) uredbe o skupnih določbah</w:t>
      </w:r>
    </w:p>
    <w:p w:rsidR="00A77B3E">
      <w:pPr>
        <w:pStyle w:val="Heading2"/>
        <w:spacing w:before="100" w:after="0"/>
        <w:jc w:val="start"/>
        <w:rPr>
          <w:rFonts w:ascii="Times New Roman" w:eastAsia="Times New Roman" w:hAnsi="Times New Roman" w:cs="Times New Roman"/>
          <w:b w:val="0"/>
          <w:i w:val="0"/>
          <w:vanish w:val="0"/>
          <w:color w:val="000000"/>
          <w:sz w:val="24"/>
          <w:vertAlign w:val="baseline"/>
        </w:rPr>
      </w:pPr>
      <w:bookmarkStart w:id="34" w:name="_Toc256000089"/>
      <w:r>
        <w:rPr>
          <w:rFonts w:ascii="Times New Roman" w:eastAsia="Times New Roman" w:hAnsi="Times New Roman" w:cs="Times New Roman"/>
          <w:b w:val="0"/>
          <w:i w:val="0"/>
          <w:vanish w:val="0"/>
          <w:color w:val="000000"/>
          <w:sz w:val="24"/>
          <w:vertAlign w:val="baseline"/>
        </w:rPr>
        <w:t>Tabela 9: Horizontalni omogočitveni pogoji</w:t>
      </w:r>
      <w:bookmarkEnd w:id="34"/>
    </w:p>
    <w:p w:rsidR="00A77B3E">
      <w:pPr>
        <w:spacing w:before="100" w:after="0"/>
        <w:jc w:val="start"/>
        <w:rPr>
          <w:rFonts w:ascii="Times New Roman" w:eastAsia="Times New Roman" w:hAnsi="Times New Roman" w:cs="Times New Roman"/>
          <w:b w:val="0"/>
          <w:i w:val="0"/>
          <w:vanish w:val="0"/>
          <w:color w:val="000000"/>
          <w:sz w:val="0"/>
          <w:vertAlign w:val="baseline"/>
        </w:rPr>
      </w:pPr>
    </w:p>
    <w:tbl>
      <w:tblPr>
        <w:tblW w:w="0pt" w:type="auto"/>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Layout w:type="fixed"/>
        <w:tblCellMar>
          <w:start w:w="5.4pt" w:type="dxa"/>
          <w:end w:w="5.4pt" w:type="dxa"/>
        </w:tblCellMar>
      </w:tblPr>
      <w:tblGrid>
        <w:gridCol w:w="1600"/>
        <w:gridCol w:w="1600"/>
        <w:gridCol w:w="3600"/>
        <w:gridCol w:w="1600"/>
        <w:gridCol w:w="3600"/>
        <w:gridCol w:w="3600"/>
      </w:tblGrid>
      <w:tr>
        <w:tblPrEx>
          <w:tblW w:w="0pt" w:type="auto"/>
          <w:tblLayout w:type="fixed"/>
        </w:tblPrEx>
        <w:trPr>
          <w:cantSplit w:val="0"/>
          <w:trHeight w:hRule="auto" w:val="0"/>
          <w:tblHeader/>
        </w:trPr>
        <w:tc>
          <w:tcPr>
            <w:tcW w:w="8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rsidR="00A77B3E">
            <w:pPr>
              <w:spacing w:before="100" w:after="0"/>
              <w:jc w:val="center"/>
              <w:rPr>
                <w:rFonts w:ascii="Times New Roman" w:eastAsia="Times New Roman" w:hAnsi="Times New Roman" w:cs="Times New Roman"/>
                <w:b w:val="0"/>
                <w:i w:val="0"/>
                <w:vanish w:val="0"/>
                <w:color w:val="000000"/>
                <w:sz w:val="20"/>
                <w:vertAlign w:val="baseline"/>
              </w:rPr>
            </w:pPr>
            <w:r>
              <w:rPr>
                <w:rFonts w:ascii="Times New Roman" w:eastAsia="Times New Roman" w:hAnsi="Times New Roman" w:cs="Times New Roman"/>
                <w:b w:val="0"/>
                <w:i w:val="0"/>
                <w:vanish w:val="0"/>
                <w:color w:val="000000"/>
                <w:sz w:val="20"/>
                <w:vertAlign w:val="baseline"/>
              </w:rPr>
              <w:t>Omogočitveni pogoj</w:t>
            </w:r>
          </w:p>
        </w:tc>
        <w:tc>
          <w:tcPr>
            <w:tcW w:w="8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rsidR="00A77B3E">
            <w:pPr>
              <w:spacing w:before="100" w:after="0"/>
              <w:jc w:val="center"/>
              <w:rPr>
                <w:rFonts w:ascii="Times New Roman" w:eastAsia="Times New Roman" w:hAnsi="Times New Roman" w:cs="Times New Roman"/>
                <w:b w:val="0"/>
                <w:i w:val="0"/>
                <w:vanish w:val="0"/>
                <w:color w:val="000000"/>
                <w:sz w:val="20"/>
                <w:vertAlign w:val="baseline"/>
              </w:rPr>
            </w:pPr>
            <w:r>
              <w:rPr>
                <w:rFonts w:ascii="Times New Roman" w:eastAsia="Times New Roman" w:hAnsi="Times New Roman" w:cs="Times New Roman"/>
                <w:b w:val="0"/>
                <w:i w:val="0"/>
                <w:vanish w:val="0"/>
                <w:color w:val="000000"/>
                <w:sz w:val="20"/>
                <w:vertAlign w:val="baseline"/>
              </w:rPr>
              <w:t>Izpolnjevanje omogočitvenega pogoja</w:t>
            </w:r>
          </w:p>
        </w:tc>
        <w:tc>
          <w:tcPr>
            <w:tcW w:w="18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rsidR="00A77B3E">
            <w:pPr>
              <w:spacing w:before="100" w:after="0"/>
              <w:jc w:val="center"/>
              <w:rPr>
                <w:rFonts w:ascii="Times New Roman" w:eastAsia="Times New Roman" w:hAnsi="Times New Roman" w:cs="Times New Roman"/>
                <w:b w:val="0"/>
                <w:i w:val="0"/>
                <w:vanish w:val="0"/>
                <w:color w:val="000000"/>
                <w:sz w:val="20"/>
                <w:vertAlign w:val="baseline"/>
              </w:rPr>
            </w:pPr>
            <w:r>
              <w:rPr>
                <w:rFonts w:ascii="Times New Roman" w:eastAsia="Times New Roman" w:hAnsi="Times New Roman" w:cs="Times New Roman"/>
                <w:b w:val="0"/>
                <w:i w:val="0"/>
                <w:vanish w:val="0"/>
                <w:color w:val="000000"/>
                <w:sz w:val="20"/>
                <w:vertAlign w:val="baseline"/>
              </w:rPr>
              <w:t>Merila</w:t>
            </w:r>
          </w:p>
        </w:tc>
        <w:tc>
          <w:tcPr>
            <w:tcW w:w="8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rsidR="00A77B3E">
            <w:pPr>
              <w:spacing w:before="100" w:after="0"/>
              <w:jc w:val="center"/>
              <w:rPr>
                <w:rFonts w:ascii="Times New Roman" w:eastAsia="Times New Roman" w:hAnsi="Times New Roman" w:cs="Times New Roman"/>
                <w:b w:val="0"/>
                <w:i w:val="0"/>
                <w:vanish w:val="0"/>
                <w:color w:val="000000"/>
                <w:sz w:val="20"/>
                <w:vertAlign w:val="baseline"/>
              </w:rPr>
            </w:pPr>
            <w:r>
              <w:rPr>
                <w:rFonts w:ascii="Times New Roman" w:eastAsia="Times New Roman" w:hAnsi="Times New Roman" w:cs="Times New Roman"/>
                <w:b w:val="0"/>
                <w:i w:val="0"/>
                <w:vanish w:val="0"/>
                <w:color w:val="000000"/>
                <w:sz w:val="20"/>
                <w:vertAlign w:val="baseline"/>
              </w:rPr>
              <w:t>Izpolnjevanje meril</w:t>
            </w:r>
          </w:p>
        </w:tc>
        <w:tc>
          <w:tcPr>
            <w:tcW w:w="18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rsidR="00A77B3E">
            <w:pPr>
              <w:spacing w:before="100" w:after="0"/>
              <w:jc w:val="center"/>
              <w:rPr>
                <w:rFonts w:ascii="Times New Roman" w:eastAsia="Times New Roman" w:hAnsi="Times New Roman" w:cs="Times New Roman"/>
                <w:b w:val="0"/>
                <w:i w:val="0"/>
                <w:vanish w:val="0"/>
                <w:color w:val="000000"/>
                <w:sz w:val="20"/>
                <w:vertAlign w:val="baseline"/>
              </w:rPr>
            </w:pPr>
            <w:r>
              <w:rPr>
                <w:rFonts w:ascii="Times New Roman" w:eastAsia="Times New Roman" w:hAnsi="Times New Roman" w:cs="Times New Roman"/>
                <w:b w:val="0"/>
                <w:i w:val="0"/>
                <w:vanish w:val="0"/>
                <w:color w:val="000000"/>
                <w:sz w:val="20"/>
                <w:vertAlign w:val="baseline"/>
              </w:rPr>
              <w:t>Sklic na zadevne dokumente</w:t>
            </w:r>
          </w:p>
        </w:tc>
        <w:tc>
          <w:tcPr>
            <w:tcW w:w="18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rsidR="00A77B3E">
            <w:pPr>
              <w:spacing w:before="100" w:after="0"/>
              <w:jc w:val="center"/>
              <w:rPr>
                <w:rFonts w:ascii="Times New Roman" w:eastAsia="Times New Roman" w:hAnsi="Times New Roman" w:cs="Times New Roman"/>
                <w:b w:val="0"/>
                <w:i w:val="0"/>
                <w:vanish w:val="0"/>
                <w:color w:val="000000"/>
                <w:sz w:val="20"/>
                <w:vertAlign w:val="baseline"/>
              </w:rPr>
            </w:pPr>
            <w:r>
              <w:rPr>
                <w:rFonts w:ascii="Times New Roman" w:eastAsia="Times New Roman" w:hAnsi="Times New Roman" w:cs="Times New Roman"/>
                <w:b w:val="0"/>
                <w:i w:val="0"/>
                <w:vanish w:val="0"/>
                <w:color w:val="000000"/>
                <w:sz w:val="20"/>
                <w:vertAlign w:val="baseline"/>
              </w:rPr>
              <w:t>Utemeljitev</w:t>
            </w:r>
          </w:p>
        </w:tc>
      </w:tr>
      <w:tr>
        <w:tblPrEx>
          <w:tblW w:w="0pt" w:type="auto"/>
          <w:tblLayout w:type="fixed"/>
        </w:tblPrEx>
        <w:trPr>
          <w:cantSplit w:val="0"/>
          <w:trHeight w:hRule="auto" w:val="0"/>
          <w:tblHeader w:val="0"/>
        </w:trPr>
        <w:tc>
          <w:tcPr>
            <w:tcW w:w="80pt" w:type="dxa"/>
            <w:vMerge w:val="restart"/>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20"/>
                <w:vertAlign w:val="baseline"/>
              </w:rPr>
            </w:pPr>
            <w:r>
              <w:rPr>
                <w:rFonts w:ascii="Times New Roman" w:eastAsia="Times New Roman" w:hAnsi="Times New Roman" w:cs="Times New Roman"/>
                <w:b w:val="0"/>
                <w:i w:val="0"/>
                <w:vanish w:val="0"/>
                <w:color w:val="000000"/>
                <w:sz w:val="20"/>
                <w:vertAlign w:val="baseline"/>
              </w:rPr>
              <w:t>1. Učinkoviti mehanizmi spremljanja trga javnih naročil</w:t>
            </w:r>
          </w:p>
        </w:tc>
        <w:tc>
          <w:tcPr>
            <w:tcW w:w="80pt" w:type="dxa"/>
            <w:vMerge w:val="restart"/>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center"/>
              <w:rPr>
                <w:rFonts w:ascii="Times New Roman" w:eastAsia="Times New Roman" w:hAnsi="Times New Roman" w:cs="Times New Roman"/>
                <w:b w:val="0"/>
                <w:i w:val="0"/>
                <w:vanish w:val="0"/>
                <w:color w:val="000000"/>
                <w:sz w:val="20"/>
                <w:vertAlign w:val="baseline"/>
              </w:rPr>
            </w:pPr>
            <w:r>
              <w:rPr>
                <w:rFonts w:ascii="Times New Roman" w:eastAsia="Times New Roman" w:hAnsi="Times New Roman" w:cs="Times New Roman"/>
                <w:b w:val="0"/>
                <w:i w:val="0"/>
                <w:vanish w:val="0"/>
                <w:color w:val="000000"/>
                <w:sz w:val="20"/>
                <w:vertAlign w:val="baseline"/>
              </w:rPr>
              <w:t>Da</w:t>
            </w:r>
          </w:p>
        </w:tc>
        <w:tc>
          <w:tcPr>
            <w:tcW w:w="18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20"/>
                <w:vertAlign w:val="baseline"/>
              </w:rPr>
            </w:pPr>
            <w:r>
              <w:rPr>
                <w:rFonts w:ascii="Times New Roman" w:eastAsia="Times New Roman" w:hAnsi="Times New Roman" w:cs="Times New Roman"/>
                <w:b w:val="0"/>
                <w:i w:val="0"/>
                <w:vanish w:val="0"/>
                <w:color w:val="000000"/>
                <w:sz w:val="20"/>
                <w:vertAlign w:val="baseline"/>
              </w:rPr>
              <w:t>Vzpostavljeni so mehanizmi za spremljanje, ki zajemajo vse javne pogodbe in njihova javna naročila v okviru skladov v skladu z zakonodajo Unije o javnih naročilih. Ta zahteva vključuje:1. ureditve za zagotovitev zbiranja učinkovitih in zanesljivih podatkov o postopkih javnega naročanja nad mejnimi vrednostmi Unije v skladu z obveznostmi poročanja iz členov 83 in 84 Direktive 2014/24/EU ter členov 99 in 100 Direktive 2014/25/EU;</w:t>
            </w:r>
          </w:p>
        </w:tc>
        <w:tc>
          <w:tcPr>
            <w:tcW w:w="8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center"/>
              <w:rPr>
                <w:rFonts w:ascii="Times New Roman" w:eastAsia="Times New Roman" w:hAnsi="Times New Roman" w:cs="Times New Roman"/>
                <w:b w:val="0"/>
                <w:i w:val="0"/>
                <w:vanish w:val="0"/>
                <w:color w:val="000000"/>
                <w:sz w:val="20"/>
                <w:vertAlign w:val="baseline"/>
              </w:rPr>
            </w:pPr>
            <w:r>
              <w:rPr>
                <w:rFonts w:ascii="Times New Roman" w:eastAsia="Times New Roman" w:hAnsi="Times New Roman" w:cs="Times New Roman"/>
                <w:b w:val="0"/>
                <w:i w:val="0"/>
                <w:vanish w:val="0"/>
                <w:color w:val="000000"/>
                <w:sz w:val="20"/>
                <w:vertAlign w:val="baseline"/>
              </w:rPr>
              <w:t>Da</w:t>
            </w:r>
          </w:p>
        </w:tc>
        <w:tc>
          <w:tcPr>
            <w:tcW w:w="18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20"/>
                <w:vertAlign w:val="baseline"/>
              </w:rPr>
            </w:pPr>
            <w:r>
              <w:rPr>
                <w:rFonts w:ascii="Times New Roman" w:eastAsia="Times New Roman" w:hAnsi="Times New Roman" w:cs="Times New Roman"/>
                <w:b w:val="0"/>
                <w:i w:val="0"/>
                <w:vanish w:val="0"/>
                <w:color w:val="000000"/>
                <w:sz w:val="20"/>
                <w:vertAlign w:val="baseline"/>
              </w:rPr>
              <w:t xml:space="preserve">- Zakon o javnem naročanju (ZJN-3) </w:t>
            </w:r>
          </w:p>
          <w:p w:rsidR="00A77B3E">
            <w:pPr>
              <w:spacing w:before="100" w:after="0"/>
              <w:jc w:val="start"/>
              <w:rPr>
                <w:rFonts w:ascii="Times New Roman" w:eastAsia="Times New Roman" w:hAnsi="Times New Roman" w:cs="Times New Roman"/>
                <w:b w:val="0"/>
                <w:i w:val="0"/>
                <w:vanish w:val="0"/>
                <w:color w:val="000000"/>
                <w:sz w:val="20"/>
                <w:vertAlign w:val="baseline"/>
              </w:rPr>
            </w:pPr>
            <w:r>
              <w:rPr>
                <w:rFonts w:ascii="Times New Roman" w:eastAsia="Times New Roman" w:hAnsi="Times New Roman" w:cs="Times New Roman"/>
                <w:b w:val="0"/>
                <w:i w:val="0"/>
                <w:vanish w:val="0"/>
                <w:color w:val="000000"/>
                <w:sz w:val="20"/>
                <w:vertAlign w:val="baseline"/>
              </w:rPr>
              <w:t>(http://www.pisrs.si/Pis.web/pregledPredpisa?id=ZAKO7086)</w:t>
            </w:r>
          </w:p>
          <w:p w:rsidR="00A77B3E">
            <w:pPr>
              <w:spacing w:before="100" w:after="0"/>
              <w:jc w:val="start"/>
              <w:rPr>
                <w:rFonts w:ascii="Times New Roman" w:eastAsia="Times New Roman" w:hAnsi="Times New Roman" w:cs="Times New Roman"/>
                <w:b w:val="0"/>
                <w:i w:val="0"/>
                <w:vanish w:val="0"/>
                <w:color w:val="000000"/>
                <w:sz w:val="20"/>
                <w:vertAlign w:val="baseline"/>
              </w:rPr>
            </w:pPr>
          </w:p>
          <w:p w:rsidR="00A77B3E">
            <w:pPr>
              <w:spacing w:before="100" w:after="0"/>
              <w:jc w:val="start"/>
              <w:rPr>
                <w:rFonts w:ascii="Times New Roman" w:eastAsia="Times New Roman" w:hAnsi="Times New Roman" w:cs="Times New Roman"/>
                <w:b w:val="0"/>
                <w:i w:val="0"/>
                <w:vanish w:val="0"/>
                <w:color w:val="000000"/>
                <w:sz w:val="20"/>
                <w:vertAlign w:val="baseline"/>
              </w:rPr>
            </w:pPr>
            <w:r>
              <w:rPr>
                <w:rFonts w:ascii="Times New Roman" w:eastAsia="Times New Roman" w:hAnsi="Times New Roman" w:cs="Times New Roman"/>
                <w:b w:val="0"/>
                <w:i w:val="0"/>
                <w:vanish w:val="0"/>
                <w:color w:val="000000"/>
                <w:sz w:val="20"/>
                <w:vertAlign w:val="baseline"/>
              </w:rPr>
              <w:t>- Pravilnik o vrstah in načinu zbiranja podatkov za letno statistično poročilo o oddaji javnih naročil</w:t>
            </w:r>
          </w:p>
          <w:p w:rsidR="00A77B3E">
            <w:pPr>
              <w:spacing w:before="100" w:after="0"/>
              <w:jc w:val="start"/>
              <w:rPr>
                <w:rFonts w:ascii="Times New Roman" w:eastAsia="Times New Roman" w:hAnsi="Times New Roman" w:cs="Times New Roman"/>
                <w:b w:val="0"/>
                <w:i w:val="0"/>
                <w:vanish w:val="0"/>
                <w:color w:val="000000"/>
                <w:sz w:val="20"/>
                <w:vertAlign w:val="baseline"/>
              </w:rPr>
            </w:pPr>
            <w:r>
              <w:rPr>
                <w:rFonts w:ascii="Times New Roman" w:eastAsia="Times New Roman" w:hAnsi="Times New Roman" w:cs="Times New Roman"/>
                <w:b w:val="0"/>
                <w:i w:val="0"/>
                <w:vanish w:val="0"/>
                <w:color w:val="000000"/>
                <w:sz w:val="20"/>
                <w:vertAlign w:val="baseline"/>
              </w:rPr>
              <w:t>(http://www.pisrs.si/Pis.web/pregledPredpisa?id=PRAV12700)</w:t>
            </w:r>
          </w:p>
          <w:p w:rsidR="00A77B3E">
            <w:pPr>
              <w:spacing w:before="100" w:after="0"/>
              <w:jc w:val="start"/>
              <w:rPr>
                <w:rFonts w:ascii="Times New Roman" w:eastAsia="Times New Roman" w:hAnsi="Times New Roman" w:cs="Times New Roman"/>
                <w:b w:val="0"/>
                <w:i w:val="0"/>
                <w:vanish w:val="0"/>
                <w:color w:val="000000"/>
                <w:sz w:val="20"/>
                <w:vertAlign w:val="baseline"/>
              </w:rPr>
            </w:pPr>
          </w:p>
          <w:p w:rsidR="00A77B3E">
            <w:pPr>
              <w:spacing w:before="100" w:after="0"/>
              <w:jc w:val="start"/>
              <w:rPr>
                <w:rFonts w:ascii="Times New Roman" w:eastAsia="Times New Roman" w:hAnsi="Times New Roman" w:cs="Times New Roman"/>
                <w:b w:val="0"/>
                <w:i w:val="0"/>
                <w:vanish w:val="0"/>
                <w:color w:val="000000"/>
                <w:sz w:val="20"/>
                <w:vertAlign w:val="baseline"/>
              </w:rPr>
            </w:pPr>
            <w:r>
              <w:rPr>
                <w:rFonts w:ascii="Times New Roman" w:eastAsia="Times New Roman" w:hAnsi="Times New Roman" w:cs="Times New Roman"/>
                <w:b w:val="0"/>
                <w:i w:val="0"/>
                <w:vanish w:val="0"/>
                <w:color w:val="000000"/>
                <w:sz w:val="20"/>
                <w:vertAlign w:val="baseline"/>
              </w:rPr>
              <w:t xml:space="preserve">- Statistična poročila za vsako posamezno leto so dostopna na: </w:t>
            </w:r>
          </w:p>
          <w:p w:rsidR="00A77B3E">
            <w:pPr>
              <w:spacing w:before="100" w:after="0"/>
              <w:jc w:val="start"/>
              <w:rPr>
                <w:rFonts w:ascii="Times New Roman" w:eastAsia="Times New Roman" w:hAnsi="Times New Roman" w:cs="Times New Roman"/>
                <w:b w:val="0"/>
                <w:i w:val="0"/>
                <w:vanish w:val="0"/>
                <w:color w:val="000000"/>
                <w:sz w:val="20"/>
                <w:vertAlign w:val="baseline"/>
              </w:rPr>
            </w:pPr>
            <w:r>
              <w:rPr>
                <w:rFonts w:ascii="Times New Roman" w:eastAsia="Times New Roman" w:hAnsi="Times New Roman" w:cs="Times New Roman"/>
                <w:b w:val="0"/>
                <w:i w:val="0"/>
                <w:vanish w:val="0"/>
                <w:color w:val="000000"/>
                <w:sz w:val="20"/>
                <w:vertAlign w:val="baseline"/>
              </w:rPr>
              <w:t>https://ejn.gov.si/direktorat/porocila-in-analize.html</w:t>
            </w:r>
          </w:p>
          <w:p w:rsidR="00A77B3E">
            <w:pPr>
              <w:spacing w:before="100" w:after="0"/>
              <w:jc w:val="start"/>
              <w:rPr>
                <w:rFonts w:ascii="Times New Roman" w:eastAsia="Times New Roman" w:hAnsi="Times New Roman" w:cs="Times New Roman"/>
                <w:b w:val="0"/>
                <w:i w:val="0"/>
                <w:vanish w:val="0"/>
                <w:color w:val="000000"/>
                <w:sz w:val="20"/>
                <w:vertAlign w:val="baseline"/>
              </w:rPr>
            </w:pPr>
          </w:p>
        </w:tc>
        <w:tc>
          <w:tcPr>
            <w:tcW w:w="18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20"/>
                <w:vertAlign w:val="baseline"/>
              </w:rPr>
            </w:pPr>
            <w:r>
              <w:rPr>
                <w:rFonts w:ascii="Times New Roman" w:eastAsia="Times New Roman" w:hAnsi="Times New Roman" w:cs="Times New Roman"/>
                <w:b w:val="0"/>
                <w:i w:val="0"/>
                <w:vanish w:val="0"/>
                <w:color w:val="000000"/>
                <w:sz w:val="20"/>
                <w:vertAlign w:val="baseline"/>
              </w:rPr>
              <w:t>V skladu s 114. členom ZJN-3 Ministrstvo za javno upravo (MJU) zagotavlja spremljanje uporabe pravil o javnem naročanju. Kadar ugotovi ali prejme podatke, ki kažejo na posamezne kršitve ali sistemske težave obvesti Urad Republike Slovenije za nadzor proračuna, Računsko sodišče Republike Slovenije, Državno revizijsko komisijo, Agencijo Republike Slovenije za varstvo konkurence (AVK) ali Komisijo za preprečevanje korupcije. MJU vsaka tri leta poroča o rezultatih spremljanja Evropski komisiji. Poročilo je informacija javnega značaja.</w:t>
            </w:r>
          </w:p>
          <w:p w:rsidR="00A77B3E">
            <w:pPr>
              <w:spacing w:before="100" w:after="0"/>
              <w:jc w:val="start"/>
              <w:rPr>
                <w:rFonts w:ascii="Times New Roman" w:eastAsia="Times New Roman" w:hAnsi="Times New Roman" w:cs="Times New Roman"/>
                <w:b w:val="0"/>
                <w:i w:val="0"/>
                <w:vanish w:val="0"/>
                <w:color w:val="000000"/>
                <w:sz w:val="20"/>
                <w:vertAlign w:val="baseline"/>
              </w:rPr>
            </w:pPr>
          </w:p>
          <w:p w:rsidR="00A77B3E">
            <w:pPr>
              <w:spacing w:before="100" w:after="0"/>
              <w:jc w:val="start"/>
              <w:rPr>
                <w:rFonts w:ascii="Times New Roman" w:eastAsia="Times New Roman" w:hAnsi="Times New Roman" w:cs="Times New Roman"/>
                <w:b w:val="0"/>
                <w:i w:val="0"/>
                <w:vanish w:val="0"/>
                <w:color w:val="000000"/>
                <w:sz w:val="20"/>
                <w:vertAlign w:val="baseline"/>
              </w:rPr>
            </w:pPr>
            <w:r>
              <w:rPr>
                <w:rFonts w:ascii="Times New Roman" w:eastAsia="Times New Roman" w:hAnsi="Times New Roman" w:cs="Times New Roman"/>
                <w:b w:val="0"/>
                <w:i w:val="0"/>
                <w:vanish w:val="0"/>
                <w:color w:val="000000"/>
                <w:sz w:val="20"/>
                <w:vertAlign w:val="baseline"/>
              </w:rPr>
              <w:t xml:space="preserve">V skladu s 106. - 108. členom ZJN-3 MJU pripravi letno statistično poročilo o javnih naročilih, oddanih v Sloveniji na podlagi obvestil o oddanih javnih naročilih v preteklem letu, objavljenih na portalu javnih naročil oziroma v Uradnem listu EU, in iz sporočenih statističnih podatkov o evidenčnih naročilih. ZJN-3 določa tudi vsebino statističnega poročila in razčlenitev podatkov. </w:t>
            </w:r>
          </w:p>
          <w:p w:rsidR="00A77B3E">
            <w:pPr>
              <w:spacing w:before="100" w:after="0"/>
              <w:jc w:val="start"/>
              <w:rPr>
                <w:rFonts w:ascii="Times New Roman" w:eastAsia="Times New Roman" w:hAnsi="Times New Roman" w:cs="Times New Roman"/>
                <w:b w:val="0"/>
                <w:i w:val="0"/>
                <w:vanish w:val="0"/>
                <w:color w:val="000000"/>
                <w:sz w:val="20"/>
                <w:vertAlign w:val="baseline"/>
              </w:rPr>
            </w:pPr>
          </w:p>
        </w:tc>
      </w:tr>
      <w:tr>
        <w:tblPrEx>
          <w:tblW w:w="0pt" w:type="auto"/>
          <w:tblLayout w:type="fixed"/>
        </w:tblPrEx>
        <w:trPr>
          <w:cantSplit w:val="0"/>
          <w:trHeight w:hRule="auto" w:val="0"/>
          <w:tblHeader w:val="0"/>
        </w:trPr>
        <w:tc>
          <w:tcPr>
            <w:tcW w:w="80pt" w:type="dxa"/>
            <w:vMerge/>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20"/>
                <w:vertAlign w:val="baseline"/>
              </w:rPr>
            </w:pPr>
          </w:p>
        </w:tc>
        <w:tc>
          <w:tcPr>
            <w:tcW w:w="80pt" w:type="dxa"/>
            <w:vMerge/>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20"/>
                <w:vertAlign w:val="baseline"/>
              </w:rPr>
            </w:pPr>
          </w:p>
        </w:tc>
        <w:tc>
          <w:tcPr>
            <w:tcW w:w="18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20"/>
                <w:vertAlign w:val="baseline"/>
              </w:rPr>
            </w:pPr>
            <w:r>
              <w:rPr>
                <w:rFonts w:ascii="Times New Roman" w:eastAsia="Times New Roman" w:hAnsi="Times New Roman" w:cs="Times New Roman"/>
                <w:b w:val="0"/>
                <w:i w:val="0"/>
                <w:vanish w:val="0"/>
                <w:color w:val="000000"/>
                <w:sz w:val="20"/>
                <w:vertAlign w:val="baseline"/>
              </w:rPr>
              <w:t xml:space="preserve">2. ureditve za zagotovitev, da podatki zajemajo vsaj naslednje elemente: </w:t>
            </w:r>
          </w:p>
          <w:p w:rsidR="00A77B3E">
            <w:pPr>
              <w:spacing w:before="100" w:after="0"/>
              <w:jc w:val="start"/>
              <w:rPr>
                <w:rFonts w:ascii="Times New Roman" w:eastAsia="Times New Roman" w:hAnsi="Times New Roman" w:cs="Times New Roman"/>
                <w:b w:val="0"/>
                <w:i w:val="0"/>
                <w:vanish w:val="0"/>
                <w:color w:val="000000"/>
                <w:sz w:val="20"/>
                <w:vertAlign w:val="baseline"/>
              </w:rPr>
            </w:pPr>
            <w:r>
              <w:rPr>
                <w:rFonts w:ascii="Times New Roman" w:eastAsia="Times New Roman" w:hAnsi="Times New Roman" w:cs="Times New Roman"/>
                <w:b w:val="0"/>
                <w:i w:val="0"/>
                <w:vanish w:val="0"/>
                <w:color w:val="000000"/>
                <w:sz w:val="20"/>
                <w:vertAlign w:val="baseline"/>
              </w:rPr>
              <w:t xml:space="preserve">(a) kakovost in intenzivnost konkurence: imena izbranega ponudnika, število prvotnih ponudnikov in pogodbena vrednost, </w:t>
            </w:r>
          </w:p>
          <w:p w:rsidR="00A77B3E">
            <w:pPr>
              <w:spacing w:before="100" w:after="0"/>
              <w:jc w:val="start"/>
              <w:rPr>
                <w:rFonts w:ascii="Times New Roman" w:eastAsia="Times New Roman" w:hAnsi="Times New Roman" w:cs="Times New Roman"/>
                <w:b w:val="0"/>
                <w:i w:val="0"/>
                <w:vanish w:val="0"/>
                <w:color w:val="000000"/>
                <w:sz w:val="20"/>
                <w:vertAlign w:val="baseline"/>
              </w:rPr>
            </w:pPr>
            <w:r>
              <w:rPr>
                <w:rFonts w:ascii="Times New Roman" w:eastAsia="Times New Roman" w:hAnsi="Times New Roman" w:cs="Times New Roman"/>
                <w:b w:val="0"/>
                <w:i w:val="0"/>
                <w:vanish w:val="0"/>
                <w:color w:val="000000"/>
                <w:sz w:val="20"/>
                <w:vertAlign w:val="baseline"/>
              </w:rPr>
              <w:t>(b) informacije o končni ceni po dokončanju in o udeležbi MSP kot neposrednih ponudnikov, kadar nacionalni sistemi zagotavljajo take informacije;</w:t>
            </w:r>
          </w:p>
        </w:tc>
        <w:tc>
          <w:tcPr>
            <w:tcW w:w="8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center"/>
              <w:rPr>
                <w:rFonts w:ascii="Times New Roman" w:eastAsia="Times New Roman" w:hAnsi="Times New Roman" w:cs="Times New Roman"/>
                <w:b w:val="0"/>
                <w:i w:val="0"/>
                <w:vanish w:val="0"/>
                <w:color w:val="000000"/>
                <w:sz w:val="20"/>
                <w:vertAlign w:val="baseline"/>
              </w:rPr>
            </w:pPr>
            <w:r>
              <w:rPr>
                <w:rFonts w:ascii="Times New Roman" w:eastAsia="Times New Roman" w:hAnsi="Times New Roman" w:cs="Times New Roman"/>
                <w:b w:val="0"/>
                <w:i w:val="0"/>
                <w:vanish w:val="0"/>
                <w:color w:val="000000"/>
                <w:sz w:val="20"/>
                <w:vertAlign w:val="baseline"/>
              </w:rPr>
              <w:t>Da</w:t>
            </w:r>
          </w:p>
        </w:tc>
        <w:tc>
          <w:tcPr>
            <w:tcW w:w="18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20"/>
                <w:vertAlign w:val="baseline"/>
              </w:rPr>
            </w:pPr>
            <w:r>
              <w:rPr>
                <w:rFonts w:ascii="Times New Roman" w:eastAsia="Times New Roman" w:hAnsi="Times New Roman" w:cs="Times New Roman"/>
                <w:b w:val="0"/>
                <w:i w:val="0"/>
                <w:vanish w:val="0"/>
                <w:color w:val="000000"/>
                <w:sz w:val="20"/>
                <w:vertAlign w:val="baseline"/>
              </w:rPr>
              <w:t>Portal javnih naročil</w:t>
            </w:r>
          </w:p>
          <w:p w:rsidR="00A77B3E">
            <w:pPr>
              <w:spacing w:before="100" w:after="0"/>
              <w:jc w:val="start"/>
              <w:rPr>
                <w:rFonts w:ascii="Times New Roman" w:eastAsia="Times New Roman" w:hAnsi="Times New Roman" w:cs="Times New Roman"/>
                <w:b w:val="0"/>
                <w:i w:val="0"/>
                <w:vanish w:val="0"/>
                <w:color w:val="000000"/>
                <w:sz w:val="20"/>
                <w:vertAlign w:val="baseline"/>
              </w:rPr>
            </w:pPr>
            <w:r>
              <w:rPr>
                <w:rFonts w:ascii="Times New Roman" w:eastAsia="Times New Roman" w:hAnsi="Times New Roman" w:cs="Times New Roman"/>
                <w:b w:val="0"/>
                <w:i w:val="0"/>
                <w:vanish w:val="0"/>
                <w:color w:val="000000"/>
                <w:sz w:val="20"/>
                <w:vertAlign w:val="baseline"/>
              </w:rPr>
              <w:t>https://www.enarocanje.si/</w:t>
            </w:r>
          </w:p>
          <w:p w:rsidR="00A77B3E">
            <w:pPr>
              <w:spacing w:before="100" w:after="0"/>
              <w:jc w:val="start"/>
              <w:rPr>
                <w:rFonts w:ascii="Times New Roman" w:eastAsia="Times New Roman" w:hAnsi="Times New Roman" w:cs="Times New Roman"/>
                <w:b w:val="0"/>
                <w:i w:val="0"/>
                <w:vanish w:val="0"/>
                <w:color w:val="000000"/>
                <w:sz w:val="20"/>
                <w:vertAlign w:val="baseline"/>
              </w:rPr>
            </w:pPr>
          </w:p>
        </w:tc>
        <w:tc>
          <w:tcPr>
            <w:tcW w:w="18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20"/>
                <w:vertAlign w:val="baseline"/>
              </w:rPr>
            </w:pPr>
            <w:r>
              <w:rPr>
                <w:rFonts w:ascii="Times New Roman" w:eastAsia="Times New Roman" w:hAnsi="Times New Roman" w:cs="Times New Roman"/>
                <w:b w:val="0"/>
                <w:i w:val="0"/>
                <w:vanish w:val="0"/>
                <w:color w:val="000000"/>
                <w:sz w:val="20"/>
                <w:vertAlign w:val="baseline"/>
              </w:rPr>
              <w:t>Vsi zahtevani podatki so del obvestil o oddaji javnih naročil, ki jih naročniki objavijo na portalu javnih naročil, ki predstavlja enoten dostop do informacij o javnem naročanju in zagotavlja objavo vseh bistvenih podatkov v zvezi s postopkom oddaje javnega naročila (tj. obvestila o javnih naročilih, razpisna dokumentacija, odločitve o oddaji naročila, obvestila o oddaji naročil, ki vsebujejo tudi informacije o sodelovanju MSP itd.).</w:t>
            </w:r>
          </w:p>
        </w:tc>
      </w:tr>
      <w:tr>
        <w:tblPrEx>
          <w:tblW w:w="0pt" w:type="auto"/>
          <w:tblLayout w:type="fixed"/>
        </w:tblPrEx>
        <w:trPr>
          <w:cantSplit w:val="0"/>
          <w:trHeight w:hRule="auto" w:val="0"/>
          <w:tblHeader w:val="0"/>
        </w:trPr>
        <w:tc>
          <w:tcPr>
            <w:tcW w:w="80pt" w:type="dxa"/>
            <w:vMerge/>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20"/>
                <w:vertAlign w:val="baseline"/>
              </w:rPr>
            </w:pPr>
          </w:p>
        </w:tc>
        <w:tc>
          <w:tcPr>
            <w:tcW w:w="80pt" w:type="dxa"/>
            <w:vMerge/>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20"/>
                <w:vertAlign w:val="baseline"/>
              </w:rPr>
            </w:pPr>
          </w:p>
        </w:tc>
        <w:tc>
          <w:tcPr>
            <w:tcW w:w="18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20"/>
                <w:vertAlign w:val="baseline"/>
              </w:rPr>
            </w:pPr>
            <w:r>
              <w:rPr>
                <w:rFonts w:ascii="Times New Roman" w:eastAsia="Times New Roman" w:hAnsi="Times New Roman" w:cs="Times New Roman"/>
                <w:b w:val="0"/>
                <w:i w:val="0"/>
                <w:vanish w:val="0"/>
                <w:color w:val="000000"/>
                <w:sz w:val="20"/>
                <w:vertAlign w:val="baseline"/>
              </w:rPr>
              <w:t>3. ureditve za zagotovitev spremljanja in analize podatkov s strani pristojnih nacionalnih organov v skladu s členom 83(2) Direktive 2014/24/EU in členom 99(2) Direktive 2014/25/EU;</w:t>
            </w:r>
          </w:p>
        </w:tc>
        <w:tc>
          <w:tcPr>
            <w:tcW w:w="8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center"/>
              <w:rPr>
                <w:rFonts w:ascii="Times New Roman" w:eastAsia="Times New Roman" w:hAnsi="Times New Roman" w:cs="Times New Roman"/>
                <w:b w:val="0"/>
                <w:i w:val="0"/>
                <w:vanish w:val="0"/>
                <w:color w:val="000000"/>
                <w:sz w:val="20"/>
                <w:vertAlign w:val="baseline"/>
              </w:rPr>
            </w:pPr>
            <w:r>
              <w:rPr>
                <w:rFonts w:ascii="Times New Roman" w:eastAsia="Times New Roman" w:hAnsi="Times New Roman" w:cs="Times New Roman"/>
                <w:b w:val="0"/>
                <w:i w:val="0"/>
                <w:vanish w:val="0"/>
                <w:color w:val="000000"/>
                <w:sz w:val="20"/>
                <w:vertAlign w:val="baseline"/>
              </w:rPr>
              <w:t>Da</w:t>
            </w:r>
          </w:p>
        </w:tc>
        <w:tc>
          <w:tcPr>
            <w:tcW w:w="18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20"/>
                <w:vertAlign w:val="baseline"/>
              </w:rPr>
            </w:pPr>
            <w:r>
              <w:rPr>
                <w:rFonts w:ascii="Times New Roman" w:eastAsia="Times New Roman" w:hAnsi="Times New Roman" w:cs="Times New Roman"/>
                <w:b w:val="0"/>
                <w:i w:val="0"/>
                <w:vanish w:val="0"/>
                <w:color w:val="000000"/>
                <w:sz w:val="20"/>
                <w:vertAlign w:val="baseline"/>
              </w:rPr>
              <w:t>Zakon o javnem naročanju (ZJN-3)</w:t>
            </w:r>
          </w:p>
          <w:p w:rsidR="00A77B3E">
            <w:pPr>
              <w:spacing w:before="100" w:after="0"/>
              <w:jc w:val="start"/>
              <w:rPr>
                <w:rFonts w:ascii="Times New Roman" w:eastAsia="Times New Roman" w:hAnsi="Times New Roman" w:cs="Times New Roman"/>
                <w:b w:val="0"/>
                <w:i w:val="0"/>
                <w:vanish w:val="0"/>
                <w:color w:val="000000"/>
                <w:sz w:val="20"/>
                <w:vertAlign w:val="baseline"/>
              </w:rPr>
            </w:pPr>
            <w:r>
              <w:rPr>
                <w:rFonts w:ascii="Times New Roman" w:eastAsia="Times New Roman" w:hAnsi="Times New Roman" w:cs="Times New Roman"/>
                <w:b w:val="0"/>
                <w:i w:val="0"/>
                <w:vanish w:val="0"/>
                <w:color w:val="000000"/>
                <w:sz w:val="20"/>
                <w:vertAlign w:val="baseline"/>
              </w:rPr>
              <w:t>http://www.pisrs.si/Pis.web/pregledPredpisa?id=ZAKO7086</w:t>
            </w:r>
          </w:p>
          <w:p w:rsidR="00A77B3E">
            <w:pPr>
              <w:spacing w:before="100" w:after="0"/>
              <w:jc w:val="start"/>
              <w:rPr>
                <w:rFonts w:ascii="Times New Roman" w:eastAsia="Times New Roman" w:hAnsi="Times New Roman" w:cs="Times New Roman"/>
                <w:b w:val="0"/>
                <w:i w:val="0"/>
                <w:vanish w:val="0"/>
                <w:color w:val="000000"/>
                <w:sz w:val="20"/>
                <w:vertAlign w:val="baseline"/>
              </w:rPr>
            </w:pPr>
          </w:p>
        </w:tc>
        <w:tc>
          <w:tcPr>
            <w:tcW w:w="18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20"/>
                <w:vertAlign w:val="baseline"/>
              </w:rPr>
            </w:pPr>
            <w:r>
              <w:rPr>
                <w:rFonts w:ascii="Times New Roman" w:eastAsia="Times New Roman" w:hAnsi="Times New Roman" w:cs="Times New Roman"/>
                <w:b w:val="0"/>
                <w:i w:val="0"/>
                <w:vanish w:val="0"/>
                <w:color w:val="000000"/>
                <w:sz w:val="20"/>
                <w:vertAlign w:val="baseline"/>
              </w:rPr>
              <w:t>V skladu s prvim odstavkom 114. člena ZJN-3 je spremljanje uporabe pravil javnega naročanja v pristojnosti MJU, ki v primeru, ko ugotovi ali prejme podatke, ki kažejo na posamezne kršitve ali sistemske težave, o njih obvesti pristojne nacionalne organe, ki jih ustrezno obravnavajo. Te informacije se zbirajo in po potrebi identificirajo na različne načine, npr. preko letnega statističnega poročanja; različnih vrst iniciativ različnih deležnikov, predvsem različnih dogodkih, kot so izobraževanja in usposabljanja; preko vzpostavljene enotne kontaktne točke za pomoč naročnikom in gospodarskim subjektom, enotnega kontaktnega centra državne uprave za tehnično pomoč preko telefonskih in pisnih svetovanj, itd.</w:t>
            </w:r>
          </w:p>
        </w:tc>
      </w:tr>
      <w:tr>
        <w:tblPrEx>
          <w:tblW w:w="0pt" w:type="auto"/>
          <w:tblLayout w:type="fixed"/>
        </w:tblPrEx>
        <w:trPr>
          <w:cantSplit w:val="0"/>
          <w:trHeight w:hRule="auto" w:val="0"/>
          <w:tblHeader w:val="0"/>
        </w:trPr>
        <w:tc>
          <w:tcPr>
            <w:tcW w:w="80pt" w:type="dxa"/>
            <w:vMerge/>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20"/>
                <w:vertAlign w:val="baseline"/>
              </w:rPr>
            </w:pPr>
          </w:p>
        </w:tc>
        <w:tc>
          <w:tcPr>
            <w:tcW w:w="80pt" w:type="dxa"/>
            <w:vMerge/>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20"/>
                <w:vertAlign w:val="baseline"/>
              </w:rPr>
            </w:pPr>
          </w:p>
        </w:tc>
        <w:tc>
          <w:tcPr>
            <w:tcW w:w="18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20"/>
                <w:vertAlign w:val="baseline"/>
              </w:rPr>
            </w:pPr>
            <w:r>
              <w:rPr>
                <w:rFonts w:ascii="Times New Roman" w:eastAsia="Times New Roman" w:hAnsi="Times New Roman" w:cs="Times New Roman"/>
                <w:b w:val="0"/>
                <w:i w:val="0"/>
                <w:vanish w:val="0"/>
                <w:color w:val="000000"/>
                <w:sz w:val="20"/>
                <w:vertAlign w:val="baseline"/>
              </w:rPr>
              <w:t>4. ureditve za dajanje izidov analize na razpolago javnosti v skladu s členom 83(3) Direktive 2014/24/EU in členom 99(3) Direktive 2014/25/EU;</w:t>
            </w:r>
          </w:p>
        </w:tc>
        <w:tc>
          <w:tcPr>
            <w:tcW w:w="8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center"/>
              <w:rPr>
                <w:rFonts w:ascii="Times New Roman" w:eastAsia="Times New Roman" w:hAnsi="Times New Roman" w:cs="Times New Roman"/>
                <w:b w:val="0"/>
                <w:i w:val="0"/>
                <w:vanish w:val="0"/>
                <w:color w:val="000000"/>
                <w:sz w:val="20"/>
                <w:vertAlign w:val="baseline"/>
              </w:rPr>
            </w:pPr>
            <w:r>
              <w:rPr>
                <w:rFonts w:ascii="Times New Roman" w:eastAsia="Times New Roman" w:hAnsi="Times New Roman" w:cs="Times New Roman"/>
                <w:b w:val="0"/>
                <w:i w:val="0"/>
                <w:vanish w:val="0"/>
                <w:color w:val="000000"/>
                <w:sz w:val="20"/>
                <w:vertAlign w:val="baseline"/>
              </w:rPr>
              <w:t>Da</w:t>
            </w:r>
          </w:p>
        </w:tc>
        <w:tc>
          <w:tcPr>
            <w:tcW w:w="18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20"/>
                <w:vertAlign w:val="baseline"/>
              </w:rPr>
            </w:pPr>
            <w:r>
              <w:rPr>
                <w:rFonts w:ascii="Times New Roman" w:eastAsia="Times New Roman" w:hAnsi="Times New Roman" w:cs="Times New Roman"/>
                <w:b w:val="0"/>
                <w:i w:val="0"/>
                <w:vanish w:val="0"/>
                <w:color w:val="000000"/>
                <w:sz w:val="20"/>
                <w:vertAlign w:val="baseline"/>
              </w:rPr>
              <w:t>Slovensko poročilo je skupaj s poročili drugih držav članic na voljo na spletni strani Evropske komisije:</w:t>
            </w:r>
          </w:p>
          <w:p w:rsidR="00A77B3E">
            <w:pPr>
              <w:spacing w:before="100" w:after="0"/>
              <w:jc w:val="start"/>
              <w:rPr>
                <w:rFonts w:ascii="Times New Roman" w:eastAsia="Times New Roman" w:hAnsi="Times New Roman" w:cs="Times New Roman"/>
                <w:b w:val="0"/>
                <w:i w:val="0"/>
                <w:vanish w:val="0"/>
                <w:color w:val="000000"/>
                <w:sz w:val="20"/>
                <w:vertAlign w:val="baseline"/>
              </w:rPr>
            </w:pPr>
            <w:r>
              <w:rPr>
                <w:rFonts w:ascii="Times New Roman" w:eastAsia="Times New Roman" w:hAnsi="Times New Roman" w:cs="Times New Roman"/>
                <w:b w:val="0"/>
                <w:i w:val="0"/>
                <w:vanish w:val="0"/>
                <w:color w:val="000000"/>
                <w:sz w:val="20"/>
                <w:vertAlign w:val="baseline"/>
              </w:rPr>
              <w:t>https://ec.europa.eu/growth/singlemarket/public-procurement/countryreports_en</w:t>
            </w:r>
          </w:p>
          <w:p w:rsidR="00A77B3E">
            <w:pPr>
              <w:spacing w:before="100" w:after="0"/>
              <w:jc w:val="start"/>
              <w:rPr>
                <w:rFonts w:ascii="Times New Roman" w:eastAsia="Times New Roman" w:hAnsi="Times New Roman" w:cs="Times New Roman"/>
                <w:b w:val="0"/>
                <w:i w:val="0"/>
                <w:vanish w:val="0"/>
                <w:color w:val="000000"/>
                <w:sz w:val="20"/>
                <w:vertAlign w:val="baseline"/>
              </w:rPr>
            </w:pPr>
          </w:p>
          <w:p w:rsidR="00A77B3E">
            <w:pPr>
              <w:spacing w:before="100" w:after="0"/>
              <w:jc w:val="start"/>
              <w:rPr>
                <w:rFonts w:ascii="Times New Roman" w:eastAsia="Times New Roman" w:hAnsi="Times New Roman" w:cs="Times New Roman"/>
                <w:b w:val="0"/>
                <w:i w:val="0"/>
                <w:vanish w:val="0"/>
                <w:color w:val="000000"/>
                <w:sz w:val="20"/>
                <w:vertAlign w:val="baseline"/>
              </w:rPr>
            </w:pPr>
            <w:r>
              <w:rPr>
                <w:rFonts w:ascii="Times New Roman" w:eastAsia="Times New Roman" w:hAnsi="Times New Roman" w:cs="Times New Roman"/>
                <w:b w:val="0"/>
                <w:i w:val="0"/>
                <w:vanish w:val="0"/>
                <w:color w:val="000000"/>
                <w:sz w:val="20"/>
                <w:vertAlign w:val="baseline"/>
              </w:rPr>
              <w:t>Vsa državna statistična poročila o oddanih javnih naročilih v Republiki Sloveniji, v katerih MJU analizira stanje javnega naročanja za vsako posamezno leto, so dostopna na:</w:t>
            </w:r>
          </w:p>
          <w:p w:rsidR="00A77B3E">
            <w:pPr>
              <w:spacing w:before="100" w:after="0"/>
              <w:jc w:val="start"/>
              <w:rPr>
                <w:rFonts w:ascii="Times New Roman" w:eastAsia="Times New Roman" w:hAnsi="Times New Roman" w:cs="Times New Roman"/>
                <w:b w:val="0"/>
                <w:i w:val="0"/>
                <w:vanish w:val="0"/>
                <w:color w:val="000000"/>
                <w:sz w:val="20"/>
                <w:vertAlign w:val="baseline"/>
              </w:rPr>
            </w:pPr>
            <w:r>
              <w:rPr>
                <w:rFonts w:ascii="Times New Roman" w:eastAsia="Times New Roman" w:hAnsi="Times New Roman" w:cs="Times New Roman"/>
                <w:b w:val="0"/>
                <w:i w:val="0"/>
                <w:vanish w:val="0"/>
                <w:color w:val="000000"/>
                <w:sz w:val="20"/>
                <w:vertAlign w:val="baseline"/>
              </w:rPr>
              <w:t>https:// ejn.gov.si/direktorat/porocila-in-analize.html</w:t>
            </w:r>
          </w:p>
          <w:p w:rsidR="00A77B3E">
            <w:pPr>
              <w:spacing w:before="100" w:after="0"/>
              <w:jc w:val="start"/>
              <w:rPr>
                <w:rFonts w:ascii="Times New Roman" w:eastAsia="Times New Roman" w:hAnsi="Times New Roman" w:cs="Times New Roman"/>
                <w:b w:val="0"/>
                <w:i w:val="0"/>
                <w:vanish w:val="0"/>
                <w:color w:val="000000"/>
                <w:sz w:val="20"/>
                <w:vertAlign w:val="baseline"/>
              </w:rPr>
            </w:pPr>
          </w:p>
        </w:tc>
        <w:tc>
          <w:tcPr>
            <w:tcW w:w="18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20"/>
                <w:vertAlign w:val="baseline"/>
              </w:rPr>
            </w:pPr>
            <w:r>
              <w:rPr>
                <w:rFonts w:ascii="Times New Roman" w:eastAsia="Times New Roman" w:hAnsi="Times New Roman" w:cs="Times New Roman"/>
                <w:b w:val="0"/>
                <w:i w:val="0"/>
                <w:vanish w:val="0"/>
                <w:color w:val="000000"/>
                <w:sz w:val="20"/>
                <w:vertAlign w:val="baseline"/>
              </w:rPr>
              <w:t>Rezultati spremljanja uporabe pravil javnega naročanja so del nacionalnega poročanja Evropski komisiji, ki poteka vsaka 3 leta. Poročilo je informacija javnega značaja. Za večjo preglednost rezultatov spremljanja bo MJU na svojih spletnih straneh v delu Poročila in analize (skupaj z nacionalnimi letnimi statističnimi poročili, ki so že objavljena z vsebino, kot predstavljeno v točki 1) objavilo tudi povezavo na omenjeno spletno stran Evropske komisije.</w:t>
            </w:r>
          </w:p>
          <w:p w:rsidR="00A77B3E">
            <w:pPr>
              <w:spacing w:before="100" w:after="0"/>
              <w:jc w:val="start"/>
              <w:rPr>
                <w:rFonts w:ascii="Times New Roman" w:eastAsia="Times New Roman" w:hAnsi="Times New Roman" w:cs="Times New Roman"/>
                <w:b w:val="0"/>
                <w:i w:val="0"/>
                <w:vanish w:val="0"/>
                <w:color w:val="000000"/>
                <w:sz w:val="20"/>
                <w:vertAlign w:val="baseline"/>
              </w:rPr>
            </w:pPr>
          </w:p>
          <w:p w:rsidR="00A77B3E">
            <w:pPr>
              <w:spacing w:before="100" w:after="0"/>
              <w:jc w:val="start"/>
              <w:rPr>
                <w:rFonts w:ascii="Times New Roman" w:eastAsia="Times New Roman" w:hAnsi="Times New Roman" w:cs="Times New Roman"/>
                <w:b w:val="0"/>
                <w:i w:val="0"/>
                <w:vanish w:val="0"/>
                <w:color w:val="000000"/>
                <w:sz w:val="20"/>
                <w:vertAlign w:val="baseline"/>
              </w:rPr>
            </w:pPr>
            <w:r>
              <w:rPr>
                <w:rFonts w:ascii="Times New Roman" w:eastAsia="Times New Roman" w:hAnsi="Times New Roman" w:cs="Times New Roman"/>
                <w:b w:val="0"/>
                <w:i w:val="0"/>
                <w:vanish w:val="0"/>
                <w:color w:val="000000"/>
                <w:sz w:val="20"/>
                <w:vertAlign w:val="baseline"/>
              </w:rPr>
              <w:t>Sicer pa so običajno vse odločitve in poročila, ki jih sprejmejo različni državni organi (Državna revizijska komisija za revizijo postopkov oddaje javnih naročil, Komisija za preprečevanje korupcije, Računsko sodišče Republike Slovenije), vsak v okviru svoje pristojnosti na področju javnih naročil kot t.i. zagovorniki javnega interesa na podlagi zakona, ki ureja pravno varstvo v postopkih javnega naročanja, objavljeni na njihovih spletnih straneh. Poročila poleg ugotovitev vsebujejo tudi priporočila za izboljšanje sistemske ureditve javnega naročanja.</w:t>
            </w:r>
          </w:p>
          <w:p w:rsidR="00A77B3E">
            <w:pPr>
              <w:spacing w:before="100" w:after="0"/>
              <w:jc w:val="start"/>
              <w:rPr>
                <w:rFonts w:ascii="Times New Roman" w:eastAsia="Times New Roman" w:hAnsi="Times New Roman" w:cs="Times New Roman"/>
                <w:b w:val="0"/>
                <w:i w:val="0"/>
                <w:vanish w:val="0"/>
                <w:color w:val="000000"/>
                <w:sz w:val="20"/>
                <w:vertAlign w:val="baseline"/>
              </w:rPr>
            </w:pPr>
          </w:p>
        </w:tc>
      </w:tr>
      <w:tr>
        <w:tblPrEx>
          <w:tblW w:w="0pt" w:type="auto"/>
          <w:tblLayout w:type="fixed"/>
        </w:tblPrEx>
        <w:trPr>
          <w:cantSplit w:val="0"/>
          <w:trHeight w:hRule="auto" w:val="0"/>
          <w:tblHeader w:val="0"/>
        </w:trPr>
        <w:tc>
          <w:tcPr>
            <w:tcW w:w="80pt" w:type="dxa"/>
            <w:vMerge/>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20"/>
                <w:vertAlign w:val="baseline"/>
              </w:rPr>
            </w:pPr>
          </w:p>
        </w:tc>
        <w:tc>
          <w:tcPr>
            <w:tcW w:w="80pt" w:type="dxa"/>
            <w:vMerge/>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20"/>
                <w:vertAlign w:val="baseline"/>
              </w:rPr>
            </w:pPr>
          </w:p>
        </w:tc>
        <w:tc>
          <w:tcPr>
            <w:tcW w:w="18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20"/>
                <w:vertAlign w:val="baseline"/>
              </w:rPr>
            </w:pPr>
            <w:r>
              <w:rPr>
                <w:rFonts w:ascii="Times New Roman" w:eastAsia="Times New Roman" w:hAnsi="Times New Roman" w:cs="Times New Roman"/>
                <w:b w:val="0"/>
                <w:i w:val="0"/>
                <w:vanish w:val="0"/>
                <w:color w:val="000000"/>
                <w:sz w:val="20"/>
                <w:vertAlign w:val="baseline"/>
              </w:rPr>
              <w:t>5. ureditve za zagotovitev, da se vse informacije, ki kažejo na domnevne primere manipulacij pri razpisnih postopkih, sporočijo pristojnim nacionalnim telesom v skladu s členom 83(2) Direktive 2014/24/EU in členom 99(2) Direktive 2014/25/EU.</w:t>
            </w:r>
          </w:p>
        </w:tc>
        <w:tc>
          <w:tcPr>
            <w:tcW w:w="8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center"/>
              <w:rPr>
                <w:rFonts w:ascii="Times New Roman" w:eastAsia="Times New Roman" w:hAnsi="Times New Roman" w:cs="Times New Roman"/>
                <w:b w:val="0"/>
                <w:i w:val="0"/>
                <w:vanish w:val="0"/>
                <w:color w:val="000000"/>
                <w:sz w:val="20"/>
                <w:vertAlign w:val="baseline"/>
              </w:rPr>
            </w:pPr>
            <w:r>
              <w:rPr>
                <w:rFonts w:ascii="Times New Roman" w:eastAsia="Times New Roman" w:hAnsi="Times New Roman" w:cs="Times New Roman"/>
                <w:b w:val="0"/>
                <w:i w:val="0"/>
                <w:vanish w:val="0"/>
                <w:color w:val="000000"/>
                <w:sz w:val="20"/>
                <w:vertAlign w:val="baseline"/>
              </w:rPr>
              <w:t>Da</w:t>
            </w:r>
          </w:p>
        </w:tc>
        <w:tc>
          <w:tcPr>
            <w:tcW w:w="18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20"/>
                <w:vertAlign w:val="baseline"/>
              </w:rPr>
            </w:pPr>
            <w:r>
              <w:rPr>
                <w:rFonts w:ascii="Times New Roman" w:eastAsia="Times New Roman" w:hAnsi="Times New Roman" w:cs="Times New Roman"/>
                <w:b w:val="0"/>
                <w:i w:val="0"/>
                <w:vanish w:val="0"/>
                <w:color w:val="000000"/>
                <w:sz w:val="20"/>
                <w:vertAlign w:val="baseline"/>
              </w:rPr>
              <w:t>Zakon o javnem naročanju (ZJN-3)</w:t>
            </w:r>
          </w:p>
          <w:p w:rsidR="00A77B3E">
            <w:pPr>
              <w:spacing w:before="100" w:after="0"/>
              <w:jc w:val="start"/>
              <w:rPr>
                <w:rFonts w:ascii="Times New Roman" w:eastAsia="Times New Roman" w:hAnsi="Times New Roman" w:cs="Times New Roman"/>
                <w:b w:val="0"/>
                <w:i w:val="0"/>
                <w:vanish w:val="0"/>
                <w:color w:val="000000"/>
                <w:sz w:val="20"/>
                <w:vertAlign w:val="baseline"/>
              </w:rPr>
            </w:pPr>
            <w:r>
              <w:rPr>
                <w:rFonts w:ascii="Times New Roman" w:eastAsia="Times New Roman" w:hAnsi="Times New Roman" w:cs="Times New Roman"/>
                <w:b w:val="0"/>
                <w:i w:val="0"/>
                <w:vanish w:val="0"/>
                <w:color w:val="000000"/>
                <w:sz w:val="20"/>
                <w:vertAlign w:val="baseline"/>
              </w:rPr>
              <w:t>http://www.pisrs.si/Pis.web/pregledPredpisa?id=ZAKO7086</w:t>
            </w:r>
          </w:p>
          <w:p w:rsidR="00A77B3E">
            <w:pPr>
              <w:spacing w:before="100" w:after="0"/>
              <w:jc w:val="start"/>
              <w:rPr>
                <w:rFonts w:ascii="Times New Roman" w:eastAsia="Times New Roman" w:hAnsi="Times New Roman" w:cs="Times New Roman"/>
                <w:b w:val="0"/>
                <w:i w:val="0"/>
                <w:vanish w:val="0"/>
                <w:color w:val="000000"/>
                <w:sz w:val="20"/>
                <w:vertAlign w:val="baseline"/>
              </w:rPr>
            </w:pPr>
          </w:p>
        </w:tc>
        <w:tc>
          <w:tcPr>
            <w:tcW w:w="18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20"/>
                <w:vertAlign w:val="baseline"/>
              </w:rPr>
            </w:pPr>
            <w:r>
              <w:rPr>
                <w:rFonts w:ascii="Times New Roman" w:eastAsia="Times New Roman" w:hAnsi="Times New Roman" w:cs="Times New Roman"/>
                <w:b w:val="0"/>
                <w:i w:val="0"/>
                <w:vanish w:val="0"/>
                <w:color w:val="000000"/>
                <w:sz w:val="20"/>
                <w:vertAlign w:val="baseline"/>
              </w:rPr>
              <w:t>V skladu z ZJN-3 (114. člen) MJU zagotavlja spremljanje uporabe pravil o javnem naročanju (JN). Ko ugotovi ali prejme podatke, ki kažejo na posamezne kršitve ali sistemske težave, obvesti pristojne organe (Urad RS za nadzor proračuna, Računsko sodišče RS, Državno revizijsko komisijo, Agencijo RS za varstvo konkurence (AVK) ali Komisijo za preprečevanje korupcije), ki vsak ustrezno ukrepajo. Ta obveznost izhaja iz zakona, zato dodatni dogovori niso sklenjeni. Državni organi so dolžni spoštovati vso relevantno pozitivno zakonodajo, vključno s pravili poslovanja in postopkovnimi pravili. ZJN-3 opredeljuje izključitvene razloge, povezane z omejevanjem konkurence (75. člen).</w:t>
            </w:r>
          </w:p>
          <w:p w:rsidR="00A77B3E">
            <w:pPr>
              <w:spacing w:before="100" w:after="0"/>
              <w:jc w:val="start"/>
              <w:rPr>
                <w:rFonts w:ascii="Times New Roman" w:eastAsia="Times New Roman" w:hAnsi="Times New Roman" w:cs="Times New Roman"/>
                <w:b w:val="0"/>
                <w:i w:val="0"/>
                <w:vanish w:val="0"/>
                <w:color w:val="000000"/>
                <w:sz w:val="20"/>
                <w:vertAlign w:val="baseline"/>
              </w:rPr>
            </w:pPr>
          </w:p>
          <w:p w:rsidR="00A77B3E">
            <w:pPr>
              <w:spacing w:before="100" w:after="0"/>
              <w:jc w:val="start"/>
              <w:rPr>
                <w:rFonts w:ascii="Times New Roman" w:eastAsia="Times New Roman" w:hAnsi="Times New Roman" w:cs="Times New Roman"/>
                <w:b w:val="0"/>
                <w:i w:val="0"/>
                <w:vanish w:val="0"/>
                <w:color w:val="000000"/>
                <w:sz w:val="20"/>
                <w:vertAlign w:val="baseline"/>
              </w:rPr>
            </w:pPr>
            <w:r>
              <w:rPr>
                <w:rFonts w:ascii="Times New Roman" w:eastAsia="Times New Roman" w:hAnsi="Times New Roman" w:cs="Times New Roman"/>
                <w:b w:val="0"/>
                <w:i w:val="0"/>
                <w:vanish w:val="0"/>
                <w:color w:val="000000"/>
                <w:sz w:val="20"/>
                <w:vertAlign w:val="baseline"/>
              </w:rPr>
              <w:t>Preventivno vpliva tudi informatizacija postopka JN. Visoka transparentnost (objava obvestil, sklepov o oddaji, pogodb, razpisnih cen) je eden ključnih ukrepov v boju proti nedovoljenem dogovarjanju. MJU in AVK redno izvajata pregled stanja sistema JN. AVK izvaja zagovorništvo javnega interesa glede konkurence in svetuje naročnikom. Izvedeno je bilo izobraževanje o prepoznavanju in poročanju o usklajenih ravnanjih v postopkih JN, ki je javno dostopno.</w:t>
            </w:r>
          </w:p>
          <w:p w:rsidR="00A77B3E">
            <w:pPr>
              <w:spacing w:before="100" w:after="0"/>
              <w:jc w:val="start"/>
              <w:rPr>
                <w:rFonts w:ascii="Times New Roman" w:eastAsia="Times New Roman" w:hAnsi="Times New Roman" w:cs="Times New Roman"/>
                <w:b w:val="0"/>
                <w:i w:val="0"/>
                <w:vanish w:val="0"/>
                <w:color w:val="000000"/>
                <w:sz w:val="20"/>
                <w:vertAlign w:val="baseline"/>
              </w:rPr>
            </w:pPr>
          </w:p>
          <w:p w:rsidR="00A77B3E">
            <w:pPr>
              <w:spacing w:before="100" w:after="0"/>
              <w:jc w:val="start"/>
              <w:rPr>
                <w:rFonts w:ascii="Times New Roman" w:eastAsia="Times New Roman" w:hAnsi="Times New Roman" w:cs="Times New Roman"/>
                <w:b w:val="0"/>
                <w:i w:val="0"/>
                <w:vanish w:val="0"/>
                <w:color w:val="000000"/>
                <w:sz w:val="20"/>
                <w:vertAlign w:val="baseline"/>
              </w:rPr>
            </w:pPr>
            <w:r>
              <w:rPr>
                <w:rFonts w:ascii="Times New Roman" w:eastAsia="Times New Roman" w:hAnsi="Times New Roman" w:cs="Times New Roman"/>
                <w:b w:val="0"/>
                <w:i w:val="0"/>
                <w:vanish w:val="0"/>
                <w:color w:val="000000"/>
                <w:sz w:val="20"/>
                <w:vertAlign w:val="baseline"/>
              </w:rPr>
              <w:t>Glej tudi merili 1 in 3.</w:t>
            </w:r>
          </w:p>
          <w:p w:rsidR="00A77B3E">
            <w:pPr>
              <w:spacing w:before="100" w:after="0"/>
              <w:jc w:val="start"/>
              <w:rPr>
                <w:rFonts w:ascii="Times New Roman" w:eastAsia="Times New Roman" w:hAnsi="Times New Roman" w:cs="Times New Roman"/>
                <w:b w:val="0"/>
                <w:i w:val="0"/>
                <w:vanish w:val="0"/>
                <w:color w:val="000000"/>
                <w:sz w:val="20"/>
                <w:vertAlign w:val="baseline"/>
              </w:rPr>
            </w:pPr>
          </w:p>
        </w:tc>
      </w:tr>
      <w:tr>
        <w:tblPrEx>
          <w:tblW w:w="0pt" w:type="auto"/>
          <w:tblLayout w:type="fixed"/>
        </w:tblPrEx>
        <w:trPr>
          <w:cantSplit w:val="0"/>
          <w:trHeight w:hRule="auto" w:val="0"/>
          <w:tblHeader w:val="0"/>
        </w:trPr>
        <w:tc>
          <w:tcPr>
            <w:tcW w:w="80pt" w:type="dxa"/>
            <w:vMerge w:val="restart"/>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20"/>
                <w:vertAlign w:val="baseline"/>
              </w:rPr>
            </w:pPr>
            <w:r>
              <w:rPr>
                <w:rFonts w:ascii="Times New Roman" w:eastAsia="Times New Roman" w:hAnsi="Times New Roman" w:cs="Times New Roman"/>
                <w:b w:val="0"/>
                <w:i w:val="0"/>
                <w:vanish w:val="0"/>
                <w:color w:val="000000"/>
                <w:sz w:val="20"/>
                <w:vertAlign w:val="baseline"/>
              </w:rPr>
              <w:t>3. Učinkovita uporaba in izvajanje Listine o temeljnih pravicah</w:t>
            </w:r>
          </w:p>
        </w:tc>
        <w:tc>
          <w:tcPr>
            <w:tcW w:w="80pt" w:type="dxa"/>
            <w:vMerge w:val="restart"/>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center"/>
              <w:rPr>
                <w:rFonts w:ascii="Times New Roman" w:eastAsia="Times New Roman" w:hAnsi="Times New Roman" w:cs="Times New Roman"/>
                <w:b w:val="0"/>
                <w:i w:val="0"/>
                <w:vanish w:val="0"/>
                <w:color w:val="000000"/>
                <w:sz w:val="20"/>
                <w:vertAlign w:val="baseline"/>
              </w:rPr>
            </w:pPr>
            <w:r>
              <w:rPr>
                <w:rFonts w:ascii="Times New Roman" w:eastAsia="Times New Roman" w:hAnsi="Times New Roman" w:cs="Times New Roman"/>
                <w:b w:val="0"/>
                <w:i w:val="0"/>
                <w:vanish w:val="0"/>
                <w:color w:val="000000"/>
                <w:sz w:val="20"/>
                <w:vertAlign w:val="baseline"/>
              </w:rPr>
              <w:t>Da</w:t>
            </w:r>
          </w:p>
        </w:tc>
        <w:tc>
          <w:tcPr>
            <w:tcW w:w="18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20"/>
                <w:vertAlign w:val="baseline"/>
              </w:rPr>
            </w:pPr>
            <w:r>
              <w:rPr>
                <w:rFonts w:ascii="Times New Roman" w:eastAsia="Times New Roman" w:hAnsi="Times New Roman" w:cs="Times New Roman"/>
                <w:b w:val="0"/>
                <w:i w:val="0"/>
                <w:vanish w:val="0"/>
                <w:color w:val="000000"/>
                <w:sz w:val="20"/>
                <w:vertAlign w:val="baseline"/>
              </w:rPr>
              <w:t xml:space="preserve">Vzpostavljeni so učinkoviti mehanizmi za zagotavljanje skladnosti z Listino Evropske unije o temeljnih pravicah (v nadaljevanju: Listina), ki vključujejo: </w:t>
            </w:r>
          </w:p>
          <w:p w:rsidR="00A77B3E">
            <w:pPr>
              <w:spacing w:before="100" w:after="0"/>
              <w:jc w:val="start"/>
              <w:rPr>
                <w:rFonts w:ascii="Times New Roman" w:eastAsia="Times New Roman" w:hAnsi="Times New Roman" w:cs="Times New Roman"/>
                <w:b w:val="0"/>
                <w:i w:val="0"/>
                <w:vanish w:val="0"/>
                <w:color w:val="000000"/>
                <w:sz w:val="20"/>
                <w:vertAlign w:val="baseline"/>
              </w:rPr>
            </w:pPr>
            <w:r>
              <w:rPr>
                <w:rFonts w:ascii="Times New Roman" w:eastAsia="Times New Roman" w:hAnsi="Times New Roman" w:cs="Times New Roman"/>
                <w:b w:val="0"/>
                <w:i w:val="0"/>
                <w:vanish w:val="0"/>
                <w:color w:val="000000"/>
                <w:sz w:val="20"/>
                <w:vertAlign w:val="baseline"/>
              </w:rPr>
              <w:t>1. ureditve za zagotovitev skladnosti programov, ki jih podpirajo skladi, in njihovega izvajanja z ustreznimi določbami Listine;</w:t>
            </w:r>
          </w:p>
        </w:tc>
        <w:tc>
          <w:tcPr>
            <w:tcW w:w="8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center"/>
              <w:rPr>
                <w:rFonts w:ascii="Times New Roman" w:eastAsia="Times New Roman" w:hAnsi="Times New Roman" w:cs="Times New Roman"/>
                <w:b w:val="0"/>
                <w:i w:val="0"/>
                <w:vanish w:val="0"/>
                <w:color w:val="000000"/>
                <w:sz w:val="20"/>
                <w:vertAlign w:val="baseline"/>
              </w:rPr>
            </w:pPr>
            <w:r>
              <w:rPr>
                <w:rFonts w:ascii="Times New Roman" w:eastAsia="Times New Roman" w:hAnsi="Times New Roman" w:cs="Times New Roman"/>
                <w:b w:val="0"/>
                <w:i w:val="0"/>
                <w:vanish w:val="0"/>
                <w:color w:val="000000"/>
                <w:sz w:val="20"/>
                <w:vertAlign w:val="baseline"/>
              </w:rPr>
              <w:t>Da</w:t>
            </w:r>
          </w:p>
        </w:tc>
        <w:tc>
          <w:tcPr>
            <w:tcW w:w="18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20"/>
                <w:vertAlign w:val="baseline"/>
              </w:rPr>
            </w:pPr>
            <w:r>
              <w:rPr>
                <w:rFonts w:ascii="Times New Roman" w:eastAsia="Times New Roman" w:hAnsi="Times New Roman" w:cs="Times New Roman"/>
                <w:b w:val="0"/>
                <w:i w:val="0"/>
                <w:vanish w:val="0"/>
                <w:color w:val="000000"/>
                <w:sz w:val="20"/>
                <w:vertAlign w:val="baseline"/>
              </w:rPr>
              <w:t>Smiselna uporaba Postopkovnika za zagotavljanje horizontalnega omogočitvenega pogoja “Učinkovita uporaba in izvajanje Listine o temeljnih pravicah” Službe Vlade RS za razvoj in evropsko kohezijsko politiko (v nadaljevanju: Postopkovnik) do sprejema programskih dokumentov: Opis sistema upravljanja in nadzora za sklade s področja notranje varnosti in migracij 2021-2027, Priročnika organa upravljanja ter Navodil organa upravljanja.</w:t>
            </w:r>
          </w:p>
        </w:tc>
        <w:tc>
          <w:tcPr>
            <w:tcW w:w="18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20"/>
                <w:vertAlign w:val="baseline"/>
              </w:rPr>
            </w:pPr>
            <w:r>
              <w:rPr>
                <w:rFonts w:ascii="Times New Roman" w:eastAsia="Times New Roman" w:hAnsi="Times New Roman" w:cs="Times New Roman"/>
                <w:b w:val="0"/>
                <w:i w:val="0"/>
                <w:vanish w:val="0"/>
                <w:color w:val="000000"/>
                <w:sz w:val="20"/>
                <w:vertAlign w:val="baseline"/>
              </w:rPr>
              <w:t>Listina EU o temeljnih pravicah je bila upoštevana pri pripravi Programa ter bo tudi pri izvajanju, spremljanju in vrednotenju. V Sloveniji je Varuh človekovih pravic nadzornik oblasti, ki s svojim delovanjem omejuje njeno samovoljo pri poseganju v človekove pravice in temeljne svoboščin in deluje v primeru kakršnekoli kršitve katerekoli pravice posameznika s strani nosilcev oblasti. Je eden izmed ključnih deležnikov, ki bo vključen v vse faze izvajanja Programa.</w:t>
            </w:r>
          </w:p>
          <w:p w:rsidR="00A77B3E">
            <w:pPr>
              <w:spacing w:before="100" w:after="0"/>
              <w:jc w:val="start"/>
              <w:rPr>
                <w:rFonts w:ascii="Times New Roman" w:eastAsia="Times New Roman" w:hAnsi="Times New Roman" w:cs="Times New Roman"/>
                <w:b w:val="0"/>
                <w:i w:val="0"/>
                <w:vanish w:val="0"/>
                <w:color w:val="000000"/>
                <w:sz w:val="20"/>
                <w:vertAlign w:val="baseline"/>
              </w:rPr>
            </w:pPr>
          </w:p>
          <w:p w:rsidR="00A77B3E">
            <w:pPr>
              <w:spacing w:before="100" w:after="0"/>
              <w:jc w:val="start"/>
              <w:rPr>
                <w:rFonts w:ascii="Times New Roman" w:eastAsia="Times New Roman" w:hAnsi="Times New Roman" w:cs="Times New Roman"/>
                <w:b w:val="0"/>
                <w:i w:val="0"/>
                <w:vanish w:val="0"/>
                <w:color w:val="000000"/>
                <w:sz w:val="20"/>
                <w:vertAlign w:val="baseline"/>
              </w:rPr>
            </w:pPr>
            <w:r>
              <w:rPr>
                <w:rFonts w:ascii="Times New Roman" w:eastAsia="Times New Roman" w:hAnsi="Times New Roman" w:cs="Times New Roman"/>
                <w:b w:val="0"/>
                <w:i w:val="0"/>
                <w:vanish w:val="0"/>
                <w:color w:val="000000"/>
                <w:sz w:val="20"/>
                <w:vertAlign w:val="baseline"/>
              </w:rPr>
              <w:t>Postopki preverjanja skladnosti operacij kot tudi naloge organov bodo določeni v Opisu sistema upravljanja in nadzora, Priročniku organa upravljanja ter Navodilih organa upravljanja. Merila za preverjanje skladnosti operacij z Listino bodo vključena v kontrolne liste.</w:t>
            </w:r>
          </w:p>
          <w:p w:rsidR="00A77B3E">
            <w:pPr>
              <w:spacing w:before="100" w:after="0"/>
              <w:jc w:val="start"/>
              <w:rPr>
                <w:rFonts w:ascii="Times New Roman" w:eastAsia="Times New Roman" w:hAnsi="Times New Roman" w:cs="Times New Roman"/>
                <w:b w:val="0"/>
                <w:i w:val="0"/>
                <w:vanish w:val="0"/>
                <w:color w:val="000000"/>
                <w:sz w:val="20"/>
                <w:vertAlign w:val="baseline"/>
              </w:rPr>
            </w:pPr>
          </w:p>
          <w:p w:rsidR="00A77B3E">
            <w:pPr>
              <w:spacing w:before="100" w:after="0"/>
              <w:jc w:val="start"/>
              <w:rPr>
                <w:rFonts w:ascii="Times New Roman" w:eastAsia="Times New Roman" w:hAnsi="Times New Roman" w:cs="Times New Roman"/>
                <w:b w:val="0"/>
                <w:i w:val="0"/>
                <w:vanish w:val="0"/>
                <w:color w:val="000000"/>
                <w:sz w:val="20"/>
                <w:vertAlign w:val="baseline"/>
              </w:rPr>
            </w:pPr>
            <w:r>
              <w:rPr>
                <w:rFonts w:ascii="Times New Roman" w:eastAsia="Times New Roman" w:hAnsi="Times New Roman" w:cs="Times New Roman"/>
                <w:b w:val="0"/>
                <w:i w:val="0"/>
                <w:vanish w:val="0"/>
                <w:color w:val="000000"/>
                <w:sz w:val="20"/>
                <w:vertAlign w:val="baseline"/>
              </w:rPr>
              <w:t xml:space="preserve">Priprava dokumentov bo potekala v sodelovanju z Varuhom človekovih pravic RS, do njihove uveljavitve pa se bo smiselno upošteval Postopkovnik. </w:t>
            </w:r>
          </w:p>
          <w:p w:rsidR="00A77B3E">
            <w:pPr>
              <w:spacing w:before="100" w:after="0"/>
              <w:jc w:val="start"/>
              <w:rPr>
                <w:rFonts w:ascii="Times New Roman" w:eastAsia="Times New Roman" w:hAnsi="Times New Roman" w:cs="Times New Roman"/>
                <w:b w:val="0"/>
                <w:i w:val="0"/>
                <w:vanish w:val="0"/>
                <w:color w:val="000000"/>
                <w:sz w:val="20"/>
                <w:vertAlign w:val="baseline"/>
              </w:rPr>
            </w:pPr>
          </w:p>
          <w:p w:rsidR="00A77B3E">
            <w:pPr>
              <w:spacing w:before="100" w:after="0"/>
              <w:jc w:val="start"/>
              <w:rPr>
                <w:rFonts w:ascii="Times New Roman" w:eastAsia="Times New Roman" w:hAnsi="Times New Roman" w:cs="Times New Roman"/>
                <w:b w:val="0"/>
                <w:i w:val="0"/>
                <w:vanish w:val="0"/>
                <w:color w:val="000000"/>
                <w:sz w:val="20"/>
                <w:vertAlign w:val="baseline"/>
              </w:rPr>
            </w:pPr>
            <w:r>
              <w:rPr>
                <w:rFonts w:ascii="Times New Roman" w:eastAsia="Times New Roman" w:hAnsi="Times New Roman" w:cs="Times New Roman"/>
                <w:b w:val="0"/>
                <w:i w:val="0"/>
                <w:vanish w:val="0"/>
                <w:color w:val="000000"/>
                <w:sz w:val="20"/>
                <w:vertAlign w:val="baseline"/>
              </w:rPr>
              <w:t>OU bo v sodelovanju s pristojnim Varuhom človekovih pravic RS izvedel usposabljanja za osebe, ki bodo preverjale skladnost operacij z Listino, ter drugih ključnih deležnikov.</w:t>
            </w:r>
          </w:p>
          <w:p w:rsidR="00A77B3E">
            <w:pPr>
              <w:spacing w:before="100" w:after="0"/>
              <w:jc w:val="start"/>
              <w:rPr>
                <w:rFonts w:ascii="Times New Roman" w:eastAsia="Times New Roman" w:hAnsi="Times New Roman" w:cs="Times New Roman"/>
                <w:b w:val="0"/>
                <w:i w:val="0"/>
                <w:vanish w:val="0"/>
                <w:color w:val="000000"/>
                <w:sz w:val="20"/>
                <w:vertAlign w:val="baseline"/>
              </w:rPr>
            </w:pPr>
          </w:p>
        </w:tc>
      </w:tr>
      <w:tr>
        <w:tblPrEx>
          <w:tblW w:w="0pt" w:type="auto"/>
          <w:tblLayout w:type="fixed"/>
        </w:tblPrEx>
        <w:trPr>
          <w:cantSplit w:val="0"/>
          <w:trHeight w:hRule="auto" w:val="0"/>
          <w:tblHeader w:val="0"/>
        </w:trPr>
        <w:tc>
          <w:tcPr>
            <w:tcW w:w="80pt" w:type="dxa"/>
            <w:vMerge/>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20"/>
                <w:vertAlign w:val="baseline"/>
              </w:rPr>
            </w:pPr>
          </w:p>
        </w:tc>
        <w:tc>
          <w:tcPr>
            <w:tcW w:w="80pt" w:type="dxa"/>
            <w:vMerge/>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20"/>
                <w:vertAlign w:val="baseline"/>
              </w:rPr>
            </w:pPr>
          </w:p>
        </w:tc>
        <w:tc>
          <w:tcPr>
            <w:tcW w:w="18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20"/>
                <w:vertAlign w:val="baseline"/>
              </w:rPr>
            </w:pPr>
            <w:r>
              <w:rPr>
                <w:rFonts w:ascii="Times New Roman" w:eastAsia="Times New Roman" w:hAnsi="Times New Roman" w:cs="Times New Roman"/>
                <w:b w:val="0"/>
                <w:i w:val="0"/>
                <w:vanish w:val="0"/>
                <w:color w:val="000000"/>
                <w:sz w:val="20"/>
                <w:vertAlign w:val="baseline"/>
              </w:rPr>
              <w:t>2. ureditve poročanja odboru za spremljanje o primerih neskladnosti operacij, ki jih podpirajo skladi, z Listino in pritožbah glede Listine, predloženih v skladu z ureditvami na podlagi člena 69(7).</w:t>
            </w:r>
          </w:p>
        </w:tc>
        <w:tc>
          <w:tcPr>
            <w:tcW w:w="8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center"/>
              <w:rPr>
                <w:rFonts w:ascii="Times New Roman" w:eastAsia="Times New Roman" w:hAnsi="Times New Roman" w:cs="Times New Roman"/>
                <w:b w:val="0"/>
                <w:i w:val="0"/>
                <w:vanish w:val="0"/>
                <w:color w:val="000000"/>
                <w:sz w:val="20"/>
                <w:vertAlign w:val="baseline"/>
              </w:rPr>
            </w:pPr>
            <w:r>
              <w:rPr>
                <w:rFonts w:ascii="Times New Roman" w:eastAsia="Times New Roman" w:hAnsi="Times New Roman" w:cs="Times New Roman"/>
                <w:b w:val="0"/>
                <w:i w:val="0"/>
                <w:vanish w:val="0"/>
                <w:color w:val="000000"/>
                <w:sz w:val="20"/>
                <w:vertAlign w:val="baseline"/>
              </w:rPr>
              <w:t>Da</w:t>
            </w:r>
          </w:p>
        </w:tc>
        <w:tc>
          <w:tcPr>
            <w:tcW w:w="18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20"/>
                <w:vertAlign w:val="baseline"/>
              </w:rPr>
            </w:pPr>
            <w:r>
              <w:rPr>
                <w:rFonts w:ascii="Times New Roman" w:eastAsia="Times New Roman" w:hAnsi="Times New Roman" w:cs="Times New Roman"/>
                <w:b w:val="0"/>
                <w:i w:val="0"/>
                <w:vanish w:val="0"/>
                <w:color w:val="000000"/>
                <w:sz w:val="20"/>
                <w:vertAlign w:val="baseline"/>
              </w:rPr>
              <w:t>Smiselna uporaba Postopkovnika za zagotavljanje horizontalnega omogočitvenega pogoja “Učinkovita uporaba in izvajanje Listine o temeljnih pravicah” Službe Vlade RS za razvoj in evropsko kohezijsko politiko (v nadaljevanju: Postopkovnik) do sprejema programskih dokumentov: Opis sistema upravljanja in nadzora za sklade s področja notranje varnosti in migracij 2021-2027, Priročnika organa upravljanja ter Navodil organa upravljanja.</w:t>
            </w:r>
          </w:p>
        </w:tc>
        <w:tc>
          <w:tcPr>
            <w:tcW w:w="18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20"/>
                <w:vertAlign w:val="baseline"/>
              </w:rPr>
            </w:pPr>
            <w:r>
              <w:rPr>
                <w:rFonts w:ascii="Times New Roman" w:eastAsia="Times New Roman" w:hAnsi="Times New Roman" w:cs="Times New Roman"/>
                <w:b w:val="0"/>
                <w:i w:val="0"/>
                <w:vanish w:val="0"/>
                <w:color w:val="000000"/>
                <w:sz w:val="20"/>
                <w:vertAlign w:val="baseline"/>
              </w:rPr>
              <w:t>Varuh človekovih pravic bo enkrat letno OU posredoval informacijo o morebitnih pritožbah, ki jih je prejel v okviru svojih pooblastil od posameznih oseb.</w:t>
            </w:r>
          </w:p>
          <w:p w:rsidR="00A77B3E">
            <w:pPr>
              <w:spacing w:before="100" w:after="0"/>
              <w:jc w:val="start"/>
              <w:rPr>
                <w:rFonts w:ascii="Times New Roman" w:eastAsia="Times New Roman" w:hAnsi="Times New Roman" w:cs="Times New Roman"/>
                <w:b w:val="0"/>
                <w:i w:val="0"/>
                <w:vanish w:val="0"/>
                <w:color w:val="000000"/>
                <w:sz w:val="20"/>
                <w:vertAlign w:val="baseline"/>
              </w:rPr>
            </w:pPr>
          </w:p>
          <w:p w:rsidR="00A77B3E">
            <w:pPr>
              <w:spacing w:before="100" w:after="0"/>
              <w:jc w:val="start"/>
              <w:rPr>
                <w:rFonts w:ascii="Times New Roman" w:eastAsia="Times New Roman" w:hAnsi="Times New Roman" w:cs="Times New Roman"/>
                <w:b w:val="0"/>
                <w:i w:val="0"/>
                <w:vanish w:val="0"/>
                <w:color w:val="000000"/>
                <w:sz w:val="20"/>
                <w:vertAlign w:val="baseline"/>
              </w:rPr>
            </w:pPr>
            <w:r>
              <w:rPr>
                <w:rFonts w:ascii="Times New Roman" w:eastAsia="Times New Roman" w:hAnsi="Times New Roman" w:cs="Times New Roman"/>
                <w:b w:val="0"/>
                <w:i w:val="0"/>
                <w:vanish w:val="0"/>
                <w:color w:val="000000"/>
                <w:sz w:val="20"/>
                <w:vertAlign w:val="baseline"/>
              </w:rPr>
              <w:t>OU bo imenoval odgovorno osebo, ki bo zadolžena za spremljanje in poročanje odboru za spremljanje skladov o morebitnih ugotovljenih neskladjih v postopkih upravljalnih preverjanj, revizij, vloženih spletnih pritožb, pritožbah, ki so bile naslovljene na Varuha človekovih pravic, ipd., ter o izvedenih popravljalnih ukrepih.</w:t>
            </w:r>
          </w:p>
          <w:p w:rsidR="00A77B3E">
            <w:pPr>
              <w:spacing w:before="100" w:after="0"/>
              <w:jc w:val="start"/>
              <w:rPr>
                <w:rFonts w:ascii="Times New Roman" w:eastAsia="Times New Roman" w:hAnsi="Times New Roman" w:cs="Times New Roman"/>
                <w:b w:val="0"/>
                <w:i w:val="0"/>
                <w:vanish w:val="0"/>
                <w:color w:val="000000"/>
                <w:sz w:val="20"/>
                <w:vertAlign w:val="baseline"/>
              </w:rPr>
            </w:pPr>
          </w:p>
          <w:p w:rsidR="00A77B3E">
            <w:pPr>
              <w:spacing w:before="100" w:after="0"/>
              <w:jc w:val="start"/>
              <w:rPr>
                <w:rFonts w:ascii="Times New Roman" w:eastAsia="Times New Roman" w:hAnsi="Times New Roman" w:cs="Times New Roman"/>
                <w:b w:val="0"/>
                <w:i w:val="0"/>
                <w:vanish w:val="0"/>
                <w:color w:val="000000"/>
                <w:sz w:val="20"/>
                <w:vertAlign w:val="baseline"/>
              </w:rPr>
            </w:pPr>
            <w:r>
              <w:rPr>
                <w:rFonts w:ascii="Times New Roman" w:eastAsia="Times New Roman" w:hAnsi="Times New Roman" w:cs="Times New Roman"/>
                <w:b w:val="0"/>
                <w:i w:val="0"/>
                <w:vanish w:val="0"/>
                <w:color w:val="000000"/>
                <w:sz w:val="20"/>
                <w:vertAlign w:val="baseline"/>
              </w:rPr>
              <w:t>Imenovana odgovorna oseba bo enkrat letno pripravila poročilo za odbor za spremljanje skladov, ki bo vsebovalo informacijo o številu ugotovljenih neskladij in pritožb, vsebini in izvedenih popravljalnih ukrepih.</w:t>
            </w:r>
          </w:p>
          <w:p w:rsidR="00A77B3E">
            <w:pPr>
              <w:spacing w:before="100" w:after="0"/>
              <w:jc w:val="start"/>
              <w:rPr>
                <w:rFonts w:ascii="Times New Roman" w:eastAsia="Times New Roman" w:hAnsi="Times New Roman" w:cs="Times New Roman"/>
                <w:b w:val="0"/>
                <w:i w:val="0"/>
                <w:vanish w:val="0"/>
                <w:color w:val="000000"/>
                <w:sz w:val="20"/>
                <w:vertAlign w:val="baseline"/>
              </w:rPr>
            </w:pPr>
          </w:p>
          <w:p w:rsidR="00A77B3E">
            <w:pPr>
              <w:spacing w:before="100" w:after="0"/>
              <w:jc w:val="start"/>
              <w:rPr>
                <w:rFonts w:ascii="Times New Roman" w:eastAsia="Times New Roman" w:hAnsi="Times New Roman" w:cs="Times New Roman"/>
                <w:b w:val="0"/>
                <w:i w:val="0"/>
                <w:vanish w:val="0"/>
                <w:color w:val="000000"/>
                <w:sz w:val="20"/>
                <w:vertAlign w:val="baseline"/>
              </w:rPr>
            </w:pPr>
            <w:r>
              <w:rPr>
                <w:rFonts w:ascii="Times New Roman" w:eastAsia="Times New Roman" w:hAnsi="Times New Roman" w:cs="Times New Roman"/>
                <w:b w:val="0"/>
                <w:i w:val="0"/>
                <w:vanish w:val="0"/>
                <w:color w:val="000000"/>
                <w:sz w:val="20"/>
                <w:vertAlign w:val="baseline"/>
              </w:rPr>
              <w:t>Na spletni strani OU ter https://evropskasredstva.si/ bo objavljen spletni obrazec za pritožbe na podlagi 7. odstavka 69. člena Uredbe (EU) 2021/1060.</w:t>
            </w:r>
          </w:p>
        </w:tc>
      </w:tr>
      <w:tr>
        <w:tblPrEx>
          <w:tblW w:w="0pt" w:type="auto"/>
          <w:tblLayout w:type="fixed"/>
        </w:tblPrEx>
        <w:trPr>
          <w:cantSplit w:val="0"/>
          <w:trHeight w:hRule="auto" w:val="0"/>
          <w:tblHeader w:val="0"/>
        </w:trPr>
        <w:tc>
          <w:tcPr>
            <w:tcW w:w="80pt" w:type="dxa"/>
            <w:vMerge w:val="restart"/>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20"/>
                <w:vertAlign w:val="baseline"/>
              </w:rPr>
            </w:pPr>
            <w:r>
              <w:rPr>
                <w:rFonts w:ascii="Times New Roman" w:eastAsia="Times New Roman" w:hAnsi="Times New Roman" w:cs="Times New Roman"/>
                <w:b w:val="0"/>
                <w:i w:val="0"/>
                <w:vanish w:val="0"/>
                <w:color w:val="000000"/>
                <w:sz w:val="20"/>
                <w:vertAlign w:val="baseline"/>
              </w:rPr>
              <w:t>4. Izvajanje in uporaba Konvencije Združenih narodov o pravicah invalidov v skladu s Sklepom Sveta 2010/48/ES</w:t>
            </w:r>
          </w:p>
        </w:tc>
        <w:tc>
          <w:tcPr>
            <w:tcW w:w="80pt" w:type="dxa"/>
            <w:vMerge w:val="restart"/>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center"/>
              <w:rPr>
                <w:rFonts w:ascii="Times New Roman" w:eastAsia="Times New Roman" w:hAnsi="Times New Roman" w:cs="Times New Roman"/>
                <w:b w:val="0"/>
                <w:i w:val="0"/>
                <w:vanish w:val="0"/>
                <w:color w:val="000000"/>
                <w:sz w:val="20"/>
                <w:vertAlign w:val="baseline"/>
              </w:rPr>
            </w:pPr>
            <w:r>
              <w:rPr>
                <w:rFonts w:ascii="Times New Roman" w:eastAsia="Times New Roman" w:hAnsi="Times New Roman" w:cs="Times New Roman"/>
                <w:b w:val="0"/>
                <w:i w:val="0"/>
                <w:vanish w:val="0"/>
                <w:color w:val="000000"/>
                <w:sz w:val="20"/>
                <w:vertAlign w:val="baseline"/>
              </w:rPr>
              <w:t>Da</w:t>
            </w:r>
          </w:p>
        </w:tc>
        <w:tc>
          <w:tcPr>
            <w:tcW w:w="18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20"/>
                <w:vertAlign w:val="baseline"/>
              </w:rPr>
            </w:pPr>
            <w:r>
              <w:rPr>
                <w:rFonts w:ascii="Times New Roman" w:eastAsia="Times New Roman" w:hAnsi="Times New Roman" w:cs="Times New Roman"/>
                <w:b w:val="0"/>
                <w:i w:val="0"/>
                <w:vanish w:val="0"/>
                <w:color w:val="000000"/>
                <w:sz w:val="20"/>
                <w:vertAlign w:val="baseline"/>
              </w:rPr>
              <w:t xml:space="preserve">Vzpostavljen je nacionalni okvir za izvajanje Konvencije Združenih narodov o pravicah invalidov, ki vključuje: </w:t>
            </w:r>
          </w:p>
          <w:p w:rsidR="00A77B3E">
            <w:pPr>
              <w:spacing w:before="100" w:after="0"/>
              <w:jc w:val="start"/>
              <w:rPr>
                <w:rFonts w:ascii="Times New Roman" w:eastAsia="Times New Roman" w:hAnsi="Times New Roman" w:cs="Times New Roman"/>
                <w:b w:val="0"/>
                <w:i w:val="0"/>
                <w:vanish w:val="0"/>
                <w:color w:val="000000"/>
                <w:sz w:val="20"/>
                <w:vertAlign w:val="baseline"/>
              </w:rPr>
            </w:pPr>
            <w:r>
              <w:rPr>
                <w:rFonts w:ascii="Times New Roman" w:eastAsia="Times New Roman" w:hAnsi="Times New Roman" w:cs="Times New Roman"/>
                <w:b w:val="0"/>
                <w:i w:val="0"/>
                <w:vanish w:val="0"/>
                <w:color w:val="000000"/>
                <w:sz w:val="20"/>
                <w:vertAlign w:val="baseline"/>
              </w:rPr>
              <w:t>1. cilje z merljivimi vrednostmi, zbiranje podatkov in mehanizme spremljanja;</w:t>
            </w:r>
          </w:p>
        </w:tc>
        <w:tc>
          <w:tcPr>
            <w:tcW w:w="8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center"/>
              <w:rPr>
                <w:rFonts w:ascii="Times New Roman" w:eastAsia="Times New Roman" w:hAnsi="Times New Roman" w:cs="Times New Roman"/>
                <w:b w:val="0"/>
                <w:i w:val="0"/>
                <w:vanish w:val="0"/>
                <w:color w:val="000000"/>
                <w:sz w:val="20"/>
                <w:vertAlign w:val="baseline"/>
              </w:rPr>
            </w:pPr>
            <w:r>
              <w:rPr>
                <w:rFonts w:ascii="Times New Roman" w:eastAsia="Times New Roman" w:hAnsi="Times New Roman" w:cs="Times New Roman"/>
                <w:b w:val="0"/>
                <w:i w:val="0"/>
                <w:vanish w:val="0"/>
                <w:color w:val="000000"/>
                <w:sz w:val="20"/>
                <w:vertAlign w:val="baseline"/>
              </w:rPr>
              <w:t>Da</w:t>
            </w:r>
          </w:p>
        </w:tc>
        <w:tc>
          <w:tcPr>
            <w:tcW w:w="18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20"/>
                <w:vertAlign w:val="baseline"/>
              </w:rPr>
            </w:pPr>
            <w:r>
              <w:rPr>
                <w:rFonts w:ascii="Times New Roman" w:eastAsia="Times New Roman" w:hAnsi="Times New Roman" w:cs="Times New Roman"/>
                <w:b w:val="0"/>
                <w:i w:val="0"/>
                <w:vanish w:val="0"/>
                <w:color w:val="000000"/>
                <w:sz w:val="20"/>
                <w:vertAlign w:val="baseline"/>
              </w:rPr>
              <w:t>Akcijski program za invalide 2022-2030 (API)</w:t>
            </w:r>
          </w:p>
          <w:p w:rsidR="00A77B3E">
            <w:pPr>
              <w:spacing w:before="100" w:after="0"/>
              <w:jc w:val="start"/>
              <w:rPr>
                <w:rFonts w:ascii="Times New Roman" w:eastAsia="Times New Roman" w:hAnsi="Times New Roman" w:cs="Times New Roman"/>
                <w:b w:val="0"/>
                <w:i w:val="0"/>
                <w:vanish w:val="0"/>
                <w:color w:val="000000"/>
                <w:sz w:val="20"/>
                <w:vertAlign w:val="baseline"/>
              </w:rPr>
            </w:pPr>
            <w:r>
              <w:rPr>
                <w:rFonts w:ascii="Times New Roman" w:eastAsia="Times New Roman" w:hAnsi="Times New Roman" w:cs="Times New Roman"/>
                <w:b w:val="0"/>
                <w:i w:val="0"/>
                <w:vanish w:val="0"/>
                <w:color w:val="000000"/>
                <w:sz w:val="20"/>
                <w:vertAlign w:val="baseline"/>
              </w:rPr>
              <w:t>https://www.gov.si/zbirke/projekti-inprogrami/akcijski-program-za-invalide/</w:t>
            </w:r>
          </w:p>
          <w:p w:rsidR="00A77B3E">
            <w:pPr>
              <w:spacing w:before="100" w:after="0"/>
              <w:jc w:val="start"/>
              <w:rPr>
                <w:rFonts w:ascii="Times New Roman" w:eastAsia="Times New Roman" w:hAnsi="Times New Roman" w:cs="Times New Roman"/>
                <w:b w:val="0"/>
                <w:i w:val="0"/>
                <w:vanish w:val="0"/>
                <w:color w:val="000000"/>
                <w:sz w:val="20"/>
                <w:vertAlign w:val="baseline"/>
              </w:rPr>
            </w:pPr>
          </w:p>
        </w:tc>
        <w:tc>
          <w:tcPr>
            <w:tcW w:w="18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20"/>
                <w:vertAlign w:val="baseline"/>
              </w:rPr>
            </w:pPr>
            <w:r>
              <w:rPr>
                <w:rFonts w:ascii="Times New Roman" w:eastAsia="Times New Roman" w:hAnsi="Times New Roman" w:cs="Times New Roman"/>
                <w:b w:val="0"/>
                <w:i w:val="0"/>
                <w:vanish w:val="0"/>
                <w:color w:val="000000"/>
                <w:sz w:val="20"/>
                <w:vertAlign w:val="baseline"/>
              </w:rPr>
              <w:t>Vlada RS je oktobra 2021 sprejela Akcijski program za invalide 2022-2030 (API), katerega namen je spodbujati, varovati in zagotavljati polnopravno in enakovredno uživanje človekovih pravic invalidov in spodbujanje njihovega dostojanstva. 7. 4. 2022 je bila imenovana Komisija za spremljanje API. Sestavljena je iz skupine predstavnikov vseh resornih ministrstev, strokovnih organizacij, Nacionalnega sveta invalidskih organizacij Slovenije ter drugih invalidskih organizacij in Zveze društev upokojencev. Naloga Komisije je priprava letnega poročila o izvajanju API za Vlado RS. Poročevalci beležijo vse dejavnosti, ki so bile izvedene v letu v okviru predvidenih 13 ciljev in 120 ukrepov API. Mnenje na letno poročilo Komisije poda Svet za invalide (posvetovalni, neodvisen tripartitni organ, ustanovljen na podlagi 33. člena Konvencije ZN o pravicah invalidov in EU strategije za invalide 2021-30), ki je med drugim zadolžen za spodbujanje in spremljanje izvajanja Zakona o ratifikaciji  Konvencije kot tudi za spremljanje implementacije API.</w:t>
            </w:r>
          </w:p>
          <w:p w:rsidR="00A77B3E">
            <w:pPr>
              <w:spacing w:before="100" w:after="0"/>
              <w:jc w:val="start"/>
              <w:rPr>
                <w:rFonts w:ascii="Times New Roman" w:eastAsia="Times New Roman" w:hAnsi="Times New Roman" w:cs="Times New Roman"/>
                <w:b w:val="0"/>
                <w:i w:val="0"/>
                <w:vanish w:val="0"/>
                <w:color w:val="000000"/>
                <w:sz w:val="20"/>
                <w:vertAlign w:val="baseline"/>
              </w:rPr>
            </w:pPr>
          </w:p>
        </w:tc>
      </w:tr>
      <w:tr>
        <w:tblPrEx>
          <w:tblW w:w="0pt" w:type="auto"/>
          <w:tblLayout w:type="fixed"/>
        </w:tblPrEx>
        <w:trPr>
          <w:cantSplit w:val="0"/>
          <w:trHeight w:hRule="auto" w:val="0"/>
          <w:tblHeader w:val="0"/>
        </w:trPr>
        <w:tc>
          <w:tcPr>
            <w:tcW w:w="80pt" w:type="dxa"/>
            <w:vMerge/>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20"/>
                <w:vertAlign w:val="baseline"/>
              </w:rPr>
            </w:pPr>
          </w:p>
        </w:tc>
        <w:tc>
          <w:tcPr>
            <w:tcW w:w="80pt" w:type="dxa"/>
            <w:vMerge/>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20"/>
                <w:vertAlign w:val="baseline"/>
              </w:rPr>
            </w:pPr>
          </w:p>
        </w:tc>
        <w:tc>
          <w:tcPr>
            <w:tcW w:w="18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20"/>
                <w:vertAlign w:val="baseline"/>
              </w:rPr>
            </w:pPr>
            <w:r>
              <w:rPr>
                <w:rFonts w:ascii="Times New Roman" w:eastAsia="Times New Roman" w:hAnsi="Times New Roman" w:cs="Times New Roman"/>
                <w:b w:val="0"/>
                <w:i w:val="0"/>
                <w:vanish w:val="0"/>
                <w:color w:val="000000"/>
                <w:sz w:val="20"/>
                <w:vertAlign w:val="baseline"/>
              </w:rPr>
              <w:t>2. ureditve za zagotovitev, da se politika, zakonodaja in standardi dostopnosti ustrezno upoštevajo pri pripravi in izvajanju programov;</w:t>
            </w:r>
          </w:p>
        </w:tc>
        <w:tc>
          <w:tcPr>
            <w:tcW w:w="8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center"/>
              <w:rPr>
                <w:rFonts w:ascii="Times New Roman" w:eastAsia="Times New Roman" w:hAnsi="Times New Roman" w:cs="Times New Roman"/>
                <w:b w:val="0"/>
                <w:i w:val="0"/>
                <w:vanish w:val="0"/>
                <w:color w:val="000000"/>
                <w:sz w:val="20"/>
                <w:vertAlign w:val="baseline"/>
              </w:rPr>
            </w:pPr>
            <w:r>
              <w:rPr>
                <w:rFonts w:ascii="Times New Roman" w:eastAsia="Times New Roman" w:hAnsi="Times New Roman" w:cs="Times New Roman"/>
                <w:b w:val="0"/>
                <w:i w:val="0"/>
                <w:vanish w:val="0"/>
                <w:color w:val="000000"/>
                <w:sz w:val="20"/>
                <w:vertAlign w:val="baseline"/>
              </w:rPr>
              <w:t>Da</w:t>
            </w:r>
          </w:p>
        </w:tc>
        <w:tc>
          <w:tcPr>
            <w:tcW w:w="18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20"/>
                <w:vertAlign w:val="baseline"/>
              </w:rPr>
            </w:pPr>
            <w:r>
              <w:rPr>
                <w:rFonts w:ascii="Times New Roman" w:eastAsia="Times New Roman" w:hAnsi="Times New Roman" w:cs="Times New Roman"/>
                <w:b w:val="0"/>
                <w:i w:val="0"/>
                <w:vanish w:val="0"/>
                <w:color w:val="000000"/>
                <w:sz w:val="20"/>
                <w:vertAlign w:val="baseline"/>
              </w:rPr>
              <w:t>Akcijski program za invalide 2022-2030 (API)</w:t>
            </w:r>
          </w:p>
          <w:p w:rsidR="00A77B3E">
            <w:pPr>
              <w:spacing w:before="100" w:after="0"/>
              <w:jc w:val="start"/>
              <w:rPr>
                <w:rFonts w:ascii="Times New Roman" w:eastAsia="Times New Roman" w:hAnsi="Times New Roman" w:cs="Times New Roman"/>
                <w:b w:val="0"/>
                <w:i w:val="0"/>
                <w:vanish w:val="0"/>
                <w:color w:val="000000"/>
                <w:sz w:val="20"/>
                <w:vertAlign w:val="baseline"/>
              </w:rPr>
            </w:pPr>
            <w:r>
              <w:rPr>
                <w:rFonts w:ascii="Times New Roman" w:eastAsia="Times New Roman" w:hAnsi="Times New Roman" w:cs="Times New Roman"/>
                <w:b w:val="0"/>
                <w:i w:val="0"/>
                <w:vanish w:val="0"/>
                <w:color w:val="000000"/>
                <w:sz w:val="20"/>
                <w:vertAlign w:val="baseline"/>
              </w:rPr>
              <w:t>https://www.gov.si/zbirke/projekti-inprogrami/akcijski-program-za-invalide/</w:t>
            </w:r>
          </w:p>
          <w:p w:rsidR="00A77B3E">
            <w:pPr>
              <w:spacing w:before="100" w:after="0"/>
              <w:jc w:val="start"/>
              <w:rPr>
                <w:rFonts w:ascii="Times New Roman" w:eastAsia="Times New Roman" w:hAnsi="Times New Roman" w:cs="Times New Roman"/>
                <w:b w:val="0"/>
                <w:i w:val="0"/>
                <w:vanish w:val="0"/>
                <w:color w:val="000000"/>
                <w:sz w:val="20"/>
                <w:vertAlign w:val="baseline"/>
              </w:rPr>
            </w:pPr>
          </w:p>
          <w:p w:rsidR="00A77B3E">
            <w:pPr>
              <w:spacing w:before="100" w:after="0"/>
              <w:jc w:val="start"/>
              <w:rPr>
                <w:rFonts w:ascii="Times New Roman" w:eastAsia="Times New Roman" w:hAnsi="Times New Roman" w:cs="Times New Roman"/>
                <w:b w:val="0"/>
                <w:i w:val="0"/>
                <w:vanish w:val="0"/>
                <w:color w:val="000000"/>
                <w:sz w:val="20"/>
                <w:vertAlign w:val="baseline"/>
              </w:rPr>
            </w:pPr>
            <w:r>
              <w:rPr>
                <w:rFonts w:ascii="Times New Roman" w:eastAsia="Times New Roman" w:hAnsi="Times New Roman" w:cs="Times New Roman"/>
                <w:b w:val="0"/>
                <w:i w:val="0"/>
                <w:vanish w:val="0"/>
                <w:color w:val="000000"/>
                <w:sz w:val="20"/>
                <w:vertAlign w:val="baseline"/>
              </w:rPr>
              <w:t>Zakon o izenačevanju možnosti invalidov (ZIMI)</w:t>
            </w:r>
          </w:p>
          <w:p w:rsidR="00A77B3E">
            <w:pPr>
              <w:spacing w:before="100" w:after="0"/>
              <w:jc w:val="start"/>
              <w:rPr>
                <w:rFonts w:ascii="Times New Roman" w:eastAsia="Times New Roman" w:hAnsi="Times New Roman" w:cs="Times New Roman"/>
                <w:b w:val="0"/>
                <w:i w:val="0"/>
                <w:vanish w:val="0"/>
                <w:color w:val="000000"/>
                <w:sz w:val="20"/>
                <w:vertAlign w:val="baseline"/>
              </w:rPr>
            </w:pPr>
            <w:r>
              <w:rPr>
                <w:rFonts w:ascii="Times New Roman" w:eastAsia="Times New Roman" w:hAnsi="Times New Roman" w:cs="Times New Roman"/>
                <w:b w:val="0"/>
                <w:i w:val="0"/>
                <w:vanish w:val="0"/>
                <w:color w:val="000000"/>
                <w:sz w:val="20"/>
                <w:vertAlign w:val="baseline"/>
              </w:rPr>
              <w:t>http://www.pisrs.si/Pis.web/pregledPredpisa?id=ZAKO4342</w:t>
            </w:r>
          </w:p>
          <w:p w:rsidR="00A77B3E">
            <w:pPr>
              <w:spacing w:before="100" w:after="0"/>
              <w:jc w:val="start"/>
              <w:rPr>
                <w:rFonts w:ascii="Times New Roman" w:eastAsia="Times New Roman" w:hAnsi="Times New Roman" w:cs="Times New Roman"/>
                <w:b w:val="0"/>
                <w:i w:val="0"/>
                <w:vanish w:val="0"/>
                <w:color w:val="000000"/>
                <w:sz w:val="20"/>
                <w:vertAlign w:val="baseline"/>
              </w:rPr>
            </w:pPr>
          </w:p>
          <w:p w:rsidR="00A77B3E">
            <w:pPr>
              <w:spacing w:before="100" w:after="0"/>
              <w:jc w:val="start"/>
              <w:rPr>
                <w:rFonts w:ascii="Times New Roman" w:eastAsia="Times New Roman" w:hAnsi="Times New Roman" w:cs="Times New Roman"/>
                <w:b w:val="0"/>
                <w:i w:val="0"/>
                <w:vanish w:val="0"/>
                <w:color w:val="000000"/>
                <w:sz w:val="20"/>
                <w:vertAlign w:val="baseline"/>
              </w:rPr>
            </w:pPr>
          </w:p>
        </w:tc>
        <w:tc>
          <w:tcPr>
            <w:tcW w:w="18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20"/>
                <w:vertAlign w:val="baseline"/>
              </w:rPr>
            </w:pPr>
            <w:r>
              <w:rPr>
                <w:rFonts w:ascii="Times New Roman" w:eastAsia="Times New Roman" w:hAnsi="Times New Roman" w:cs="Times New Roman"/>
                <w:b w:val="0"/>
                <w:i w:val="0"/>
                <w:vanish w:val="0"/>
                <w:color w:val="000000"/>
                <w:sz w:val="20"/>
                <w:vertAlign w:val="baseline"/>
              </w:rPr>
              <w:t>Skladnost s Konvencijo je bila zagotovljena v fazi programiranja, saj so bile v proces priprave Programa vključene organizacije pristojne za spremljanje izvajanja Konvencije, ki bodo sodelovale tudi pri izvajanju, spremljanju in vrednotenju Programa.</w:t>
            </w:r>
          </w:p>
          <w:p w:rsidR="00A77B3E">
            <w:pPr>
              <w:spacing w:before="100" w:after="0"/>
              <w:jc w:val="start"/>
              <w:rPr>
                <w:rFonts w:ascii="Times New Roman" w:eastAsia="Times New Roman" w:hAnsi="Times New Roman" w:cs="Times New Roman"/>
                <w:b w:val="0"/>
                <w:i w:val="0"/>
                <w:vanish w:val="0"/>
                <w:color w:val="000000"/>
                <w:sz w:val="20"/>
                <w:vertAlign w:val="baseline"/>
              </w:rPr>
            </w:pPr>
          </w:p>
          <w:p w:rsidR="00A77B3E">
            <w:pPr>
              <w:spacing w:before="100" w:after="0"/>
              <w:jc w:val="start"/>
              <w:rPr>
                <w:rFonts w:ascii="Times New Roman" w:eastAsia="Times New Roman" w:hAnsi="Times New Roman" w:cs="Times New Roman"/>
                <w:b w:val="0"/>
                <w:i w:val="0"/>
                <w:vanish w:val="0"/>
                <w:color w:val="000000"/>
                <w:sz w:val="20"/>
                <w:vertAlign w:val="baseline"/>
              </w:rPr>
            </w:pPr>
            <w:r>
              <w:rPr>
                <w:rFonts w:ascii="Times New Roman" w:eastAsia="Times New Roman" w:hAnsi="Times New Roman" w:cs="Times New Roman"/>
                <w:b w:val="0"/>
                <w:i w:val="0"/>
                <w:vanish w:val="0"/>
                <w:color w:val="000000"/>
                <w:sz w:val="20"/>
                <w:vertAlign w:val="baseline"/>
              </w:rPr>
              <w:t>Postopki preverjanja skladnosti operacij s Konvencijo kot tudi naloge organov bodo določeni v Opisu sistema upravljanja in nadzora, Priročniku organa upravljanja ter Navodilih organa upravljanja. Merila za preverjanje skladnosti operacij s Konvencijo  bodo vključena v kontrolne liste.</w:t>
            </w:r>
          </w:p>
          <w:p w:rsidR="00A77B3E">
            <w:pPr>
              <w:spacing w:before="100" w:after="0"/>
              <w:jc w:val="start"/>
              <w:rPr>
                <w:rFonts w:ascii="Times New Roman" w:eastAsia="Times New Roman" w:hAnsi="Times New Roman" w:cs="Times New Roman"/>
                <w:b w:val="0"/>
                <w:i w:val="0"/>
                <w:vanish w:val="0"/>
                <w:color w:val="000000"/>
                <w:sz w:val="20"/>
                <w:vertAlign w:val="baseline"/>
              </w:rPr>
            </w:pPr>
          </w:p>
          <w:p w:rsidR="00A77B3E">
            <w:pPr>
              <w:spacing w:before="100" w:after="0"/>
              <w:jc w:val="start"/>
              <w:rPr>
                <w:rFonts w:ascii="Times New Roman" w:eastAsia="Times New Roman" w:hAnsi="Times New Roman" w:cs="Times New Roman"/>
                <w:b w:val="0"/>
                <w:i w:val="0"/>
                <w:vanish w:val="0"/>
                <w:color w:val="000000"/>
                <w:sz w:val="20"/>
                <w:vertAlign w:val="baseline"/>
              </w:rPr>
            </w:pPr>
            <w:r>
              <w:rPr>
                <w:rFonts w:ascii="Times New Roman" w:eastAsia="Times New Roman" w:hAnsi="Times New Roman" w:cs="Times New Roman"/>
                <w:b w:val="0"/>
                <w:i w:val="0"/>
                <w:vanish w:val="0"/>
                <w:color w:val="000000"/>
                <w:sz w:val="20"/>
                <w:vertAlign w:val="baseline"/>
              </w:rPr>
              <w:t>V načrtu ukrepov za krepitev upravne zmogljivosti so predvidena usposabljanja in izobraževanja ključnih deležnikov na tem področju, ki bo pripravljeno v sodelovanju s Komisijo za spremljanje API in ostalimi relevantnimi strokovnjaki.</w:t>
            </w:r>
          </w:p>
          <w:p w:rsidR="00A77B3E">
            <w:pPr>
              <w:spacing w:before="100" w:after="0"/>
              <w:jc w:val="start"/>
              <w:rPr>
                <w:rFonts w:ascii="Times New Roman" w:eastAsia="Times New Roman" w:hAnsi="Times New Roman" w:cs="Times New Roman"/>
                <w:b w:val="0"/>
                <w:i w:val="0"/>
                <w:vanish w:val="0"/>
                <w:color w:val="000000"/>
                <w:sz w:val="20"/>
                <w:vertAlign w:val="baseline"/>
              </w:rPr>
            </w:pPr>
          </w:p>
        </w:tc>
      </w:tr>
      <w:tr>
        <w:tblPrEx>
          <w:tblW w:w="0pt" w:type="auto"/>
          <w:tblLayout w:type="fixed"/>
        </w:tblPrEx>
        <w:trPr>
          <w:cantSplit w:val="0"/>
          <w:trHeight w:hRule="auto" w:val="0"/>
          <w:tblHeader w:val="0"/>
        </w:trPr>
        <w:tc>
          <w:tcPr>
            <w:tcW w:w="80pt" w:type="dxa"/>
            <w:vMerge/>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20"/>
                <w:vertAlign w:val="baseline"/>
              </w:rPr>
            </w:pPr>
          </w:p>
        </w:tc>
        <w:tc>
          <w:tcPr>
            <w:tcW w:w="80pt" w:type="dxa"/>
            <w:vMerge/>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20"/>
                <w:vertAlign w:val="baseline"/>
              </w:rPr>
            </w:pPr>
          </w:p>
        </w:tc>
        <w:tc>
          <w:tcPr>
            <w:tcW w:w="18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20"/>
                <w:vertAlign w:val="baseline"/>
              </w:rPr>
            </w:pPr>
            <w:r>
              <w:rPr>
                <w:rFonts w:ascii="Times New Roman" w:eastAsia="Times New Roman" w:hAnsi="Times New Roman" w:cs="Times New Roman"/>
                <w:b w:val="0"/>
                <w:i w:val="0"/>
                <w:vanish w:val="0"/>
                <w:color w:val="000000"/>
                <w:sz w:val="20"/>
                <w:vertAlign w:val="baseline"/>
              </w:rPr>
              <w:t>3. ureditve poročanja odboru za spremljanje o primerih neskladnosti operacij, ki jih podpirajo skladi, s Konvencijo Združenih narodov o pravicah invalidov in pritožbah glede navedene konvencije, predloženih v skladu z ureditvami na podlagi člena 69(7).</w:t>
            </w:r>
          </w:p>
        </w:tc>
        <w:tc>
          <w:tcPr>
            <w:tcW w:w="8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center"/>
              <w:rPr>
                <w:rFonts w:ascii="Times New Roman" w:eastAsia="Times New Roman" w:hAnsi="Times New Roman" w:cs="Times New Roman"/>
                <w:b w:val="0"/>
                <w:i w:val="0"/>
                <w:vanish w:val="0"/>
                <w:color w:val="000000"/>
                <w:sz w:val="20"/>
                <w:vertAlign w:val="baseline"/>
              </w:rPr>
            </w:pPr>
            <w:r>
              <w:rPr>
                <w:rFonts w:ascii="Times New Roman" w:eastAsia="Times New Roman" w:hAnsi="Times New Roman" w:cs="Times New Roman"/>
                <w:b w:val="0"/>
                <w:i w:val="0"/>
                <w:vanish w:val="0"/>
                <w:color w:val="000000"/>
                <w:sz w:val="20"/>
                <w:vertAlign w:val="baseline"/>
              </w:rPr>
              <w:t>Da</w:t>
            </w:r>
          </w:p>
        </w:tc>
        <w:tc>
          <w:tcPr>
            <w:tcW w:w="18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20"/>
                <w:vertAlign w:val="baseline"/>
              </w:rPr>
            </w:pPr>
            <w:r>
              <w:rPr>
                <w:rFonts w:ascii="Times New Roman" w:eastAsia="Times New Roman" w:hAnsi="Times New Roman" w:cs="Times New Roman"/>
                <w:b w:val="0"/>
                <w:i w:val="0"/>
                <w:vanish w:val="0"/>
                <w:color w:val="000000"/>
                <w:sz w:val="20"/>
                <w:vertAlign w:val="baseline"/>
              </w:rPr>
              <w:t>Akcijski program za invalide 2022-2030 (API)</w:t>
            </w:r>
          </w:p>
          <w:p w:rsidR="00A77B3E">
            <w:pPr>
              <w:spacing w:before="100" w:after="0"/>
              <w:jc w:val="start"/>
              <w:rPr>
                <w:rFonts w:ascii="Times New Roman" w:eastAsia="Times New Roman" w:hAnsi="Times New Roman" w:cs="Times New Roman"/>
                <w:b w:val="0"/>
                <w:i w:val="0"/>
                <w:vanish w:val="0"/>
                <w:color w:val="000000"/>
                <w:sz w:val="20"/>
                <w:vertAlign w:val="baseline"/>
              </w:rPr>
            </w:pPr>
            <w:r>
              <w:rPr>
                <w:rFonts w:ascii="Times New Roman" w:eastAsia="Times New Roman" w:hAnsi="Times New Roman" w:cs="Times New Roman"/>
                <w:b w:val="0"/>
                <w:i w:val="0"/>
                <w:vanish w:val="0"/>
                <w:color w:val="000000"/>
                <w:sz w:val="20"/>
                <w:vertAlign w:val="baseline"/>
              </w:rPr>
              <w:t>https://www.gov.si/zbirke/projekti-inprogrami/akcijski-program-za-invalide/</w:t>
            </w:r>
          </w:p>
          <w:p w:rsidR="00A77B3E">
            <w:pPr>
              <w:spacing w:before="100" w:after="0"/>
              <w:jc w:val="start"/>
              <w:rPr>
                <w:rFonts w:ascii="Times New Roman" w:eastAsia="Times New Roman" w:hAnsi="Times New Roman" w:cs="Times New Roman"/>
                <w:b w:val="0"/>
                <w:i w:val="0"/>
                <w:vanish w:val="0"/>
                <w:color w:val="000000"/>
                <w:sz w:val="20"/>
                <w:vertAlign w:val="baseline"/>
              </w:rPr>
            </w:pPr>
          </w:p>
        </w:tc>
        <w:tc>
          <w:tcPr>
            <w:tcW w:w="18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20"/>
                <w:vertAlign w:val="baseline"/>
              </w:rPr>
            </w:pPr>
            <w:r>
              <w:rPr>
                <w:rFonts w:ascii="Times New Roman" w:eastAsia="Times New Roman" w:hAnsi="Times New Roman" w:cs="Times New Roman"/>
                <w:b w:val="0"/>
                <w:i w:val="0"/>
                <w:vanish w:val="0"/>
                <w:color w:val="000000"/>
                <w:sz w:val="20"/>
                <w:vertAlign w:val="baseline"/>
              </w:rPr>
              <w:t>Komisija za spremljanje API bo pripravila letno poročilo, s katerim bo seznanila OU. Mnenje na poročilo bo podal Svet za invalide, ter se izrekel o morebitnih pritožbah in ugotovljenih neskladjih.</w:t>
            </w:r>
          </w:p>
          <w:p w:rsidR="00A77B3E">
            <w:pPr>
              <w:spacing w:before="100" w:after="0"/>
              <w:jc w:val="start"/>
              <w:rPr>
                <w:rFonts w:ascii="Times New Roman" w:eastAsia="Times New Roman" w:hAnsi="Times New Roman" w:cs="Times New Roman"/>
                <w:b w:val="0"/>
                <w:i w:val="0"/>
                <w:vanish w:val="0"/>
                <w:color w:val="000000"/>
                <w:sz w:val="20"/>
                <w:vertAlign w:val="baseline"/>
              </w:rPr>
            </w:pPr>
          </w:p>
          <w:p w:rsidR="00A77B3E">
            <w:pPr>
              <w:spacing w:before="100" w:after="0"/>
              <w:jc w:val="start"/>
              <w:rPr>
                <w:rFonts w:ascii="Times New Roman" w:eastAsia="Times New Roman" w:hAnsi="Times New Roman" w:cs="Times New Roman"/>
                <w:b w:val="0"/>
                <w:i w:val="0"/>
                <w:vanish w:val="0"/>
                <w:color w:val="000000"/>
                <w:sz w:val="20"/>
                <w:vertAlign w:val="baseline"/>
              </w:rPr>
            </w:pPr>
            <w:r>
              <w:rPr>
                <w:rFonts w:ascii="Times New Roman" w:eastAsia="Times New Roman" w:hAnsi="Times New Roman" w:cs="Times New Roman"/>
                <w:b w:val="0"/>
                <w:i w:val="0"/>
                <w:vanish w:val="0"/>
                <w:color w:val="000000"/>
                <w:sz w:val="20"/>
                <w:vertAlign w:val="baseline"/>
              </w:rPr>
              <w:t>OU bo imenoval odgovorno osebo, ki bo zadolžena za spremljanje in poročanje odboru za spremljanje skladov o morebitnih ugotovljenih neskladjih v postopkih upravljalnih preverjanj, revizij, vloženih spletnih pritožb, ugotovitvah Komisije za spremljanje API, ter o izvedenih popravljalnih ukrepih.</w:t>
            </w:r>
          </w:p>
          <w:p w:rsidR="00A77B3E">
            <w:pPr>
              <w:spacing w:before="100" w:after="0"/>
              <w:jc w:val="start"/>
              <w:rPr>
                <w:rFonts w:ascii="Times New Roman" w:eastAsia="Times New Roman" w:hAnsi="Times New Roman" w:cs="Times New Roman"/>
                <w:b w:val="0"/>
                <w:i w:val="0"/>
                <w:vanish w:val="0"/>
                <w:color w:val="000000"/>
                <w:sz w:val="20"/>
                <w:vertAlign w:val="baseline"/>
              </w:rPr>
            </w:pPr>
          </w:p>
          <w:p w:rsidR="00A77B3E">
            <w:pPr>
              <w:spacing w:before="100" w:after="0"/>
              <w:jc w:val="start"/>
              <w:rPr>
                <w:rFonts w:ascii="Times New Roman" w:eastAsia="Times New Roman" w:hAnsi="Times New Roman" w:cs="Times New Roman"/>
                <w:b w:val="0"/>
                <w:i w:val="0"/>
                <w:vanish w:val="0"/>
                <w:color w:val="000000"/>
                <w:sz w:val="20"/>
                <w:vertAlign w:val="baseline"/>
              </w:rPr>
            </w:pPr>
            <w:r>
              <w:rPr>
                <w:rFonts w:ascii="Times New Roman" w:eastAsia="Times New Roman" w:hAnsi="Times New Roman" w:cs="Times New Roman"/>
                <w:b w:val="0"/>
                <w:i w:val="0"/>
                <w:vanish w:val="0"/>
                <w:color w:val="000000"/>
                <w:sz w:val="20"/>
                <w:vertAlign w:val="baseline"/>
              </w:rPr>
              <w:t>Imenovana odgovorna oseba bo enkrat letno pripravila poročilo za odbor za spremljanje skladov, ki bo vsebovalo informacijo o ugotovljenih neskladjih in pritožbah, vsebini in izvedenih popravljalnih ukrepih.</w:t>
            </w:r>
          </w:p>
          <w:p w:rsidR="00A77B3E">
            <w:pPr>
              <w:spacing w:before="100" w:after="0"/>
              <w:jc w:val="start"/>
              <w:rPr>
                <w:rFonts w:ascii="Times New Roman" w:eastAsia="Times New Roman" w:hAnsi="Times New Roman" w:cs="Times New Roman"/>
                <w:b w:val="0"/>
                <w:i w:val="0"/>
                <w:vanish w:val="0"/>
                <w:color w:val="000000"/>
                <w:sz w:val="20"/>
                <w:vertAlign w:val="baseline"/>
              </w:rPr>
            </w:pPr>
          </w:p>
          <w:p w:rsidR="00A77B3E">
            <w:pPr>
              <w:spacing w:before="100" w:after="0"/>
              <w:jc w:val="start"/>
              <w:rPr>
                <w:rFonts w:ascii="Times New Roman" w:eastAsia="Times New Roman" w:hAnsi="Times New Roman" w:cs="Times New Roman"/>
                <w:b w:val="0"/>
                <w:i w:val="0"/>
                <w:vanish w:val="0"/>
                <w:color w:val="000000"/>
                <w:sz w:val="20"/>
                <w:vertAlign w:val="baseline"/>
              </w:rPr>
            </w:pPr>
            <w:r>
              <w:rPr>
                <w:rFonts w:ascii="Times New Roman" w:eastAsia="Times New Roman" w:hAnsi="Times New Roman" w:cs="Times New Roman"/>
                <w:b w:val="0"/>
                <w:i w:val="0"/>
                <w:vanish w:val="0"/>
                <w:color w:val="000000"/>
                <w:sz w:val="20"/>
                <w:vertAlign w:val="baseline"/>
              </w:rPr>
              <w:t>Pritožbe bo zbiral tudi OU, zato bo na spletni strani OU in https://evropskasredstva.si/ objavljen spletni obrazec za pritožbe na podlagi 7. odstavka 69. člena Uredbe (EU) 2021/1060.</w:t>
            </w:r>
          </w:p>
        </w:tc>
      </w:tr>
    </w:tbl>
    <w:p w:rsidR="00A77B3E">
      <w:pPr>
        <w:pStyle w:val="Heading1"/>
        <w:spacing w:before="100" w:after="0"/>
        <w:jc w:val="start"/>
        <w:rPr>
          <w:rFonts w:ascii="Times New Roman" w:eastAsia="Times New Roman" w:hAnsi="Times New Roman" w:cs="Times New Roman"/>
          <w:b w:val="0"/>
          <w:i w:val="0"/>
          <w:vanish w:val="0"/>
          <w:color w:val="000000"/>
          <w:sz w:val="24"/>
          <w:vertAlign w:val="baseline"/>
        </w:rPr>
      </w:pPr>
      <w:r>
        <w:rPr>
          <w:rFonts w:ascii="Times New Roman" w:eastAsia="Times New Roman" w:hAnsi="Times New Roman" w:cs="Times New Roman"/>
          <w:b w:val="0"/>
          <w:i w:val="0"/>
          <w:vanish w:val="0"/>
          <w:color w:val="000000"/>
          <w:sz w:val="20"/>
          <w:vertAlign w:val="baseline"/>
        </w:rPr>
        <w:br w:type="page"/>
      </w:r>
      <w:bookmarkStart w:id="35" w:name="_Toc256000090"/>
      <w:r>
        <w:rPr>
          <w:rFonts w:ascii="Times New Roman" w:eastAsia="Times New Roman" w:hAnsi="Times New Roman" w:cs="Times New Roman"/>
          <w:b w:val="0"/>
          <w:i w:val="0"/>
          <w:vanish w:val="0"/>
          <w:color w:val="000000"/>
          <w:sz w:val="24"/>
          <w:vertAlign w:val="baseline"/>
        </w:rPr>
        <w:t>5. Organi, pristojni za program</w:t>
      </w:r>
      <w:bookmarkEnd w:id="35"/>
    </w:p>
    <w:p w:rsidR="00A77B3E">
      <w:pPr>
        <w:spacing w:before="100" w:after="0"/>
        <w:jc w:val="start"/>
        <w:rPr>
          <w:rFonts w:ascii="Times New Roman" w:eastAsia="Times New Roman" w:hAnsi="Times New Roman" w:cs="Times New Roman"/>
          <w:b w:val="0"/>
          <w:i w:val="0"/>
          <w:vanish w:val="0"/>
          <w:color w:val="000000"/>
          <w:sz w:val="24"/>
          <w:vertAlign w:val="baseline"/>
        </w:rPr>
      </w:pPr>
      <w:r>
        <w:rPr>
          <w:rFonts w:ascii="Times New Roman" w:eastAsia="Times New Roman" w:hAnsi="Times New Roman" w:cs="Times New Roman"/>
          <w:b w:val="0"/>
          <w:i w:val="0"/>
          <w:vanish w:val="0"/>
          <w:color w:val="000000"/>
          <w:sz w:val="24"/>
          <w:vertAlign w:val="baseline"/>
        </w:rPr>
        <w:t>Sklic: člen 22(3)(k) ter člena 71 in 84 uredbe o skupnih določbah</w:t>
      </w:r>
    </w:p>
    <w:p w:rsidR="00A77B3E">
      <w:pPr>
        <w:pStyle w:val="Heading2"/>
        <w:spacing w:before="100" w:after="0"/>
        <w:jc w:val="start"/>
        <w:rPr>
          <w:rFonts w:ascii="Times New Roman" w:eastAsia="Times New Roman" w:hAnsi="Times New Roman" w:cs="Times New Roman"/>
          <w:b w:val="0"/>
          <w:i w:val="0"/>
          <w:vanish w:val="0"/>
          <w:color w:val="000000"/>
          <w:sz w:val="24"/>
          <w:vertAlign w:val="baseline"/>
        </w:rPr>
      </w:pPr>
      <w:bookmarkStart w:id="36" w:name="_Toc256000091"/>
      <w:r>
        <w:rPr>
          <w:rFonts w:ascii="Times New Roman" w:eastAsia="Times New Roman" w:hAnsi="Times New Roman" w:cs="Times New Roman"/>
          <w:b w:val="0"/>
          <w:i w:val="0"/>
          <w:vanish w:val="0"/>
          <w:color w:val="000000"/>
          <w:sz w:val="24"/>
          <w:vertAlign w:val="baseline"/>
        </w:rPr>
        <w:t>Tabela 10: Organi, pristojni za program</w:t>
      </w:r>
      <w:bookmarkEnd w:id="36"/>
    </w:p>
    <w:p w:rsidR="00A77B3E">
      <w:pPr>
        <w:spacing w:before="100" w:after="0"/>
        <w:jc w:val="start"/>
        <w:rPr>
          <w:rFonts w:ascii="Times New Roman" w:eastAsia="Times New Roman" w:hAnsi="Times New Roman" w:cs="Times New Roman"/>
          <w:b w:val="0"/>
          <w:i w:val="0"/>
          <w:vanish w:val="0"/>
          <w:color w:val="000000"/>
          <w:sz w:val="0"/>
          <w:vertAlign w:val="baseline"/>
        </w:rPr>
      </w:pPr>
    </w:p>
    <w:tbl>
      <w:tblPr>
        <w:tblW w:w="100%" w:type="pct"/>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CellMar>
          <w:start w:w="5.4pt" w:type="dxa"/>
          <w:end w:w="5.4pt" w:type="dxa"/>
        </w:tblCellMar>
      </w:tblPr>
      <w:tblGrid>
        <w:gridCol w:w="4060"/>
        <w:gridCol w:w="5875"/>
        <w:gridCol w:w="1802"/>
        <w:gridCol w:w="1851"/>
        <w:gridCol w:w="1714"/>
      </w:tblGrid>
      <w:tr>
        <w:tblPrEx>
          <w:tblW w:w="100%" w:type="pct"/>
        </w:tblPrEx>
        <w:trPr>
          <w:cantSplit w:val="0"/>
          <w:trHeight w:hRule="auto" w:val="0"/>
          <w:tblHeader/>
        </w:trPr>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rsidR="00A77B3E">
            <w:pPr>
              <w:spacing w:before="100" w:after="0"/>
              <w:jc w:val="center"/>
              <w:rPr>
                <w:rFonts w:ascii="Times New Roman" w:eastAsia="Times New Roman" w:hAnsi="Times New Roman" w:cs="Times New Roman"/>
                <w:b w:val="0"/>
                <w:i w:val="0"/>
                <w:vanish w:val="0"/>
                <w:color w:val="000000"/>
                <w:sz w:val="20"/>
                <w:vertAlign w:val="baseline"/>
              </w:rPr>
            </w:pPr>
            <w:r>
              <w:rPr>
                <w:rFonts w:ascii="Times New Roman" w:eastAsia="Times New Roman" w:hAnsi="Times New Roman" w:cs="Times New Roman"/>
                <w:b w:val="0"/>
                <w:i w:val="0"/>
                <w:vanish w:val="0"/>
                <w:color w:val="000000"/>
                <w:sz w:val="20"/>
                <w:vertAlign w:val="baseline"/>
              </w:rPr>
              <w:t>Organ, pristojen za program</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rsidR="00A77B3E">
            <w:pPr>
              <w:spacing w:before="100" w:after="0"/>
              <w:jc w:val="center"/>
              <w:rPr>
                <w:rFonts w:ascii="Times New Roman" w:eastAsia="Times New Roman" w:hAnsi="Times New Roman" w:cs="Times New Roman"/>
                <w:b w:val="0"/>
                <w:i w:val="0"/>
                <w:vanish w:val="0"/>
                <w:color w:val="000000"/>
                <w:sz w:val="20"/>
                <w:vertAlign w:val="baseline"/>
              </w:rPr>
            </w:pPr>
            <w:r>
              <w:rPr>
                <w:rFonts w:ascii="Times New Roman" w:eastAsia="Times New Roman" w:hAnsi="Times New Roman" w:cs="Times New Roman"/>
                <w:b w:val="0"/>
                <w:i w:val="0"/>
                <w:vanish w:val="0"/>
                <w:color w:val="000000"/>
                <w:sz w:val="20"/>
                <w:vertAlign w:val="baseline"/>
              </w:rPr>
              <w:t>Ime nosilca</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rsidR="00A77B3E">
            <w:pPr>
              <w:spacing w:before="100" w:after="0"/>
              <w:jc w:val="center"/>
              <w:rPr>
                <w:rFonts w:ascii="Times New Roman" w:eastAsia="Times New Roman" w:hAnsi="Times New Roman" w:cs="Times New Roman"/>
                <w:b w:val="0"/>
                <w:i w:val="0"/>
                <w:vanish w:val="0"/>
                <w:color w:val="000000"/>
                <w:sz w:val="20"/>
                <w:vertAlign w:val="baseline"/>
              </w:rPr>
            </w:pPr>
            <w:r>
              <w:rPr>
                <w:rFonts w:ascii="Times New Roman" w:eastAsia="Times New Roman" w:hAnsi="Times New Roman" w:cs="Times New Roman"/>
                <w:b w:val="0"/>
                <w:i w:val="0"/>
                <w:vanish w:val="0"/>
                <w:color w:val="000000"/>
                <w:sz w:val="20"/>
                <w:vertAlign w:val="baseline"/>
              </w:rPr>
              <w:t>Kontaktna oseba</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rsidR="00A77B3E">
            <w:pPr>
              <w:spacing w:before="100" w:after="0"/>
              <w:jc w:val="center"/>
              <w:rPr>
                <w:rFonts w:ascii="Times New Roman" w:eastAsia="Times New Roman" w:hAnsi="Times New Roman" w:cs="Times New Roman"/>
                <w:b w:val="0"/>
                <w:i w:val="0"/>
                <w:vanish w:val="0"/>
                <w:color w:val="000000"/>
                <w:sz w:val="20"/>
                <w:vertAlign w:val="baseline"/>
              </w:rPr>
            </w:pPr>
            <w:r>
              <w:rPr>
                <w:rFonts w:ascii="Times New Roman" w:eastAsia="Times New Roman" w:hAnsi="Times New Roman" w:cs="Times New Roman"/>
                <w:b w:val="0"/>
                <w:i w:val="0"/>
                <w:vanish w:val="0"/>
                <w:color w:val="000000"/>
                <w:sz w:val="20"/>
                <w:vertAlign w:val="baseline"/>
              </w:rPr>
              <w:t>Položaj</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rsidR="00A77B3E">
            <w:pPr>
              <w:spacing w:before="100" w:after="0"/>
              <w:jc w:val="center"/>
              <w:rPr>
                <w:rFonts w:ascii="Times New Roman" w:eastAsia="Times New Roman" w:hAnsi="Times New Roman" w:cs="Times New Roman"/>
                <w:b w:val="0"/>
                <w:i w:val="0"/>
                <w:vanish w:val="0"/>
                <w:color w:val="000000"/>
                <w:sz w:val="20"/>
                <w:vertAlign w:val="baseline"/>
              </w:rPr>
            </w:pPr>
            <w:r>
              <w:rPr>
                <w:rFonts w:ascii="Times New Roman" w:eastAsia="Times New Roman" w:hAnsi="Times New Roman" w:cs="Times New Roman"/>
                <w:b w:val="0"/>
                <w:i w:val="0"/>
                <w:vanish w:val="0"/>
                <w:color w:val="000000"/>
                <w:sz w:val="20"/>
                <w:vertAlign w:val="baseline"/>
              </w:rPr>
              <w:t>E-naslov</w:t>
            </w:r>
          </w:p>
        </w:tc>
      </w:tr>
      <w:tr>
        <w:tblPrEx>
          <w:tblW w:w="100%" w:type="pct"/>
        </w:tblPrEx>
        <w:trPr>
          <w:cantSplit w:val="0"/>
          <w:trHeight w:hRule="auto" w:val="0"/>
          <w:tblHeader w:val="0"/>
        </w:trPr>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20"/>
                <w:vertAlign w:val="baseline"/>
              </w:rPr>
            </w:pPr>
            <w:r>
              <w:rPr>
                <w:rFonts w:ascii="Times New Roman" w:eastAsia="Times New Roman" w:hAnsi="Times New Roman" w:cs="Times New Roman"/>
                <w:b w:val="0"/>
                <w:i w:val="0"/>
                <w:vanish w:val="0"/>
                <w:color w:val="000000"/>
                <w:sz w:val="20"/>
                <w:vertAlign w:val="baseline"/>
              </w:rPr>
              <w:t>Organ upravljanja</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20"/>
                <w:vertAlign w:val="baseline"/>
              </w:rPr>
            </w:pPr>
            <w:r>
              <w:rPr>
                <w:rFonts w:ascii="Times New Roman" w:eastAsia="Times New Roman" w:hAnsi="Times New Roman" w:cs="Times New Roman"/>
                <w:b w:val="0"/>
                <w:i w:val="0"/>
                <w:vanish w:val="0"/>
                <w:color w:val="000000"/>
                <w:sz w:val="20"/>
                <w:vertAlign w:val="baseline"/>
              </w:rPr>
              <w:t xml:space="preserve">Ministrstvo za notranje zadeve, Sekretariat </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20"/>
                <w:vertAlign w:val="baseline"/>
              </w:rPr>
            </w:pPr>
            <w:r>
              <w:rPr>
                <w:rFonts w:ascii="Times New Roman" w:eastAsia="Times New Roman" w:hAnsi="Times New Roman" w:cs="Times New Roman"/>
                <w:b w:val="0"/>
                <w:i w:val="0"/>
                <w:vanish w:val="0"/>
                <w:color w:val="000000"/>
                <w:sz w:val="20"/>
                <w:vertAlign w:val="baseline"/>
              </w:rPr>
              <w:t>Tina Heferle</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20"/>
                <w:vertAlign w:val="baseline"/>
              </w:rPr>
            </w:pPr>
            <w:r>
              <w:rPr>
                <w:rFonts w:ascii="Times New Roman" w:eastAsia="Times New Roman" w:hAnsi="Times New Roman" w:cs="Times New Roman"/>
                <w:b w:val="0"/>
                <w:i w:val="0"/>
                <w:vanish w:val="0"/>
                <w:color w:val="000000"/>
                <w:sz w:val="20"/>
                <w:vertAlign w:val="baseline"/>
              </w:rPr>
              <w:t>državna sekretarka</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20"/>
                <w:vertAlign w:val="baseline"/>
              </w:rPr>
            </w:pPr>
            <w:r>
              <w:rPr>
                <w:rFonts w:ascii="Times New Roman" w:eastAsia="Times New Roman" w:hAnsi="Times New Roman" w:cs="Times New Roman"/>
                <w:b w:val="0"/>
                <w:i w:val="0"/>
                <w:vanish w:val="0"/>
                <w:color w:val="000000"/>
                <w:sz w:val="20"/>
                <w:vertAlign w:val="baseline"/>
              </w:rPr>
              <w:t>ses.mnz@gov.si</w:t>
            </w:r>
          </w:p>
        </w:tc>
      </w:tr>
      <w:tr>
        <w:tblPrEx>
          <w:tblW w:w="100%" w:type="pct"/>
        </w:tblPrEx>
        <w:trPr>
          <w:cantSplit w:val="0"/>
          <w:trHeight w:hRule="auto" w:val="0"/>
          <w:tblHeader w:val="0"/>
        </w:trPr>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20"/>
                <w:vertAlign w:val="baseline"/>
              </w:rPr>
            </w:pPr>
            <w:r>
              <w:rPr>
                <w:rFonts w:ascii="Times New Roman" w:eastAsia="Times New Roman" w:hAnsi="Times New Roman" w:cs="Times New Roman"/>
                <w:b w:val="0"/>
                <w:i w:val="0"/>
                <w:vanish w:val="0"/>
                <w:color w:val="000000"/>
                <w:sz w:val="20"/>
                <w:vertAlign w:val="baseline"/>
              </w:rPr>
              <w:t>Revizijski organ</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20"/>
                <w:vertAlign w:val="baseline"/>
              </w:rPr>
            </w:pPr>
            <w:r>
              <w:rPr>
                <w:rFonts w:ascii="Times New Roman" w:eastAsia="Times New Roman" w:hAnsi="Times New Roman" w:cs="Times New Roman"/>
                <w:b w:val="0"/>
                <w:i w:val="0"/>
                <w:vanish w:val="0"/>
                <w:color w:val="000000"/>
                <w:sz w:val="20"/>
                <w:vertAlign w:val="baseline"/>
              </w:rPr>
              <w:t>Ministrstvo za finance, Urad za nadzor proračuna</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20"/>
                <w:vertAlign w:val="baseline"/>
              </w:rPr>
            </w:pPr>
            <w:r>
              <w:rPr>
                <w:rFonts w:ascii="Times New Roman" w:eastAsia="Times New Roman" w:hAnsi="Times New Roman" w:cs="Times New Roman"/>
                <w:b w:val="0"/>
                <w:i w:val="0"/>
                <w:vanish w:val="0"/>
                <w:color w:val="000000"/>
                <w:sz w:val="20"/>
                <w:vertAlign w:val="baseline"/>
              </w:rPr>
              <w:t>Patricija Pergar</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20"/>
                <w:vertAlign w:val="baseline"/>
              </w:rPr>
            </w:pPr>
            <w:r>
              <w:rPr>
                <w:rFonts w:ascii="Times New Roman" w:eastAsia="Times New Roman" w:hAnsi="Times New Roman" w:cs="Times New Roman"/>
                <w:b w:val="0"/>
                <w:i w:val="0"/>
                <w:vanish w:val="0"/>
                <w:color w:val="000000"/>
                <w:sz w:val="20"/>
                <w:vertAlign w:val="baseline"/>
              </w:rPr>
              <w:t>direktorica</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20"/>
                <w:vertAlign w:val="baseline"/>
              </w:rPr>
            </w:pPr>
            <w:r>
              <w:rPr>
                <w:rFonts w:ascii="Times New Roman" w:eastAsia="Times New Roman" w:hAnsi="Times New Roman" w:cs="Times New Roman"/>
                <w:b w:val="0"/>
                <w:i w:val="0"/>
                <w:vanish w:val="0"/>
                <w:color w:val="000000"/>
                <w:sz w:val="20"/>
                <w:vertAlign w:val="baseline"/>
              </w:rPr>
              <w:t>mf.unp@gov.si</w:t>
            </w:r>
          </w:p>
        </w:tc>
      </w:tr>
      <w:tr>
        <w:tblPrEx>
          <w:tblW w:w="100%" w:type="pct"/>
        </w:tblPrEx>
        <w:trPr>
          <w:cantSplit w:val="0"/>
          <w:trHeight w:hRule="auto" w:val="0"/>
          <w:tblHeader w:val="0"/>
        </w:trPr>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20"/>
                <w:vertAlign w:val="baseline"/>
              </w:rPr>
            </w:pPr>
            <w:r>
              <w:rPr>
                <w:rFonts w:ascii="Times New Roman" w:eastAsia="Times New Roman" w:hAnsi="Times New Roman" w:cs="Times New Roman"/>
                <w:b w:val="0"/>
                <w:i w:val="0"/>
                <w:vanish w:val="0"/>
                <w:color w:val="000000"/>
                <w:sz w:val="20"/>
                <w:vertAlign w:val="baseline"/>
              </w:rPr>
              <w:t>Telo, ki prejema plačila Evropske komisije</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20"/>
                <w:vertAlign w:val="baseline"/>
              </w:rPr>
            </w:pPr>
            <w:r>
              <w:rPr>
                <w:rFonts w:ascii="Times New Roman" w:eastAsia="Times New Roman" w:hAnsi="Times New Roman" w:cs="Times New Roman"/>
                <w:b w:val="0"/>
                <w:i w:val="0"/>
                <w:vanish w:val="0"/>
                <w:color w:val="000000"/>
                <w:sz w:val="20"/>
                <w:vertAlign w:val="baseline"/>
              </w:rPr>
              <w:t>Ministrstvo za finance, Sektor za upravljanje s sredstvi EU/CA</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20"/>
                <w:vertAlign w:val="baseline"/>
              </w:rPr>
            </w:pPr>
            <w:r>
              <w:rPr>
                <w:rFonts w:ascii="Times New Roman" w:eastAsia="Times New Roman" w:hAnsi="Times New Roman" w:cs="Times New Roman"/>
                <w:b w:val="0"/>
                <w:i w:val="0"/>
                <w:vanish w:val="0"/>
                <w:color w:val="000000"/>
                <w:sz w:val="20"/>
                <w:vertAlign w:val="baseline"/>
              </w:rPr>
              <w:t xml:space="preserve">Mag. Evelyn Filip </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20"/>
                <w:vertAlign w:val="baseline"/>
              </w:rPr>
            </w:pPr>
            <w:r>
              <w:rPr>
                <w:rFonts w:ascii="Times New Roman" w:eastAsia="Times New Roman" w:hAnsi="Times New Roman" w:cs="Times New Roman"/>
                <w:b w:val="0"/>
                <w:i w:val="0"/>
                <w:vanish w:val="0"/>
                <w:color w:val="000000"/>
                <w:sz w:val="20"/>
                <w:vertAlign w:val="baseline"/>
              </w:rPr>
              <w:t>vodja sektorja</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20"/>
                <w:vertAlign w:val="baseline"/>
              </w:rPr>
            </w:pPr>
            <w:r>
              <w:rPr>
                <w:rFonts w:ascii="Times New Roman" w:eastAsia="Times New Roman" w:hAnsi="Times New Roman" w:cs="Times New Roman"/>
                <w:b w:val="0"/>
                <w:i w:val="0"/>
                <w:vanish w:val="0"/>
                <w:color w:val="000000"/>
                <w:sz w:val="20"/>
                <w:vertAlign w:val="baseline"/>
              </w:rPr>
              <w:t>suseu.mf@gov.si</w:t>
            </w:r>
          </w:p>
        </w:tc>
      </w:tr>
    </w:tbl>
    <w:p w:rsidR="00A77B3E">
      <w:pPr>
        <w:spacing w:before="100" w:after="0"/>
        <w:jc w:val="center"/>
        <w:rPr>
          <w:rFonts w:ascii="Times New Roman" w:eastAsia="Times New Roman" w:hAnsi="Times New Roman" w:cs="Times New Roman"/>
          <w:b w:val="0"/>
          <w:i w:val="0"/>
          <w:vanish w:val="0"/>
          <w:color w:val="000000"/>
          <w:sz w:val="20"/>
          <w:vertAlign w:val="baseline"/>
        </w:rPr>
        <w:sectPr>
          <w:headerReference w:type="even" r:id="rId64"/>
          <w:headerReference w:type="default" r:id="rId65"/>
          <w:footerReference w:type="even" r:id="rId66"/>
          <w:footerReference w:type="default" r:id="rId67"/>
          <w:headerReference w:type="first" r:id="rId68"/>
          <w:footerReference w:type="first" r:id="rId69"/>
          <w:type w:val="nextPage"/>
          <w:pgSz w:w="16838" w:h="11906" w:orient="landscape"/>
          <w:pgMar w:top="720" w:right="720" w:bottom="864" w:left="936" w:header="288" w:footer="72" w:gutter="0"/>
          <w:cols w:space="720"/>
          <w:noEndnote/>
          <w:docGrid w:linePitch="360"/>
        </w:sectPr>
      </w:pPr>
    </w:p>
    <w:p w:rsidR="00A77B3E">
      <w:pPr>
        <w:pStyle w:val="Heading1"/>
        <w:spacing w:before="100" w:after="0"/>
        <w:jc w:val="start"/>
        <w:rPr>
          <w:rFonts w:ascii="Times New Roman" w:eastAsia="Times New Roman" w:hAnsi="Times New Roman" w:cs="Times New Roman"/>
          <w:b w:val="0"/>
          <w:i w:val="0"/>
          <w:vanish w:val="0"/>
          <w:color w:val="000000"/>
          <w:sz w:val="24"/>
          <w:vertAlign w:val="baseline"/>
        </w:rPr>
      </w:pPr>
      <w:bookmarkStart w:id="37" w:name="_Toc256000092"/>
      <w:r>
        <w:rPr>
          <w:rFonts w:ascii="Times New Roman" w:eastAsia="Times New Roman" w:hAnsi="Times New Roman" w:cs="Times New Roman"/>
          <w:b w:val="0"/>
          <w:i w:val="0"/>
          <w:vanish w:val="0"/>
          <w:color w:val="000000"/>
          <w:sz w:val="24"/>
          <w:vertAlign w:val="baseline"/>
        </w:rPr>
        <w:t>6. Partnerstvo</w:t>
      </w:r>
      <w:bookmarkEnd w:id="37"/>
    </w:p>
    <w:p w:rsidR="00A77B3E">
      <w:pPr>
        <w:spacing w:before="100" w:after="0"/>
        <w:jc w:val="start"/>
        <w:rPr>
          <w:rFonts w:ascii="Times New Roman" w:eastAsia="Times New Roman" w:hAnsi="Times New Roman" w:cs="Times New Roman"/>
          <w:b w:val="0"/>
          <w:i w:val="0"/>
          <w:vanish w:val="0"/>
          <w:color w:val="000000"/>
          <w:sz w:val="16"/>
          <w:vertAlign w:val="baseline"/>
        </w:rPr>
      </w:pPr>
      <w:r>
        <w:rPr>
          <w:rFonts w:ascii="Times New Roman" w:eastAsia="Times New Roman" w:hAnsi="Times New Roman" w:cs="Times New Roman"/>
          <w:b w:val="0"/>
          <w:i w:val="0"/>
          <w:vanish w:val="0"/>
          <w:color w:val="000000"/>
          <w:sz w:val="24"/>
          <w:vertAlign w:val="baseline"/>
        </w:rPr>
        <w:t>Sklic: člen 22(3)(h) uredbe o skupnih določbah</w:t>
      </w:r>
    </w:p>
    <w:p w:rsidR="00A77B3E">
      <w:pPr>
        <w:spacing w:before="100" w:after="0"/>
        <w:jc w:val="start"/>
        <w:rPr>
          <w:rFonts w:ascii="Times New Roman" w:eastAsia="Times New Roman" w:hAnsi="Times New Roman" w:cs="Times New Roman"/>
          <w:b w:val="0"/>
          <w:i w:val="0"/>
          <w:vanish w:val="0"/>
          <w:color w:val="000000"/>
          <w:sz w:val="12"/>
          <w:vertAlign w:val="baseline"/>
        </w:rPr>
      </w:pPr>
    </w:p>
    <w:tbl>
      <w:tblPr>
        <w:tblW w:w="100%" w:type="pct"/>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Layout w:type="fixed"/>
        <w:tblCellMar>
          <w:start w:w="5.4pt" w:type="dxa"/>
          <w:end w:w="5.4pt" w:type="dxa"/>
        </w:tblCellMar>
      </w:tblPr>
      <w:tblGrid>
        <w:gridCol w:w="10240"/>
      </w:tblGrid>
      <w:tr>
        <w:tblPrEx>
          <w:tblW w:w="100%" w:type="pct"/>
          <w:tblLayout w:type="fixed"/>
        </w:tblPrEx>
        <w:trPr>
          <w:cantSplit w:val="0"/>
          <w:trHeight w:val="160"/>
        </w:trPr>
        <w:tc>
          <w:tcPr>
            <w:tcW w:w="100%" w:type="pct"/>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rsidR="00A77B3E">
            <w:pPr>
              <w:spacing w:before="100" w:after="0"/>
              <w:jc w:val="start"/>
              <w:rPr>
                <w:rFonts w:ascii="Times New Roman" w:eastAsia="Times New Roman" w:hAnsi="Times New Roman" w:cs="Times New Roman"/>
                <w:b w:val="0"/>
                <w:i w:val="0"/>
                <w:vanish w:val="0"/>
                <w:color w:val="000000"/>
                <w:sz w:val="0"/>
                <w:vertAlign w:val="baseline"/>
              </w:rPr>
            </w:pPr>
          </w:p>
          <w:p w:rsidR="00A77B3E">
            <w:pPr>
              <w:spacing w:before="100" w:after="0"/>
              <w:jc w:val="start"/>
              <w:rPr>
                <w:rFonts w:ascii="Times New Roman" w:eastAsia="Times New Roman" w:hAnsi="Times New Roman" w:cs="Times New Roman"/>
                <w:b w:val="0"/>
                <w:i w:val="0"/>
                <w:vanish w:val="0"/>
                <w:color w:val="000000"/>
                <w:sz w:val="24"/>
                <w:vertAlign w:val="baseline"/>
              </w:rPr>
            </w:pPr>
            <w:r>
              <w:rPr>
                <w:rFonts w:ascii="Times New Roman" w:eastAsia="Times New Roman" w:hAnsi="Times New Roman" w:cs="Times New Roman"/>
                <w:b w:val="0"/>
                <w:i w:val="0"/>
                <w:vanish w:val="0"/>
                <w:color w:val="000000"/>
                <w:sz w:val="24"/>
                <w:vertAlign w:val="baseline"/>
              </w:rPr>
              <w:t>Vključenost relevantnih deležnikov: V fazi priprave Programa so bili skladno z 8. členom CPR udeleženi vsi potrebni organi in ustrezni deležniki na različnih ravneh (ekonomsko–socialni partnerji, telesa, ki predstavljajo civilno družbo, regionalna, lokalna in mestna raven ter raziskovalne organizacije in univerze). Program jim je bil posredovan v podajo pisnih pripomb. Poleg tega je bil izveden javni posvet, kjer so bili cilji in aktivnosti sklada za 2021-2027 predstavljeni. Skladno s prejetimi pripombami in usmeritvami je bil Program ustrezno usklajen. Pozivi in predlogi ter odgovori OU bodo javno dostopni.</w:t>
            </w:r>
          </w:p>
          <w:p w:rsidR="00A77B3E">
            <w:pPr>
              <w:spacing w:before="100" w:after="0"/>
              <w:jc w:val="start"/>
              <w:rPr>
                <w:rFonts w:ascii="Times New Roman" w:eastAsia="Times New Roman" w:hAnsi="Times New Roman" w:cs="Times New Roman"/>
                <w:b w:val="0"/>
                <w:i w:val="0"/>
                <w:vanish w:val="0"/>
                <w:color w:val="000000"/>
                <w:sz w:val="24"/>
                <w:vertAlign w:val="baseline"/>
              </w:rPr>
            </w:pPr>
          </w:p>
          <w:p w:rsidR="00A77B3E">
            <w:pPr>
              <w:spacing w:before="100" w:after="0"/>
              <w:jc w:val="start"/>
              <w:rPr>
                <w:rFonts w:ascii="Times New Roman" w:eastAsia="Times New Roman" w:hAnsi="Times New Roman" w:cs="Times New Roman"/>
                <w:b w:val="0"/>
                <w:i w:val="0"/>
                <w:vanish w:val="0"/>
                <w:color w:val="000000"/>
                <w:sz w:val="24"/>
                <w:vertAlign w:val="baseline"/>
              </w:rPr>
            </w:pPr>
            <w:r>
              <w:rPr>
                <w:rFonts w:ascii="Times New Roman" w:eastAsia="Times New Roman" w:hAnsi="Times New Roman" w:cs="Times New Roman"/>
                <w:b w:val="0"/>
                <w:i w:val="0"/>
                <w:vanish w:val="0"/>
                <w:color w:val="000000"/>
                <w:sz w:val="24"/>
                <w:vertAlign w:val="baseline"/>
              </w:rPr>
              <w:t>Ekonomsko–socialni partnerji:</w:t>
            </w:r>
          </w:p>
          <w:p w:rsidR="00A77B3E">
            <w:pPr>
              <w:numPr>
                <w:ilvl w:val="0"/>
                <w:numId w:val="19"/>
              </w:numPr>
              <w:spacing w:before="100" w:after="0"/>
              <w:ind w:start="720" w:hanging="360"/>
              <w:jc w:val="start"/>
              <w:rPr>
                <w:rFonts w:ascii="Times New Roman" w:eastAsia="Times New Roman" w:hAnsi="Times New Roman" w:cs="Times New Roman"/>
                <w:b w:val="0"/>
                <w:i w:val="0"/>
                <w:vanish w:val="0"/>
                <w:color w:val="000000"/>
                <w:sz w:val="24"/>
                <w:vertAlign w:val="baseline"/>
              </w:rPr>
            </w:pPr>
            <w:r>
              <w:rPr>
                <w:rFonts w:ascii="Times New Roman" w:eastAsia="Times New Roman" w:hAnsi="Times New Roman" w:cs="Times New Roman"/>
                <w:b w:val="0"/>
                <w:i w:val="0"/>
                <w:vanish w:val="0"/>
                <w:color w:val="000000"/>
                <w:sz w:val="24"/>
                <w:vertAlign w:val="baseline"/>
              </w:rPr>
              <w:t>Ekonomsko-socialni svet (ESS) je tristranski organ socialnih partnerjev in Vlade Republike Slovenije, ustanovljen za obravnavanje vprašanj in ukrepov v zvezi z ekonomsko in socialno politiko ter drugih vprašanj, povezanih s posebnimi področji dogovora med partnerji.</w:t>
            </w:r>
          </w:p>
          <w:p w:rsidR="00A77B3E">
            <w:pPr>
              <w:spacing w:before="100" w:after="0"/>
              <w:jc w:val="start"/>
              <w:rPr>
                <w:rFonts w:ascii="Times New Roman" w:eastAsia="Times New Roman" w:hAnsi="Times New Roman" w:cs="Times New Roman"/>
                <w:b w:val="0"/>
                <w:i w:val="0"/>
                <w:vanish w:val="0"/>
                <w:color w:val="000000"/>
                <w:sz w:val="24"/>
                <w:vertAlign w:val="baseline"/>
              </w:rPr>
            </w:pPr>
          </w:p>
          <w:p w:rsidR="00A77B3E">
            <w:pPr>
              <w:spacing w:before="100" w:after="0"/>
              <w:jc w:val="start"/>
              <w:rPr>
                <w:rFonts w:ascii="Times New Roman" w:eastAsia="Times New Roman" w:hAnsi="Times New Roman" w:cs="Times New Roman"/>
                <w:b w:val="0"/>
                <w:i w:val="0"/>
                <w:vanish w:val="0"/>
                <w:color w:val="000000"/>
                <w:sz w:val="24"/>
                <w:vertAlign w:val="baseline"/>
              </w:rPr>
            </w:pPr>
            <w:r>
              <w:rPr>
                <w:rFonts w:ascii="Times New Roman" w:eastAsia="Times New Roman" w:hAnsi="Times New Roman" w:cs="Times New Roman"/>
                <w:b w:val="0"/>
                <w:i w:val="0"/>
                <w:vanish w:val="0"/>
                <w:color w:val="000000"/>
                <w:sz w:val="24"/>
                <w:vertAlign w:val="baseline"/>
              </w:rPr>
              <w:t>Telesa, ki predstavljajo civilno družbo, mednarodne organizacije, nevladne organizacije, begunske organizacije, organizacije, ki jih vodijo migranti, organizacije za človekove pravice:</w:t>
            </w:r>
          </w:p>
          <w:p w:rsidR="00A77B3E">
            <w:pPr>
              <w:numPr>
                <w:ilvl w:val="0"/>
                <w:numId w:val="20"/>
              </w:numPr>
              <w:spacing w:before="100" w:after="0"/>
              <w:ind w:start="720" w:hanging="360"/>
              <w:jc w:val="start"/>
              <w:rPr>
                <w:rFonts w:ascii="Times New Roman" w:eastAsia="Times New Roman" w:hAnsi="Times New Roman" w:cs="Times New Roman"/>
                <w:b w:val="0"/>
                <w:i w:val="0"/>
                <w:vanish w:val="0"/>
                <w:color w:val="000000"/>
                <w:sz w:val="24"/>
                <w:vertAlign w:val="baseline"/>
              </w:rPr>
            </w:pPr>
            <w:r>
              <w:rPr>
                <w:rFonts w:ascii="Times New Roman" w:eastAsia="Times New Roman" w:hAnsi="Times New Roman" w:cs="Times New Roman"/>
                <w:b w:val="0"/>
                <w:i w:val="0"/>
                <w:vanish w:val="0"/>
                <w:color w:val="000000"/>
                <w:sz w:val="24"/>
                <w:vertAlign w:val="baseline"/>
              </w:rPr>
              <w:t>CNVOS je krovna mreža slovenskih nevladnih organizacij. Združujejo več kot 1.500 različnih društev in posameznih društev, zavodov in institucij. S svojim znanjem in izkušnjami podpirajo slovenski nevladni sektor.</w:t>
            </w:r>
          </w:p>
          <w:p w:rsidR="00A77B3E">
            <w:pPr>
              <w:numPr>
                <w:ilvl w:val="0"/>
                <w:numId w:val="20"/>
              </w:numPr>
              <w:spacing w:before="100" w:after="0"/>
              <w:ind w:start="720" w:hanging="360"/>
              <w:jc w:val="start"/>
              <w:rPr>
                <w:rFonts w:ascii="Times New Roman" w:eastAsia="Times New Roman" w:hAnsi="Times New Roman" w:cs="Times New Roman"/>
                <w:b w:val="0"/>
                <w:i w:val="0"/>
                <w:vanish w:val="0"/>
                <w:color w:val="000000"/>
                <w:sz w:val="24"/>
                <w:vertAlign w:val="baseline"/>
              </w:rPr>
            </w:pPr>
            <w:r>
              <w:rPr>
                <w:rFonts w:ascii="Times New Roman" w:eastAsia="Times New Roman" w:hAnsi="Times New Roman" w:cs="Times New Roman"/>
                <w:b w:val="0"/>
                <w:i w:val="0"/>
                <w:vanish w:val="0"/>
                <w:color w:val="000000"/>
                <w:sz w:val="24"/>
                <w:vertAlign w:val="baseline"/>
              </w:rPr>
              <w:t>Mirovni inštitut in migracijski forum. Je neodvisen in neprofitni raziskovalni inštitut, ki ga je leta 1991 ustanovila skupina posameznikov, ki so verjeli v mirno reševanje konfliktov, enakost in spoštovanje človekovih pravic (dejavni na področju pravic migrantov).</w:t>
            </w:r>
          </w:p>
          <w:p w:rsidR="00A77B3E">
            <w:pPr>
              <w:numPr>
                <w:ilvl w:val="0"/>
                <w:numId w:val="20"/>
              </w:numPr>
              <w:spacing w:before="100" w:after="0"/>
              <w:ind w:start="720" w:hanging="360"/>
              <w:jc w:val="start"/>
              <w:rPr>
                <w:rFonts w:ascii="Times New Roman" w:eastAsia="Times New Roman" w:hAnsi="Times New Roman" w:cs="Times New Roman"/>
                <w:b w:val="0"/>
                <w:i w:val="0"/>
                <w:vanish w:val="0"/>
                <w:color w:val="000000"/>
                <w:sz w:val="24"/>
                <w:vertAlign w:val="baseline"/>
              </w:rPr>
            </w:pPr>
            <w:r>
              <w:rPr>
                <w:rFonts w:ascii="Times New Roman" w:eastAsia="Times New Roman" w:hAnsi="Times New Roman" w:cs="Times New Roman"/>
                <w:b w:val="0"/>
                <w:i w:val="0"/>
                <w:vanish w:val="0"/>
                <w:color w:val="000000"/>
                <w:sz w:val="24"/>
                <w:vertAlign w:val="baseline"/>
              </w:rPr>
              <w:t>Predstavnik nevladnih organizacij v obstoječem Odboru za spremljanje AMIF-SNV.</w:t>
            </w:r>
          </w:p>
          <w:p w:rsidR="00A77B3E">
            <w:pPr>
              <w:numPr>
                <w:ilvl w:val="0"/>
                <w:numId w:val="20"/>
              </w:numPr>
              <w:spacing w:before="100" w:after="0"/>
              <w:ind w:start="720" w:hanging="360"/>
              <w:jc w:val="start"/>
              <w:rPr>
                <w:rFonts w:ascii="Times New Roman" w:eastAsia="Times New Roman" w:hAnsi="Times New Roman" w:cs="Times New Roman"/>
                <w:b w:val="0"/>
                <w:i w:val="0"/>
                <w:vanish w:val="0"/>
                <w:color w:val="000000"/>
                <w:sz w:val="24"/>
                <w:vertAlign w:val="baseline"/>
              </w:rPr>
            </w:pPr>
            <w:r>
              <w:rPr>
                <w:rFonts w:ascii="Times New Roman" w:eastAsia="Times New Roman" w:hAnsi="Times New Roman" w:cs="Times New Roman"/>
                <w:b w:val="0"/>
                <w:i w:val="0"/>
                <w:vanish w:val="0"/>
                <w:color w:val="000000"/>
                <w:sz w:val="24"/>
                <w:vertAlign w:val="baseline"/>
              </w:rPr>
              <w:t>Društvo Ključ – NVO, ki deluje na področju boja proti trgovini z ljudmi.</w:t>
            </w:r>
          </w:p>
          <w:p w:rsidR="00A77B3E">
            <w:pPr>
              <w:numPr>
                <w:ilvl w:val="0"/>
                <w:numId w:val="20"/>
              </w:numPr>
              <w:spacing w:before="100" w:after="0"/>
              <w:ind w:start="720" w:hanging="360"/>
              <w:jc w:val="start"/>
              <w:rPr>
                <w:rFonts w:ascii="Times New Roman" w:eastAsia="Times New Roman" w:hAnsi="Times New Roman" w:cs="Times New Roman"/>
                <w:b w:val="0"/>
                <w:i w:val="0"/>
                <w:vanish w:val="0"/>
                <w:color w:val="000000"/>
                <w:sz w:val="24"/>
                <w:vertAlign w:val="baseline"/>
              </w:rPr>
            </w:pPr>
            <w:r>
              <w:rPr>
                <w:rFonts w:ascii="Times New Roman" w:eastAsia="Times New Roman" w:hAnsi="Times New Roman" w:cs="Times New Roman"/>
                <w:b w:val="0"/>
                <w:i w:val="0"/>
                <w:vanish w:val="0"/>
                <w:color w:val="000000"/>
                <w:sz w:val="24"/>
                <w:vertAlign w:val="baseline"/>
              </w:rPr>
              <w:t>Varuh človekovih pravic Republike Slovenije.</w:t>
            </w:r>
          </w:p>
          <w:p w:rsidR="00A77B3E">
            <w:pPr>
              <w:spacing w:before="100" w:after="0"/>
              <w:jc w:val="start"/>
              <w:rPr>
                <w:rFonts w:ascii="Times New Roman" w:eastAsia="Times New Roman" w:hAnsi="Times New Roman" w:cs="Times New Roman"/>
                <w:b w:val="0"/>
                <w:i w:val="0"/>
                <w:vanish w:val="0"/>
                <w:color w:val="000000"/>
                <w:sz w:val="24"/>
                <w:vertAlign w:val="baseline"/>
              </w:rPr>
            </w:pPr>
          </w:p>
          <w:p w:rsidR="00A77B3E">
            <w:pPr>
              <w:spacing w:before="100" w:after="0"/>
              <w:jc w:val="start"/>
              <w:rPr>
                <w:rFonts w:ascii="Times New Roman" w:eastAsia="Times New Roman" w:hAnsi="Times New Roman" w:cs="Times New Roman"/>
                <w:b w:val="0"/>
                <w:i w:val="0"/>
                <w:vanish w:val="0"/>
                <w:color w:val="000000"/>
                <w:sz w:val="24"/>
                <w:vertAlign w:val="baseline"/>
              </w:rPr>
            </w:pPr>
            <w:r>
              <w:rPr>
                <w:rFonts w:ascii="Times New Roman" w:eastAsia="Times New Roman" w:hAnsi="Times New Roman" w:cs="Times New Roman"/>
                <w:b w:val="0"/>
                <w:i w:val="0"/>
                <w:vanish w:val="0"/>
                <w:color w:val="000000"/>
                <w:sz w:val="24"/>
                <w:vertAlign w:val="baseline"/>
              </w:rPr>
              <w:t>Regionalna, lokalna in mestna raven:</w:t>
            </w:r>
          </w:p>
          <w:p w:rsidR="00A77B3E">
            <w:pPr>
              <w:numPr>
                <w:ilvl w:val="0"/>
                <w:numId w:val="21"/>
              </w:numPr>
              <w:spacing w:before="100" w:after="0"/>
              <w:ind w:start="720" w:hanging="360"/>
              <w:jc w:val="start"/>
              <w:rPr>
                <w:rFonts w:ascii="Times New Roman" w:eastAsia="Times New Roman" w:hAnsi="Times New Roman" w:cs="Times New Roman"/>
                <w:b w:val="0"/>
                <w:i w:val="0"/>
                <w:vanish w:val="0"/>
                <w:color w:val="000000"/>
                <w:sz w:val="24"/>
                <w:vertAlign w:val="baseline"/>
              </w:rPr>
            </w:pPr>
            <w:r>
              <w:rPr>
                <w:rFonts w:ascii="Times New Roman" w:eastAsia="Times New Roman" w:hAnsi="Times New Roman" w:cs="Times New Roman"/>
                <w:b w:val="0"/>
                <w:i w:val="0"/>
                <w:vanish w:val="0"/>
                <w:color w:val="000000"/>
                <w:sz w:val="24"/>
                <w:vertAlign w:val="baseline"/>
              </w:rPr>
              <w:t>Združenje slovenskih občin (ZOS), ki zastopa lokalne interese in združuje 111 občin.</w:t>
            </w:r>
          </w:p>
          <w:p w:rsidR="00A77B3E">
            <w:pPr>
              <w:numPr>
                <w:ilvl w:val="0"/>
                <w:numId w:val="21"/>
              </w:numPr>
              <w:spacing w:before="100" w:after="0"/>
              <w:ind w:start="720" w:hanging="360"/>
              <w:jc w:val="start"/>
              <w:rPr>
                <w:rFonts w:ascii="Times New Roman" w:eastAsia="Times New Roman" w:hAnsi="Times New Roman" w:cs="Times New Roman"/>
                <w:b w:val="0"/>
                <w:i w:val="0"/>
                <w:vanish w:val="0"/>
                <w:color w:val="000000"/>
                <w:sz w:val="24"/>
                <w:vertAlign w:val="baseline"/>
              </w:rPr>
            </w:pPr>
            <w:r>
              <w:rPr>
                <w:rFonts w:ascii="Times New Roman" w:eastAsia="Times New Roman" w:hAnsi="Times New Roman" w:cs="Times New Roman"/>
                <w:b w:val="0"/>
                <w:i w:val="0"/>
                <w:vanish w:val="0"/>
                <w:color w:val="000000"/>
                <w:sz w:val="24"/>
                <w:vertAlign w:val="baseline"/>
              </w:rPr>
              <w:t>Skupnost občin Slovenije (SOS) je največje reprezentativno združenje lokalnih skupnosti v Sloveniji s 179 občinami članicami.</w:t>
            </w:r>
          </w:p>
          <w:p w:rsidR="00A77B3E">
            <w:pPr>
              <w:numPr>
                <w:ilvl w:val="0"/>
                <w:numId w:val="21"/>
              </w:numPr>
              <w:spacing w:before="100" w:after="0"/>
              <w:ind w:start="720" w:hanging="360"/>
              <w:jc w:val="start"/>
              <w:rPr>
                <w:rFonts w:ascii="Times New Roman" w:eastAsia="Times New Roman" w:hAnsi="Times New Roman" w:cs="Times New Roman"/>
                <w:b w:val="0"/>
                <w:i w:val="0"/>
                <w:vanish w:val="0"/>
                <w:color w:val="000000"/>
                <w:sz w:val="24"/>
                <w:vertAlign w:val="baseline"/>
              </w:rPr>
            </w:pPr>
            <w:r>
              <w:rPr>
                <w:rFonts w:ascii="Times New Roman" w:eastAsia="Times New Roman" w:hAnsi="Times New Roman" w:cs="Times New Roman"/>
                <w:b w:val="0"/>
                <w:i w:val="0"/>
                <w:vanish w:val="0"/>
                <w:color w:val="000000"/>
                <w:sz w:val="24"/>
                <w:vertAlign w:val="baseline"/>
              </w:rPr>
              <w:t>Skupnost občin Slovenije (ZMOS) je interesno združenje na državni ravni, ki zastopa interese mestnih občin na državni in mednarodni ravni.</w:t>
            </w:r>
          </w:p>
          <w:p w:rsidR="00A77B3E">
            <w:pPr>
              <w:numPr>
                <w:ilvl w:val="0"/>
                <w:numId w:val="21"/>
              </w:numPr>
              <w:spacing w:before="100" w:after="0"/>
              <w:ind w:start="720" w:hanging="360"/>
              <w:jc w:val="start"/>
              <w:rPr>
                <w:rFonts w:ascii="Times New Roman" w:eastAsia="Times New Roman" w:hAnsi="Times New Roman" w:cs="Times New Roman"/>
                <w:b w:val="0"/>
                <w:i w:val="0"/>
                <w:vanish w:val="0"/>
                <w:color w:val="000000"/>
                <w:sz w:val="24"/>
                <w:vertAlign w:val="baseline"/>
              </w:rPr>
            </w:pPr>
            <w:r>
              <w:rPr>
                <w:rFonts w:ascii="Times New Roman" w:eastAsia="Times New Roman" w:hAnsi="Times New Roman" w:cs="Times New Roman"/>
                <w:b w:val="0"/>
                <w:i w:val="0"/>
                <w:vanish w:val="0"/>
                <w:color w:val="000000"/>
                <w:sz w:val="24"/>
                <w:vertAlign w:val="baseline"/>
              </w:rPr>
              <w:t>Slovenski regionalni razvojni sklad.</w:t>
            </w:r>
          </w:p>
          <w:p w:rsidR="00A77B3E">
            <w:pPr>
              <w:spacing w:before="100" w:after="0"/>
              <w:jc w:val="start"/>
              <w:rPr>
                <w:rFonts w:ascii="Times New Roman" w:eastAsia="Times New Roman" w:hAnsi="Times New Roman" w:cs="Times New Roman"/>
                <w:b w:val="0"/>
                <w:i w:val="0"/>
                <w:vanish w:val="0"/>
                <w:color w:val="000000"/>
                <w:sz w:val="24"/>
                <w:vertAlign w:val="baseline"/>
              </w:rPr>
            </w:pPr>
          </w:p>
          <w:p w:rsidR="00A77B3E">
            <w:pPr>
              <w:spacing w:before="100" w:after="0"/>
              <w:jc w:val="start"/>
              <w:rPr>
                <w:rFonts w:ascii="Times New Roman" w:eastAsia="Times New Roman" w:hAnsi="Times New Roman" w:cs="Times New Roman"/>
                <w:b w:val="0"/>
                <w:i w:val="0"/>
                <w:vanish w:val="0"/>
                <w:color w:val="000000"/>
                <w:sz w:val="24"/>
                <w:vertAlign w:val="baseline"/>
              </w:rPr>
            </w:pPr>
            <w:r>
              <w:rPr>
                <w:rFonts w:ascii="Times New Roman" w:eastAsia="Times New Roman" w:hAnsi="Times New Roman" w:cs="Times New Roman"/>
                <w:b w:val="0"/>
                <w:i w:val="0"/>
                <w:vanish w:val="0"/>
                <w:color w:val="000000"/>
                <w:sz w:val="24"/>
                <w:vertAlign w:val="baseline"/>
              </w:rPr>
              <w:t>Raziskovalne organizacije in univerze:</w:t>
            </w:r>
          </w:p>
          <w:p w:rsidR="00A77B3E">
            <w:pPr>
              <w:numPr>
                <w:ilvl w:val="0"/>
                <w:numId w:val="22"/>
              </w:numPr>
              <w:spacing w:before="100" w:after="0"/>
              <w:ind w:start="720" w:hanging="360"/>
              <w:jc w:val="start"/>
              <w:rPr>
                <w:rFonts w:ascii="Times New Roman" w:eastAsia="Times New Roman" w:hAnsi="Times New Roman" w:cs="Times New Roman"/>
                <w:b w:val="0"/>
                <w:i w:val="0"/>
                <w:vanish w:val="0"/>
                <w:color w:val="000000"/>
                <w:sz w:val="24"/>
                <w:vertAlign w:val="baseline"/>
              </w:rPr>
            </w:pPr>
            <w:r>
              <w:rPr>
                <w:rFonts w:ascii="Times New Roman" w:eastAsia="Times New Roman" w:hAnsi="Times New Roman" w:cs="Times New Roman"/>
                <w:b w:val="0"/>
                <w:i w:val="0"/>
                <w:vanish w:val="0"/>
                <w:color w:val="000000"/>
                <w:sz w:val="24"/>
                <w:vertAlign w:val="baseline"/>
              </w:rPr>
              <w:t>Javna agencija za raziskovalno dejavnost Republike Slovenije (ARRS) – opravlja strokovne, razvojne in izvajalske naloge v zvezi z izvajanjem sprejete Raziskovalno-inovacijske strategije Slovenije in druge naloge spodbujanja raziskovalne dejavnosti.</w:t>
            </w:r>
          </w:p>
          <w:p w:rsidR="00A77B3E">
            <w:pPr>
              <w:numPr>
                <w:ilvl w:val="0"/>
                <w:numId w:val="22"/>
              </w:numPr>
              <w:spacing w:before="100" w:after="0"/>
              <w:ind w:start="720" w:hanging="360"/>
              <w:jc w:val="start"/>
              <w:rPr>
                <w:rFonts w:ascii="Times New Roman" w:eastAsia="Times New Roman" w:hAnsi="Times New Roman" w:cs="Times New Roman"/>
                <w:b w:val="0"/>
                <w:i w:val="0"/>
                <w:vanish w:val="0"/>
                <w:color w:val="000000"/>
                <w:sz w:val="24"/>
                <w:vertAlign w:val="baseline"/>
              </w:rPr>
            </w:pPr>
            <w:r>
              <w:rPr>
                <w:rFonts w:ascii="Times New Roman" w:eastAsia="Times New Roman" w:hAnsi="Times New Roman" w:cs="Times New Roman"/>
                <w:b w:val="0"/>
                <w:i w:val="0"/>
                <w:vanish w:val="0"/>
                <w:color w:val="000000"/>
                <w:sz w:val="24"/>
                <w:vertAlign w:val="baseline"/>
              </w:rPr>
              <w:t>Inštitut za kriminologijo pri Pravni fakulteti.</w:t>
            </w:r>
          </w:p>
          <w:p w:rsidR="00A77B3E">
            <w:pPr>
              <w:numPr>
                <w:ilvl w:val="0"/>
                <w:numId w:val="22"/>
              </w:numPr>
              <w:spacing w:before="100" w:after="0"/>
              <w:ind w:start="720" w:hanging="360"/>
              <w:jc w:val="start"/>
              <w:rPr>
                <w:rFonts w:ascii="Times New Roman" w:eastAsia="Times New Roman" w:hAnsi="Times New Roman" w:cs="Times New Roman"/>
                <w:b w:val="0"/>
                <w:i w:val="0"/>
                <w:vanish w:val="0"/>
                <w:color w:val="000000"/>
                <w:sz w:val="24"/>
                <w:vertAlign w:val="baseline"/>
              </w:rPr>
            </w:pPr>
            <w:r>
              <w:rPr>
                <w:rFonts w:ascii="Times New Roman" w:eastAsia="Times New Roman" w:hAnsi="Times New Roman" w:cs="Times New Roman"/>
                <w:b w:val="0"/>
                <w:i w:val="0"/>
                <w:vanish w:val="0"/>
                <w:color w:val="000000"/>
                <w:sz w:val="24"/>
                <w:vertAlign w:val="baseline"/>
              </w:rPr>
              <w:t>Fakulteta za varnostne vede.</w:t>
            </w:r>
          </w:p>
          <w:p w:rsidR="00A77B3E">
            <w:pPr>
              <w:spacing w:before="100" w:after="0"/>
              <w:jc w:val="start"/>
              <w:rPr>
                <w:rFonts w:ascii="Times New Roman" w:eastAsia="Times New Roman" w:hAnsi="Times New Roman" w:cs="Times New Roman"/>
                <w:b w:val="0"/>
                <w:i w:val="0"/>
                <w:vanish w:val="0"/>
                <w:color w:val="000000"/>
                <w:sz w:val="24"/>
                <w:vertAlign w:val="baseline"/>
              </w:rPr>
            </w:pPr>
          </w:p>
          <w:p w:rsidR="00A77B3E">
            <w:pPr>
              <w:spacing w:before="100" w:after="0"/>
              <w:jc w:val="start"/>
              <w:rPr>
                <w:rFonts w:ascii="Times New Roman" w:eastAsia="Times New Roman" w:hAnsi="Times New Roman" w:cs="Times New Roman"/>
                <w:b w:val="0"/>
                <w:i w:val="0"/>
                <w:vanish w:val="0"/>
                <w:color w:val="000000"/>
                <w:sz w:val="24"/>
                <w:vertAlign w:val="baseline"/>
              </w:rPr>
            </w:pPr>
            <w:r>
              <w:rPr>
                <w:rFonts w:ascii="Times New Roman" w:eastAsia="Times New Roman" w:hAnsi="Times New Roman" w:cs="Times New Roman"/>
                <w:b w:val="0"/>
                <w:i w:val="0"/>
                <w:vanish w:val="0"/>
                <w:color w:val="000000"/>
                <w:sz w:val="24"/>
                <w:vertAlign w:val="baseline"/>
              </w:rPr>
              <w:t>Ko so omenjene organizacije prejele Program, so ga razdelile svojim članom. Kasneje smo organizirali javni posvet, kamor so bili povabljeni vsi deležniki in zainteresirana javnost. Na sestanku so bili prisotni predstavniki nekaterih partnerjev, predstavnik Društva Ključ je predstavili svoje pripombe. Poleg navedenega smo prejeli tudi pisne pripombe ZMOS. Drugi partnerji niso imeli pripomb oziroma so potrdili Program.</w:t>
            </w:r>
          </w:p>
          <w:p w:rsidR="00A77B3E">
            <w:pPr>
              <w:spacing w:before="100" w:after="0"/>
              <w:jc w:val="start"/>
              <w:rPr>
                <w:rFonts w:ascii="Times New Roman" w:eastAsia="Times New Roman" w:hAnsi="Times New Roman" w:cs="Times New Roman"/>
                <w:b w:val="0"/>
                <w:i w:val="0"/>
                <w:vanish w:val="0"/>
                <w:color w:val="000000"/>
                <w:sz w:val="24"/>
                <w:vertAlign w:val="baseline"/>
              </w:rPr>
            </w:pPr>
          </w:p>
          <w:p w:rsidR="00A77B3E">
            <w:pPr>
              <w:spacing w:before="100" w:after="0"/>
              <w:jc w:val="start"/>
              <w:rPr>
                <w:rFonts w:ascii="Times New Roman" w:eastAsia="Times New Roman" w:hAnsi="Times New Roman" w:cs="Times New Roman"/>
                <w:b w:val="0"/>
                <w:i w:val="0"/>
                <w:vanish w:val="0"/>
                <w:color w:val="000000"/>
                <w:sz w:val="24"/>
                <w:vertAlign w:val="baseline"/>
              </w:rPr>
            </w:pPr>
            <w:r>
              <w:rPr>
                <w:rFonts w:ascii="Times New Roman" w:eastAsia="Times New Roman" w:hAnsi="Times New Roman" w:cs="Times New Roman"/>
                <w:b w:val="0"/>
                <w:i w:val="0"/>
                <w:vanish w:val="0"/>
                <w:color w:val="000000"/>
                <w:sz w:val="24"/>
                <w:vertAlign w:val="baseline"/>
              </w:rPr>
              <w:t>V fazi izvajanja in evalvacije pa bo medresorsko usklajevanje in sodelovanje potekalo tudi v okviru Medresorske delovne skupine za koordinacijo in operativno usklajevanje izvajanja operacij skladov (MDS) kot pripravljalne skupine ter Odbora za spremljanje skladov s področja notranje varnosti in migracij (OSS) kot odločevalskega telesa. MDS bo delovala kot delovno posvetovalna skupina, ki jo bodo sestavljali imenovani posamezniki na ravni državnih organov, ki bodo sodelovali pri implementaciji skladov ter bo namenjena predstavitvi stanja, rezultatov in izzivov nastalih pri tem. Poleg tega bo pristojna za razpravo o zadevah/nalogah, ki jih preverja in potrdi OSS.</w:t>
            </w:r>
          </w:p>
          <w:p w:rsidR="00A77B3E">
            <w:pPr>
              <w:spacing w:before="100" w:after="0"/>
              <w:jc w:val="start"/>
              <w:rPr>
                <w:rFonts w:ascii="Times New Roman" w:eastAsia="Times New Roman" w:hAnsi="Times New Roman" w:cs="Times New Roman"/>
                <w:b w:val="0"/>
                <w:i w:val="0"/>
                <w:vanish w:val="0"/>
                <w:color w:val="000000"/>
                <w:sz w:val="24"/>
                <w:vertAlign w:val="baseline"/>
              </w:rPr>
            </w:pPr>
          </w:p>
          <w:p w:rsidR="00A77B3E">
            <w:pPr>
              <w:spacing w:before="100" w:after="0"/>
              <w:jc w:val="start"/>
              <w:rPr>
                <w:rFonts w:ascii="Times New Roman" w:eastAsia="Times New Roman" w:hAnsi="Times New Roman" w:cs="Times New Roman"/>
                <w:b w:val="0"/>
                <w:i w:val="0"/>
                <w:vanish w:val="0"/>
                <w:color w:val="000000"/>
                <w:sz w:val="24"/>
                <w:vertAlign w:val="baseline"/>
              </w:rPr>
            </w:pPr>
            <w:r>
              <w:rPr>
                <w:rFonts w:ascii="Times New Roman" w:eastAsia="Times New Roman" w:hAnsi="Times New Roman" w:cs="Times New Roman"/>
                <w:b w:val="0"/>
                <w:i w:val="0"/>
                <w:vanish w:val="0"/>
                <w:color w:val="000000"/>
                <w:sz w:val="24"/>
                <w:vertAlign w:val="baseline"/>
              </w:rPr>
              <w:t>V OSS bodo k imenovanju predstavnikov pozvani organi na državni ravni in organi iz sistema nadzora in upravljanja ter EK, kot tudi partnerji (regionalni, lokalni, mestni in drugi javni organi; ekonomski in socialni partnerji; telesa, ki predstavljajo civilno družbo, kot so okoljski partnerji, nevladne organizacije in telesa, odgovorna za spodbujanje socialne vključenosti, temeljnih pravic, pravic invalidov, enakosti spolov in nediskriminacije; raziskovalne organizacije in univerze) ter decentralizirane agencije. OSS bo pristojen za preverjanje spodaj navedenega:</w:t>
            </w:r>
          </w:p>
          <w:p w:rsidR="00A77B3E">
            <w:pPr>
              <w:numPr>
                <w:ilvl w:val="0"/>
                <w:numId w:val="23"/>
              </w:numPr>
              <w:spacing w:before="100" w:after="0"/>
              <w:ind w:start="720" w:hanging="360"/>
              <w:jc w:val="start"/>
              <w:rPr>
                <w:rFonts w:ascii="Times New Roman" w:eastAsia="Times New Roman" w:hAnsi="Times New Roman" w:cs="Times New Roman"/>
                <w:b w:val="0"/>
                <w:i w:val="0"/>
                <w:vanish w:val="0"/>
                <w:color w:val="000000"/>
                <w:sz w:val="24"/>
                <w:vertAlign w:val="baseline"/>
              </w:rPr>
            </w:pPr>
            <w:r>
              <w:rPr>
                <w:rFonts w:ascii="Times New Roman" w:eastAsia="Times New Roman" w:hAnsi="Times New Roman" w:cs="Times New Roman"/>
                <w:b w:val="0"/>
                <w:i w:val="0"/>
                <w:vanish w:val="0"/>
                <w:color w:val="000000"/>
                <w:sz w:val="24"/>
                <w:vertAlign w:val="baseline"/>
              </w:rPr>
              <w:t>napredek pri izvajanju Programa, doseganju mejnikov in ciljnih vrednosti,</w:t>
            </w:r>
          </w:p>
          <w:p w:rsidR="00A77B3E">
            <w:pPr>
              <w:numPr>
                <w:ilvl w:val="0"/>
                <w:numId w:val="23"/>
              </w:numPr>
              <w:spacing w:before="100" w:after="0"/>
              <w:ind w:start="720" w:hanging="360"/>
              <w:jc w:val="start"/>
              <w:rPr>
                <w:rFonts w:ascii="Times New Roman" w:eastAsia="Times New Roman" w:hAnsi="Times New Roman" w:cs="Times New Roman"/>
                <w:b w:val="0"/>
                <w:i w:val="0"/>
                <w:vanish w:val="0"/>
                <w:color w:val="000000"/>
                <w:sz w:val="24"/>
                <w:vertAlign w:val="baseline"/>
              </w:rPr>
            </w:pPr>
            <w:r>
              <w:rPr>
                <w:rFonts w:ascii="Times New Roman" w:eastAsia="Times New Roman" w:hAnsi="Times New Roman" w:cs="Times New Roman"/>
                <w:b w:val="0"/>
                <w:i w:val="0"/>
                <w:vanish w:val="0"/>
                <w:color w:val="000000"/>
                <w:sz w:val="24"/>
                <w:vertAlign w:val="baseline"/>
              </w:rPr>
              <w:t>morebitna vprašanja, ki vplivajo na smotrnost Programa, in ukrepe, sprejete za obravnavo teh vprašanj,</w:t>
            </w:r>
          </w:p>
          <w:p w:rsidR="00A77B3E">
            <w:pPr>
              <w:numPr>
                <w:ilvl w:val="0"/>
                <w:numId w:val="23"/>
              </w:numPr>
              <w:spacing w:before="100" w:after="0"/>
              <w:ind w:start="720" w:hanging="360"/>
              <w:jc w:val="start"/>
              <w:rPr>
                <w:rFonts w:ascii="Times New Roman" w:eastAsia="Times New Roman" w:hAnsi="Times New Roman" w:cs="Times New Roman"/>
                <w:b w:val="0"/>
                <w:i w:val="0"/>
                <w:vanish w:val="0"/>
                <w:color w:val="000000"/>
                <w:sz w:val="24"/>
                <w:vertAlign w:val="baseline"/>
              </w:rPr>
            </w:pPr>
            <w:r>
              <w:rPr>
                <w:rFonts w:ascii="Times New Roman" w:eastAsia="Times New Roman" w:hAnsi="Times New Roman" w:cs="Times New Roman"/>
                <w:b w:val="0"/>
                <w:i w:val="0"/>
                <w:vanish w:val="0"/>
                <w:color w:val="000000"/>
                <w:sz w:val="24"/>
                <w:vertAlign w:val="baseline"/>
              </w:rPr>
              <w:t>prispevek Programa k reševanju izzivov, opredeljenih v ustreznih priporočilih za posamezne države, ki so povezana z izvajanjem Programa,</w:t>
            </w:r>
          </w:p>
          <w:p w:rsidR="00A77B3E">
            <w:pPr>
              <w:numPr>
                <w:ilvl w:val="0"/>
                <w:numId w:val="23"/>
              </w:numPr>
              <w:spacing w:before="100" w:after="0"/>
              <w:ind w:start="720" w:hanging="360"/>
              <w:jc w:val="start"/>
              <w:rPr>
                <w:rFonts w:ascii="Times New Roman" w:eastAsia="Times New Roman" w:hAnsi="Times New Roman" w:cs="Times New Roman"/>
                <w:b w:val="0"/>
                <w:i w:val="0"/>
                <w:vanish w:val="0"/>
                <w:color w:val="000000"/>
                <w:sz w:val="24"/>
                <w:vertAlign w:val="baseline"/>
              </w:rPr>
            </w:pPr>
            <w:r>
              <w:rPr>
                <w:rFonts w:ascii="Times New Roman" w:eastAsia="Times New Roman" w:hAnsi="Times New Roman" w:cs="Times New Roman"/>
                <w:b w:val="0"/>
                <w:i w:val="0"/>
                <w:vanish w:val="0"/>
                <w:color w:val="000000"/>
                <w:sz w:val="24"/>
                <w:vertAlign w:val="baseline"/>
              </w:rPr>
              <w:t>elemente predhodne ocene in strateški dokument,</w:t>
            </w:r>
          </w:p>
          <w:p w:rsidR="00A77B3E">
            <w:pPr>
              <w:numPr>
                <w:ilvl w:val="0"/>
                <w:numId w:val="23"/>
              </w:numPr>
              <w:spacing w:before="100" w:after="0"/>
              <w:ind w:start="720" w:hanging="360"/>
              <w:jc w:val="start"/>
              <w:rPr>
                <w:rFonts w:ascii="Times New Roman" w:eastAsia="Times New Roman" w:hAnsi="Times New Roman" w:cs="Times New Roman"/>
                <w:b w:val="0"/>
                <w:i w:val="0"/>
                <w:vanish w:val="0"/>
                <w:color w:val="000000"/>
                <w:sz w:val="24"/>
                <w:vertAlign w:val="baseline"/>
              </w:rPr>
            </w:pPr>
            <w:r>
              <w:rPr>
                <w:rFonts w:ascii="Times New Roman" w:eastAsia="Times New Roman" w:hAnsi="Times New Roman" w:cs="Times New Roman"/>
                <w:b w:val="0"/>
                <w:i w:val="0"/>
                <w:vanish w:val="0"/>
                <w:color w:val="000000"/>
                <w:sz w:val="24"/>
                <w:vertAlign w:val="baseline"/>
              </w:rPr>
              <w:t>napredek, dosežen pri izvajanju vrednotenj, sintez vrednotenj in morebitnega nadaljnjega spremljanja ugotovitev,</w:t>
            </w:r>
          </w:p>
          <w:p w:rsidR="00A77B3E">
            <w:pPr>
              <w:numPr>
                <w:ilvl w:val="0"/>
                <w:numId w:val="23"/>
              </w:numPr>
              <w:spacing w:before="100" w:after="0"/>
              <w:ind w:start="720" w:hanging="360"/>
              <w:jc w:val="start"/>
              <w:rPr>
                <w:rFonts w:ascii="Times New Roman" w:eastAsia="Times New Roman" w:hAnsi="Times New Roman" w:cs="Times New Roman"/>
                <w:b w:val="0"/>
                <w:i w:val="0"/>
                <w:vanish w:val="0"/>
                <w:color w:val="000000"/>
                <w:sz w:val="24"/>
                <w:vertAlign w:val="baseline"/>
              </w:rPr>
            </w:pPr>
            <w:r>
              <w:rPr>
                <w:rFonts w:ascii="Times New Roman" w:eastAsia="Times New Roman" w:hAnsi="Times New Roman" w:cs="Times New Roman"/>
                <w:b w:val="0"/>
                <w:i w:val="0"/>
                <w:vanish w:val="0"/>
                <w:color w:val="000000"/>
                <w:sz w:val="24"/>
                <w:vertAlign w:val="baseline"/>
              </w:rPr>
              <w:t>izvajanje ukrepov v zvezi s komuniciranjem in prepoznavnostjo,</w:t>
            </w:r>
          </w:p>
          <w:p w:rsidR="00A77B3E">
            <w:pPr>
              <w:numPr>
                <w:ilvl w:val="0"/>
                <w:numId w:val="23"/>
              </w:numPr>
              <w:spacing w:before="100" w:after="0"/>
              <w:ind w:start="720" w:hanging="360"/>
              <w:jc w:val="start"/>
              <w:rPr>
                <w:rFonts w:ascii="Times New Roman" w:eastAsia="Times New Roman" w:hAnsi="Times New Roman" w:cs="Times New Roman"/>
                <w:b w:val="0"/>
                <w:i w:val="0"/>
                <w:vanish w:val="0"/>
                <w:color w:val="000000"/>
                <w:sz w:val="24"/>
                <w:vertAlign w:val="baseline"/>
              </w:rPr>
            </w:pPr>
            <w:r>
              <w:rPr>
                <w:rFonts w:ascii="Times New Roman" w:eastAsia="Times New Roman" w:hAnsi="Times New Roman" w:cs="Times New Roman"/>
                <w:b w:val="0"/>
                <w:i w:val="0"/>
                <w:vanish w:val="0"/>
                <w:color w:val="000000"/>
                <w:sz w:val="24"/>
                <w:vertAlign w:val="baseline"/>
              </w:rPr>
              <w:t>napredek pri izvajanju operacij strateškega pomena,</w:t>
            </w:r>
          </w:p>
          <w:p w:rsidR="00A77B3E">
            <w:pPr>
              <w:numPr>
                <w:ilvl w:val="0"/>
                <w:numId w:val="23"/>
              </w:numPr>
              <w:spacing w:before="100" w:after="0"/>
              <w:ind w:start="720" w:hanging="360"/>
              <w:jc w:val="start"/>
              <w:rPr>
                <w:rFonts w:ascii="Times New Roman" w:eastAsia="Times New Roman" w:hAnsi="Times New Roman" w:cs="Times New Roman"/>
                <w:b w:val="0"/>
                <w:i w:val="0"/>
                <w:vanish w:val="0"/>
                <w:color w:val="000000"/>
                <w:sz w:val="24"/>
                <w:vertAlign w:val="baseline"/>
              </w:rPr>
            </w:pPr>
            <w:r>
              <w:rPr>
                <w:rFonts w:ascii="Times New Roman" w:eastAsia="Times New Roman" w:hAnsi="Times New Roman" w:cs="Times New Roman"/>
                <w:b w:val="0"/>
                <w:i w:val="0"/>
                <w:vanish w:val="0"/>
                <w:color w:val="000000"/>
                <w:sz w:val="24"/>
                <w:vertAlign w:val="baseline"/>
              </w:rPr>
              <w:t>izpolnjevanje omogočitvenih pogojev in njihovo uporabo v celotnem programskem obdobju,</w:t>
            </w:r>
          </w:p>
          <w:p w:rsidR="00A77B3E">
            <w:pPr>
              <w:numPr>
                <w:ilvl w:val="0"/>
                <w:numId w:val="23"/>
              </w:numPr>
              <w:spacing w:before="100" w:after="0"/>
              <w:ind w:start="720" w:hanging="360"/>
              <w:jc w:val="start"/>
              <w:rPr>
                <w:rFonts w:ascii="Times New Roman" w:eastAsia="Times New Roman" w:hAnsi="Times New Roman" w:cs="Times New Roman"/>
                <w:b w:val="0"/>
                <w:i w:val="0"/>
                <w:vanish w:val="0"/>
                <w:color w:val="000000"/>
                <w:sz w:val="24"/>
                <w:vertAlign w:val="baseline"/>
              </w:rPr>
            </w:pPr>
            <w:r>
              <w:rPr>
                <w:rFonts w:ascii="Times New Roman" w:eastAsia="Times New Roman" w:hAnsi="Times New Roman" w:cs="Times New Roman"/>
                <w:b w:val="0"/>
                <w:i w:val="0"/>
                <w:vanish w:val="0"/>
                <w:color w:val="000000"/>
                <w:sz w:val="24"/>
                <w:vertAlign w:val="baseline"/>
              </w:rPr>
              <w:t>napredek pri krepitvi upravnih zmogljivosti za javne institucije, partnerje in upravičence,</w:t>
            </w:r>
          </w:p>
          <w:p w:rsidR="00A77B3E">
            <w:pPr>
              <w:numPr>
                <w:ilvl w:val="0"/>
                <w:numId w:val="23"/>
              </w:numPr>
              <w:spacing w:before="100" w:after="0"/>
              <w:ind w:start="720" w:hanging="360"/>
              <w:jc w:val="start"/>
              <w:rPr>
                <w:rFonts w:ascii="Times New Roman" w:eastAsia="Times New Roman" w:hAnsi="Times New Roman" w:cs="Times New Roman"/>
                <w:b w:val="0"/>
                <w:i w:val="0"/>
                <w:vanish w:val="0"/>
                <w:color w:val="000000"/>
                <w:sz w:val="24"/>
                <w:vertAlign w:val="baseline"/>
              </w:rPr>
            </w:pPr>
            <w:r>
              <w:rPr>
                <w:rFonts w:ascii="Times New Roman" w:eastAsia="Times New Roman" w:hAnsi="Times New Roman" w:cs="Times New Roman"/>
                <w:b w:val="0"/>
                <w:i w:val="0"/>
                <w:vanish w:val="0"/>
                <w:color w:val="000000"/>
                <w:sz w:val="24"/>
                <w:vertAlign w:val="baseline"/>
              </w:rPr>
              <w:t>informacije v zvezi z izvajanjem prispevka Programa k programu Invest EU.</w:t>
            </w:r>
          </w:p>
          <w:p w:rsidR="00A77B3E">
            <w:pPr>
              <w:spacing w:before="100" w:after="0"/>
              <w:jc w:val="start"/>
              <w:rPr>
                <w:rFonts w:ascii="Times New Roman" w:eastAsia="Times New Roman" w:hAnsi="Times New Roman" w:cs="Times New Roman"/>
                <w:b w:val="0"/>
                <w:i w:val="0"/>
                <w:vanish w:val="0"/>
                <w:color w:val="000000"/>
                <w:sz w:val="24"/>
                <w:vertAlign w:val="baseline"/>
              </w:rPr>
            </w:pPr>
          </w:p>
          <w:p w:rsidR="00A77B3E">
            <w:pPr>
              <w:spacing w:before="100" w:after="0"/>
              <w:jc w:val="start"/>
              <w:rPr>
                <w:rFonts w:ascii="Times New Roman" w:eastAsia="Times New Roman" w:hAnsi="Times New Roman" w:cs="Times New Roman"/>
                <w:b w:val="0"/>
                <w:i w:val="0"/>
                <w:vanish w:val="0"/>
                <w:color w:val="000000"/>
                <w:sz w:val="24"/>
                <w:vertAlign w:val="baseline"/>
              </w:rPr>
            </w:pPr>
            <w:r>
              <w:rPr>
                <w:rFonts w:ascii="Times New Roman" w:eastAsia="Times New Roman" w:hAnsi="Times New Roman" w:cs="Times New Roman"/>
                <w:b w:val="0"/>
                <w:i w:val="0"/>
                <w:vanish w:val="0"/>
                <w:color w:val="000000"/>
                <w:sz w:val="24"/>
                <w:vertAlign w:val="baseline"/>
              </w:rPr>
              <w:t>OSS je pristojen za odobritev metodologije in merila za izbor operacij, letnih poročil o smotrnosti, načrta vrednotenja in njegovih morebitne spremembe ter morebitne predloge OU za spremembo Programa. Poleg tega pa OSS lahko daje priporočila OU. Skladno s tem je pomembna zastopanost vseh raznolikih partnerjev/deležnikov.</w:t>
            </w:r>
          </w:p>
          <w:p w:rsidR="00A77B3E">
            <w:pPr>
              <w:spacing w:before="100" w:after="0"/>
              <w:jc w:val="start"/>
              <w:rPr>
                <w:rFonts w:ascii="Times New Roman" w:eastAsia="Times New Roman" w:hAnsi="Times New Roman" w:cs="Times New Roman"/>
                <w:b w:val="0"/>
                <w:i w:val="0"/>
                <w:vanish w:val="0"/>
                <w:color w:val="000000"/>
                <w:sz w:val="24"/>
                <w:vertAlign w:val="baseline"/>
              </w:rPr>
            </w:pPr>
          </w:p>
          <w:p w:rsidR="00A77B3E">
            <w:pPr>
              <w:spacing w:before="100" w:after="0"/>
              <w:jc w:val="start"/>
              <w:rPr>
                <w:rFonts w:ascii="Times New Roman" w:eastAsia="Times New Roman" w:hAnsi="Times New Roman" w:cs="Times New Roman"/>
                <w:b w:val="0"/>
                <w:i w:val="0"/>
                <w:vanish w:val="0"/>
                <w:color w:val="000000"/>
                <w:sz w:val="24"/>
                <w:vertAlign w:val="baseline"/>
              </w:rPr>
            </w:pPr>
            <w:r>
              <w:rPr>
                <w:rFonts w:ascii="Times New Roman" w:eastAsia="Times New Roman" w:hAnsi="Times New Roman" w:cs="Times New Roman"/>
                <w:b w:val="0"/>
                <w:i w:val="0"/>
                <w:vanish w:val="0"/>
                <w:color w:val="000000"/>
                <w:sz w:val="24"/>
                <w:vertAlign w:val="baseline"/>
              </w:rPr>
              <w:t>Proces odločanja in sodelovanja na ravni EU pa se vrši v okviru Odbora AMIF-SNV-IUMV.</w:t>
            </w:r>
          </w:p>
          <w:p w:rsidR="00A77B3E">
            <w:pPr>
              <w:spacing w:before="100" w:after="0"/>
              <w:jc w:val="start"/>
              <w:rPr>
                <w:rFonts w:ascii="Times New Roman" w:eastAsia="Times New Roman" w:hAnsi="Times New Roman" w:cs="Times New Roman"/>
                <w:b w:val="0"/>
                <w:i w:val="0"/>
                <w:vanish w:val="0"/>
                <w:color w:val="000000"/>
                <w:sz w:val="24"/>
                <w:vertAlign w:val="baseline"/>
              </w:rPr>
            </w:pPr>
          </w:p>
          <w:p w:rsidR="00A77B3E">
            <w:pPr>
              <w:spacing w:before="100" w:after="0"/>
              <w:jc w:val="start"/>
              <w:rPr>
                <w:rFonts w:ascii="Times New Roman" w:eastAsia="Times New Roman" w:hAnsi="Times New Roman" w:cs="Times New Roman"/>
                <w:b w:val="0"/>
                <w:i w:val="0"/>
                <w:vanish w:val="0"/>
                <w:color w:val="000000"/>
                <w:sz w:val="24"/>
                <w:vertAlign w:val="baseline"/>
              </w:rPr>
            </w:pPr>
            <w:r>
              <w:rPr>
                <w:rFonts w:ascii="Times New Roman" w:eastAsia="Times New Roman" w:hAnsi="Times New Roman" w:cs="Times New Roman"/>
                <w:b w:val="0"/>
                <w:i w:val="0"/>
                <w:vanish w:val="0"/>
                <w:color w:val="000000"/>
                <w:sz w:val="24"/>
                <w:vertAlign w:val="baseline"/>
              </w:rPr>
              <w:t>Komplementarnosti in sinergije (SNV): Med skladi na področju notranjih zadev (AMIF, SNV, IUMV) so zaznane pomembne sinergije na področju upravljanja migracij, vzpostavitve in posodabljanja infrastrukture, vezane na migracije, storitve pri obravnavi oseb ter pri preprečevanju kriminala. Kar se tiče komplementarnosti in razmejitev jih je zaznati predvsem na področju informacijskih sistemov, saj zaradi prepletanja vsebin in interoperabilnosti segajo na področje upravljanja meja, migracij in notranje varnosti. Skladno s tem je potrebna posebna pozornost pri oblikovanju ustrezne razmejitve med skladi. Ker je organ upravljanja za vse HOME sklade eden, so znotraj vzpostavljeni mehanizmi za zagotavljanje učinkovitega spremljanja.</w:t>
            </w:r>
          </w:p>
          <w:p w:rsidR="00A77B3E">
            <w:pPr>
              <w:spacing w:before="100" w:after="0"/>
              <w:jc w:val="start"/>
              <w:rPr>
                <w:rFonts w:ascii="Times New Roman" w:eastAsia="Times New Roman" w:hAnsi="Times New Roman" w:cs="Times New Roman"/>
                <w:b w:val="0"/>
                <w:i w:val="0"/>
                <w:vanish w:val="0"/>
                <w:color w:val="000000"/>
                <w:sz w:val="24"/>
                <w:vertAlign w:val="baseline"/>
              </w:rPr>
            </w:pPr>
          </w:p>
          <w:p w:rsidR="00A77B3E">
            <w:pPr>
              <w:spacing w:before="100" w:after="0"/>
              <w:jc w:val="start"/>
              <w:rPr>
                <w:rFonts w:ascii="Times New Roman" w:eastAsia="Times New Roman" w:hAnsi="Times New Roman" w:cs="Times New Roman"/>
                <w:b w:val="0"/>
                <w:i w:val="0"/>
                <w:vanish w:val="0"/>
                <w:color w:val="000000"/>
                <w:sz w:val="24"/>
                <w:vertAlign w:val="baseline"/>
              </w:rPr>
            </w:pPr>
            <w:r>
              <w:rPr>
                <w:rFonts w:ascii="Times New Roman" w:eastAsia="Times New Roman" w:hAnsi="Times New Roman" w:cs="Times New Roman"/>
                <w:b w:val="0"/>
                <w:i w:val="0"/>
                <w:vanish w:val="0"/>
                <w:color w:val="000000"/>
                <w:sz w:val="24"/>
                <w:vertAlign w:val="baseline"/>
              </w:rPr>
              <w:t>OU je vzpostavil sistem za sodelovanja z OU za druge sklade, ki so vključeni v partnerski sporazum. V ta namen bodo vzpostavljeni mehanizmi za zagotavljanje učinkovitega spremljanja (članstvo v medresorskih skupinah ali odborih za spremljanje, sestanki, posveti, medresorski pregled dokumentacije).</w:t>
            </w:r>
          </w:p>
          <w:p w:rsidR="00A77B3E">
            <w:pPr>
              <w:spacing w:before="100" w:after="0"/>
              <w:jc w:val="start"/>
              <w:rPr>
                <w:rFonts w:ascii="Times New Roman" w:eastAsia="Times New Roman" w:hAnsi="Times New Roman" w:cs="Times New Roman"/>
                <w:b w:val="0"/>
                <w:i w:val="0"/>
                <w:vanish w:val="0"/>
                <w:color w:val="000000"/>
                <w:sz w:val="24"/>
                <w:vertAlign w:val="baseline"/>
              </w:rPr>
            </w:pPr>
          </w:p>
          <w:p w:rsidR="00A77B3E">
            <w:pPr>
              <w:spacing w:before="100" w:after="0"/>
              <w:jc w:val="start"/>
              <w:rPr>
                <w:rFonts w:ascii="Times New Roman" w:eastAsia="Times New Roman" w:hAnsi="Times New Roman" w:cs="Times New Roman"/>
                <w:b w:val="0"/>
                <w:i w:val="0"/>
                <w:vanish w:val="0"/>
                <w:color w:val="000000"/>
                <w:sz w:val="24"/>
                <w:vertAlign w:val="baseline"/>
              </w:rPr>
            </w:pPr>
          </w:p>
          <w:p w:rsidR="00A77B3E">
            <w:pPr>
              <w:spacing w:before="100" w:after="0"/>
              <w:jc w:val="start"/>
              <w:rPr>
                <w:rFonts w:ascii="Times New Roman" w:eastAsia="Times New Roman" w:hAnsi="Times New Roman" w:cs="Times New Roman"/>
                <w:b w:val="0"/>
                <w:i w:val="0"/>
                <w:vanish w:val="0"/>
                <w:color w:val="000000"/>
                <w:sz w:val="24"/>
                <w:vertAlign w:val="baseline"/>
              </w:rPr>
            </w:pPr>
            <w:r>
              <w:rPr>
                <w:rFonts w:ascii="Times New Roman" w:eastAsia="Times New Roman" w:hAnsi="Times New Roman" w:cs="Times New Roman"/>
                <w:b w:val="0"/>
                <w:i w:val="0"/>
                <w:vanish w:val="0"/>
                <w:color w:val="000000"/>
                <w:sz w:val="24"/>
                <w:vertAlign w:val="baseline"/>
              </w:rPr>
              <w:t>Za dopolnjevanje in doseganje sinergij z drugimi instrumenti Unije, ki niso zajeti v Partnerskem sporazumu, ima OU za HOME sklade tudi vzpostavljeno sodelovanje. Za zagotavljanje učinkovitega spremljanja bodo organizirani sestanki, posveti, medresorski pregled dokumentacije in izbranih operacij, sodelovanje na OSS in MDS, redna poročanja o odobrenih operacijah ter drugi vzpostavljeni mehanizmi.</w:t>
            </w:r>
          </w:p>
          <w:p w:rsidR="00A77B3E">
            <w:pPr>
              <w:spacing w:before="100" w:after="0"/>
              <w:jc w:val="start"/>
              <w:rPr>
                <w:rFonts w:ascii="Times New Roman" w:eastAsia="Times New Roman" w:hAnsi="Times New Roman" w:cs="Times New Roman"/>
                <w:b w:val="0"/>
                <w:i w:val="0"/>
                <w:vanish w:val="0"/>
                <w:color w:val="000000"/>
                <w:sz w:val="24"/>
                <w:vertAlign w:val="baseline"/>
              </w:rPr>
            </w:pPr>
          </w:p>
          <w:p w:rsidR="00A77B3E">
            <w:pPr>
              <w:spacing w:before="100" w:after="0"/>
              <w:jc w:val="start"/>
              <w:rPr>
                <w:rFonts w:ascii="Times New Roman" w:eastAsia="Times New Roman" w:hAnsi="Times New Roman" w:cs="Times New Roman"/>
                <w:b w:val="0"/>
                <w:i w:val="0"/>
                <w:vanish w:val="0"/>
                <w:color w:val="000000"/>
                <w:sz w:val="24"/>
                <w:vertAlign w:val="baseline"/>
              </w:rPr>
            </w:pPr>
            <w:r>
              <w:rPr>
                <w:rFonts w:ascii="Times New Roman" w:eastAsia="Times New Roman" w:hAnsi="Times New Roman" w:cs="Times New Roman"/>
                <w:b w:val="0"/>
                <w:i w:val="0"/>
                <w:vanish w:val="0"/>
                <w:color w:val="000000"/>
                <w:sz w:val="24"/>
                <w:vertAlign w:val="baseline"/>
              </w:rPr>
              <w:t>Zelo pomembne so razmejitve, komplementarnosti in sinergije med SNV in centraliziranimi javnimi razpisi na ravni EU ter RRF. Prvi vezano na aktivnosti organov pregona, drugi (RRF) na področju dejavnosti povezanih s trajnostno in zeleno tranzicijo ter digitalno Slovenijo. Ker je enota, ki je zadolžena za finančno poročanje takih operacij v okviru MNZ Policije znotraj iste službe kot UO (samo druga enota), je vzpostavljena redna izmenjava informacij (že v fazi načrtovanja in tudi izvajanja operacij).</w:t>
            </w:r>
          </w:p>
          <w:p w:rsidR="00A77B3E">
            <w:pPr>
              <w:spacing w:before="100" w:after="0"/>
              <w:jc w:val="start"/>
              <w:rPr>
                <w:rFonts w:ascii="Times New Roman" w:eastAsia="Times New Roman" w:hAnsi="Times New Roman" w:cs="Times New Roman"/>
                <w:b w:val="0"/>
                <w:i w:val="0"/>
                <w:vanish w:val="0"/>
                <w:color w:val="000000"/>
                <w:sz w:val="24"/>
                <w:vertAlign w:val="baseline"/>
              </w:rPr>
            </w:pPr>
          </w:p>
          <w:p w:rsidR="00A77B3E">
            <w:pPr>
              <w:spacing w:before="100" w:after="0"/>
              <w:jc w:val="start"/>
              <w:rPr>
                <w:rFonts w:ascii="Times New Roman" w:eastAsia="Times New Roman" w:hAnsi="Times New Roman" w:cs="Times New Roman"/>
                <w:b w:val="0"/>
                <w:i w:val="0"/>
                <w:vanish w:val="0"/>
                <w:color w:val="000000"/>
                <w:sz w:val="24"/>
                <w:vertAlign w:val="baseline"/>
              </w:rPr>
            </w:pPr>
            <w:r>
              <w:rPr>
                <w:rFonts w:ascii="Times New Roman" w:eastAsia="Times New Roman" w:hAnsi="Times New Roman" w:cs="Times New Roman"/>
                <w:b w:val="0"/>
                <w:i w:val="0"/>
                <w:vanish w:val="0"/>
                <w:color w:val="000000"/>
                <w:sz w:val="24"/>
                <w:vertAlign w:val="baseline"/>
              </w:rPr>
              <w:t>V okviru RRF trajnostnega in zelenega prehoda bodo morebitne naložbe v opremo in energetsko sanacijo stavb pripomogle k doseganju skupnega cilja posodobitve potrebne infrastrukture. Naložbe, povezane z digitalizacijo, so usmerjene predvsem v prenovo informacijskih sistemov in nakup opreme, kar je izjemnega pomena, saj je to osnova za optimalno delovanje policije. Je tudi osnova za druge naložbe v digitalizacijo, ki bodo financirana iz SNV (PNR, informacijska strojna, programska oprema in komunikacijsko omrežje policije, potrebno za delovanje in uporabo centralnih EU informacijskih sistemov) in IUMV (interoperabilnost, veliki sistemi, ETIAS, itd.). Glede na to, da so naložbe v sistem IT možne tudi v okviru SNV in IUMV, bo potrebno posebno spremljanje, da bi se izognili prekrivanju.</w:t>
            </w:r>
          </w:p>
          <w:p w:rsidR="00A77B3E">
            <w:pPr>
              <w:spacing w:before="100" w:after="0"/>
              <w:jc w:val="start"/>
              <w:rPr>
                <w:rFonts w:ascii="Times New Roman" w:eastAsia="Times New Roman" w:hAnsi="Times New Roman" w:cs="Times New Roman"/>
                <w:b w:val="0"/>
                <w:i w:val="0"/>
                <w:vanish w:val="0"/>
                <w:color w:val="000000"/>
                <w:sz w:val="24"/>
                <w:vertAlign w:val="baseline"/>
              </w:rPr>
            </w:pPr>
          </w:p>
          <w:p w:rsidR="00A77B3E">
            <w:pPr>
              <w:spacing w:before="100" w:after="0"/>
              <w:jc w:val="start"/>
              <w:rPr>
                <w:rFonts w:ascii="Times New Roman" w:eastAsia="Times New Roman" w:hAnsi="Times New Roman" w:cs="Times New Roman"/>
                <w:b w:val="0"/>
                <w:i w:val="0"/>
                <w:vanish w:val="0"/>
                <w:color w:val="000000"/>
                <w:sz w:val="24"/>
                <w:vertAlign w:val="baseline"/>
              </w:rPr>
            </w:pPr>
            <w:r>
              <w:rPr>
                <w:rFonts w:ascii="Times New Roman" w:eastAsia="Times New Roman" w:hAnsi="Times New Roman" w:cs="Times New Roman"/>
                <w:b w:val="0"/>
                <w:i w:val="0"/>
                <w:vanish w:val="0"/>
                <w:color w:val="000000"/>
                <w:sz w:val="24"/>
                <w:vertAlign w:val="baseline"/>
              </w:rPr>
              <w:t>Prepoznana so naslednja dopolnjevanja in sinergije med:</w:t>
            </w:r>
          </w:p>
          <w:p w:rsidR="00A77B3E">
            <w:pPr>
              <w:numPr>
                <w:ilvl w:val="0"/>
                <w:numId w:val="24"/>
              </w:numPr>
              <w:spacing w:before="100" w:after="0"/>
              <w:ind w:start="720" w:hanging="360"/>
              <w:jc w:val="start"/>
              <w:rPr>
                <w:rFonts w:ascii="Times New Roman" w:eastAsia="Times New Roman" w:hAnsi="Times New Roman" w:cs="Times New Roman"/>
                <w:b w:val="0"/>
                <w:i w:val="0"/>
                <w:vanish w:val="0"/>
                <w:color w:val="000000"/>
                <w:sz w:val="24"/>
                <w:vertAlign w:val="baseline"/>
              </w:rPr>
            </w:pPr>
            <w:r>
              <w:rPr>
                <w:rFonts w:ascii="Times New Roman" w:eastAsia="Times New Roman" w:hAnsi="Times New Roman" w:cs="Times New Roman"/>
                <w:b w:val="0"/>
                <w:i w:val="0"/>
                <w:vanish w:val="0"/>
                <w:color w:val="000000"/>
                <w:sz w:val="24"/>
                <w:vertAlign w:val="baseline"/>
              </w:rPr>
              <w:t>SNV ter AMIF in IUMV na področju zunanje razsežnosti migracijske in varnostne politike EU prek zunanjih instrumentov, kot sta Instrument za sosedstvo, razvoj in mednarodno sodelovanje (NDICI) in Instrument za predpristopno pomoč (IPA);</w:t>
            </w:r>
          </w:p>
          <w:p w:rsidR="00A77B3E">
            <w:pPr>
              <w:numPr>
                <w:ilvl w:val="0"/>
                <w:numId w:val="24"/>
              </w:numPr>
              <w:spacing w:before="100" w:after="0"/>
              <w:ind w:start="720" w:hanging="360"/>
              <w:jc w:val="start"/>
              <w:rPr>
                <w:rFonts w:ascii="Times New Roman" w:eastAsia="Times New Roman" w:hAnsi="Times New Roman" w:cs="Times New Roman"/>
                <w:b w:val="0"/>
                <w:i w:val="0"/>
                <w:vanish w:val="0"/>
                <w:color w:val="000000"/>
                <w:sz w:val="24"/>
                <w:vertAlign w:val="baseline"/>
              </w:rPr>
            </w:pPr>
            <w:r>
              <w:rPr>
                <w:rFonts w:ascii="Times New Roman" w:eastAsia="Times New Roman" w:hAnsi="Times New Roman" w:cs="Times New Roman"/>
                <w:b w:val="0"/>
                <w:i w:val="0"/>
                <w:vanish w:val="0"/>
                <w:color w:val="000000"/>
                <w:sz w:val="24"/>
                <w:vertAlign w:val="baseline"/>
              </w:rPr>
              <w:t>SNV in Digitalna Europe;</w:t>
            </w:r>
          </w:p>
          <w:p w:rsidR="00A77B3E">
            <w:pPr>
              <w:numPr>
                <w:ilvl w:val="0"/>
                <w:numId w:val="24"/>
              </w:numPr>
              <w:spacing w:before="100" w:after="0"/>
              <w:ind w:start="720" w:hanging="360"/>
              <w:jc w:val="start"/>
              <w:rPr>
                <w:rFonts w:ascii="Times New Roman" w:eastAsia="Times New Roman" w:hAnsi="Times New Roman" w:cs="Times New Roman"/>
                <w:b w:val="0"/>
                <w:i w:val="0"/>
                <w:vanish w:val="0"/>
                <w:color w:val="000000"/>
                <w:sz w:val="24"/>
                <w:vertAlign w:val="baseline"/>
              </w:rPr>
            </w:pPr>
            <w:r>
              <w:rPr>
                <w:rFonts w:ascii="Times New Roman" w:eastAsia="Times New Roman" w:hAnsi="Times New Roman" w:cs="Times New Roman"/>
                <w:b w:val="0"/>
                <w:i w:val="0"/>
                <w:vanish w:val="0"/>
                <w:color w:val="000000"/>
                <w:sz w:val="24"/>
                <w:vertAlign w:val="baseline"/>
              </w:rPr>
              <w:t>SNV in Horizon Europe 2020 (Obzorje Evropa 2020) – preko prijav na javne razpise (MNZ Policija). Gre za sodelovanje v konzorcijih in projektih za izkoriščanje sodobne tehnologije in inovacij EU iz projektov za varnostne inovacije, ki jih financira EU;</w:t>
            </w:r>
          </w:p>
          <w:p w:rsidR="00A77B3E">
            <w:pPr>
              <w:numPr>
                <w:ilvl w:val="0"/>
                <w:numId w:val="24"/>
              </w:numPr>
              <w:spacing w:before="100" w:after="0"/>
              <w:ind w:start="720" w:hanging="360"/>
              <w:jc w:val="start"/>
              <w:rPr>
                <w:rFonts w:ascii="Times New Roman" w:eastAsia="Times New Roman" w:hAnsi="Times New Roman" w:cs="Times New Roman"/>
                <w:b w:val="0"/>
                <w:i w:val="0"/>
                <w:vanish w:val="0"/>
                <w:color w:val="000000"/>
                <w:sz w:val="24"/>
                <w:vertAlign w:val="baseline"/>
              </w:rPr>
            </w:pPr>
            <w:r>
              <w:rPr>
                <w:rFonts w:ascii="Times New Roman" w:eastAsia="Times New Roman" w:hAnsi="Times New Roman" w:cs="Times New Roman"/>
                <w:b w:val="0"/>
                <w:i w:val="0"/>
                <w:vanish w:val="0"/>
                <w:color w:val="000000"/>
                <w:sz w:val="24"/>
                <w:vertAlign w:val="baseline"/>
              </w:rPr>
              <w:t>SNV in OLAF HERCULE IV ter PERICLES IV;</w:t>
            </w:r>
          </w:p>
          <w:p w:rsidR="00A77B3E">
            <w:pPr>
              <w:numPr>
                <w:ilvl w:val="0"/>
                <w:numId w:val="24"/>
              </w:numPr>
              <w:spacing w:before="100" w:after="0"/>
              <w:ind w:start="720" w:hanging="360"/>
              <w:jc w:val="start"/>
              <w:rPr>
                <w:rFonts w:ascii="Times New Roman" w:eastAsia="Times New Roman" w:hAnsi="Times New Roman" w:cs="Times New Roman"/>
                <w:b w:val="0"/>
                <w:i w:val="0"/>
                <w:vanish w:val="0"/>
                <w:color w:val="000000"/>
                <w:sz w:val="24"/>
                <w:vertAlign w:val="baseline"/>
              </w:rPr>
            </w:pPr>
            <w:r>
              <w:rPr>
                <w:rFonts w:ascii="Times New Roman" w:eastAsia="Times New Roman" w:hAnsi="Times New Roman" w:cs="Times New Roman"/>
                <w:b w:val="0"/>
                <w:i w:val="0"/>
                <w:vanish w:val="0"/>
                <w:color w:val="000000"/>
                <w:sz w:val="24"/>
                <w:vertAlign w:val="baseline"/>
              </w:rPr>
              <w:t>SNV in EEA ter Norveškim finančnim mehanizmom;</w:t>
            </w:r>
          </w:p>
          <w:p w:rsidR="00A77B3E">
            <w:pPr>
              <w:numPr>
                <w:ilvl w:val="0"/>
                <w:numId w:val="24"/>
              </w:numPr>
              <w:spacing w:before="100" w:after="0"/>
              <w:ind w:start="720" w:hanging="360"/>
              <w:jc w:val="start"/>
              <w:rPr>
                <w:rFonts w:ascii="Times New Roman" w:eastAsia="Times New Roman" w:hAnsi="Times New Roman" w:cs="Times New Roman"/>
                <w:b w:val="0"/>
                <w:i w:val="0"/>
                <w:vanish w:val="0"/>
                <w:color w:val="000000"/>
                <w:sz w:val="24"/>
                <w:vertAlign w:val="baseline"/>
              </w:rPr>
            </w:pPr>
            <w:r>
              <w:rPr>
                <w:rFonts w:ascii="Times New Roman" w:eastAsia="Times New Roman" w:hAnsi="Times New Roman" w:cs="Times New Roman"/>
                <w:b w:val="0"/>
                <w:i w:val="0"/>
                <w:vanish w:val="0"/>
                <w:color w:val="000000"/>
                <w:sz w:val="24"/>
                <w:vertAlign w:val="baseline"/>
              </w:rPr>
              <w:t>SNV in Mehanizmom za okrevanje in odpornost (RRF);</w:t>
            </w:r>
          </w:p>
          <w:p w:rsidR="00A77B3E">
            <w:pPr>
              <w:numPr>
                <w:ilvl w:val="0"/>
                <w:numId w:val="24"/>
              </w:numPr>
              <w:spacing w:before="100" w:after="0"/>
              <w:ind w:start="720" w:hanging="360"/>
              <w:jc w:val="start"/>
              <w:rPr>
                <w:rFonts w:ascii="Times New Roman" w:eastAsia="Times New Roman" w:hAnsi="Times New Roman" w:cs="Times New Roman"/>
                <w:b w:val="0"/>
                <w:i w:val="0"/>
                <w:vanish w:val="0"/>
                <w:color w:val="000000"/>
                <w:sz w:val="24"/>
                <w:vertAlign w:val="baseline"/>
              </w:rPr>
            </w:pPr>
            <w:r>
              <w:rPr>
                <w:rFonts w:ascii="Times New Roman" w:eastAsia="Times New Roman" w:hAnsi="Times New Roman" w:cs="Times New Roman"/>
                <w:b w:val="0"/>
                <w:i w:val="0"/>
                <w:vanish w:val="0"/>
                <w:color w:val="000000"/>
                <w:sz w:val="24"/>
                <w:vertAlign w:val="baseline"/>
              </w:rPr>
              <w:t>ISF CERV in JUST programi (DG JUST).</w:t>
            </w:r>
          </w:p>
          <w:p w:rsidR="00A77B3E">
            <w:pPr>
              <w:spacing w:before="100" w:after="0"/>
              <w:jc w:val="start"/>
              <w:rPr>
                <w:rFonts w:ascii="Times New Roman" w:eastAsia="Times New Roman" w:hAnsi="Times New Roman" w:cs="Times New Roman"/>
                <w:b w:val="0"/>
                <w:i w:val="0"/>
                <w:vanish w:val="0"/>
                <w:color w:val="000000"/>
                <w:sz w:val="6"/>
                <w:vertAlign w:val="baseline"/>
              </w:rPr>
            </w:pPr>
          </w:p>
          <w:p w:rsidR="00A77B3E">
            <w:pPr>
              <w:spacing w:before="100" w:after="0"/>
              <w:jc w:val="start"/>
              <w:rPr>
                <w:rFonts w:ascii="Times New Roman" w:eastAsia="Times New Roman" w:hAnsi="Times New Roman" w:cs="Times New Roman"/>
                <w:b w:val="0"/>
                <w:i w:val="0"/>
                <w:vanish w:val="0"/>
                <w:color w:val="000000"/>
                <w:sz w:val="6"/>
                <w:vertAlign w:val="baseline"/>
              </w:rPr>
            </w:pPr>
          </w:p>
        </w:tc>
      </w:tr>
    </w:tbl>
    <w:p w:rsidR="00A77B3E">
      <w:pPr>
        <w:pStyle w:val="Heading1"/>
        <w:spacing w:before="100" w:after="0"/>
        <w:jc w:val="start"/>
        <w:rPr>
          <w:rFonts w:ascii="Times New Roman" w:eastAsia="Times New Roman" w:hAnsi="Times New Roman" w:cs="Times New Roman"/>
          <w:b w:val="0"/>
          <w:i w:val="0"/>
          <w:vanish w:val="0"/>
          <w:color w:val="000000"/>
          <w:sz w:val="24"/>
          <w:vertAlign w:val="baseline"/>
        </w:rPr>
      </w:pPr>
      <w:r>
        <w:rPr>
          <w:rFonts w:ascii="Times New Roman" w:eastAsia="Times New Roman" w:hAnsi="Times New Roman" w:cs="Times New Roman"/>
          <w:b w:val="0"/>
          <w:i w:val="0"/>
          <w:vanish w:val="0"/>
          <w:color w:val="000000"/>
          <w:sz w:val="24"/>
          <w:vertAlign w:val="baseline"/>
        </w:rPr>
        <w:br w:type="page"/>
      </w:r>
      <w:bookmarkStart w:id="38" w:name="_Toc256000093"/>
      <w:r>
        <w:rPr>
          <w:rFonts w:ascii="Times New Roman" w:eastAsia="Times New Roman" w:hAnsi="Times New Roman" w:cs="Times New Roman"/>
          <w:b w:val="0"/>
          <w:i w:val="0"/>
          <w:vanish w:val="0"/>
          <w:color w:val="000000"/>
          <w:sz w:val="24"/>
          <w:vertAlign w:val="baseline"/>
        </w:rPr>
        <w:t>7. Komuniciranje in prepoznavnost</w:t>
      </w:r>
      <w:bookmarkEnd w:id="38"/>
    </w:p>
    <w:p w:rsidR="00A77B3E">
      <w:pPr>
        <w:spacing w:before="100" w:after="0"/>
        <w:jc w:val="start"/>
        <w:rPr>
          <w:rFonts w:ascii="Times New Roman" w:eastAsia="Times New Roman" w:hAnsi="Times New Roman" w:cs="Times New Roman"/>
          <w:b w:val="0"/>
          <w:i w:val="0"/>
          <w:vanish w:val="0"/>
          <w:color w:val="000000"/>
          <w:sz w:val="16"/>
          <w:vertAlign w:val="baseline"/>
        </w:rPr>
      </w:pPr>
      <w:r>
        <w:rPr>
          <w:rFonts w:ascii="Times New Roman" w:eastAsia="Times New Roman" w:hAnsi="Times New Roman" w:cs="Times New Roman"/>
          <w:b w:val="0"/>
          <w:i w:val="0"/>
          <w:vanish w:val="0"/>
          <w:color w:val="000000"/>
          <w:sz w:val="24"/>
          <w:vertAlign w:val="baseline"/>
        </w:rPr>
        <w:t>Sklic: člen 22(3)(j) uredbe o skupnih določbah</w:t>
      </w:r>
    </w:p>
    <w:p w:rsidR="00A77B3E">
      <w:pPr>
        <w:spacing w:before="100" w:after="0"/>
        <w:jc w:val="start"/>
        <w:rPr>
          <w:rFonts w:ascii="Times New Roman" w:eastAsia="Times New Roman" w:hAnsi="Times New Roman" w:cs="Times New Roman"/>
          <w:b w:val="0"/>
          <w:i w:val="0"/>
          <w:vanish w:val="0"/>
          <w:color w:val="000000"/>
          <w:sz w:val="12"/>
          <w:vertAlign w:val="baseline"/>
        </w:rPr>
      </w:pPr>
    </w:p>
    <w:tbl>
      <w:tblPr>
        <w:tblW w:w="100%" w:type="pct"/>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Layout w:type="fixed"/>
        <w:tblCellMar>
          <w:start w:w="5.4pt" w:type="dxa"/>
          <w:end w:w="5.4pt" w:type="dxa"/>
        </w:tblCellMar>
      </w:tblPr>
      <w:tblGrid>
        <w:gridCol w:w="10240"/>
      </w:tblGrid>
      <w:tr>
        <w:tblPrEx>
          <w:tblW w:w="100%" w:type="pct"/>
          <w:tblLayout w:type="fixed"/>
        </w:tblPrEx>
        <w:trPr>
          <w:cantSplit w:val="0"/>
          <w:trHeight w:val="160"/>
        </w:trPr>
        <w:tc>
          <w:tcPr>
            <w:tcW w:w="100%" w:type="pct"/>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rsidR="00A77B3E">
            <w:pPr>
              <w:spacing w:before="100" w:after="0"/>
              <w:jc w:val="start"/>
              <w:rPr>
                <w:rFonts w:ascii="Times New Roman" w:eastAsia="Times New Roman" w:hAnsi="Times New Roman" w:cs="Times New Roman"/>
                <w:b w:val="0"/>
                <w:i w:val="0"/>
                <w:vanish w:val="0"/>
                <w:color w:val="000000"/>
                <w:sz w:val="0"/>
                <w:vertAlign w:val="baseline"/>
              </w:rPr>
            </w:pPr>
          </w:p>
          <w:p w:rsidR="00A77B3E">
            <w:pPr>
              <w:spacing w:before="100" w:after="0"/>
              <w:jc w:val="start"/>
              <w:rPr>
                <w:rFonts w:ascii="Times New Roman" w:eastAsia="Times New Roman" w:hAnsi="Times New Roman" w:cs="Times New Roman"/>
                <w:b w:val="0"/>
                <w:i w:val="0"/>
                <w:vanish w:val="0"/>
                <w:color w:val="000000"/>
                <w:sz w:val="24"/>
                <w:vertAlign w:val="baseline"/>
              </w:rPr>
            </w:pPr>
            <w:r>
              <w:rPr>
                <w:rFonts w:ascii="Times New Roman" w:eastAsia="Times New Roman" w:hAnsi="Times New Roman" w:cs="Times New Roman"/>
                <w:b w:val="0"/>
                <w:i w:val="0"/>
                <w:vanish w:val="0"/>
                <w:color w:val="000000"/>
                <w:sz w:val="24"/>
                <w:vertAlign w:val="baseline"/>
              </w:rPr>
              <w:t>OU prevzema vlogo koordinatorja s področja komuniciranja na ravni države članice za AMIF, SNV in IUMV. Glavni namen komuniciranja na področju skladov notranje varnosti je promocija aktivnosti in dosežkov skladov ter informiranje različnih javnosti za povečanje njihove aktivne vključenosti, kar bi prispevalo k učinkovitemu izvajanju politike s področja notranje varnosti in migracij.</w:t>
            </w:r>
          </w:p>
          <w:p w:rsidR="00A77B3E">
            <w:pPr>
              <w:spacing w:before="100" w:after="0"/>
              <w:jc w:val="start"/>
              <w:rPr>
                <w:rFonts w:ascii="Times New Roman" w:eastAsia="Times New Roman" w:hAnsi="Times New Roman" w:cs="Times New Roman"/>
                <w:b w:val="0"/>
                <w:i w:val="0"/>
                <w:vanish w:val="0"/>
                <w:color w:val="000000"/>
                <w:sz w:val="24"/>
                <w:vertAlign w:val="baseline"/>
              </w:rPr>
            </w:pPr>
          </w:p>
          <w:p w:rsidR="00A77B3E">
            <w:pPr>
              <w:spacing w:before="100" w:after="0"/>
              <w:jc w:val="start"/>
              <w:rPr>
                <w:rFonts w:ascii="Times New Roman" w:eastAsia="Times New Roman" w:hAnsi="Times New Roman" w:cs="Times New Roman"/>
                <w:b w:val="0"/>
                <w:i w:val="0"/>
                <w:vanish w:val="0"/>
                <w:color w:val="000000"/>
                <w:sz w:val="24"/>
                <w:vertAlign w:val="baseline"/>
              </w:rPr>
            </w:pPr>
            <w:r>
              <w:rPr>
                <w:rFonts w:ascii="Times New Roman" w:eastAsia="Times New Roman" w:hAnsi="Times New Roman" w:cs="Times New Roman"/>
                <w:b w:val="0"/>
                <w:i w:val="0"/>
                <w:vanish w:val="0"/>
                <w:color w:val="000000"/>
                <w:sz w:val="24"/>
                <w:vertAlign w:val="baseline"/>
              </w:rPr>
              <w:t>Glavne ciljne skupine (deležniki) so:</w:t>
            </w:r>
          </w:p>
          <w:p w:rsidR="00A77B3E">
            <w:pPr>
              <w:numPr>
                <w:ilvl w:val="0"/>
                <w:numId w:val="25"/>
              </w:numPr>
              <w:spacing w:before="100" w:after="0"/>
              <w:ind w:start="720" w:hanging="360"/>
              <w:jc w:val="start"/>
              <w:rPr>
                <w:rFonts w:ascii="Times New Roman" w:eastAsia="Times New Roman" w:hAnsi="Times New Roman" w:cs="Times New Roman"/>
                <w:b w:val="0"/>
                <w:i w:val="0"/>
                <w:vanish w:val="0"/>
                <w:color w:val="000000"/>
                <w:sz w:val="24"/>
                <w:vertAlign w:val="baseline"/>
              </w:rPr>
            </w:pPr>
            <w:r>
              <w:rPr>
                <w:rFonts w:ascii="Times New Roman" w:eastAsia="Times New Roman" w:hAnsi="Times New Roman" w:cs="Times New Roman"/>
                <w:b w:val="0"/>
                <w:i w:val="0"/>
                <w:vanish w:val="0"/>
                <w:color w:val="000000"/>
                <w:sz w:val="24"/>
                <w:vertAlign w:val="baseline"/>
              </w:rPr>
              <w:t>potencialni upravičenci,</w:t>
            </w:r>
          </w:p>
          <w:p w:rsidR="00A77B3E">
            <w:pPr>
              <w:numPr>
                <w:ilvl w:val="0"/>
                <w:numId w:val="25"/>
              </w:numPr>
              <w:spacing w:before="100" w:after="0"/>
              <w:ind w:start="720" w:hanging="360"/>
              <w:jc w:val="start"/>
              <w:rPr>
                <w:rFonts w:ascii="Times New Roman" w:eastAsia="Times New Roman" w:hAnsi="Times New Roman" w:cs="Times New Roman"/>
                <w:b w:val="0"/>
                <w:i w:val="0"/>
                <w:vanish w:val="0"/>
                <w:color w:val="000000"/>
                <w:sz w:val="24"/>
                <w:vertAlign w:val="baseline"/>
              </w:rPr>
            </w:pPr>
            <w:r>
              <w:rPr>
                <w:rFonts w:ascii="Times New Roman" w:eastAsia="Times New Roman" w:hAnsi="Times New Roman" w:cs="Times New Roman"/>
                <w:b w:val="0"/>
                <w:i w:val="0"/>
                <w:vanish w:val="0"/>
                <w:color w:val="000000"/>
                <w:sz w:val="24"/>
                <w:vertAlign w:val="baseline"/>
              </w:rPr>
              <w:t>upravičenci z zakonskimi pristojnostni s področja,</w:t>
            </w:r>
          </w:p>
          <w:p w:rsidR="00A77B3E">
            <w:pPr>
              <w:numPr>
                <w:ilvl w:val="0"/>
                <w:numId w:val="25"/>
              </w:numPr>
              <w:spacing w:before="100" w:after="0"/>
              <w:ind w:start="720" w:hanging="360"/>
              <w:jc w:val="start"/>
              <w:rPr>
                <w:rFonts w:ascii="Times New Roman" w:eastAsia="Times New Roman" w:hAnsi="Times New Roman" w:cs="Times New Roman"/>
                <w:b w:val="0"/>
                <w:i w:val="0"/>
                <w:vanish w:val="0"/>
                <w:color w:val="000000"/>
                <w:sz w:val="24"/>
                <w:vertAlign w:val="baseline"/>
              </w:rPr>
            </w:pPr>
            <w:r>
              <w:rPr>
                <w:rFonts w:ascii="Times New Roman" w:eastAsia="Times New Roman" w:hAnsi="Times New Roman" w:cs="Times New Roman"/>
                <w:b w:val="0"/>
                <w:i w:val="0"/>
                <w:vanish w:val="0"/>
                <w:color w:val="000000"/>
                <w:sz w:val="24"/>
                <w:vertAlign w:val="baseline"/>
              </w:rPr>
              <w:t>upravičenci, ki izvajajo operacije preko javnih razpisov (nevladne organizacije),</w:t>
            </w:r>
          </w:p>
          <w:p w:rsidR="00A77B3E">
            <w:pPr>
              <w:numPr>
                <w:ilvl w:val="0"/>
                <w:numId w:val="25"/>
              </w:numPr>
              <w:spacing w:before="100" w:after="0"/>
              <w:ind w:start="720" w:hanging="360"/>
              <w:jc w:val="start"/>
              <w:rPr>
                <w:rFonts w:ascii="Times New Roman" w:eastAsia="Times New Roman" w:hAnsi="Times New Roman" w:cs="Times New Roman"/>
                <w:b w:val="0"/>
                <w:i w:val="0"/>
                <w:vanish w:val="0"/>
                <w:color w:val="000000"/>
                <w:sz w:val="24"/>
                <w:vertAlign w:val="baseline"/>
              </w:rPr>
            </w:pPr>
            <w:r>
              <w:rPr>
                <w:rFonts w:ascii="Times New Roman" w:eastAsia="Times New Roman" w:hAnsi="Times New Roman" w:cs="Times New Roman"/>
                <w:b w:val="0"/>
                <w:i w:val="0"/>
                <w:vanish w:val="0"/>
                <w:color w:val="000000"/>
                <w:sz w:val="24"/>
                <w:vertAlign w:val="baseline"/>
              </w:rPr>
              <w:t>ekonomsko-socialni partnerji,</w:t>
            </w:r>
          </w:p>
          <w:p w:rsidR="00A77B3E">
            <w:pPr>
              <w:numPr>
                <w:ilvl w:val="0"/>
                <w:numId w:val="25"/>
              </w:numPr>
              <w:spacing w:before="100" w:after="0"/>
              <w:ind w:start="720" w:hanging="360"/>
              <w:jc w:val="start"/>
              <w:rPr>
                <w:rFonts w:ascii="Times New Roman" w:eastAsia="Times New Roman" w:hAnsi="Times New Roman" w:cs="Times New Roman"/>
                <w:b w:val="0"/>
                <w:i w:val="0"/>
                <w:vanish w:val="0"/>
                <w:color w:val="000000"/>
                <w:sz w:val="24"/>
                <w:vertAlign w:val="baseline"/>
              </w:rPr>
            </w:pPr>
            <w:r>
              <w:rPr>
                <w:rFonts w:ascii="Times New Roman" w:eastAsia="Times New Roman" w:hAnsi="Times New Roman" w:cs="Times New Roman"/>
                <w:b w:val="0"/>
                <w:i w:val="0"/>
                <w:vanish w:val="0"/>
                <w:color w:val="000000"/>
                <w:sz w:val="24"/>
                <w:vertAlign w:val="baseline"/>
              </w:rPr>
              <w:t>splošna javnost.</w:t>
            </w:r>
          </w:p>
          <w:p w:rsidR="00A77B3E">
            <w:pPr>
              <w:spacing w:before="100" w:after="0"/>
              <w:jc w:val="start"/>
              <w:rPr>
                <w:rFonts w:ascii="Times New Roman" w:eastAsia="Times New Roman" w:hAnsi="Times New Roman" w:cs="Times New Roman"/>
                <w:b w:val="0"/>
                <w:i w:val="0"/>
                <w:vanish w:val="0"/>
                <w:color w:val="000000"/>
                <w:sz w:val="24"/>
                <w:vertAlign w:val="baseline"/>
              </w:rPr>
            </w:pPr>
          </w:p>
          <w:p w:rsidR="00A77B3E">
            <w:pPr>
              <w:spacing w:before="100" w:after="0"/>
              <w:jc w:val="start"/>
              <w:rPr>
                <w:rFonts w:ascii="Times New Roman" w:eastAsia="Times New Roman" w:hAnsi="Times New Roman" w:cs="Times New Roman"/>
                <w:b w:val="0"/>
                <w:i w:val="0"/>
                <w:vanish w:val="0"/>
                <w:color w:val="000000"/>
                <w:sz w:val="24"/>
                <w:vertAlign w:val="baseline"/>
              </w:rPr>
            </w:pPr>
            <w:r>
              <w:rPr>
                <w:rFonts w:ascii="Times New Roman" w:eastAsia="Times New Roman" w:hAnsi="Times New Roman" w:cs="Times New Roman"/>
                <w:b w:val="0"/>
                <w:i w:val="0"/>
                <w:vanish w:val="0"/>
                <w:color w:val="000000"/>
                <w:sz w:val="24"/>
                <w:vertAlign w:val="baseline"/>
              </w:rPr>
              <w:t>Glavni komunikacijski cilji so informiranje in osveščanje o:</w:t>
            </w:r>
          </w:p>
          <w:p w:rsidR="00A77B3E">
            <w:pPr>
              <w:numPr>
                <w:ilvl w:val="0"/>
                <w:numId w:val="26"/>
              </w:numPr>
              <w:spacing w:before="100" w:after="0"/>
              <w:ind w:start="720" w:hanging="360"/>
              <w:jc w:val="start"/>
              <w:rPr>
                <w:rFonts w:ascii="Times New Roman" w:eastAsia="Times New Roman" w:hAnsi="Times New Roman" w:cs="Times New Roman"/>
                <w:b w:val="0"/>
                <w:i w:val="0"/>
                <w:vanish w:val="0"/>
                <w:color w:val="000000"/>
                <w:sz w:val="24"/>
                <w:vertAlign w:val="baseline"/>
              </w:rPr>
            </w:pPr>
            <w:r>
              <w:rPr>
                <w:rFonts w:ascii="Times New Roman" w:eastAsia="Times New Roman" w:hAnsi="Times New Roman" w:cs="Times New Roman"/>
                <w:b w:val="0"/>
                <w:i w:val="0"/>
                <w:vanish w:val="0"/>
                <w:color w:val="000000"/>
                <w:sz w:val="24"/>
                <w:vertAlign w:val="baseline"/>
              </w:rPr>
              <w:t>možnostih koriščenja in dodeljenih sredstvih skladov,</w:t>
            </w:r>
          </w:p>
          <w:p w:rsidR="00A77B3E">
            <w:pPr>
              <w:numPr>
                <w:ilvl w:val="0"/>
                <w:numId w:val="26"/>
              </w:numPr>
              <w:spacing w:before="100" w:after="0"/>
              <w:ind w:start="720" w:hanging="360"/>
              <w:jc w:val="start"/>
              <w:rPr>
                <w:rFonts w:ascii="Times New Roman" w:eastAsia="Times New Roman" w:hAnsi="Times New Roman" w:cs="Times New Roman"/>
                <w:b w:val="0"/>
                <w:i w:val="0"/>
                <w:vanish w:val="0"/>
                <w:color w:val="000000"/>
                <w:sz w:val="24"/>
                <w:vertAlign w:val="baseline"/>
              </w:rPr>
            </w:pPr>
            <w:r>
              <w:rPr>
                <w:rFonts w:ascii="Times New Roman" w:eastAsia="Times New Roman" w:hAnsi="Times New Roman" w:cs="Times New Roman"/>
                <w:b w:val="0"/>
                <w:i w:val="0"/>
                <w:vanish w:val="0"/>
                <w:color w:val="000000"/>
                <w:sz w:val="24"/>
                <w:vertAlign w:val="baseline"/>
              </w:rPr>
              <w:t>informacijah o skladih,</w:t>
            </w:r>
          </w:p>
          <w:p w:rsidR="00A77B3E">
            <w:pPr>
              <w:numPr>
                <w:ilvl w:val="0"/>
                <w:numId w:val="26"/>
              </w:numPr>
              <w:spacing w:before="100" w:after="0"/>
              <w:ind w:start="720" w:hanging="360"/>
              <w:jc w:val="start"/>
              <w:rPr>
                <w:rFonts w:ascii="Times New Roman" w:eastAsia="Times New Roman" w:hAnsi="Times New Roman" w:cs="Times New Roman"/>
                <w:b w:val="0"/>
                <w:i w:val="0"/>
                <w:vanish w:val="0"/>
                <w:color w:val="000000"/>
                <w:sz w:val="24"/>
                <w:vertAlign w:val="baseline"/>
              </w:rPr>
            </w:pPr>
            <w:r>
              <w:rPr>
                <w:rFonts w:ascii="Times New Roman" w:eastAsia="Times New Roman" w:hAnsi="Times New Roman" w:cs="Times New Roman"/>
                <w:b w:val="0"/>
                <w:i w:val="0"/>
                <w:vanish w:val="0"/>
                <w:color w:val="000000"/>
                <w:sz w:val="24"/>
                <w:vertAlign w:val="baseline"/>
              </w:rPr>
              <w:t>dosežkih, učinkih in rezultatih operacij.</w:t>
            </w:r>
          </w:p>
          <w:p w:rsidR="00A77B3E">
            <w:pPr>
              <w:spacing w:before="100" w:after="0"/>
              <w:jc w:val="start"/>
              <w:rPr>
                <w:rFonts w:ascii="Times New Roman" w:eastAsia="Times New Roman" w:hAnsi="Times New Roman" w:cs="Times New Roman"/>
                <w:b w:val="0"/>
                <w:i w:val="0"/>
                <w:vanish w:val="0"/>
                <w:color w:val="000000"/>
                <w:sz w:val="24"/>
                <w:vertAlign w:val="baseline"/>
              </w:rPr>
            </w:pPr>
          </w:p>
          <w:p w:rsidR="00A77B3E">
            <w:pPr>
              <w:spacing w:before="100" w:after="0"/>
              <w:jc w:val="start"/>
              <w:rPr>
                <w:rFonts w:ascii="Times New Roman" w:eastAsia="Times New Roman" w:hAnsi="Times New Roman" w:cs="Times New Roman"/>
                <w:b w:val="0"/>
                <w:i w:val="0"/>
                <w:vanish w:val="0"/>
                <w:color w:val="000000"/>
                <w:sz w:val="24"/>
                <w:vertAlign w:val="baseline"/>
              </w:rPr>
            </w:pPr>
            <w:r>
              <w:rPr>
                <w:rFonts w:ascii="Times New Roman" w:eastAsia="Times New Roman" w:hAnsi="Times New Roman" w:cs="Times New Roman"/>
                <w:b w:val="0"/>
                <w:i w:val="0"/>
                <w:vanish w:val="0"/>
                <w:color w:val="000000"/>
                <w:sz w:val="24"/>
                <w:vertAlign w:val="baseline"/>
              </w:rPr>
              <w:t>V prvem delu programskega obdobja bo namen komuniciranja seznanjanje javnosti z novostmi v izvajanju skladov s področja notranje varnosti in migracij v programskem obdobju 2021–2027 in samim sistemom izvajanja, informiranje različnih ciljnih skupin o možnostih sofinanciranja in spodbujanje vključevanja (potencialnih) upravičencev ter drugih deležnikov za čim bolj učinkovito črpanje evropskih sredstev. V drugem delu bo večji poudarek na dvigu prepoznavanja in oblikovanju pozitivne podobe evropske politike s področja notranje varnosti in migracij v očeh splošne javnosti, predvsem preko širjenja dobrih praks in rezultatov, pri čemer bodo glavni ambasadorji uspešne operacije in njihove zgodbe.</w:t>
            </w:r>
          </w:p>
          <w:p w:rsidR="00A77B3E">
            <w:pPr>
              <w:spacing w:before="100" w:after="0"/>
              <w:jc w:val="start"/>
              <w:rPr>
                <w:rFonts w:ascii="Times New Roman" w:eastAsia="Times New Roman" w:hAnsi="Times New Roman" w:cs="Times New Roman"/>
                <w:b w:val="0"/>
                <w:i w:val="0"/>
                <w:vanish w:val="0"/>
                <w:color w:val="000000"/>
                <w:sz w:val="24"/>
                <w:vertAlign w:val="baseline"/>
              </w:rPr>
            </w:pPr>
            <w:r>
              <w:rPr>
                <w:rFonts w:ascii="Times New Roman" w:eastAsia="Times New Roman" w:hAnsi="Times New Roman" w:cs="Times New Roman"/>
                <w:b w:val="0"/>
                <w:i w:val="0"/>
                <w:vanish w:val="0"/>
                <w:color w:val="000000"/>
                <w:sz w:val="24"/>
                <w:vertAlign w:val="baseline"/>
              </w:rPr>
              <w:t>Zgoraj opisane aktivnosti se bodo izvajale skladno z nacionalno komunikacijsko strategijo Slovenije ter letnimi komunikacijskimi načrti OU, kjer bodo opisane podrobne aktivnosti in bodo usklajeni z nacionalnim koordinatorjem za komuniciranje. Novost je enoten spletni portal www.evropskasredstva.si, na katerem bodo predstavljene relevantne informacije o izvajanju evropske politike v obdobju 2021-2027 v Sloveniji.</w:t>
            </w:r>
          </w:p>
          <w:p w:rsidR="00A77B3E">
            <w:pPr>
              <w:spacing w:before="100" w:after="0"/>
              <w:jc w:val="start"/>
              <w:rPr>
                <w:rFonts w:ascii="Times New Roman" w:eastAsia="Times New Roman" w:hAnsi="Times New Roman" w:cs="Times New Roman"/>
                <w:b w:val="0"/>
                <w:i w:val="0"/>
                <w:vanish w:val="0"/>
                <w:color w:val="000000"/>
                <w:sz w:val="24"/>
                <w:vertAlign w:val="baseline"/>
              </w:rPr>
            </w:pPr>
            <w:r>
              <w:rPr>
                <w:rFonts w:ascii="Times New Roman" w:eastAsia="Times New Roman" w:hAnsi="Times New Roman" w:cs="Times New Roman"/>
                <w:b w:val="0"/>
                <w:i w:val="0"/>
                <w:vanish w:val="0"/>
                <w:color w:val="000000"/>
                <w:sz w:val="24"/>
                <w:vertAlign w:val="baseline"/>
              </w:rPr>
              <w:t>Glede na različne ciljne skupine bodo komunikacijske aktivnosti ciljno usmerjene. Načrtovana komunikacijska orodja in kanali za izvajanje dejavnosti prepoznavnosti, preglednosti in komuniciranja politike na področju notranjih zadev v obdobju 2021-2027 so:</w:t>
            </w:r>
          </w:p>
          <w:p w:rsidR="00A77B3E">
            <w:pPr>
              <w:spacing w:before="100" w:after="0"/>
              <w:jc w:val="start"/>
              <w:rPr>
                <w:rFonts w:ascii="Times New Roman" w:eastAsia="Times New Roman" w:hAnsi="Times New Roman" w:cs="Times New Roman"/>
                <w:b w:val="0"/>
                <w:i w:val="0"/>
                <w:vanish w:val="0"/>
                <w:color w:val="000000"/>
                <w:sz w:val="24"/>
                <w:vertAlign w:val="baseline"/>
              </w:rPr>
            </w:pPr>
          </w:p>
          <w:p w:rsidR="00A77B3E">
            <w:pPr>
              <w:spacing w:before="100" w:after="0"/>
              <w:jc w:val="start"/>
              <w:rPr>
                <w:rFonts w:ascii="Times New Roman" w:eastAsia="Times New Roman" w:hAnsi="Times New Roman" w:cs="Times New Roman"/>
                <w:b w:val="0"/>
                <w:i w:val="0"/>
                <w:vanish w:val="0"/>
                <w:color w:val="000000"/>
                <w:sz w:val="24"/>
                <w:vertAlign w:val="baseline"/>
              </w:rPr>
            </w:pPr>
            <w:r>
              <w:rPr>
                <w:rFonts w:ascii="Times New Roman" w:eastAsia="Times New Roman" w:hAnsi="Times New Roman" w:cs="Times New Roman"/>
                <w:b w:val="0"/>
                <w:i w:val="0"/>
                <w:vanish w:val="0"/>
                <w:color w:val="000000"/>
                <w:sz w:val="24"/>
                <w:vertAlign w:val="baseline"/>
              </w:rPr>
              <w:t>- SPLETNE STRANI (programski dokumenti, predstavitvena gradiva, avdio-vizualne produkcije, sporočila za javnost, druge promocijske in informativne objave)</w:t>
            </w:r>
          </w:p>
          <w:p w:rsidR="00A77B3E">
            <w:pPr>
              <w:spacing w:before="100" w:after="0"/>
              <w:jc w:val="start"/>
              <w:rPr>
                <w:rFonts w:ascii="Times New Roman" w:eastAsia="Times New Roman" w:hAnsi="Times New Roman" w:cs="Times New Roman"/>
                <w:b w:val="0"/>
                <w:i w:val="0"/>
                <w:vanish w:val="0"/>
                <w:color w:val="000000"/>
                <w:sz w:val="24"/>
                <w:vertAlign w:val="baseline"/>
              </w:rPr>
            </w:pPr>
            <w:r>
              <w:rPr>
                <w:rFonts w:ascii="Times New Roman" w:eastAsia="Times New Roman" w:hAnsi="Times New Roman" w:cs="Times New Roman"/>
                <w:b w:val="0"/>
                <w:i w:val="0"/>
                <w:vanish w:val="0"/>
                <w:color w:val="000000"/>
                <w:sz w:val="24"/>
                <w:vertAlign w:val="baseline"/>
              </w:rPr>
              <w:t>a. Kazalniki učinka (KU): št. obiskov, št. obiskovalcev, ki jih identificirajo brskalniki, št. ogledov strani,</w:t>
            </w:r>
          </w:p>
          <w:p w:rsidR="00A77B3E">
            <w:pPr>
              <w:spacing w:before="100" w:after="0"/>
              <w:jc w:val="start"/>
              <w:rPr>
                <w:rFonts w:ascii="Times New Roman" w:eastAsia="Times New Roman" w:hAnsi="Times New Roman" w:cs="Times New Roman"/>
                <w:b w:val="0"/>
                <w:i w:val="0"/>
                <w:vanish w:val="0"/>
                <w:color w:val="000000"/>
                <w:sz w:val="24"/>
                <w:vertAlign w:val="baseline"/>
              </w:rPr>
            </w:pPr>
            <w:r>
              <w:rPr>
                <w:rFonts w:ascii="Times New Roman" w:eastAsia="Times New Roman" w:hAnsi="Times New Roman" w:cs="Times New Roman"/>
                <w:b w:val="0"/>
                <w:i w:val="0"/>
                <w:vanish w:val="0"/>
                <w:color w:val="000000"/>
                <w:sz w:val="24"/>
                <w:vertAlign w:val="baseline"/>
              </w:rPr>
              <w:t>b. Kazalniki rezultata (KR): stopnja konverzije: prenosi, registracije, izpolnjeni obrazci, stopnja obiskov, dolžina seje itd., splošna uporabnost spletnega mesta in/ali strani, št. ponovnih obiskovalcev,</w:t>
            </w:r>
          </w:p>
          <w:p w:rsidR="00A77B3E">
            <w:pPr>
              <w:spacing w:before="100" w:after="0"/>
              <w:jc w:val="start"/>
              <w:rPr>
                <w:rFonts w:ascii="Times New Roman" w:eastAsia="Times New Roman" w:hAnsi="Times New Roman" w:cs="Times New Roman"/>
                <w:b w:val="0"/>
                <w:i w:val="0"/>
                <w:vanish w:val="0"/>
                <w:color w:val="000000"/>
                <w:sz w:val="24"/>
                <w:vertAlign w:val="baseline"/>
              </w:rPr>
            </w:pPr>
            <w:r>
              <w:rPr>
                <w:rFonts w:ascii="Times New Roman" w:eastAsia="Times New Roman" w:hAnsi="Times New Roman" w:cs="Times New Roman"/>
                <w:b w:val="0"/>
                <w:i w:val="0"/>
                <w:vanish w:val="0"/>
                <w:color w:val="000000"/>
                <w:sz w:val="24"/>
                <w:vertAlign w:val="baseline"/>
              </w:rPr>
              <w:t>c. Kazalniki vpliva (KV): št. obiskovalcev, ki imajo bolj pozitivno mnenje o EU, kot rezultat spletnega obiska, verjetnost zagovarjanja ali pozitivnega govora o EU, kot rezultat spletnega obiska.</w:t>
            </w:r>
          </w:p>
          <w:p w:rsidR="00A77B3E">
            <w:pPr>
              <w:spacing w:before="100" w:after="0"/>
              <w:jc w:val="start"/>
              <w:rPr>
                <w:rFonts w:ascii="Times New Roman" w:eastAsia="Times New Roman" w:hAnsi="Times New Roman" w:cs="Times New Roman"/>
                <w:b w:val="0"/>
                <w:i w:val="0"/>
                <w:vanish w:val="0"/>
                <w:color w:val="000000"/>
                <w:sz w:val="24"/>
                <w:vertAlign w:val="baseline"/>
              </w:rPr>
            </w:pPr>
          </w:p>
          <w:p w:rsidR="00A77B3E">
            <w:pPr>
              <w:spacing w:before="100" w:after="0"/>
              <w:jc w:val="start"/>
              <w:rPr>
                <w:rFonts w:ascii="Times New Roman" w:eastAsia="Times New Roman" w:hAnsi="Times New Roman" w:cs="Times New Roman"/>
                <w:b w:val="0"/>
                <w:i w:val="0"/>
                <w:vanish w:val="0"/>
                <w:color w:val="000000"/>
                <w:sz w:val="24"/>
                <w:vertAlign w:val="baseline"/>
              </w:rPr>
            </w:pPr>
            <w:r>
              <w:rPr>
                <w:rFonts w:ascii="Times New Roman" w:eastAsia="Times New Roman" w:hAnsi="Times New Roman" w:cs="Times New Roman"/>
                <w:b w:val="0"/>
                <w:i w:val="0"/>
                <w:vanish w:val="0"/>
                <w:color w:val="000000"/>
                <w:sz w:val="24"/>
                <w:vertAlign w:val="baseline"/>
              </w:rPr>
              <w:t>- SOCIALNA OMREŽJA - Facebook, Twitter, Instagram (sporočila za javnost, avdio-vizualne produkcije, druge promocijske in informativne objave)</w:t>
            </w:r>
          </w:p>
          <w:p w:rsidR="00A77B3E">
            <w:pPr>
              <w:spacing w:before="100" w:after="0"/>
              <w:jc w:val="start"/>
              <w:rPr>
                <w:rFonts w:ascii="Times New Roman" w:eastAsia="Times New Roman" w:hAnsi="Times New Roman" w:cs="Times New Roman"/>
                <w:b w:val="0"/>
                <w:i w:val="0"/>
                <w:vanish w:val="0"/>
                <w:color w:val="000000"/>
                <w:sz w:val="24"/>
                <w:vertAlign w:val="baseline"/>
              </w:rPr>
            </w:pPr>
            <w:r>
              <w:rPr>
                <w:rFonts w:ascii="Times New Roman" w:eastAsia="Times New Roman" w:hAnsi="Times New Roman" w:cs="Times New Roman"/>
                <w:b w:val="0"/>
                <w:i w:val="0"/>
                <w:vanish w:val="0"/>
                <w:color w:val="000000"/>
                <w:sz w:val="24"/>
                <w:vertAlign w:val="baseline"/>
              </w:rPr>
              <w:t>a. KU: št. prikazov, št. sledilcev/oboževalcev/naročnikov,</w:t>
            </w:r>
          </w:p>
          <w:p w:rsidR="00A77B3E">
            <w:pPr>
              <w:spacing w:before="100" w:after="0"/>
              <w:jc w:val="start"/>
              <w:rPr>
                <w:rFonts w:ascii="Times New Roman" w:eastAsia="Times New Roman" w:hAnsi="Times New Roman" w:cs="Times New Roman"/>
                <w:b w:val="0"/>
                <w:i w:val="0"/>
                <w:vanish w:val="0"/>
                <w:color w:val="000000"/>
                <w:sz w:val="24"/>
                <w:vertAlign w:val="baseline"/>
              </w:rPr>
            </w:pPr>
            <w:r>
              <w:rPr>
                <w:rFonts w:ascii="Times New Roman" w:eastAsia="Times New Roman" w:hAnsi="Times New Roman" w:cs="Times New Roman"/>
                <w:b w:val="0"/>
                <w:i w:val="0"/>
                <w:vanish w:val="0"/>
                <w:color w:val="000000"/>
                <w:sz w:val="24"/>
                <w:vertAlign w:val="baseline"/>
              </w:rPr>
              <w:t>b. KR: št. angažiranosti: delitve, všečki, 'kliki' ali komentarji, št. omemb,</w:t>
            </w:r>
          </w:p>
          <w:p w:rsidR="00A77B3E">
            <w:pPr>
              <w:spacing w:before="100" w:after="0"/>
              <w:jc w:val="start"/>
              <w:rPr>
                <w:rFonts w:ascii="Times New Roman" w:eastAsia="Times New Roman" w:hAnsi="Times New Roman" w:cs="Times New Roman"/>
                <w:b w:val="0"/>
                <w:i w:val="0"/>
                <w:vanish w:val="0"/>
                <w:color w:val="000000"/>
                <w:sz w:val="24"/>
                <w:vertAlign w:val="baseline"/>
              </w:rPr>
            </w:pPr>
            <w:r>
              <w:rPr>
                <w:rFonts w:ascii="Times New Roman" w:eastAsia="Times New Roman" w:hAnsi="Times New Roman" w:cs="Times New Roman"/>
                <w:b w:val="0"/>
                <w:i w:val="0"/>
                <w:vanish w:val="0"/>
                <w:color w:val="000000"/>
                <w:sz w:val="24"/>
                <w:vertAlign w:val="baseline"/>
              </w:rPr>
              <w:t>c. KV: odstotek oseb, ki imajo zaradi sodelovanja v vsebini socialnih omrežij bolj pozitivno mnenje o EU.</w:t>
            </w:r>
          </w:p>
          <w:p w:rsidR="00A77B3E">
            <w:pPr>
              <w:spacing w:before="100" w:after="0"/>
              <w:jc w:val="start"/>
              <w:rPr>
                <w:rFonts w:ascii="Times New Roman" w:eastAsia="Times New Roman" w:hAnsi="Times New Roman" w:cs="Times New Roman"/>
                <w:b w:val="0"/>
                <w:i w:val="0"/>
                <w:vanish w:val="0"/>
                <w:color w:val="000000"/>
                <w:sz w:val="24"/>
                <w:vertAlign w:val="baseline"/>
              </w:rPr>
            </w:pPr>
          </w:p>
          <w:p w:rsidR="00A77B3E">
            <w:pPr>
              <w:spacing w:before="100" w:after="0"/>
              <w:jc w:val="start"/>
              <w:rPr>
                <w:rFonts w:ascii="Times New Roman" w:eastAsia="Times New Roman" w:hAnsi="Times New Roman" w:cs="Times New Roman"/>
                <w:b w:val="0"/>
                <w:i w:val="0"/>
                <w:vanish w:val="0"/>
                <w:color w:val="000000"/>
                <w:sz w:val="24"/>
                <w:vertAlign w:val="baseline"/>
              </w:rPr>
            </w:pPr>
            <w:r>
              <w:rPr>
                <w:rFonts w:ascii="Times New Roman" w:eastAsia="Times New Roman" w:hAnsi="Times New Roman" w:cs="Times New Roman"/>
                <w:b w:val="0"/>
                <w:i w:val="0"/>
                <w:vanish w:val="0"/>
                <w:color w:val="000000"/>
                <w:sz w:val="24"/>
                <w:vertAlign w:val="baseline"/>
              </w:rPr>
              <w:t>- VIDEOPOSNETKI IN FOTOGRAFIJE (spletna stran, socialna omrežja)</w:t>
            </w:r>
          </w:p>
          <w:p w:rsidR="00A77B3E">
            <w:pPr>
              <w:spacing w:before="100" w:after="0"/>
              <w:jc w:val="start"/>
              <w:rPr>
                <w:rFonts w:ascii="Times New Roman" w:eastAsia="Times New Roman" w:hAnsi="Times New Roman" w:cs="Times New Roman"/>
                <w:b w:val="0"/>
                <w:i w:val="0"/>
                <w:vanish w:val="0"/>
                <w:color w:val="000000"/>
                <w:sz w:val="24"/>
                <w:vertAlign w:val="baseline"/>
              </w:rPr>
            </w:pPr>
            <w:r>
              <w:rPr>
                <w:rFonts w:ascii="Times New Roman" w:eastAsia="Times New Roman" w:hAnsi="Times New Roman" w:cs="Times New Roman"/>
                <w:b w:val="0"/>
                <w:i w:val="0"/>
                <w:vanish w:val="0"/>
                <w:color w:val="000000"/>
                <w:sz w:val="24"/>
                <w:vertAlign w:val="baseline"/>
              </w:rPr>
              <w:t>a. KU: št. ogledov, št. edinstvenih obiskovalcev strani videoposnetka, odstotek videoposnetkov z dokončanim ogledom 50 % ali več in 100 %,</w:t>
            </w:r>
          </w:p>
          <w:p w:rsidR="00A77B3E">
            <w:pPr>
              <w:spacing w:before="100" w:after="0"/>
              <w:jc w:val="start"/>
              <w:rPr>
                <w:rFonts w:ascii="Times New Roman" w:eastAsia="Times New Roman" w:hAnsi="Times New Roman" w:cs="Times New Roman"/>
                <w:b w:val="0"/>
                <w:i w:val="0"/>
                <w:vanish w:val="0"/>
                <w:color w:val="000000"/>
                <w:sz w:val="24"/>
                <w:vertAlign w:val="baseline"/>
              </w:rPr>
            </w:pPr>
            <w:r>
              <w:rPr>
                <w:rFonts w:ascii="Times New Roman" w:eastAsia="Times New Roman" w:hAnsi="Times New Roman" w:cs="Times New Roman"/>
                <w:b w:val="0"/>
                <w:i w:val="0"/>
                <w:vanish w:val="0"/>
                <w:color w:val="000000"/>
                <w:sz w:val="24"/>
                <w:vertAlign w:val="baseline"/>
              </w:rPr>
              <w:t>b. KR: splošna uporabnost videoposnetka za gledalca, št. deljenj ali prenosov,</w:t>
            </w:r>
          </w:p>
          <w:p w:rsidR="00A77B3E">
            <w:pPr>
              <w:spacing w:before="100" w:after="0"/>
              <w:jc w:val="start"/>
              <w:rPr>
                <w:rFonts w:ascii="Times New Roman" w:eastAsia="Times New Roman" w:hAnsi="Times New Roman" w:cs="Times New Roman"/>
                <w:b w:val="0"/>
                <w:i w:val="0"/>
                <w:vanish w:val="0"/>
                <w:color w:val="000000"/>
                <w:sz w:val="24"/>
                <w:vertAlign w:val="baseline"/>
              </w:rPr>
            </w:pPr>
            <w:r>
              <w:rPr>
                <w:rFonts w:ascii="Times New Roman" w:eastAsia="Times New Roman" w:hAnsi="Times New Roman" w:cs="Times New Roman"/>
                <w:b w:val="0"/>
                <w:i w:val="0"/>
                <w:vanish w:val="0"/>
                <w:color w:val="000000"/>
                <w:sz w:val="24"/>
                <w:vertAlign w:val="baseline"/>
              </w:rPr>
              <w:t>c. KV: št. gledalcev, ki imajo zaradi posnetka bolj pozitivno mnenje o EU, verjetnost, da bodo zagovarjali EU ali govorili pozitivno o EU, kot rezultat videoposnetka.</w:t>
            </w:r>
          </w:p>
          <w:p w:rsidR="00A77B3E">
            <w:pPr>
              <w:spacing w:before="100" w:after="0"/>
              <w:jc w:val="start"/>
              <w:rPr>
                <w:rFonts w:ascii="Times New Roman" w:eastAsia="Times New Roman" w:hAnsi="Times New Roman" w:cs="Times New Roman"/>
                <w:b w:val="0"/>
                <w:i w:val="0"/>
                <w:vanish w:val="0"/>
                <w:color w:val="000000"/>
                <w:sz w:val="24"/>
                <w:vertAlign w:val="baseline"/>
              </w:rPr>
            </w:pPr>
          </w:p>
          <w:p w:rsidR="00A77B3E">
            <w:pPr>
              <w:spacing w:before="100" w:after="0"/>
              <w:jc w:val="start"/>
              <w:rPr>
                <w:rFonts w:ascii="Times New Roman" w:eastAsia="Times New Roman" w:hAnsi="Times New Roman" w:cs="Times New Roman"/>
                <w:b w:val="0"/>
                <w:i w:val="0"/>
                <w:vanish w:val="0"/>
                <w:color w:val="000000"/>
                <w:sz w:val="24"/>
                <w:vertAlign w:val="baseline"/>
              </w:rPr>
            </w:pPr>
            <w:r>
              <w:rPr>
                <w:rFonts w:ascii="Times New Roman" w:eastAsia="Times New Roman" w:hAnsi="Times New Roman" w:cs="Times New Roman"/>
                <w:b w:val="0"/>
                <w:i w:val="0"/>
                <w:vanish w:val="0"/>
                <w:color w:val="000000"/>
                <w:sz w:val="24"/>
                <w:vertAlign w:val="baseline"/>
              </w:rPr>
              <w:t>- DOGODKI (informativni, izobraževalni in drugi dogodki)</w:t>
            </w:r>
          </w:p>
          <w:p w:rsidR="00A77B3E">
            <w:pPr>
              <w:spacing w:before="100" w:after="0"/>
              <w:jc w:val="start"/>
              <w:rPr>
                <w:rFonts w:ascii="Times New Roman" w:eastAsia="Times New Roman" w:hAnsi="Times New Roman" w:cs="Times New Roman"/>
                <w:b w:val="0"/>
                <w:i w:val="0"/>
                <w:vanish w:val="0"/>
                <w:color w:val="000000"/>
                <w:sz w:val="24"/>
                <w:vertAlign w:val="baseline"/>
              </w:rPr>
            </w:pPr>
            <w:r>
              <w:rPr>
                <w:rFonts w:ascii="Times New Roman" w:eastAsia="Times New Roman" w:hAnsi="Times New Roman" w:cs="Times New Roman"/>
                <w:b w:val="0"/>
                <w:i w:val="0"/>
                <w:vanish w:val="0"/>
                <w:color w:val="000000"/>
                <w:sz w:val="24"/>
                <w:vertAlign w:val="baseline"/>
              </w:rPr>
              <w:t>a. KU: št. udeležencev, odstotek udeležencev, ki prvič obiščejo dogodek,</w:t>
            </w:r>
          </w:p>
          <w:p w:rsidR="00A77B3E">
            <w:pPr>
              <w:spacing w:before="100" w:after="0"/>
              <w:jc w:val="start"/>
              <w:rPr>
                <w:rFonts w:ascii="Times New Roman" w:eastAsia="Times New Roman" w:hAnsi="Times New Roman" w:cs="Times New Roman"/>
                <w:b w:val="0"/>
                <w:i w:val="0"/>
                <w:vanish w:val="0"/>
                <w:color w:val="000000"/>
                <w:sz w:val="24"/>
                <w:vertAlign w:val="baseline"/>
              </w:rPr>
            </w:pPr>
            <w:r>
              <w:rPr>
                <w:rFonts w:ascii="Times New Roman" w:eastAsia="Times New Roman" w:hAnsi="Times New Roman" w:cs="Times New Roman"/>
                <w:b w:val="0"/>
                <w:i w:val="0"/>
                <w:vanish w:val="0"/>
                <w:color w:val="000000"/>
                <w:sz w:val="24"/>
                <w:vertAlign w:val="baseline"/>
              </w:rPr>
              <w:t>b. KR: splošna uporabnost dogodka, odstotek udeležencev, ki so izjavili, da bodo delili ali pozitivno govorili o dogodku,</w:t>
            </w:r>
          </w:p>
          <w:p w:rsidR="00A77B3E">
            <w:pPr>
              <w:spacing w:before="100" w:after="0"/>
              <w:jc w:val="start"/>
              <w:rPr>
                <w:rFonts w:ascii="Times New Roman" w:eastAsia="Times New Roman" w:hAnsi="Times New Roman" w:cs="Times New Roman"/>
                <w:b w:val="0"/>
                <w:i w:val="0"/>
                <w:vanish w:val="0"/>
                <w:color w:val="000000"/>
                <w:sz w:val="24"/>
                <w:vertAlign w:val="baseline"/>
              </w:rPr>
            </w:pPr>
            <w:r>
              <w:rPr>
                <w:rFonts w:ascii="Times New Roman" w:eastAsia="Times New Roman" w:hAnsi="Times New Roman" w:cs="Times New Roman"/>
                <w:b w:val="0"/>
                <w:i w:val="0"/>
                <w:vanish w:val="0"/>
                <w:color w:val="000000"/>
                <w:sz w:val="24"/>
                <w:vertAlign w:val="baseline"/>
              </w:rPr>
              <w:t>c. KV: odstotek udeležencev, ki imajo zaradi dogodka bolj pozitivno mnenje o EU.</w:t>
            </w:r>
          </w:p>
          <w:p w:rsidR="00A77B3E">
            <w:pPr>
              <w:spacing w:before="100" w:after="0"/>
              <w:jc w:val="start"/>
              <w:rPr>
                <w:rFonts w:ascii="Times New Roman" w:eastAsia="Times New Roman" w:hAnsi="Times New Roman" w:cs="Times New Roman"/>
                <w:b w:val="0"/>
                <w:i w:val="0"/>
                <w:vanish w:val="0"/>
                <w:color w:val="000000"/>
                <w:sz w:val="24"/>
                <w:vertAlign w:val="baseline"/>
              </w:rPr>
            </w:pPr>
          </w:p>
          <w:p w:rsidR="00A77B3E">
            <w:pPr>
              <w:spacing w:before="100" w:after="0"/>
              <w:jc w:val="start"/>
              <w:rPr>
                <w:rFonts w:ascii="Times New Roman" w:eastAsia="Times New Roman" w:hAnsi="Times New Roman" w:cs="Times New Roman"/>
                <w:b w:val="0"/>
                <w:i w:val="0"/>
                <w:vanish w:val="0"/>
                <w:color w:val="000000"/>
                <w:sz w:val="24"/>
                <w:vertAlign w:val="baseline"/>
              </w:rPr>
            </w:pPr>
            <w:r>
              <w:rPr>
                <w:rFonts w:ascii="Times New Roman" w:eastAsia="Times New Roman" w:hAnsi="Times New Roman" w:cs="Times New Roman"/>
                <w:b w:val="0"/>
                <w:i w:val="0"/>
                <w:vanish w:val="0"/>
                <w:color w:val="000000"/>
                <w:sz w:val="24"/>
                <w:vertAlign w:val="baseline"/>
              </w:rPr>
              <w:t>- PUBLIKACIJE (programski dokumenti, drugi promocijski in informativni materiali)</w:t>
            </w:r>
          </w:p>
          <w:p w:rsidR="00A77B3E">
            <w:pPr>
              <w:spacing w:before="100" w:after="0"/>
              <w:jc w:val="start"/>
              <w:rPr>
                <w:rFonts w:ascii="Times New Roman" w:eastAsia="Times New Roman" w:hAnsi="Times New Roman" w:cs="Times New Roman"/>
                <w:b w:val="0"/>
                <w:i w:val="0"/>
                <w:vanish w:val="0"/>
                <w:color w:val="000000"/>
                <w:sz w:val="24"/>
                <w:vertAlign w:val="baseline"/>
              </w:rPr>
            </w:pPr>
            <w:r>
              <w:rPr>
                <w:rFonts w:ascii="Times New Roman" w:eastAsia="Times New Roman" w:hAnsi="Times New Roman" w:cs="Times New Roman"/>
                <w:b w:val="0"/>
                <w:i w:val="0"/>
                <w:vanish w:val="0"/>
                <w:color w:val="000000"/>
                <w:sz w:val="24"/>
                <w:vertAlign w:val="baseline"/>
              </w:rPr>
              <w:t>a. KU: št. bralcev/poslušalcev/prenosov publikacije,</w:t>
            </w:r>
          </w:p>
          <w:p w:rsidR="00A77B3E">
            <w:pPr>
              <w:spacing w:before="100" w:after="0"/>
              <w:jc w:val="start"/>
              <w:rPr>
                <w:rFonts w:ascii="Times New Roman" w:eastAsia="Times New Roman" w:hAnsi="Times New Roman" w:cs="Times New Roman"/>
                <w:b w:val="0"/>
                <w:i w:val="0"/>
                <w:vanish w:val="0"/>
                <w:color w:val="000000"/>
                <w:sz w:val="24"/>
                <w:vertAlign w:val="baseline"/>
              </w:rPr>
            </w:pPr>
            <w:r>
              <w:rPr>
                <w:rFonts w:ascii="Times New Roman" w:eastAsia="Times New Roman" w:hAnsi="Times New Roman" w:cs="Times New Roman"/>
                <w:b w:val="0"/>
                <w:i w:val="0"/>
                <w:vanish w:val="0"/>
                <w:color w:val="000000"/>
                <w:sz w:val="24"/>
                <w:vertAlign w:val="baseline"/>
              </w:rPr>
              <w:t>b. KR: splošna uporabnost publikacije za bralca,</w:t>
            </w:r>
          </w:p>
          <w:p w:rsidR="00A77B3E">
            <w:pPr>
              <w:spacing w:before="100" w:after="0"/>
              <w:jc w:val="start"/>
              <w:rPr>
                <w:rFonts w:ascii="Times New Roman" w:eastAsia="Times New Roman" w:hAnsi="Times New Roman" w:cs="Times New Roman"/>
                <w:b w:val="0"/>
                <w:i w:val="0"/>
                <w:vanish w:val="0"/>
                <w:color w:val="000000"/>
                <w:sz w:val="24"/>
                <w:vertAlign w:val="baseline"/>
              </w:rPr>
            </w:pPr>
            <w:r>
              <w:rPr>
                <w:rFonts w:ascii="Times New Roman" w:eastAsia="Times New Roman" w:hAnsi="Times New Roman" w:cs="Times New Roman"/>
                <w:b w:val="0"/>
                <w:i w:val="0"/>
                <w:vanish w:val="0"/>
                <w:color w:val="000000"/>
                <w:sz w:val="24"/>
                <w:vertAlign w:val="baseline"/>
              </w:rPr>
              <w:t>c. KV: št. bralcev, ki imajo zaradi objave bolj pozitivno mnenje o politiki/organizaciji.</w:t>
            </w:r>
          </w:p>
          <w:p w:rsidR="00A77B3E">
            <w:pPr>
              <w:spacing w:before="100" w:after="0"/>
              <w:jc w:val="start"/>
              <w:rPr>
                <w:rFonts w:ascii="Times New Roman" w:eastAsia="Times New Roman" w:hAnsi="Times New Roman" w:cs="Times New Roman"/>
                <w:b w:val="0"/>
                <w:i w:val="0"/>
                <w:vanish w:val="0"/>
                <w:color w:val="000000"/>
                <w:sz w:val="24"/>
                <w:vertAlign w:val="baseline"/>
              </w:rPr>
            </w:pPr>
          </w:p>
          <w:p w:rsidR="00A77B3E">
            <w:pPr>
              <w:spacing w:before="100" w:after="0"/>
              <w:jc w:val="start"/>
              <w:rPr>
                <w:rFonts w:ascii="Times New Roman" w:eastAsia="Times New Roman" w:hAnsi="Times New Roman" w:cs="Times New Roman"/>
                <w:b w:val="0"/>
                <w:i w:val="0"/>
                <w:vanish w:val="0"/>
                <w:color w:val="000000"/>
                <w:sz w:val="24"/>
                <w:vertAlign w:val="baseline"/>
              </w:rPr>
            </w:pPr>
            <w:r>
              <w:rPr>
                <w:rFonts w:ascii="Times New Roman" w:eastAsia="Times New Roman" w:hAnsi="Times New Roman" w:cs="Times New Roman"/>
                <w:b w:val="0"/>
                <w:i w:val="0"/>
                <w:vanish w:val="0"/>
                <w:color w:val="000000"/>
                <w:sz w:val="24"/>
                <w:vertAlign w:val="baseline"/>
              </w:rPr>
              <w:t>OU bo pri izvajanju aktivnosti vzpostavil kontinuirano in aktivno sodelovanje s partnerji, npr. z Evropsko komisijo (DG HOME) in Evropskim Parlamentom, nacionalnim koordinatorjem za komuniciranje (INFORM-SI), Uradom Vlade RS za komuniciranje in drugimi organi upravljanja programov, ki jih sofinancira EU. Imenovan je komunikator.</w:t>
            </w:r>
          </w:p>
          <w:p w:rsidR="00A77B3E">
            <w:pPr>
              <w:spacing w:before="100" w:after="0"/>
              <w:jc w:val="start"/>
              <w:rPr>
                <w:rFonts w:ascii="Times New Roman" w:eastAsia="Times New Roman" w:hAnsi="Times New Roman" w:cs="Times New Roman"/>
                <w:b w:val="0"/>
                <w:i w:val="0"/>
                <w:vanish w:val="0"/>
                <w:color w:val="000000"/>
                <w:sz w:val="24"/>
                <w:vertAlign w:val="baseline"/>
              </w:rPr>
            </w:pPr>
          </w:p>
          <w:p w:rsidR="00A77B3E">
            <w:pPr>
              <w:spacing w:before="100" w:after="0"/>
              <w:jc w:val="start"/>
              <w:rPr>
                <w:rFonts w:ascii="Times New Roman" w:eastAsia="Times New Roman" w:hAnsi="Times New Roman" w:cs="Times New Roman"/>
                <w:b w:val="0"/>
                <w:i w:val="0"/>
                <w:vanish w:val="0"/>
                <w:color w:val="000000"/>
                <w:sz w:val="24"/>
                <w:vertAlign w:val="baseline"/>
              </w:rPr>
            </w:pPr>
            <w:r>
              <w:rPr>
                <w:rFonts w:ascii="Times New Roman" w:eastAsia="Times New Roman" w:hAnsi="Times New Roman" w:cs="Times New Roman"/>
                <w:b w:val="0"/>
                <w:i w:val="0"/>
                <w:vanish w:val="0"/>
                <w:color w:val="000000"/>
                <w:sz w:val="24"/>
                <w:vertAlign w:val="baseline"/>
              </w:rPr>
              <w:t>Finančna sredstva za izvajanje aktivnosti komuniciranja bodo zagotovljena v višini 5% sredstev tehnične pomoči in bodo namenjena:</w:t>
            </w:r>
          </w:p>
          <w:p w:rsidR="00A77B3E">
            <w:pPr>
              <w:numPr>
                <w:ilvl w:val="0"/>
                <w:numId w:val="27"/>
              </w:numPr>
              <w:spacing w:before="100" w:after="0"/>
              <w:ind w:start="720" w:hanging="360"/>
              <w:jc w:val="start"/>
              <w:rPr>
                <w:rFonts w:ascii="Times New Roman" w:eastAsia="Times New Roman" w:hAnsi="Times New Roman" w:cs="Times New Roman"/>
                <w:b w:val="0"/>
                <w:i w:val="0"/>
                <w:vanish w:val="0"/>
                <w:color w:val="000000"/>
                <w:sz w:val="24"/>
                <w:vertAlign w:val="baseline"/>
              </w:rPr>
            </w:pPr>
            <w:r>
              <w:rPr>
                <w:rFonts w:ascii="Times New Roman" w:eastAsia="Times New Roman" w:hAnsi="Times New Roman" w:cs="Times New Roman"/>
                <w:b w:val="0"/>
                <w:i w:val="0"/>
                <w:vanish w:val="0"/>
                <w:color w:val="000000"/>
                <w:sz w:val="24"/>
                <w:vertAlign w:val="baseline"/>
              </w:rPr>
              <w:t>produkcijskim, oglaševalskim in drugim digitalnim aktivnostim (40%),</w:t>
            </w:r>
          </w:p>
          <w:p w:rsidR="00A77B3E">
            <w:pPr>
              <w:numPr>
                <w:ilvl w:val="0"/>
                <w:numId w:val="27"/>
              </w:numPr>
              <w:spacing w:before="100" w:after="0"/>
              <w:ind w:start="720" w:hanging="360"/>
              <w:jc w:val="start"/>
              <w:rPr>
                <w:rFonts w:ascii="Times New Roman" w:eastAsia="Times New Roman" w:hAnsi="Times New Roman" w:cs="Times New Roman"/>
                <w:b w:val="0"/>
                <w:i w:val="0"/>
                <w:vanish w:val="0"/>
                <w:color w:val="000000"/>
                <w:sz w:val="24"/>
                <w:vertAlign w:val="baseline"/>
              </w:rPr>
            </w:pPr>
            <w:r>
              <w:rPr>
                <w:rFonts w:ascii="Times New Roman" w:eastAsia="Times New Roman" w:hAnsi="Times New Roman" w:cs="Times New Roman"/>
                <w:b w:val="0"/>
                <w:i w:val="0"/>
                <w:vanish w:val="0"/>
                <w:color w:val="000000"/>
                <w:sz w:val="24"/>
                <w:vertAlign w:val="baseline"/>
              </w:rPr>
              <w:t>publikacijam in promocijskim izdelkom (25%),</w:t>
            </w:r>
          </w:p>
          <w:p w:rsidR="00A77B3E">
            <w:pPr>
              <w:numPr>
                <w:ilvl w:val="0"/>
                <w:numId w:val="27"/>
              </w:numPr>
              <w:spacing w:before="100" w:after="0"/>
              <w:ind w:start="720" w:hanging="360"/>
              <w:jc w:val="start"/>
              <w:rPr>
                <w:rFonts w:ascii="Times New Roman" w:eastAsia="Times New Roman" w:hAnsi="Times New Roman" w:cs="Times New Roman"/>
                <w:b w:val="0"/>
                <w:i w:val="0"/>
                <w:vanish w:val="0"/>
                <w:color w:val="000000"/>
                <w:sz w:val="24"/>
                <w:vertAlign w:val="baseline"/>
              </w:rPr>
            </w:pPr>
            <w:r>
              <w:rPr>
                <w:rFonts w:ascii="Times New Roman" w:eastAsia="Times New Roman" w:hAnsi="Times New Roman" w:cs="Times New Roman"/>
                <w:b w:val="0"/>
                <w:i w:val="0"/>
                <w:vanish w:val="0"/>
                <w:color w:val="000000"/>
                <w:sz w:val="24"/>
                <w:vertAlign w:val="baseline"/>
              </w:rPr>
              <w:t>organizaciji dogodkov in z njimi povezanih komunikacijskih aktivnosti (15%) in</w:t>
            </w:r>
          </w:p>
          <w:p w:rsidR="00A77B3E">
            <w:pPr>
              <w:numPr>
                <w:ilvl w:val="0"/>
                <w:numId w:val="27"/>
              </w:numPr>
              <w:spacing w:before="100" w:after="0"/>
              <w:ind w:start="720" w:hanging="360"/>
              <w:jc w:val="start"/>
              <w:rPr>
                <w:rFonts w:ascii="Times New Roman" w:eastAsia="Times New Roman" w:hAnsi="Times New Roman" w:cs="Times New Roman"/>
                <w:b w:val="0"/>
                <w:i w:val="0"/>
                <w:vanish w:val="0"/>
                <w:color w:val="000000"/>
                <w:sz w:val="24"/>
                <w:vertAlign w:val="baseline"/>
              </w:rPr>
            </w:pPr>
            <w:r>
              <w:rPr>
                <w:rFonts w:ascii="Times New Roman" w:eastAsia="Times New Roman" w:hAnsi="Times New Roman" w:cs="Times New Roman"/>
                <w:b w:val="0"/>
                <w:i w:val="0"/>
                <w:vanish w:val="0"/>
                <w:color w:val="000000"/>
                <w:sz w:val="24"/>
                <w:vertAlign w:val="baseline"/>
              </w:rPr>
              <w:t>drugim potrebnih podpornim aktivnostim (npr. stroški dela komunikatorjev) (20%).</w:t>
            </w:r>
          </w:p>
          <w:p w:rsidR="00A77B3E">
            <w:pPr>
              <w:spacing w:before="100" w:after="0"/>
              <w:jc w:val="start"/>
              <w:rPr>
                <w:rFonts w:ascii="Times New Roman" w:eastAsia="Times New Roman" w:hAnsi="Times New Roman" w:cs="Times New Roman"/>
                <w:b w:val="0"/>
                <w:i w:val="0"/>
                <w:vanish w:val="0"/>
                <w:color w:val="000000"/>
                <w:sz w:val="6"/>
                <w:vertAlign w:val="baseline"/>
              </w:rPr>
            </w:pPr>
          </w:p>
          <w:p w:rsidR="00A77B3E">
            <w:pPr>
              <w:spacing w:before="100" w:after="0"/>
              <w:jc w:val="start"/>
              <w:rPr>
                <w:rFonts w:ascii="Times New Roman" w:eastAsia="Times New Roman" w:hAnsi="Times New Roman" w:cs="Times New Roman"/>
                <w:b w:val="0"/>
                <w:i w:val="0"/>
                <w:vanish w:val="0"/>
                <w:color w:val="000000"/>
                <w:sz w:val="6"/>
                <w:vertAlign w:val="baseline"/>
              </w:rPr>
            </w:pPr>
          </w:p>
        </w:tc>
      </w:tr>
    </w:tbl>
    <w:p w:rsidR="00A77B3E">
      <w:pPr>
        <w:pStyle w:val="Heading1"/>
        <w:spacing w:before="100" w:after="0"/>
        <w:jc w:val="start"/>
        <w:rPr>
          <w:rFonts w:ascii="Times New Roman" w:eastAsia="Times New Roman" w:hAnsi="Times New Roman" w:cs="Times New Roman"/>
          <w:b w:val="0"/>
          <w:i w:val="0"/>
          <w:vanish w:val="0"/>
          <w:color w:val="000000"/>
          <w:sz w:val="24"/>
          <w:vertAlign w:val="baseline"/>
        </w:rPr>
      </w:pPr>
      <w:r>
        <w:rPr>
          <w:rFonts w:ascii="Times New Roman" w:eastAsia="Times New Roman" w:hAnsi="Times New Roman" w:cs="Times New Roman"/>
          <w:b w:val="0"/>
          <w:i w:val="0"/>
          <w:vanish w:val="0"/>
          <w:color w:val="000000"/>
          <w:sz w:val="24"/>
          <w:vertAlign w:val="baseline"/>
        </w:rPr>
        <w:br w:type="page"/>
      </w:r>
      <w:bookmarkStart w:id="39" w:name="_Toc256000094"/>
      <w:r>
        <w:rPr>
          <w:rFonts w:ascii="Times New Roman" w:eastAsia="Times New Roman" w:hAnsi="Times New Roman" w:cs="Times New Roman"/>
          <w:b w:val="0"/>
          <w:i w:val="0"/>
          <w:vanish w:val="0"/>
          <w:color w:val="000000"/>
          <w:sz w:val="24"/>
          <w:vertAlign w:val="baseline"/>
        </w:rPr>
        <w:t>8. Uporaba stroškov na enoto, pavšalnih zneskov, pavšalnih stopenj in financiranja, ki ni povezano s stroški</w:t>
      </w:r>
      <w:bookmarkEnd w:id="39"/>
    </w:p>
    <w:p w:rsidR="00A77B3E">
      <w:pPr>
        <w:spacing w:before="100" w:after="0"/>
        <w:jc w:val="start"/>
        <w:rPr>
          <w:rFonts w:ascii="Times New Roman" w:eastAsia="Times New Roman" w:hAnsi="Times New Roman" w:cs="Times New Roman"/>
          <w:b w:val="0"/>
          <w:i w:val="0"/>
          <w:vanish w:val="0"/>
          <w:color w:val="000000"/>
          <w:sz w:val="16"/>
          <w:vertAlign w:val="baseline"/>
        </w:rPr>
      </w:pPr>
      <w:r>
        <w:rPr>
          <w:rFonts w:ascii="Times New Roman" w:eastAsia="Times New Roman" w:hAnsi="Times New Roman" w:cs="Times New Roman"/>
          <w:b w:val="0"/>
          <w:i w:val="0"/>
          <w:vanish w:val="0"/>
          <w:color w:val="000000"/>
          <w:sz w:val="24"/>
          <w:vertAlign w:val="baseline"/>
        </w:rPr>
        <w:t>Sklic: člena 94 in 95 uredbe o skupnih določbah</w:t>
      </w:r>
    </w:p>
    <w:p w:rsidR="00A77B3E">
      <w:pPr>
        <w:spacing w:before="100" w:after="0"/>
        <w:jc w:val="start"/>
        <w:rPr>
          <w:rFonts w:ascii="Times New Roman" w:eastAsia="Times New Roman" w:hAnsi="Times New Roman" w:cs="Times New Roman"/>
          <w:b w:val="0"/>
          <w:i w:val="0"/>
          <w:vanish w:val="0"/>
          <w:color w:val="000000"/>
          <w:sz w:val="12"/>
          <w:vertAlign w:val="baseline"/>
        </w:rPr>
      </w:pPr>
    </w:p>
    <w:tbl>
      <w:tblPr>
        <w:tblW w:w="100%" w:type="pct"/>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CellMar>
          <w:start w:w="5.4pt" w:type="dxa"/>
          <w:end w:w="5.4pt" w:type="dxa"/>
        </w:tblCellMar>
      </w:tblPr>
      <w:tblGrid>
        <w:gridCol w:w="9662"/>
        <w:gridCol w:w="354"/>
        <w:gridCol w:w="354"/>
      </w:tblGrid>
      <w:tr>
        <w:tblPrEx>
          <w:tblW w:w="100%" w:type="pct"/>
        </w:tblPrEx>
        <w:trPr>
          <w:cantSplit w:val="0"/>
          <w:trHeight w:hRule="auto" w:val="0"/>
        </w:trPr>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rsidR="00A77B3E">
            <w:pPr>
              <w:spacing w:before="100" w:after="0"/>
              <w:jc w:val="center"/>
              <w:rPr>
                <w:rFonts w:ascii="Times New Roman" w:eastAsia="Times New Roman" w:hAnsi="Times New Roman" w:cs="Times New Roman"/>
                <w:b w:val="0"/>
                <w:i w:val="0"/>
                <w:vanish w:val="0"/>
                <w:color w:val="000000"/>
                <w:sz w:val="20"/>
                <w:vertAlign w:val="baseline"/>
              </w:rPr>
            </w:pPr>
            <w:r>
              <w:rPr>
                <w:rFonts w:ascii="Times New Roman" w:eastAsia="Times New Roman" w:hAnsi="Times New Roman" w:cs="Times New Roman"/>
                <w:b w:val="0"/>
                <w:i w:val="0"/>
                <w:vanish w:val="0"/>
                <w:color w:val="000000"/>
                <w:sz w:val="20"/>
                <w:vertAlign w:val="baseline"/>
              </w:rPr>
              <w:t>Načrtovana uporaba členov 94 in 95 uredbe o skupnih določbah</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rsidR="00A77B3E">
            <w:pPr>
              <w:spacing w:before="100" w:after="0"/>
              <w:jc w:val="center"/>
              <w:rPr>
                <w:rFonts w:ascii="Times New Roman" w:eastAsia="Times New Roman" w:hAnsi="Times New Roman" w:cs="Times New Roman"/>
                <w:b w:val="0"/>
                <w:i w:val="0"/>
                <w:vanish w:val="0"/>
                <w:color w:val="000000"/>
                <w:sz w:val="20"/>
                <w:vertAlign w:val="baseline"/>
              </w:rPr>
            </w:pPr>
            <w:r>
              <w:rPr>
                <w:rFonts w:ascii="Times New Roman" w:eastAsia="Times New Roman" w:hAnsi="Times New Roman" w:cs="Times New Roman"/>
                <w:b w:val="0"/>
                <w:i w:val="0"/>
                <w:vanish w:val="0"/>
                <w:color w:val="000000"/>
                <w:sz w:val="20"/>
                <w:vertAlign w:val="baseline"/>
              </w:rPr>
              <w:t>Da</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rsidR="00A77B3E">
            <w:pPr>
              <w:spacing w:before="100" w:after="0"/>
              <w:jc w:val="center"/>
              <w:rPr>
                <w:rFonts w:ascii="Times New Roman" w:eastAsia="Times New Roman" w:hAnsi="Times New Roman" w:cs="Times New Roman"/>
                <w:b w:val="0"/>
                <w:i w:val="0"/>
                <w:vanish w:val="0"/>
                <w:color w:val="000000"/>
                <w:sz w:val="20"/>
                <w:vertAlign w:val="baseline"/>
              </w:rPr>
            </w:pPr>
            <w:r>
              <w:rPr>
                <w:rFonts w:ascii="Times New Roman" w:eastAsia="Times New Roman" w:hAnsi="Times New Roman" w:cs="Times New Roman"/>
                <w:b w:val="0"/>
                <w:i w:val="0"/>
                <w:vanish w:val="0"/>
                <w:color w:val="000000"/>
                <w:sz w:val="20"/>
                <w:vertAlign w:val="baseline"/>
              </w:rPr>
              <w:t>Ne</w:t>
            </w:r>
          </w:p>
        </w:tc>
      </w:tr>
      <w:tr>
        <w:tblPrEx>
          <w:tblW w:w="100%" w:type="pct"/>
        </w:tblPrEx>
        <w:trPr>
          <w:cantSplit w:val="0"/>
          <w:trHeight w:hRule="auto" w:val="0"/>
        </w:trPr>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20"/>
                <w:vertAlign w:val="baseline"/>
              </w:rPr>
            </w:pPr>
            <w:r>
              <w:rPr>
                <w:rFonts w:ascii="Times New Roman" w:eastAsia="Times New Roman" w:hAnsi="Times New Roman" w:cs="Times New Roman"/>
                <w:b w:val="0"/>
                <w:i w:val="0"/>
                <w:vanish w:val="0"/>
                <w:color w:val="000000"/>
                <w:sz w:val="20"/>
                <w:vertAlign w:val="baseline"/>
              </w:rPr>
              <w:t>Od sprejetja programa se bo uporabljalo povračilo prispevka Unije na podlagi stroškov na enoto, pavšalnih zneskov in pavšalnih stopenj v okviru prednostne naloge v skladu s členom 94 uredbe o skupnih določbah</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20"/>
                <w:vertAlign w:val="baseline"/>
              </w:rPr>
            </w:pPr>
            <w:r>
              <w:rPr>
                <w:rFonts w:ascii="Times New Roman" w:eastAsia="Times New Roman" w:hAnsi="Times New Roman" w:cs="Times New Roman"/>
                <w:b w:val="0"/>
                <w:i w:val="0"/>
                <w:vanish w:val="0"/>
                <w:color w:val="000000"/>
                <w:sz w:val="20"/>
                <w:vertAlign w:val="baseline"/>
              </w:rPr>
              <w:fldChar w:fldCharType="begin">
                <w:ffData>
                  <w:name w:val=""/>
                  <w:enabled/>
                  <w:calcOnExit w:val="0"/>
                  <w:checkBox>
                    <w:size w:val="20"/>
                    <w:default w:val="0"/>
                    <w:checked w:val="0"/>
                  </w:checkBox>
                </w:ffData>
              </w:fldChar>
            </w:r>
            <w:r>
              <w:rPr>
                <w:rFonts w:ascii="Times New Roman" w:eastAsia="Times New Roman" w:hAnsi="Times New Roman" w:cs="Times New Roman"/>
                <w:b w:val="0"/>
                <w:i w:val="0"/>
                <w:vanish w:val="0"/>
                <w:color w:val="000000"/>
                <w:sz w:val="20"/>
                <w:vertAlign w:val="baseline"/>
              </w:rPr>
              <w:instrText xml:space="preserve"> FORMCHECKBOX </w:instrText>
            </w:r>
            <w:r>
              <w:rPr>
                <w:rFonts w:ascii="Times New Roman" w:eastAsia="Times New Roman" w:hAnsi="Times New Roman" w:cs="Times New Roman"/>
                <w:b w:val="0"/>
                <w:i w:val="0"/>
                <w:vanish w:val="0"/>
                <w:color w:val="000000"/>
                <w:sz w:val="20"/>
                <w:vertAlign w:val="baseline"/>
              </w:rPr>
              <w:fldChar w:fldCharType="end"/>
            </w:r>
            <w:r>
              <w:rPr>
                <w:rFonts w:ascii="Times New Roman" w:eastAsia="Times New Roman" w:hAnsi="Times New Roman" w:cs="Times New Roman"/>
                <w:b w:val="0"/>
                <w:i w:val="0"/>
                <w:vanish w:val="0"/>
                <w:color w:val="000000"/>
                <w:sz w:val="20"/>
                <w:vertAlign w:val="baseline"/>
              </w:rPr>
              <w:t xml:space="preserve"> </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20"/>
                <w:vertAlign w:val="baseline"/>
              </w:rPr>
            </w:pPr>
            <w:r>
              <w:rPr>
                <w:rFonts w:ascii="Times New Roman" w:eastAsia="Times New Roman" w:hAnsi="Times New Roman" w:cs="Times New Roman"/>
                <w:b w:val="0"/>
                <w:i w:val="0"/>
                <w:vanish w:val="0"/>
                <w:color w:val="000000"/>
                <w:sz w:val="20"/>
                <w:vertAlign w:val="baseline"/>
              </w:rPr>
              <w:fldChar w:fldCharType="begin">
                <w:ffData>
                  <w:name w:val=""/>
                  <w:enabled/>
                  <w:calcOnExit w:val="0"/>
                  <w:checkBox>
                    <w:size w:val="20"/>
                    <w:default w:val="1"/>
                    <w:checked w:val="1"/>
                  </w:checkBox>
                </w:ffData>
              </w:fldChar>
            </w:r>
            <w:r>
              <w:rPr>
                <w:rFonts w:ascii="Times New Roman" w:eastAsia="Times New Roman" w:hAnsi="Times New Roman" w:cs="Times New Roman"/>
                <w:b w:val="0"/>
                <w:i w:val="0"/>
                <w:vanish w:val="0"/>
                <w:color w:val="000000"/>
                <w:sz w:val="20"/>
                <w:vertAlign w:val="baseline"/>
              </w:rPr>
              <w:instrText xml:space="preserve"> FORMCHECKBOX </w:instrText>
            </w:r>
            <w:r>
              <w:rPr>
                <w:rFonts w:ascii="Times New Roman" w:eastAsia="Times New Roman" w:hAnsi="Times New Roman" w:cs="Times New Roman"/>
                <w:b w:val="0"/>
                <w:i w:val="0"/>
                <w:vanish w:val="0"/>
                <w:color w:val="000000"/>
                <w:sz w:val="20"/>
                <w:vertAlign w:val="baseline"/>
              </w:rPr>
              <w:fldChar w:fldCharType="end"/>
            </w:r>
            <w:r>
              <w:rPr>
                <w:rFonts w:ascii="Times New Roman" w:eastAsia="Times New Roman" w:hAnsi="Times New Roman" w:cs="Times New Roman"/>
                <w:b w:val="0"/>
                <w:i w:val="0"/>
                <w:vanish w:val="0"/>
                <w:color w:val="000000"/>
                <w:sz w:val="20"/>
                <w:vertAlign w:val="baseline"/>
              </w:rPr>
              <w:t xml:space="preserve"> </w:t>
            </w:r>
          </w:p>
        </w:tc>
      </w:tr>
      <w:tr>
        <w:tblPrEx>
          <w:tblW w:w="100%" w:type="pct"/>
        </w:tblPrEx>
        <w:trPr>
          <w:cantSplit w:val="0"/>
          <w:trHeight w:hRule="auto" w:val="0"/>
        </w:trPr>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20"/>
                <w:vertAlign w:val="baseline"/>
              </w:rPr>
            </w:pPr>
            <w:r>
              <w:rPr>
                <w:rFonts w:ascii="Times New Roman" w:eastAsia="Times New Roman" w:hAnsi="Times New Roman" w:cs="Times New Roman"/>
                <w:b w:val="0"/>
                <w:i w:val="0"/>
                <w:vanish w:val="0"/>
                <w:color w:val="000000"/>
                <w:sz w:val="20"/>
                <w:vertAlign w:val="baseline"/>
              </w:rPr>
              <w:t>Od sprejetja programa se bo uporabljalo povračilo prispevka Unije na podlagi financiranja, ki ni povezano s stroški, v skladu s členom 95 uredbe o skupnih določbah</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20"/>
                <w:vertAlign w:val="baseline"/>
              </w:rPr>
            </w:pPr>
            <w:r>
              <w:rPr>
                <w:rFonts w:ascii="Times New Roman" w:eastAsia="Times New Roman" w:hAnsi="Times New Roman" w:cs="Times New Roman"/>
                <w:b w:val="0"/>
                <w:i w:val="0"/>
                <w:vanish w:val="0"/>
                <w:color w:val="000000"/>
                <w:sz w:val="20"/>
                <w:vertAlign w:val="baseline"/>
              </w:rPr>
              <w:fldChar w:fldCharType="begin">
                <w:ffData>
                  <w:name w:val=""/>
                  <w:enabled/>
                  <w:calcOnExit w:val="0"/>
                  <w:checkBox>
                    <w:size w:val="20"/>
                    <w:default w:val="0"/>
                    <w:checked w:val="0"/>
                  </w:checkBox>
                </w:ffData>
              </w:fldChar>
            </w:r>
            <w:r>
              <w:rPr>
                <w:rFonts w:ascii="Times New Roman" w:eastAsia="Times New Roman" w:hAnsi="Times New Roman" w:cs="Times New Roman"/>
                <w:b w:val="0"/>
                <w:i w:val="0"/>
                <w:vanish w:val="0"/>
                <w:color w:val="000000"/>
                <w:sz w:val="20"/>
                <w:vertAlign w:val="baseline"/>
              </w:rPr>
              <w:instrText xml:space="preserve"> FORMCHECKBOX </w:instrText>
            </w:r>
            <w:r>
              <w:rPr>
                <w:rFonts w:ascii="Times New Roman" w:eastAsia="Times New Roman" w:hAnsi="Times New Roman" w:cs="Times New Roman"/>
                <w:b w:val="0"/>
                <w:i w:val="0"/>
                <w:vanish w:val="0"/>
                <w:color w:val="000000"/>
                <w:sz w:val="20"/>
                <w:vertAlign w:val="baseline"/>
              </w:rPr>
              <w:fldChar w:fldCharType="end"/>
            </w:r>
            <w:r>
              <w:rPr>
                <w:rFonts w:ascii="Times New Roman" w:eastAsia="Times New Roman" w:hAnsi="Times New Roman" w:cs="Times New Roman"/>
                <w:b w:val="0"/>
                <w:i w:val="0"/>
                <w:vanish w:val="0"/>
                <w:color w:val="000000"/>
                <w:sz w:val="20"/>
                <w:vertAlign w:val="baseline"/>
              </w:rPr>
              <w:t xml:space="preserve"> </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20"/>
                <w:vertAlign w:val="baseline"/>
              </w:rPr>
            </w:pPr>
            <w:r>
              <w:rPr>
                <w:rFonts w:ascii="Times New Roman" w:eastAsia="Times New Roman" w:hAnsi="Times New Roman" w:cs="Times New Roman"/>
                <w:b w:val="0"/>
                <w:i w:val="0"/>
                <w:vanish w:val="0"/>
                <w:color w:val="000000"/>
                <w:sz w:val="20"/>
                <w:vertAlign w:val="baseline"/>
              </w:rPr>
              <w:fldChar w:fldCharType="begin">
                <w:ffData>
                  <w:name w:val=""/>
                  <w:enabled/>
                  <w:calcOnExit w:val="0"/>
                  <w:checkBox>
                    <w:size w:val="20"/>
                    <w:default w:val="1"/>
                    <w:checked w:val="1"/>
                  </w:checkBox>
                </w:ffData>
              </w:fldChar>
            </w:r>
            <w:r>
              <w:rPr>
                <w:rFonts w:ascii="Times New Roman" w:eastAsia="Times New Roman" w:hAnsi="Times New Roman" w:cs="Times New Roman"/>
                <w:b w:val="0"/>
                <w:i w:val="0"/>
                <w:vanish w:val="0"/>
                <w:color w:val="000000"/>
                <w:sz w:val="20"/>
                <w:vertAlign w:val="baseline"/>
              </w:rPr>
              <w:instrText xml:space="preserve"> FORMCHECKBOX </w:instrText>
            </w:r>
            <w:r>
              <w:rPr>
                <w:rFonts w:ascii="Times New Roman" w:eastAsia="Times New Roman" w:hAnsi="Times New Roman" w:cs="Times New Roman"/>
                <w:b w:val="0"/>
                <w:i w:val="0"/>
                <w:vanish w:val="0"/>
                <w:color w:val="000000"/>
                <w:sz w:val="20"/>
                <w:vertAlign w:val="baseline"/>
              </w:rPr>
              <w:fldChar w:fldCharType="end"/>
            </w:r>
            <w:r>
              <w:rPr>
                <w:rFonts w:ascii="Times New Roman" w:eastAsia="Times New Roman" w:hAnsi="Times New Roman" w:cs="Times New Roman"/>
                <w:b w:val="0"/>
                <w:i w:val="0"/>
                <w:vanish w:val="0"/>
                <w:color w:val="000000"/>
                <w:sz w:val="20"/>
                <w:vertAlign w:val="baseline"/>
              </w:rPr>
              <w:t xml:space="preserve"> </w:t>
            </w:r>
          </w:p>
        </w:tc>
      </w:tr>
    </w:tbl>
    <w:p w:rsidR="00A77B3E">
      <w:pPr>
        <w:spacing w:before="100" w:after="0"/>
        <w:jc w:val="center"/>
        <w:rPr>
          <w:rFonts w:ascii="Times New Roman" w:eastAsia="Times New Roman" w:hAnsi="Times New Roman" w:cs="Times New Roman"/>
          <w:b w:val="0"/>
          <w:i w:val="0"/>
          <w:vanish w:val="0"/>
          <w:color w:val="000000"/>
          <w:sz w:val="20"/>
          <w:vertAlign w:val="baseline"/>
        </w:rPr>
        <w:sectPr>
          <w:headerReference w:type="even" r:id="rId70"/>
          <w:headerReference w:type="default" r:id="rId71"/>
          <w:footerReference w:type="even" r:id="rId72"/>
          <w:footerReference w:type="default" r:id="rId73"/>
          <w:headerReference w:type="first" r:id="rId74"/>
          <w:footerReference w:type="first" r:id="rId75"/>
          <w:type w:val="nextPage"/>
          <w:pgSz w:w="11906" w:h="16838" w:orient="portrait"/>
          <w:pgMar w:top="720" w:right="936" w:bottom="864" w:left="720" w:header="0" w:footer="72" w:gutter="0"/>
          <w:cols w:space="720"/>
          <w:noEndnote/>
          <w:docGrid w:linePitch="360"/>
        </w:sectPr>
      </w:pPr>
    </w:p>
    <w:p w:rsidR="00A77B3E">
      <w:pPr>
        <w:pStyle w:val="Heading1"/>
        <w:spacing w:before="100" w:after="0"/>
        <w:jc w:val="start"/>
        <w:rPr>
          <w:rFonts w:ascii="Times New Roman" w:eastAsia="Times New Roman" w:hAnsi="Times New Roman" w:cs="Times New Roman"/>
          <w:b w:val="0"/>
          <w:i w:val="0"/>
          <w:vanish w:val="0"/>
          <w:color w:val="000000"/>
          <w:sz w:val="24"/>
          <w:vertAlign w:val="baseline"/>
        </w:rPr>
      </w:pPr>
      <w:bookmarkStart w:id="40" w:name="_Toc256000095"/>
      <w:r>
        <w:rPr>
          <w:rFonts w:ascii="Times New Roman" w:eastAsia="Times New Roman" w:hAnsi="Times New Roman" w:cs="Times New Roman"/>
          <w:b w:val="0"/>
          <w:i w:val="0"/>
          <w:vanish w:val="0"/>
          <w:color w:val="000000"/>
          <w:sz w:val="24"/>
          <w:vertAlign w:val="baseline"/>
        </w:rPr>
        <w:t>Dodatek 1: Prispevek Unije na podlagi stroškov na enoto, pavšalnih zneskov in pavšalnih stopenj</w:t>
      </w:r>
      <w:bookmarkEnd w:id="40"/>
    </w:p>
    <w:p w:rsidR="00A77B3E">
      <w:pPr>
        <w:pStyle w:val="Heading2"/>
        <w:spacing w:before="100" w:after="0"/>
        <w:jc w:val="start"/>
        <w:rPr>
          <w:rFonts w:ascii="Times New Roman" w:eastAsia="Times New Roman" w:hAnsi="Times New Roman" w:cs="Times New Roman"/>
          <w:b w:val="0"/>
          <w:i w:val="0"/>
          <w:vanish w:val="0"/>
          <w:color w:val="000000"/>
          <w:sz w:val="24"/>
          <w:vertAlign w:val="baseline"/>
        </w:rPr>
      </w:pPr>
      <w:bookmarkStart w:id="41" w:name="_Toc256000096"/>
      <w:r>
        <w:rPr>
          <w:rFonts w:ascii="Times New Roman" w:eastAsia="Times New Roman" w:hAnsi="Times New Roman" w:cs="Times New Roman"/>
          <w:b w:val="0"/>
          <w:i w:val="0"/>
          <w:vanish w:val="0"/>
          <w:color w:val="000000"/>
          <w:sz w:val="24"/>
          <w:vertAlign w:val="baseline"/>
        </w:rPr>
        <w:t>A. Povzetek glavnih elementov</w:t>
      </w:r>
      <w:bookmarkEnd w:id="41"/>
    </w:p>
    <w:p w:rsidR="00A77B3E">
      <w:pPr>
        <w:spacing w:before="100" w:after="0"/>
        <w:jc w:val="start"/>
        <w:rPr>
          <w:rFonts w:ascii="Times New Roman" w:eastAsia="Times New Roman" w:hAnsi="Times New Roman" w:cs="Times New Roman"/>
          <w:b w:val="0"/>
          <w:i w:val="0"/>
          <w:vanish w:val="0"/>
          <w:color w:val="000000"/>
          <w:sz w:val="12"/>
          <w:vertAlign w:val="baseline"/>
        </w:rPr>
      </w:pPr>
    </w:p>
    <w:tbl>
      <w:tblPr>
        <w:tblW w:w="100%" w:type="pct"/>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CellMar>
          <w:start w:w="5.4pt" w:type="dxa"/>
          <w:end w:w="5.4pt" w:type="dxa"/>
        </w:tblCellMar>
      </w:tblPr>
      <w:tblGrid>
        <w:gridCol w:w="2900"/>
        <w:gridCol w:w="1500"/>
        <w:gridCol w:w="1300"/>
        <w:gridCol w:w="2000"/>
        <w:gridCol w:w="1300"/>
        <w:gridCol w:w="2000"/>
        <w:gridCol w:w="1500"/>
        <w:gridCol w:w="1200"/>
        <w:gridCol w:w="1500"/>
      </w:tblGrid>
      <w:tr>
        <w:tblPrEx>
          <w:tblW w:w="100%" w:type="pct"/>
        </w:tblPrEx>
        <w:trPr>
          <w:cantSplit w:val="0"/>
          <w:trHeight w:hRule="auto" w:val="0"/>
          <w:tblHeader/>
        </w:trPr>
        <w:tc>
          <w:tcPr>
            <w:tcW w:w="145pt" w:type="dxa"/>
            <w:vMerge w:val="restart"/>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rsidR="00A77B3E">
            <w:pPr>
              <w:spacing w:before="100" w:after="0"/>
              <w:jc w:val="center"/>
              <w:rPr>
                <w:rFonts w:ascii="Times New Roman" w:eastAsia="Times New Roman" w:hAnsi="Times New Roman" w:cs="Times New Roman"/>
                <w:b w:val="0"/>
                <w:i w:val="0"/>
                <w:vanish w:val="0"/>
                <w:color w:val="000000"/>
                <w:sz w:val="12"/>
                <w:vertAlign w:val="baseline"/>
              </w:rPr>
            </w:pPr>
            <w:r>
              <w:rPr>
                <w:rFonts w:ascii="Times New Roman" w:eastAsia="Times New Roman" w:hAnsi="Times New Roman" w:cs="Times New Roman"/>
                <w:b w:val="0"/>
                <w:i w:val="0"/>
                <w:vanish w:val="0"/>
                <w:color w:val="000000"/>
                <w:sz w:val="12"/>
                <w:vertAlign w:val="baseline"/>
              </w:rPr>
              <w:t>Specifični cilj</w:t>
            </w:r>
          </w:p>
        </w:tc>
        <w:tc>
          <w:tcPr>
            <w:tcW w:w="75pt" w:type="dxa"/>
            <w:vMerge w:val="restart"/>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rsidR="00A77B3E">
            <w:pPr>
              <w:spacing w:before="100" w:after="0"/>
              <w:jc w:val="center"/>
              <w:rPr>
                <w:rFonts w:ascii="Times New Roman" w:eastAsia="Times New Roman" w:hAnsi="Times New Roman" w:cs="Times New Roman"/>
                <w:b w:val="0"/>
                <w:i w:val="0"/>
                <w:vanish w:val="0"/>
                <w:color w:val="000000"/>
                <w:sz w:val="12"/>
                <w:vertAlign w:val="baseline"/>
              </w:rPr>
            </w:pPr>
            <w:r>
              <w:rPr>
                <w:rFonts w:ascii="Times New Roman" w:eastAsia="Times New Roman" w:hAnsi="Times New Roman" w:cs="Times New Roman"/>
                <w:b w:val="0"/>
                <w:i w:val="0"/>
                <w:vanish w:val="0"/>
                <w:color w:val="000000"/>
                <w:sz w:val="12"/>
                <w:vertAlign w:val="baseline"/>
              </w:rPr>
              <w:t>Ocenjeni delež skupnih dodeljenih finančnih sredstev v okviru specifičnega cilja, za katerega bodo veljale poenostavljene možnosti obračunavanja stroškov, v %</w:t>
            </w:r>
          </w:p>
        </w:tc>
        <w:tc>
          <w:tcPr>
            <w:tcW w:w="165pt" w:type="dxa"/>
            <w:gridSpan w:val="2"/>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rsidR="00A77B3E">
            <w:pPr>
              <w:spacing w:before="100" w:after="0"/>
              <w:jc w:val="center"/>
              <w:rPr>
                <w:rFonts w:ascii="Times New Roman" w:eastAsia="Times New Roman" w:hAnsi="Times New Roman" w:cs="Times New Roman"/>
                <w:b w:val="0"/>
                <w:i w:val="0"/>
                <w:vanish w:val="0"/>
                <w:color w:val="000000"/>
                <w:sz w:val="12"/>
                <w:vertAlign w:val="baseline"/>
              </w:rPr>
            </w:pPr>
            <w:r>
              <w:rPr>
                <w:rFonts w:ascii="Times New Roman" w:eastAsia="Times New Roman" w:hAnsi="Times New Roman" w:cs="Times New Roman"/>
                <w:b w:val="0"/>
                <w:i w:val="0"/>
                <w:vanish w:val="0"/>
                <w:color w:val="000000"/>
                <w:sz w:val="12"/>
                <w:vertAlign w:val="baseline"/>
              </w:rPr>
              <w:t>Vrste zajetih operacij</w:t>
            </w:r>
          </w:p>
        </w:tc>
        <w:tc>
          <w:tcPr>
            <w:tcW w:w="165pt" w:type="dxa"/>
            <w:gridSpan w:val="2"/>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rsidR="00A77B3E">
            <w:pPr>
              <w:spacing w:before="100" w:after="0"/>
              <w:jc w:val="center"/>
              <w:rPr>
                <w:rFonts w:ascii="Times New Roman" w:eastAsia="Times New Roman" w:hAnsi="Times New Roman" w:cs="Times New Roman"/>
                <w:b w:val="0"/>
                <w:i w:val="0"/>
                <w:vanish w:val="0"/>
                <w:color w:val="000000"/>
                <w:sz w:val="12"/>
                <w:vertAlign w:val="baseline"/>
              </w:rPr>
            </w:pPr>
            <w:r>
              <w:rPr>
                <w:rFonts w:ascii="Times New Roman" w:eastAsia="Times New Roman" w:hAnsi="Times New Roman" w:cs="Times New Roman"/>
                <w:b w:val="0"/>
                <w:i w:val="0"/>
                <w:vanish w:val="0"/>
                <w:color w:val="000000"/>
                <w:sz w:val="12"/>
                <w:vertAlign w:val="baseline"/>
              </w:rPr>
              <w:t>Kazalnik, na podlagi katerega se izplača povračilo (2)</w:t>
            </w:r>
          </w:p>
        </w:tc>
        <w:tc>
          <w:tcPr>
            <w:tcW w:w="75pt" w:type="dxa"/>
            <w:vMerge w:val="restart"/>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rsidR="00A77B3E">
            <w:pPr>
              <w:spacing w:before="100" w:after="0"/>
              <w:jc w:val="center"/>
              <w:rPr>
                <w:rFonts w:ascii="Times New Roman" w:eastAsia="Times New Roman" w:hAnsi="Times New Roman" w:cs="Times New Roman"/>
                <w:b w:val="0"/>
                <w:i w:val="0"/>
                <w:vanish w:val="0"/>
                <w:color w:val="000000"/>
                <w:sz w:val="12"/>
                <w:vertAlign w:val="baseline"/>
              </w:rPr>
            </w:pPr>
            <w:r>
              <w:rPr>
                <w:rFonts w:ascii="Times New Roman" w:eastAsia="Times New Roman" w:hAnsi="Times New Roman" w:cs="Times New Roman"/>
                <w:b w:val="0"/>
                <w:i w:val="0"/>
                <w:vanish w:val="0"/>
                <w:color w:val="000000"/>
                <w:sz w:val="12"/>
                <w:vertAlign w:val="baseline"/>
              </w:rPr>
              <w:t>Merska enota za kazalnik, ki sproži povračilo</w:t>
            </w:r>
          </w:p>
        </w:tc>
        <w:tc>
          <w:tcPr>
            <w:tcW w:w="60pt" w:type="dxa"/>
            <w:vMerge w:val="restart"/>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rsidR="00A77B3E">
            <w:pPr>
              <w:spacing w:before="100" w:after="0"/>
              <w:jc w:val="center"/>
              <w:rPr>
                <w:rFonts w:ascii="Times New Roman" w:eastAsia="Times New Roman" w:hAnsi="Times New Roman" w:cs="Times New Roman"/>
                <w:b w:val="0"/>
                <w:i w:val="0"/>
                <w:vanish w:val="0"/>
                <w:color w:val="000000"/>
                <w:sz w:val="12"/>
                <w:vertAlign w:val="baseline"/>
              </w:rPr>
            </w:pPr>
            <w:r>
              <w:rPr>
                <w:rFonts w:ascii="Times New Roman" w:eastAsia="Times New Roman" w:hAnsi="Times New Roman" w:cs="Times New Roman"/>
                <w:b w:val="0"/>
                <w:i w:val="0"/>
                <w:vanish w:val="0"/>
                <w:color w:val="000000"/>
                <w:sz w:val="12"/>
                <w:vertAlign w:val="baseline"/>
              </w:rPr>
              <w:t>Vrsta poenostavljenih možnosti obračunavanja stroškov (standardna lestvica stroškov na enoto, pavšalni zneski ali pavšalne stopnje)</w:t>
            </w:r>
          </w:p>
        </w:tc>
        <w:tc>
          <w:tcPr>
            <w:tcW w:w="75pt" w:type="dxa"/>
            <w:vMerge w:val="restart"/>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rsidR="00A77B3E">
            <w:pPr>
              <w:spacing w:before="100" w:after="0"/>
              <w:jc w:val="center"/>
              <w:rPr>
                <w:rFonts w:ascii="Times New Roman" w:eastAsia="Times New Roman" w:hAnsi="Times New Roman" w:cs="Times New Roman"/>
                <w:b w:val="0"/>
                <w:i w:val="0"/>
                <w:vanish w:val="0"/>
                <w:color w:val="000000"/>
                <w:sz w:val="12"/>
                <w:vertAlign w:val="baseline"/>
              </w:rPr>
            </w:pPr>
            <w:r>
              <w:rPr>
                <w:rFonts w:ascii="Times New Roman" w:eastAsia="Times New Roman" w:hAnsi="Times New Roman" w:cs="Times New Roman"/>
                <w:b w:val="0"/>
                <w:i w:val="0"/>
                <w:vanish w:val="0"/>
                <w:color w:val="000000"/>
                <w:sz w:val="12"/>
                <w:vertAlign w:val="baseline"/>
              </w:rPr>
              <w:t>Znesek (v EUR) ali odstotni delež (v primeru pavšalne stopnje) poenostavljenih možnosti obračunavanja stroškov</w:t>
            </w:r>
          </w:p>
        </w:tc>
      </w:tr>
      <w:tr>
        <w:tblPrEx>
          <w:tblW w:w="100%" w:type="pct"/>
        </w:tblPrEx>
        <w:trPr>
          <w:cantSplit w:val="0"/>
          <w:trHeight w:hRule="auto" w:val="0"/>
          <w:tblHeader/>
        </w:trPr>
        <w:tc>
          <w:tcPr>
            <w:tcW w:w="145pt" w:type="dxa"/>
            <w:vMerge/>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rsidR="00A77B3E">
            <w:pPr>
              <w:spacing w:before="100" w:after="0"/>
              <w:jc w:val="center"/>
              <w:rPr>
                <w:rFonts w:ascii="Times New Roman" w:eastAsia="Times New Roman" w:hAnsi="Times New Roman" w:cs="Times New Roman"/>
                <w:b w:val="0"/>
                <w:i w:val="0"/>
                <w:vanish w:val="0"/>
                <w:color w:val="000000"/>
                <w:sz w:val="12"/>
                <w:vertAlign w:val="baseline"/>
              </w:rPr>
            </w:pPr>
          </w:p>
        </w:tc>
        <w:tc>
          <w:tcPr>
            <w:tcW w:w="75pt" w:type="dxa"/>
            <w:vMerge/>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rsidR="00A77B3E">
            <w:pPr>
              <w:spacing w:before="100" w:after="0"/>
              <w:jc w:val="center"/>
              <w:rPr>
                <w:rFonts w:ascii="Times New Roman" w:eastAsia="Times New Roman" w:hAnsi="Times New Roman" w:cs="Times New Roman"/>
                <w:b w:val="0"/>
                <w:i w:val="0"/>
                <w:vanish w:val="0"/>
                <w:color w:val="000000"/>
                <w:sz w:val="12"/>
                <w:vertAlign w:val="baseline"/>
              </w:rPr>
            </w:pPr>
          </w:p>
        </w:tc>
        <w:tc>
          <w:tcPr>
            <w:tcW w:w="65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rsidR="00A77B3E">
            <w:pPr>
              <w:spacing w:before="100" w:after="0"/>
              <w:jc w:val="center"/>
              <w:rPr>
                <w:rFonts w:ascii="Times New Roman" w:eastAsia="Times New Roman" w:hAnsi="Times New Roman" w:cs="Times New Roman"/>
                <w:b w:val="0"/>
                <w:i w:val="0"/>
                <w:vanish w:val="0"/>
                <w:color w:val="000000"/>
                <w:sz w:val="12"/>
                <w:vertAlign w:val="baseline"/>
              </w:rPr>
            </w:pPr>
            <w:r>
              <w:rPr>
                <w:rFonts w:ascii="Times New Roman" w:eastAsia="Times New Roman" w:hAnsi="Times New Roman" w:cs="Times New Roman"/>
                <w:b w:val="0"/>
                <w:i w:val="0"/>
                <w:vanish w:val="0"/>
                <w:color w:val="000000"/>
                <w:sz w:val="12"/>
                <w:vertAlign w:val="baseline"/>
              </w:rPr>
              <w:t>Oznaka(1)</w:t>
            </w:r>
          </w:p>
        </w:tc>
        <w:tc>
          <w:tcPr>
            <w:tcW w:w="10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rsidR="00A77B3E">
            <w:pPr>
              <w:spacing w:before="100" w:after="0"/>
              <w:jc w:val="center"/>
              <w:rPr>
                <w:rFonts w:ascii="Times New Roman" w:eastAsia="Times New Roman" w:hAnsi="Times New Roman" w:cs="Times New Roman"/>
                <w:b w:val="0"/>
                <w:i w:val="0"/>
                <w:vanish w:val="0"/>
                <w:color w:val="000000"/>
                <w:sz w:val="12"/>
                <w:vertAlign w:val="baseline"/>
              </w:rPr>
            </w:pPr>
            <w:r>
              <w:rPr>
                <w:rFonts w:ascii="Times New Roman" w:eastAsia="Times New Roman" w:hAnsi="Times New Roman" w:cs="Times New Roman"/>
                <w:b w:val="0"/>
                <w:i w:val="0"/>
                <w:vanish w:val="0"/>
                <w:color w:val="000000"/>
                <w:sz w:val="12"/>
                <w:vertAlign w:val="baseline"/>
              </w:rPr>
              <w:t>Opis</w:t>
            </w:r>
          </w:p>
        </w:tc>
        <w:tc>
          <w:tcPr>
            <w:tcW w:w="65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rsidR="00A77B3E">
            <w:pPr>
              <w:spacing w:before="100" w:after="0"/>
              <w:jc w:val="center"/>
              <w:rPr>
                <w:rFonts w:ascii="Times New Roman" w:eastAsia="Times New Roman" w:hAnsi="Times New Roman" w:cs="Times New Roman"/>
                <w:b w:val="0"/>
                <w:i w:val="0"/>
                <w:vanish w:val="0"/>
                <w:color w:val="000000"/>
                <w:sz w:val="12"/>
                <w:vertAlign w:val="baseline"/>
              </w:rPr>
            </w:pPr>
            <w:r>
              <w:rPr>
                <w:rFonts w:ascii="Times New Roman" w:eastAsia="Times New Roman" w:hAnsi="Times New Roman" w:cs="Times New Roman"/>
                <w:b w:val="0"/>
                <w:i w:val="0"/>
                <w:vanish w:val="0"/>
                <w:color w:val="000000"/>
                <w:sz w:val="12"/>
                <w:vertAlign w:val="baseline"/>
              </w:rPr>
              <w:t>Oznaka(2)</w:t>
            </w:r>
          </w:p>
        </w:tc>
        <w:tc>
          <w:tcPr>
            <w:tcW w:w="10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rsidR="00A77B3E">
            <w:pPr>
              <w:spacing w:before="100" w:after="0"/>
              <w:jc w:val="center"/>
              <w:rPr>
                <w:rFonts w:ascii="Times New Roman" w:eastAsia="Times New Roman" w:hAnsi="Times New Roman" w:cs="Times New Roman"/>
                <w:b w:val="0"/>
                <w:i w:val="0"/>
                <w:vanish w:val="0"/>
                <w:color w:val="000000"/>
                <w:sz w:val="12"/>
                <w:vertAlign w:val="baseline"/>
              </w:rPr>
            </w:pPr>
            <w:r>
              <w:rPr>
                <w:rFonts w:ascii="Times New Roman" w:eastAsia="Times New Roman" w:hAnsi="Times New Roman" w:cs="Times New Roman"/>
                <w:b w:val="0"/>
                <w:i w:val="0"/>
                <w:vanish w:val="0"/>
                <w:color w:val="000000"/>
                <w:sz w:val="12"/>
                <w:vertAlign w:val="baseline"/>
              </w:rPr>
              <w:t>Opis</w:t>
            </w:r>
          </w:p>
        </w:tc>
        <w:tc>
          <w:tcPr>
            <w:tcW w:w="75pt" w:type="dxa"/>
            <w:vMerge/>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rsidR="00A77B3E">
            <w:pPr>
              <w:spacing w:before="100" w:after="0"/>
              <w:jc w:val="center"/>
              <w:rPr>
                <w:rFonts w:ascii="Times New Roman" w:eastAsia="Times New Roman" w:hAnsi="Times New Roman" w:cs="Times New Roman"/>
                <w:b w:val="0"/>
                <w:i w:val="0"/>
                <w:vanish w:val="0"/>
                <w:color w:val="000000"/>
                <w:sz w:val="12"/>
                <w:vertAlign w:val="baseline"/>
              </w:rPr>
            </w:pPr>
          </w:p>
        </w:tc>
        <w:tc>
          <w:tcPr>
            <w:tcW w:w="60pt" w:type="dxa"/>
            <w:vMerge/>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rsidR="00A77B3E">
            <w:pPr>
              <w:spacing w:before="100" w:after="0"/>
              <w:jc w:val="center"/>
              <w:rPr>
                <w:rFonts w:ascii="Times New Roman" w:eastAsia="Times New Roman" w:hAnsi="Times New Roman" w:cs="Times New Roman"/>
                <w:b w:val="0"/>
                <w:i w:val="0"/>
                <w:vanish w:val="0"/>
                <w:color w:val="000000"/>
                <w:sz w:val="12"/>
                <w:vertAlign w:val="baseline"/>
              </w:rPr>
            </w:pPr>
          </w:p>
        </w:tc>
        <w:tc>
          <w:tcPr>
            <w:tcW w:w="75pt" w:type="dxa"/>
            <w:vMerge/>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rsidR="00A77B3E">
            <w:pPr>
              <w:spacing w:before="100" w:after="0"/>
              <w:jc w:val="center"/>
              <w:rPr>
                <w:rFonts w:ascii="Times New Roman" w:eastAsia="Times New Roman" w:hAnsi="Times New Roman" w:cs="Times New Roman"/>
                <w:b w:val="0"/>
                <w:i w:val="0"/>
                <w:vanish w:val="0"/>
                <w:color w:val="000000"/>
                <w:sz w:val="12"/>
                <w:vertAlign w:val="baseline"/>
              </w:rPr>
            </w:pPr>
          </w:p>
        </w:tc>
      </w:tr>
    </w:tbl>
    <w:p w:rsidR="00A77B3E">
      <w:pPr>
        <w:spacing w:before="100" w:after="0"/>
        <w:jc w:val="start"/>
        <w:rPr>
          <w:rFonts w:ascii="Times New Roman" w:eastAsia="Times New Roman" w:hAnsi="Times New Roman" w:cs="Times New Roman"/>
          <w:b w:val="0"/>
          <w:i w:val="0"/>
          <w:vanish w:val="0"/>
          <w:color w:val="000000"/>
          <w:sz w:val="12"/>
          <w:vertAlign w:val="baseline"/>
        </w:rPr>
      </w:pPr>
      <w:r>
        <w:rPr>
          <w:rFonts w:ascii="Times New Roman" w:eastAsia="Times New Roman" w:hAnsi="Times New Roman" w:cs="Times New Roman"/>
          <w:b w:val="0"/>
          <w:i w:val="0"/>
          <w:vanish w:val="0"/>
          <w:color w:val="000000"/>
          <w:sz w:val="12"/>
          <w:vertAlign w:val="baseline"/>
        </w:rPr>
        <w:t>(1) To se nanaša na kodo v Prilogi VI uredb o AMIF, IUMV in SNV.</w:t>
      </w:r>
    </w:p>
    <w:p w:rsidR="00A77B3E">
      <w:pPr>
        <w:spacing w:before="100" w:after="0"/>
        <w:jc w:val="start"/>
        <w:rPr>
          <w:rFonts w:ascii="Times New Roman" w:eastAsia="Times New Roman" w:hAnsi="Times New Roman" w:cs="Times New Roman"/>
          <w:b w:val="0"/>
          <w:i w:val="0"/>
          <w:vanish w:val="0"/>
          <w:color w:val="000000"/>
          <w:sz w:val="12"/>
          <w:vertAlign w:val="baseline"/>
        </w:rPr>
      </w:pPr>
      <w:r>
        <w:rPr>
          <w:rFonts w:ascii="Times New Roman" w:eastAsia="Times New Roman" w:hAnsi="Times New Roman" w:cs="Times New Roman"/>
          <w:b w:val="0"/>
          <w:i w:val="0"/>
          <w:vanish w:val="0"/>
          <w:color w:val="000000"/>
          <w:sz w:val="12"/>
          <w:vertAlign w:val="baseline"/>
        </w:rPr>
        <w:t>(2) To se nanaša na kodo skupnega kazalnika, če je ustrezno.</w:t>
      </w:r>
    </w:p>
    <w:p w:rsidR="00A77B3E">
      <w:pPr>
        <w:spacing w:before="100" w:after="0"/>
        <w:jc w:val="start"/>
        <w:rPr>
          <w:rFonts w:ascii="Times New Roman" w:eastAsia="Times New Roman" w:hAnsi="Times New Roman" w:cs="Times New Roman"/>
          <w:b w:val="0"/>
          <w:i w:val="0"/>
          <w:vanish w:val="0"/>
          <w:color w:val="000000"/>
          <w:sz w:val="24"/>
          <w:vertAlign w:val="baseline"/>
        </w:rPr>
        <w:sectPr>
          <w:headerReference w:type="even" r:id="rId76"/>
          <w:headerReference w:type="default" r:id="rId77"/>
          <w:footerReference w:type="even" r:id="rId78"/>
          <w:footerReference w:type="default" r:id="rId79"/>
          <w:headerReference w:type="first" r:id="rId80"/>
          <w:footerReference w:type="first" r:id="rId81"/>
          <w:type w:val="nextPage"/>
          <w:pgSz w:w="16838" w:h="11906" w:orient="landscape"/>
          <w:pgMar w:top="720" w:right="720" w:bottom="864" w:left="936" w:header="288" w:footer="72" w:gutter="0"/>
          <w:cols w:space="720"/>
          <w:noEndnote/>
          <w:docGrid w:linePitch="360"/>
        </w:sectPr>
      </w:pPr>
    </w:p>
    <w:p w:rsidR="00A77B3E">
      <w:pPr>
        <w:spacing w:before="100" w:after="0"/>
        <w:jc w:val="start"/>
        <w:rPr>
          <w:rFonts w:ascii="Times New Roman" w:eastAsia="Times New Roman" w:hAnsi="Times New Roman" w:cs="Times New Roman"/>
          <w:b w:val="0"/>
          <w:i w:val="0"/>
          <w:vanish w:val="0"/>
          <w:color w:val="000000"/>
          <w:sz w:val="24"/>
          <w:vertAlign w:val="baseline"/>
        </w:rPr>
      </w:pPr>
      <w:r>
        <w:rPr>
          <w:rFonts w:ascii="Times New Roman" w:eastAsia="Times New Roman" w:hAnsi="Times New Roman" w:cs="Times New Roman"/>
          <w:b w:val="0"/>
          <w:i w:val="0"/>
          <w:vanish w:val="0"/>
          <w:color w:val="000000"/>
          <w:sz w:val="24"/>
          <w:vertAlign w:val="baseline"/>
        </w:rPr>
        <w:t>Dodatek 1: Prispevek Unije na podlagi stroškov na enoto, pavšalnih zneskov in pavšalnih stopenj</w:t>
      </w:r>
    </w:p>
    <w:p w:rsidR="00A77B3E">
      <w:pPr>
        <w:pStyle w:val="Heading2"/>
        <w:spacing w:before="100" w:after="0"/>
        <w:jc w:val="start"/>
        <w:rPr>
          <w:rFonts w:ascii="Times New Roman" w:eastAsia="Times New Roman" w:hAnsi="Times New Roman" w:cs="Times New Roman"/>
          <w:b w:val="0"/>
          <w:i w:val="0"/>
          <w:vanish w:val="0"/>
          <w:color w:val="000000"/>
          <w:sz w:val="24"/>
          <w:vertAlign w:val="baseline"/>
        </w:rPr>
      </w:pPr>
      <w:bookmarkStart w:id="42" w:name="_Toc256000097"/>
      <w:r>
        <w:rPr>
          <w:rFonts w:ascii="Times New Roman" w:eastAsia="Times New Roman" w:hAnsi="Times New Roman" w:cs="Times New Roman"/>
          <w:b w:val="0"/>
          <w:i w:val="0"/>
          <w:vanish w:val="0"/>
          <w:color w:val="000000"/>
          <w:sz w:val="24"/>
          <w:vertAlign w:val="baseline"/>
        </w:rPr>
        <w:t>B. Podrobnosti glede na vrsto operacije</w:t>
      </w:r>
      <w:bookmarkEnd w:id="42"/>
    </w:p>
    <w:p w:rsidR="00A77B3E">
      <w:pPr>
        <w:spacing w:before="100" w:after="0"/>
        <w:jc w:val="start"/>
        <w:rPr>
          <w:rFonts w:ascii="Times New Roman" w:eastAsia="Times New Roman" w:hAnsi="Times New Roman" w:cs="Times New Roman"/>
          <w:b w:val="0"/>
          <w:i w:val="0"/>
          <w:vanish w:val="0"/>
          <w:color w:val="000000"/>
          <w:sz w:val="24"/>
          <w:vertAlign w:val="baseline"/>
        </w:rPr>
        <w:sectPr>
          <w:type w:val="nextPage"/>
          <w:pgSz w:w="16838" w:h="11906" w:orient="landscape"/>
          <w:pgMar w:top="720" w:right="720" w:bottom="864" w:left="936" w:header="288" w:footer="72" w:gutter="0"/>
          <w:cols w:space="720"/>
          <w:noEndnote/>
          <w:docGrid w:linePitch="360"/>
        </w:sectPr>
      </w:pPr>
    </w:p>
    <w:p w:rsidR="00A77B3E">
      <w:pPr>
        <w:pStyle w:val="Heading2"/>
        <w:spacing w:before="100" w:after="0"/>
        <w:jc w:val="start"/>
        <w:rPr>
          <w:rFonts w:ascii="TimesNewRoman" w:eastAsia="TimesNewRoman" w:hAnsi="TimesNewRoman" w:cs="TimesNewRoman"/>
          <w:b w:val="0"/>
          <w:i w:val="0"/>
          <w:vanish w:val="0"/>
          <w:color w:val="000000"/>
          <w:sz w:val="24"/>
          <w:vertAlign w:val="baseline"/>
        </w:rPr>
      </w:pPr>
      <w:bookmarkStart w:id="43" w:name="_Toc256000098"/>
      <w:r>
        <w:rPr>
          <w:rFonts w:ascii="TimesNewRoman" w:eastAsia="TimesNewRoman" w:hAnsi="TimesNewRoman" w:cs="TimesNewRoman"/>
          <w:b w:val="0"/>
          <w:i w:val="0"/>
          <w:vanish w:val="0"/>
          <w:color w:val="000000"/>
          <w:sz w:val="24"/>
          <w:vertAlign w:val="baseline"/>
        </w:rPr>
        <w:t>C. Izračun standardnih stroškov na enoto, pavšalnih zneskov in pavšalnih stopenj</w:t>
      </w:r>
      <w:bookmarkEnd w:id="43"/>
    </w:p>
    <w:p w:rsidR="00A77B3E">
      <w:pPr>
        <w:pStyle w:val="Heading4"/>
        <w:spacing w:before="100" w:after="0"/>
        <w:jc w:val="start"/>
        <w:rPr>
          <w:rFonts w:ascii="TimesNewRoman" w:eastAsia="TimesNewRoman" w:hAnsi="TimesNewRoman" w:cs="TimesNewRoman"/>
          <w:b w:val="0"/>
          <w:i w:val="0"/>
          <w:vanish w:val="0"/>
          <w:color w:val="000000"/>
          <w:sz w:val="24"/>
          <w:vertAlign w:val="baseline"/>
        </w:rPr>
      </w:pPr>
      <w:bookmarkStart w:id="44" w:name="_Toc256000099"/>
      <w:r>
        <w:rPr>
          <w:rFonts w:ascii="TimesNewRoman" w:eastAsia="TimesNewRoman" w:hAnsi="TimesNewRoman" w:cs="TimesNewRoman"/>
          <w:b w:val="0"/>
          <w:i w:val="0"/>
          <w:vanish w:val="0"/>
          <w:color w:val="000000"/>
          <w:sz w:val="24"/>
          <w:vertAlign w:val="baseline"/>
        </w:rPr>
        <w:t>1. Vir podatkov, uporabljenih za izračun standardnih stroškov na enoto, pavšalnih zneskov ali pavšalnih stopenj (kdo je predložil, zbral in evidentiral podatke; kje so podatki shranjeni; presečni datumi; potrjevanje itd.)</w:t>
      </w:r>
      <w:bookmarkEnd w:id="44"/>
    </w:p>
    <w:p w:rsidR="00A77B3E">
      <w:pPr>
        <w:spacing w:before="100" w:after="0"/>
        <w:jc w:val="start"/>
        <w:rPr>
          <w:rFonts w:ascii="TimesNewRoman" w:eastAsia="TimesNewRoman" w:hAnsi="TimesNewRoman" w:cs="TimesNewRoman"/>
          <w:b w:val="0"/>
          <w:i w:val="0"/>
          <w:vanish w:val="0"/>
          <w:color w:val="000000"/>
          <w:sz w:val="12"/>
          <w:vertAlign w:val="baseline"/>
        </w:rPr>
      </w:pPr>
    </w:p>
    <w:tbl>
      <w:tblPr>
        <w:tblW w:w="99%" w:type="pct"/>
        <w:tblInd w:w="4pt" w:type="dxa"/>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CellMar>
          <w:start w:w="5.4pt" w:type="dxa"/>
          <w:end w:w="5.4pt" w:type="dxa"/>
        </w:tblCellMar>
      </w:tblPr>
      <w:tblGrid>
        <w:gridCol w:w="10385"/>
      </w:tblGrid>
      <w:tr>
        <w:tblPrEx>
          <w:tblW w:w="99%" w:type="pct"/>
          <w:tblInd w:w="4pt" w:type="dxa"/>
        </w:tblPrEx>
        <w:trPr>
          <w:cantSplit w:val="0"/>
          <w:trHeight w:hRule="auto" w:val="0"/>
        </w:trPr>
        <w:tc>
          <w:tcPr>
            <w:tcW w:w="33.34%" w:type="pct"/>
            <w:tcBorders>
              <w:top w:val="single" w:sz="4" w:space="0" w:color="000000"/>
              <w:start w:val="single" w:sz="4" w:space="0" w:color="000000"/>
              <w:bottom w:val="single" w:sz="4" w:space="0" w:color="000000"/>
              <w:end w:val="single" w:sz="4" w:space="0" w:color="000000"/>
            </w:tcBorders>
            <w:tcMar>
              <w:top w:w="1pt" w:type="dxa"/>
              <w:start w:w="6pt" w:type="dxa"/>
              <w:bottom w:w="6pt" w:type="dxa"/>
              <w:end w:w="6pt" w:type="dxa"/>
            </w:tcMar>
            <w:vAlign w:val="bottom"/>
          </w:tcPr>
          <w:p w:rsidR="00A77B3E">
            <w:pPr>
              <w:spacing w:before="100" w:after="0"/>
              <w:jc w:val="start"/>
              <w:rPr>
                <w:rFonts w:ascii="Times New Roman" w:eastAsia="Times New Roman" w:hAnsi="Times New Roman" w:cs="Times New Roman"/>
                <w:b w:val="0"/>
                <w:i w:val="0"/>
                <w:vanish w:val="0"/>
                <w:color w:val="000000"/>
                <w:sz w:val="24"/>
                <w:vertAlign w:val="baseline"/>
              </w:rPr>
            </w:pPr>
          </w:p>
        </w:tc>
      </w:tr>
    </w:tbl>
    <w:p w:rsidR="00A77B3E">
      <w:pPr>
        <w:pStyle w:val="Heading4"/>
        <w:spacing w:before="100" w:after="0"/>
        <w:jc w:val="start"/>
        <w:rPr>
          <w:rFonts w:ascii="Times New Roman" w:eastAsia="Times New Roman" w:hAnsi="Times New Roman" w:cs="Times New Roman"/>
          <w:b w:val="0"/>
          <w:i w:val="0"/>
          <w:vanish w:val="0"/>
          <w:color w:val="000000"/>
          <w:sz w:val="24"/>
          <w:vertAlign w:val="baseline"/>
        </w:rPr>
      </w:pPr>
      <w:r>
        <w:rPr>
          <w:rFonts w:ascii="Times New Roman" w:eastAsia="Times New Roman" w:hAnsi="Times New Roman" w:cs="Times New Roman"/>
          <w:b w:val="0"/>
          <w:i w:val="0"/>
          <w:vanish w:val="0"/>
          <w:color w:val="000000"/>
          <w:sz w:val="24"/>
          <w:vertAlign w:val="baseline"/>
        </w:rPr>
        <w:br w:type="page"/>
      </w:r>
      <w:bookmarkStart w:id="45" w:name="_Toc256000100"/>
      <w:r>
        <w:rPr>
          <w:rFonts w:ascii="Times New Roman" w:eastAsia="Times New Roman" w:hAnsi="Times New Roman" w:cs="Times New Roman"/>
          <w:b w:val="0"/>
          <w:i w:val="0"/>
          <w:vanish w:val="0"/>
          <w:color w:val="000000"/>
          <w:sz w:val="24"/>
          <w:vertAlign w:val="baseline"/>
        </w:rPr>
        <w:t>2. Navedite, zakaj sta predlagana metoda in izračun na podlagi člena 94(2) uredbe o skupnih določbah relevantna za vrsto operacije.</w:t>
      </w:r>
      <w:bookmarkEnd w:id="45"/>
    </w:p>
    <w:p w:rsidR="00A77B3E">
      <w:pPr>
        <w:spacing w:before="100" w:after="0"/>
        <w:jc w:val="start"/>
        <w:rPr>
          <w:rFonts w:ascii="Times New Roman" w:eastAsia="Times New Roman" w:hAnsi="Times New Roman" w:cs="Times New Roman"/>
          <w:b w:val="0"/>
          <w:i w:val="0"/>
          <w:vanish w:val="0"/>
          <w:color w:val="000000"/>
          <w:sz w:val="12"/>
          <w:vertAlign w:val="baseline"/>
        </w:rPr>
      </w:pPr>
    </w:p>
    <w:tbl>
      <w:tblPr>
        <w:tblW w:w="99%" w:type="pct"/>
        <w:tblInd w:w="4pt" w:type="dxa"/>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CellMar>
          <w:start w:w="5.4pt" w:type="dxa"/>
          <w:end w:w="5.4pt" w:type="dxa"/>
        </w:tblCellMar>
      </w:tblPr>
      <w:tblGrid>
        <w:gridCol w:w="10385"/>
      </w:tblGrid>
      <w:tr>
        <w:tblPrEx>
          <w:tblW w:w="99%" w:type="pct"/>
          <w:tblInd w:w="4pt" w:type="dxa"/>
        </w:tblPrEx>
        <w:trPr>
          <w:cantSplit w:val="0"/>
          <w:trHeight w:hRule="auto" w:val="0"/>
        </w:trPr>
        <w:tc>
          <w:tcPr>
            <w:tcW w:w="33.34%" w:type="pct"/>
            <w:tcBorders>
              <w:top w:val="single" w:sz="4" w:space="0" w:color="000000"/>
              <w:start w:val="single" w:sz="4" w:space="0" w:color="000000"/>
              <w:bottom w:val="single" w:sz="4" w:space="0" w:color="000000"/>
              <w:end w:val="single" w:sz="4" w:space="0" w:color="000000"/>
            </w:tcBorders>
            <w:tcMar>
              <w:top w:w="1pt" w:type="dxa"/>
              <w:start w:w="6pt" w:type="dxa"/>
              <w:bottom w:w="6pt" w:type="dxa"/>
              <w:end w:w="6pt" w:type="dxa"/>
            </w:tcMar>
            <w:vAlign w:val="bottom"/>
          </w:tcPr>
          <w:p w:rsidR="00A77B3E">
            <w:pPr>
              <w:spacing w:before="100" w:after="0"/>
              <w:jc w:val="start"/>
              <w:rPr>
                <w:rFonts w:ascii="Times New Roman" w:eastAsia="Times New Roman" w:hAnsi="Times New Roman" w:cs="Times New Roman"/>
                <w:b w:val="0"/>
                <w:i w:val="0"/>
                <w:vanish w:val="0"/>
                <w:color w:val="000000"/>
                <w:sz w:val="24"/>
                <w:vertAlign w:val="baseline"/>
              </w:rPr>
            </w:pPr>
          </w:p>
        </w:tc>
      </w:tr>
    </w:tbl>
    <w:p w:rsidR="00A77B3E">
      <w:pPr>
        <w:pStyle w:val="Heading4"/>
        <w:spacing w:before="100" w:after="0"/>
        <w:jc w:val="start"/>
        <w:rPr>
          <w:rFonts w:ascii="Times New Roman" w:eastAsia="Times New Roman" w:hAnsi="Times New Roman" w:cs="Times New Roman"/>
          <w:b w:val="0"/>
          <w:i w:val="0"/>
          <w:vanish w:val="0"/>
          <w:color w:val="000000"/>
          <w:sz w:val="24"/>
          <w:vertAlign w:val="baseline"/>
        </w:rPr>
      </w:pPr>
      <w:r>
        <w:rPr>
          <w:rFonts w:ascii="Times New Roman" w:eastAsia="Times New Roman" w:hAnsi="Times New Roman" w:cs="Times New Roman"/>
          <w:b w:val="0"/>
          <w:i w:val="0"/>
          <w:vanish w:val="0"/>
          <w:color w:val="000000"/>
          <w:sz w:val="24"/>
          <w:vertAlign w:val="baseline"/>
        </w:rPr>
        <w:br w:type="page"/>
      </w:r>
      <w:bookmarkStart w:id="46" w:name="_Toc256000101"/>
      <w:r>
        <w:rPr>
          <w:rFonts w:ascii="Times New Roman" w:eastAsia="Times New Roman" w:hAnsi="Times New Roman" w:cs="Times New Roman"/>
          <w:b w:val="0"/>
          <w:i w:val="0"/>
          <w:vanish w:val="0"/>
          <w:color w:val="000000"/>
          <w:sz w:val="24"/>
          <w:vertAlign w:val="baseline"/>
        </w:rPr>
        <w:t>3. Navedite, kako so bili izračuni narejeni, vključno zlasti s predpostavkami v smislu kakovosti ali količin. Če je to relevantno, je treba uporabiti in na zahtevo predložiti statistične dokaze in referenčne vrednosti v obliki, ki jo lahko uporabi Evropska komisija.</w:t>
      </w:r>
      <w:bookmarkEnd w:id="46"/>
    </w:p>
    <w:p w:rsidR="00A77B3E">
      <w:pPr>
        <w:spacing w:before="100" w:after="0"/>
        <w:jc w:val="start"/>
        <w:rPr>
          <w:rFonts w:ascii="Times New Roman" w:eastAsia="Times New Roman" w:hAnsi="Times New Roman" w:cs="Times New Roman"/>
          <w:b w:val="0"/>
          <w:i w:val="0"/>
          <w:vanish w:val="0"/>
          <w:color w:val="000000"/>
          <w:sz w:val="12"/>
          <w:vertAlign w:val="baseline"/>
        </w:rPr>
      </w:pPr>
    </w:p>
    <w:tbl>
      <w:tblPr>
        <w:tblW w:w="99%" w:type="pct"/>
        <w:tblInd w:w="4pt" w:type="dxa"/>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CellMar>
          <w:start w:w="5.4pt" w:type="dxa"/>
          <w:end w:w="5.4pt" w:type="dxa"/>
        </w:tblCellMar>
      </w:tblPr>
      <w:tblGrid>
        <w:gridCol w:w="10385"/>
      </w:tblGrid>
      <w:tr>
        <w:tblPrEx>
          <w:tblW w:w="99%" w:type="pct"/>
          <w:tblInd w:w="4pt" w:type="dxa"/>
        </w:tblPrEx>
        <w:trPr>
          <w:cantSplit w:val="0"/>
          <w:trHeight w:hRule="auto" w:val="0"/>
        </w:trPr>
        <w:tc>
          <w:tcPr>
            <w:tcW w:w="33.34%" w:type="pct"/>
            <w:tcBorders>
              <w:top w:val="single" w:sz="4" w:space="0" w:color="000000"/>
              <w:start w:val="single" w:sz="4" w:space="0" w:color="000000"/>
              <w:bottom w:val="single" w:sz="4" w:space="0" w:color="000000"/>
              <w:end w:val="single" w:sz="4" w:space="0" w:color="000000"/>
            </w:tcBorders>
            <w:tcMar>
              <w:top w:w="1pt" w:type="dxa"/>
              <w:start w:w="6pt" w:type="dxa"/>
              <w:bottom w:w="6pt" w:type="dxa"/>
              <w:end w:w="6pt" w:type="dxa"/>
            </w:tcMar>
            <w:vAlign w:val="bottom"/>
          </w:tcPr>
          <w:p w:rsidR="00A77B3E">
            <w:pPr>
              <w:spacing w:before="100" w:after="0"/>
              <w:jc w:val="start"/>
              <w:rPr>
                <w:rFonts w:ascii="Times New Roman" w:eastAsia="Times New Roman" w:hAnsi="Times New Roman" w:cs="Times New Roman"/>
                <w:b w:val="0"/>
                <w:i w:val="0"/>
                <w:vanish w:val="0"/>
                <w:color w:val="000000"/>
                <w:sz w:val="24"/>
                <w:vertAlign w:val="baseline"/>
              </w:rPr>
            </w:pPr>
          </w:p>
        </w:tc>
      </w:tr>
    </w:tbl>
    <w:p w:rsidR="00A77B3E">
      <w:pPr>
        <w:pStyle w:val="Heading4"/>
        <w:spacing w:before="100" w:after="0"/>
        <w:jc w:val="start"/>
        <w:rPr>
          <w:rFonts w:ascii="Times New Roman" w:eastAsia="Times New Roman" w:hAnsi="Times New Roman" w:cs="Times New Roman"/>
          <w:b w:val="0"/>
          <w:i w:val="0"/>
          <w:vanish w:val="0"/>
          <w:color w:val="000000"/>
          <w:sz w:val="24"/>
          <w:vertAlign w:val="baseline"/>
        </w:rPr>
      </w:pPr>
      <w:r>
        <w:rPr>
          <w:rFonts w:ascii="Times New Roman" w:eastAsia="Times New Roman" w:hAnsi="Times New Roman" w:cs="Times New Roman"/>
          <w:b w:val="0"/>
          <w:i w:val="0"/>
          <w:vanish w:val="0"/>
          <w:color w:val="000000"/>
          <w:sz w:val="24"/>
          <w:vertAlign w:val="baseline"/>
        </w:rPr>
        <w:br w:type="page"/>
      </w:r>
      <w:bookmarkStart w:id="47" w:name="_Toc256000102"/>
      <w:r>
        <w:rPr>
          <w:rFonts w:ascii="Times New Roman" w:eastAsia="Times New Roman" w:hAnsi="Times New Roman" w:cs="Times New Roman"/>
          <w:b w:val="0"/>
          <w:i w:val="0"/>
          <w:vanish w:val="0"/>
          <w:color w:val="000000"/>
          <w:sz w:val="24"/>
          <w:vertAlign w:val="baseline"/>
        </w:rPr>
        <w:t>4. Pojasnite, kako ste zagotovili, da so bili v izračun standardnih stroškov na enoto, pavšalnega zneska ali pavšalne stopnje vključeni le upravičeni izdatki.</w:t>
      </w:r>
      <w:bookmarkEnd w:id="47"/>
    </w:p>
    <w:p w:rsidR="00A77B3E">
      <w:pPr>
        <w:spacing w:before="100" w:after="0"/>
        <w:jc w:val="start"/>
        <w:rPr>
          <w:rFonts w:ascii="Times New Roman" w:eastAsia="Times New Roman" w:hAnsi="Times New Roman" w:cs="Times New Roman"/>
          <w:b w:val="0"/>
          <w:i w:val="0"/>
          <w:vanish w:val="0"/>
          <w:color w:val="000000"/>
          <w:sz w:val="12"/>
          <w:vertAlign w:val="baseline"/>
        </w:rPr>
      </w:pPr>
    </w:p>
    <w:tbl>
      <w:tblPr>
        <w:tblW w:w="99%" w:type="pct"/>
        <w:tblInd w:w="4pt" w:type="dxa"/>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CellMar>
          <w:start w:w="5.4pt" w:type="dxa"/>
          <w:end w:w="5.4pt" w:type="dxa"/>
        </w:tblCellMar>
      </w:tblPr>
      <w:tblGrid>
        <w:gridCol w:w="10385"/>
      </w:tblGrid>
      <w:tr>
        <w:tblPrEx>
          <w:tblW w:w="99%" w:type="pct"/>
          <w:tblInd w:w="4pt" w:type="dxa"/>
        </w:tblPrEx>
        <w:trPr>
          <w:cantSplit w:val="0"/>
          <w:trHeight w:hRule="auto" w:val="0"/>
        </w:trPr>
        <w:tc>
          <w:tcPr>
            <w:tcW w:w="33.34%" w:type="pct"/>
            <w:tcBorders>
              <w:top w:val="single" w:sz="4" w:space="0" w:color="000000"/>
              <w:start w:val="single" w:sz="4" w:space="0" w:color="000000"/>
              <w:bottom w:val="single" w:sz="4" w:space="0" w:color="000000"/>
              <w:end w:val="single" w:sz="4" w:space="0" w:color="000000"/>
            </w:tcBorders>
            <w:tcMar>
              <w:top w:w="1pt" w:type="dxa"/>
              <w:start w:w="6pt" w:type="dxa"/>
              <w:bottom w:w="6pt" w:type="dxa"/>
              <w:end w:w="6pt" w:type="dxa"/>
            </w:tcMar>
            <w:vAlign w:val="bottom"/>
          </w:tcPr>
          <w:p w:rsidR="00A77B3E">
            <w:pPr>
              <w:spacing w:before="100" w:after="0"/>
              <w:jc w:val="start"/>
              <w:rPr>
                <w:rFonts w:ascii="Times New Roman" w:eastAsia="Times New Roman" w:hAnsi="Times New Roman" w:cs="Times New Roman"/>
                <w:b w:val="0"/>
                <w:i w:val="0"/>
                <w:vanish w:val="0"/>
                <w:color w:val="000000"/>
                <w:sz w:val="24"/>
                <w:vertAlign w:val="baseline"/>
              </w:rPr>
            </w:pPr>
          </w:p>
        </w:tc>
      </w:tr>
    </w:tbl>
    <w:p w:rsidR="00A77B3E">
      <w:pPr>
        <w:pStyle w:val="Heading4"/>
        <w:spacing w:before="100" w:after="0"/>
        <w:jc w:val="start"/>
        <w:rPr>
          <w:rFonts w:ascii="Times New Roman" w:eastAsia="Times New Roman" w:hAnsi="Times New Roman" w:cs="Times New Roman"/>
          <w:b w:val="0"/>
          <w:i w:val="0"/>
          <w:vanish w:val="0"/>
          <w:color w:val="000000"/>
          <w:sz w:val="24"/>
          <w:vertAlign w:val="baseline"/>
        </w:rPr>
      </w:pPr>
      <w:r>
        <w:rPr>
          <w:rFonts w:ascii="Times New Roman" w:eastAsia="Times New Roman" w:hAnsi="Times New Roman" w:cs="Times New Roman"/>
          <w:b w:val="0"/>
          <w:i w:val="0"/>
          <w:vanish w:val="0"/>
          <w:color w:val="000000"/>
          <w:sz w:val="24"/>
          <w:vertAlign w:val="baseline"/>
        </w:rPr>
        <w:br w:type="page"/>
      </w:r>
      <w:bookmarkStart w:id="48" w:name="_Toc256000103"/>
      <w:r>
        <w:rPr>
          <w:rFonts w:ascii="Times New Roman" w:eastAsia="Times New Roman" w:hAnsi="Times New Roman" w:cs="Times New Roman"/>
          <w:b w:val="0"/>
          <w:i w:val="0"/>
          <w:vanish w:val="0"/>
          <w:color w:val="000000"/>
          <w:sz w:val="24"/>
          <w:vertAlign w:val="baseline"/>
        </w:rPr>
        <w:t>5. Ocena revizijskega organa v zvezi z metodologijo za izračun in zneski ter ureditvijo za zagotovitev potrjevanja, kakovosti, zbiranja in shranjevanja podatkov.</w:t>
      </w:r>
      <w:bookmarkEnd w:id="48"/>
    </w:p>
    <w:p w:rsidR="00A77B3E">
      <w:pPr>
        <w:spacing w:before="100" w:after="0"/>
        <w:jc w:val="start"/>
        <w:rPr>
          <w:rFonts w:ascii="Times New Roman" w:eastAsia="Times New Roman" w:hAnsi="Times New Roman" w:cs="Times New Roman"/>
          <w:b w:val="0"/>
          <w:i w:val="0"/>
          <w:vanish w:val="0"/>
          <w:color w:val="000000"/>
          <w:sz w:val="12"/>
          <w:vertAlign w:val="baseline"/>
        </w:rPr>
      </w:pPr>
    </w:p>
    <w:tbl>
      <w:tblPr>
        <w:tblW w:w="99%" w:type="pct"/>
        <w:tblInd w:w="4pt" w:type="dxa"/>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CellMar>
          <w:start w:w="5.4pt" w:type="dxa"/>
          <w:end w:w="5.4pt" w:type="dxa"/>
        </w:tblCellMar>
      </w:tblPr>
      <w:tblGrid>
        <w:gridCol w:w="10385"/>
      </w:tblGrid>
      <w:tr>
        <w:tblPrEx>
          <w:tblW w:w="99%" w:type="pct"/>
          <w:tblInd w:w="4pt" w:type="dxa"/>
        </w:tblPrEx>
        <w:trPr>
          <w:cantSplit w:val="0"/>
          <w:trHeight w:hRule="auto" w:val="0"/>
        </w:trPr>
        <w:tc>
          <w:tcPr>
            <w:tcW w:w="33.34%" w:type="pct"/>
            <w:tcBorders>
              <w:top w:val="single" w:sz="4" w:space="0" w:color="000000"/>
              <w:start w:val="single" w:sz="4" w:space="0" w:color="000000"/>
              <w:bottom w:val="single" w:sz="4" w:space="0" w:color="000000"/>
              <w:end w:val="single" w:sz="4" w:space="0" w:color="000000"/>
            </w:tcBorders>
            <w:tcMar>
              <w:top w:w="1pt" w:type="dxa"/>
              <w:start w:w="6pt" w:type="dxa"/>
              <w:bottom w:w="6pt" w:type="dxa"/>
              <w:end w:w="6pt" w:type="dxa"/>
            </w:tcMar>
            <w:vAlign w:val="bottom"/>
          </w:tcPr>
          <w:p w:rsidR="00A77B3E">
            <w:pPr>
              <w:spacing w:before="100" w:after="0"/>
              <w:jc w:val="start"/>
              <w:rPr>
                <w:rFonts w:ascii="Times New Roman" w:eastAsia="Times New Roman" w:hAnsi="Times New Roman" w:cs="Times New Roman"/>
                <w:b w:val="0"/>
                <w:i w:val="0"/>
                <w:vanish w:val="0"/>
                <w:color w:val="000000"/>
                <w:sz w:val="24"/>
                <w:vertAlign w:val="baseline"/>
              </w:rPr>
            </w:pPr>
          </w:p>
        </w:tc>
      </w:tr>
    </w:tbl>
    <w:p w:rsidR="00A77B3E">
      <w:pPr>
        <w:spacing w:before="100" w:after="0"/>
        <w:jc w:val="start"/>
        <w:rPr>
          <w:rFonts w:ascii="Times New Roman" w:eastAsia="Times New Roman" w:hAnsi="Times New Roman" w:cs="Times New Roman"/>
          <w:b w:val="0"/>
          <w:i w:val="0"/>
          <w:vanish w:val="0"/>
          <w:color w:val="000000"/>
          <w:sz w:val="24"/>
          <w:vertAlign w:val="baseline"/>
        </w:rPr>
        <w:sectPr>
          <w:headerReference w:type="even" r:id="rId82"/>
          <w:headerReference w:type="default" r:id="rId83"/>
          <w:footerReference w:type="even" r:id="rId84"/>
          <w:footerReference w:type="default" r:id="rId85"/>
          <w:headerReference w:type="first" r:id="rId86"/>
          <w:footerReference w:type="first" r:id="rId87"/>
          <w:type w:val="nextPage"/>
          <w:pgSz w:w="11906" w:h="16838" w:orient="portrait"/>
          <w:pgMar w:top="720" w:right="936" w:bottom="864" w:left="720" w:header="0" w:footer="72" w:gutter="0"/>
          <w:cols w:space="720"/>
          <w:noEndnote/>
          <w:docGrid w:linePitch="360"/>
        </w:sectPr>
      </w:pPr>
    </w:p>
    <w:p w:rsidR="00A77B3E">
      <w:pPr>
        <w:pStyle w:val="Heading1"/>
        <w:spacing w:before="100" w:after="0"/>
        <w:jc w:val="start"/>
        <w:rPr>
          <w:rFonts w:ascii="Times New Roman" w:eastAsia="Times New Roman" w:hAnsi="Times New Roman" w:cs="Times New Roman"/>
          <w:b w:val="0"/>
          <w:i w:val="0"/>
          <w:vanish w:val="0"/>
          <w:color w:val="000000"/>
          <w:sz w:val="24"/>
          <w:vertAlign w:val="baseline"/>
        </w:rPr>
      </w:pPr>
      <w:bookmarkStart w:id="49" w:name="_Toc256000104"/>
      <w:r>
        <w:rPr>
          <w:rFonts w:ascii="Times New Roman" w:eastAsia="Times New Roman" w:hAnsi="Times New Roman" w:cs="Times New Roman"/>
          <w:b w:val="0"/>
          <w:i w:val="0"/>
          <w:vanish w:val="0"/>
          <w:color w:val="000000"/>
          <w:sz w:val="24"/>
          <w:vertAlign w:val="baseline"/>
        </w:rPr>
        <w:t>Dodatek 2: Prispevek Unije, temelječ na financiranju, ki ni povezano s stroški</w:t>
      </w:r>
      <w:bookmarkEnd w:id="49"/>
    </w:p>
    <w:p w:rsidR="00A77B3E">
      <w:pPr>
        <w:pStyle w:val="Heading2"/>
        <w:spacing w:before="100" w:after="0"/>
        <w:jc w:val="start"/>
        <w:rPr>
          <w:rFonts w:ascii="Times New Roman" w:eastAsia="Times New Roman" w:hAnsi="Times New Roman" w:cs="Times New Roman"/>
          <w:b w:val="0"/>
          <w:i w:val="0"/>
          <w:vanish w:val="0"/>
          <w:color w:val="000000"/>
          <w:sz w:val="24"/>
          <w:vertAlign w:val="baseline"/>
        </w:rPr>
      </w:pPr>
      <w:bookmarkStart w:id="50" w:name="_Toc256000105"/>
      <w:r>
        <w:rPr>
          <w:rFonts w:ascii="Times New Roman" w:eastAsia="Times New Roman" w:hAnsi="Times New Roman" w:cs="Times New Roman"/>
          <w:b w:val="0"/>
          <w:i w:val="0"/>
          <w:vanish w:val="0"/>
          <w:color w:val="000000"/>
          <w:sz w:val="24"/>
          <w:vertAlign w:val="baseline"/>
        </w:rPr>
        <w:t>A. Povzetek glavnih elementov</w:t>
      </w:r>
      <w:bookmarkEnd w:id="50"/>
    </w:p>
    <w:p w:rsidR="00A77B3E">
      <w:pPr>
        <w:spacing w:before="100" w:after="0"/>
        <w:jc w:val="start"/>
        <w:rPr>
          <w:rFonts w:ascii="Times New Roman" w:eastAsia="Times New Roman" w:hAnsi="Times New Roman" w:cs="Times New Roman"/>
          <w:b w:val="0"/>
          <w:i w:val="0"/>
          <w:vanish w:val="0"/>
          <w:color w:val="000000"/>
          <w:sz w:val="12"/>
          <w:vertAlign w:val="baseline"/>
        </w:rPr>
      </w:pPr>
    </w:p>
    <w:tbl>
      <w:tblPr>
        <w:tblW w:w="100%" w:type="pct"/>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CellMar>
          <w:start w:w="5.4pt" w:type="dxa"/>
          <w:end w:w="5.4pt" w:type="dxa"/>
        </w:tblCellMar>
      </w:tblPr>
      <w:tblGrid>
        <w:gridCol w:w="2000"/>
        <w:gridCol w:w="1500"/>
        <w:gridCol w:w="1200"/>
        <w:gridCol w:w="1500"/>
        <w:gridCol w:w="1800"/>
        <w:gridCol w:w="1500"/>
        <w:gridCol w:w="1500"/>
        <w:gridCol w:w="1500"/>
        <w:gridCol w:w="2000"/>
      </w:tblGrid>
      <w:tr>
        <w:tblPrEx>
          <w:tblW w:w="100%" w:type="pct"/>
        </w:tblPrEx>
        <w:trPr>
          <w:cantSplit w:val="0"/>
          <w:trHeight w:hRule="auto" w:val="0"/>
          <w:tblHeader/>
        </w:trPr>
        <w:tc>
          <w:tcPr>
            <w:tcW w:w="100pt" w:type="dxa"/>
            <w:vMerge w:val="restart"/>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rsidR="00A77B3E">
            <w:pPr>
              <w:spacing w:before="100" w:after="0"/>
              <w:jc w:val="center"/>
              <w:rPr>
                <w:rFonts w:ascii="Times New Roman" w:eastAsia="Times New Roman" w:hAnsi="Times New Roman" w:cs="Times New Roman"/>
                <w:b w:val="0"/>
                <w:i w:val="0"/>
                <w:vanish w:val="0"/>
                <w:color w:val="000000"/>
                <w:sz w:val="12"/>
                <w:vertAlign w:val="baseline"/>
              </w:rPr>
            </w:pPr>
            <w:r>
              <w:rPr>
                <w:rFonts w:ascii="Times New Roman" w:eastAsia="Times New Roman" w:hAnsi="Times New Roman" w:cs="Times New Roman"/>
                <w:b w:val="0"/>
                <w:i w:val="0"/>
                <w:vanish w:val="0"/>
                <w:color w:val="000000"/>
                <w:sz w:val="12"/>
                <w:vertAlign w:val="baseline"/>
              </w:rPr>
              <w:t>Specifični cilj</w:t>
            </w:r>
          </w:p>
        </w:tc>
        <w:tc>
          <w:tcPr>
            <w:tcW w:w="75pt" w:type="dxa"/>
            <w:vMerge w:val="restart"/>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rsidR="00A77B3E">
            <w:pPr>
              <w:spacing w:before="100" w:after="0"/>
              <w:jc w:val="center"/>
              <w:rPr>
                <w:rFonts w:ascii="Times New Roman" w:eastAsia="Times New Roman" w:hAnsi="Times New Roman" w:cs="Times New Roman"/>
                <w:b w:val="0"/>
                <w:i w:val="0"/>
                <w:vanish w:val="0"/>
                <w:color w:val="000000"/>
                <w:sz w:val="12"/>
                <w:vertAlign w:val="baseline"/>
              </w:rPr>
            </w:pPr>
            <w:r>
              <w:rPr>
                <w:rFonts w:ascii="Times New Roman" w:eastAsia="Times New Roman" w:hAnsi="Times New Roman" w:cs="Times New Roman"/>
                <w:b w:val="0"/>
                <w:i w:val="0"/>
                <w:vanish w:val="0"/>
                <w:color w:val="000000"/>
                <w:sz w:val="12"/>
                <w:vertAlign w:val="baseline"/>
              </w:rPr>
              <w:t>Znesek, zajet s financiranjem, ki ni povezano s stroški</w:t>
            </w:r>
          </w:p>
        </w:tc>
        <w:tc>
          <w:tcPr>
            <w:tcW w:w="135pt" w:type="dxa"/>
            <w:gridSpan w:val="2"/>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rsidR="00A77B3E">
            <w:pPr>
              <w:spacing w:before="100" w:after="0"/>
              <w:jc w:val="center"/>
              <w:rPr>
                <w:rFonts w:ascii="Times New Roman" w:eastAsia="Times New Roman" w:hAnsi="Times New Roman" w:cs="Times New Roman"/>
                <w:b w:val="0"/>
                <w:i w:val="0"/>
                <w:vanish w:val="0"/>
                <w:color w:val="000000"/>
                <w:sz w:val="12"/>
                <w:vertAlign w:val="baseline"/>
              </w:rPr>
            </w:pPr>
            <w:r>
              <w:rPr>
                <w:rFonts w:ascii="Times New Roman" w:eastAsia="Times New Roman" w:hAnsi="Times New Roman" w:cs="Times New Roman"/>
                <w:b w:val="0"/>
                <w:i w:val="0"/>
                <w:vanish w:val="0"/>
                <w:color w:val="000000"/>
                <w:sz w:val="12"/>
                <w:vertAlign w:val="baseline"/>
              </w:rPr>
              <w:t>Vrste zajetih operacij</w:t>
            </w:r>
          </w:p>
        </w:tc>
        <w:tc>
          <w:tcPr>
            <w:tcW w:w="90pt" w:type="dxa"/>
            <w:vMerge w:val="restart"/>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rsidR="00A77B3E">
            <w:pPr>
              <w:spacing w:before="100" w:after="0"/>
              <w:jc w:val="center"/>
              <w:rPr>
                <w:rFonts w:ascii="Times New Roman" w:eastAsia="Times New Roman" w:hAnsi="Times New Roman" w:cs="Times New Roman"/>
                <w:b w:val="0"/>
                <w:i w:val="0"/>
                <w:vanish w:val="0"/>
                <w:color w:val="000000"/>
                <w:sz w:val="12"/>
                <w:vertAlign w:val="baseline"/>
              </w:rPr>
            </w:pPr>
            <w:r>
              <w:rPr>
                <w:rFonts w:ascii="Times New Roman" w:eastAsia="Times New Roman" w:hAnsi="Times New Roman" w:cs="Times New Roman"/>
                <w:b w:val="0"/>
                <w:i w:val="0"/>
                <w:vanish w:val="0"/>
                <w:color w:val="000000"/>
                <w:sz w:val="12"/>
                <w:vertAlign w:val="baseline"/>
              </w:rPr>
              <w:t>Pogoji, ki jih je treba izpolniti/rezultati, ki jih je treba doseči, da Komisija izplača povračilo</w:t>
            </w:r>
          </w:p>
        </w:tc>
        <w:tc>
          <w:tcPr>
            <w:tcW w:w="150pt" w:type="dxa"/>
            <w:gridSpan w:val="2"/>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rsidR="00A77B3E">
            <w:pPr>
              <w:spacing w:before="100" w:after="0"/>
              <w:jc w:val="center"/>
              <w:rPr>
                <w:rFonts w:ascii="Times New Roman" w:eastAsia="Times New Roman" w:hAnsi="Times New Roman" w:cs="Times New Roman"/>
                <w:b w:val="0"/>
                <w:i w:val="0"/>
                <w:vanish w:val="0"/>
                <w:color w:val="000000"/>
                <w:sz w:val="12"/>
                <w:vertAlign w:val="baseline"/>
              </w:rPr>
            </w:pPr>
            <w:r>
              <w:rPr>
                <w:rFonts w:ascii="Times New Roman" w:eastAsia="Times New Roman" w:hAnsi="Times New Roman" w:cs="Times New Roman"/>
                <w:b w:val="0"/>
                <w:i w:val="0"/>
                <w:vanish w:val="0"/>
                <w:color w:val="000000"/>
                <w:sz w:val="12"/>
                <w:vertAlign w:val="baseline"/>
              </w:rPr>
              <w:t>Kazalniki</w:t>
            </w:r>
          </w:p>
        </w:tc>
        <w:tc>
          <w:tcPr>
            <w:tcW w:w="75pt" w:type="dxa"/>
            <w:vMerge w:val="restart"/>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rsidR="00A77B3E">
            <w:pPr>
              <w:spacing w:before="100" w:after="0"/>
              <w:jc w:val="center"/>
              <w:rPr>
                <w:rFonts w:ascii="Times New Roman" w:eastAsia="Times New Roman" w:hAnsi="Times New Roman" w:cs="Times New Roman"/>
                <w:b w:val="0"/>
                <w:i w:val="0"/>
                <w:vanish w:val="0"/>
                <w:color w:val="000000"/>
                <w:sz w:val="12"/>
                <w:vertAlign w:val="baseline"/>
              </w:rPr>
            </w:pPr>
            <w:r>
              <w:rPr>
                <w:rFonts w:ascii="Times New Roman" w:eastAsia="Times New Roman" w:hAnsi="Times New Roman" w:cs="Times New Roman"/>
                <w:b w:val="0"/>
                <w:i w:val="0"/>
                <w:vanish w:val="0"/>
                <w:color w:val="000000"/>
                <w:sz w:val="12"/>
                <w:vertAlign w:val="baseline"/>
              </w:rPr>
              <w:t>Merska enota za pogoje, ki jih je treba izpolniti/rezultate, ki jih je treba doseči za povračilo s strani Evropske komisije</w:t>
            </w:r>
          </w:p>
        </w:tc>
        <w:tc>
          <w:tcPr>
            <w:tcW w:w="100pt" w:type="dxa"/>
            <w:vMerge w:val="restart"/>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rsidR="00A77B3E">
            <w:pPr>
              <w:spacing w:before="100" w:after="0"/>
              <w:jc w:val="center"/>
              <w:rPr>
                <w:rFonts w:ascii="Times New Roman" w:eastAsia="Times New Roman" w:hAnsi="Times New Roman" w:cs="Times New Roman"/>
                <w:b w:val="0"/>
                <w:i w:val="0"/>
                <w:vanish w:val="0"/>
                <w:color w:val="000000"/>
                <w:sz w:val="12"/>
                <w:vertAlign w:val="baseline"/>
              </w:rPr>
            </w:pPr>
            <w:r>
              <w:rPr>
                <w:rFonts w:ascii="Times New Roman" w:eastAsia="Times New Roman" w:hAnsi="Times New Roman" w:cs="Times New Roman"/>
                <w:b w:val="0"/>
                <w:i w:val="0"/>
                <w:vanish w:val="0"/>
                <w:color w:val="000000"/>
                <w:sz w:val="12"/>
                <w:vertAlign w:val="baseline"/>
              </w:rPr>
              <w:t>Načrtovana vrsta metode, ki se uporabi za povračila upravičencu (upravičencem)</w:t>
            </w:r>
          </w:p>
        </w:tc>
      </w:tr>
      <w:tr>
        <w:tblPrEx>
          <w:tblW w:w="100%" w:type="pct"/>
        </w:tblPrEx>
        <w:trPr>
          <w:cantSplit w:val="0"/>
          <w:trHeight w:hRule="auto" w:val="0"/>
          <w:tblHeader/>
        </w:trPr>
        <w:tc>
          <w:tcPr>
            <w:tcW w:w="100pt" w:type="dxa"/>
            <w:vMerge/>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rsidR="00A77B3E">
            <w:pPr>
              <w:spacing w:before="100" w:after="0"/>
              <w:jc w:val="center"/>
              <w:rPr>
                <w:rFonts w:ascii="Times New Roman" w:eastAsia="Times New Roman" w:hAnsi="Times New Roman" w:cs="Times New Roman"/>
                <w:b w:val="0"/>
                <w:i w:val="0"/>
                <w:vanish w:val="0"/>
                <w:color w:val="000000"/>
                <w:sz w:val="12"/>
                <w:vertAlign w:val="baseline"/>
              </w:rPr>
            </w:pPr>
          </w:p>
        </w:tc>
        <w:tc>
          <w:tcPr>
            <w:tcW w:w="75pt" w:type="dxa"/>
            <w:vMerge/>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rsidR="00A77B3E">
            <w:pPr>
              <w:spacing w:before="100" w:after="0"/>
              <w:jc w:val="center"/>
              <w:rPr>
                <w:rFonts w:ascii="Times New Roman" w:eastAsia="Times New Roman" w:hAnsi="Times New Roman" w:cs="Times New Roman"/>
                <w:b w:val="0"/>
                <w:i w:val="0"/>
                <w:vanish w:val="0"/>
                <w:color w:val="000000"/>
                <w:sz w:val="12"/>
                <w:vertAlign w:val="baseline"/>
              </w:rPr>
            </w:pPr>
          </w:p>
        </w:tc>
        <w:tc>
          <w:tcPr>
            <w:tcW w:w="6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rsidR="00A77B3E">
            <w:pPr>
              <w:spacing w:before="100" w:after="0"/>
              <w:jc w:val="center"/>
              <w:rPr>
                <w:rFonts w:ascii="Times New Roman" w:eastAsia="Times New Roman" w:hAnsi="Times New Roman" w:cs="Times New Roman"/>
                <w:b w:val="0"/>
                <w:i w:val="0"/>
                <w:vanish w:val="0"/>
                <w:color w:val="000000"/>
                <w:sz w:val="12"/>
                <w:vertAlign w:val="baseline"/>
              </w:rPr>
            </w:pPr>
            <w:r>
              <w:rPr>
                <w:rFonts w:ascii="Times New Roman" w:eastAsia="Times New Roman" w:hAnsi="Times New Roman" w:cs="Times New Roman"/>
                <w:b w:val="0"/>
                <w:i w:val="0"/>
                <w:vanish w:val="0"/>
                <w:color w:val="000000"/>
                <w:sz w:val="12"/>
                <w:vertAlign w:val="baseline"/>
              </w:rPr>
              <w:t>Oznaka(1)</w:t>
            </w:r>
          </w:p>
        </w:tc>
        <w:tc>
          <w:tcPr>
            <w:tcW w:w="75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rsidR="00A77B3E">
            <w:pPr>
              <w:spacing w:before="100" w:after="0"/>
              <w:jc w:val="center"/>
              <w:rPr>
                <w:rFonts w:ascii="Times New Roman" w:eastAsia="Times New Roman" w:hAnsi="Times New Roman" w:cs="Times New Roman"/>
                <w:b w:val="0"/>
                <w:i w:val="0"/>
                <w:vanish w:val="0"/>
                <w:color w:val="000000"/>
                <w:sz w:val="12"/>
                <w:vertAlign w:val="baseline"/>
              </w:rPr>
            </w:pPr>
            <w:r>
              <w:rPr>
                <w:rFonts w:ascii="Times New Roman" w:eastAsia="Times New Roman" w:hAnsi="Times New Roman" w:cs="Times New Roman"/>
                <w:b w:val="0"/>
                <w:i w:val="0"/>
                <w:vanish w:val="0"/>
                <w:color w:val="000000"/>
                <w:sz w:val="12"/>
                <w:vertAlign w:val="baseline"/>
              </w:rPr>
              <w:t>Opis</w:t>
            </w:r>
          </w:p>
        </w:tc>
        <w:tc>
          <w:tcPr>
            <w:tcW w:w="90pt" w:type="dxa"/>
            <w:vMerge/>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rsidR="00A77B3E">
            <w:pPr>
              <w:spacing w:before="100" w:after="0"/>
              <w:jc w:val="center"/>
              <w:rPr>
                <w:rFonts w:ascii="Times New Roman" w:eastAsia="Times New Roman" w:hAnsi="Times New Roman" w:cs="Times New Roman"/>
                <w:b w:val="0"/>
                <w:i w:val="0"/>
                <w:vanish w:val="0"/>
                <w:color w:val="000000"/>
                <w:sz w:val="12"/>
                <w:vertAlign w:val="baseline"/>
              </w:rPr>
            </w:pPr>
          </w:p>
        </w:tc>
        <w:tc>
          <w:tcPr>
            <w:tcW w:w="75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rsidR="00A77B3E">
            <w:pPr>
              <w:spacing w:before="100" w:after="0"/>
              <w:jc w:val="center"/>
              <w:rPr>
                <w:rFonts w:ascii="Times New Roman" w:eastAsia="Times New Roman" w:hAnsi="Times New Roman" w:cs="Times New Roman"/>
                <w:b w:val="0"/>
                <w:i w:val="0"/>
                <w:vanish w:val="0"/>
                <w:color w:val="000000"/>
                <w:sz w:val="12"/>
                <w:vertAlign w:val="baseline"/>
              </w:rPr>
            </w:pPr>
            <w:r>
              <w:rPr>
                <w:rFonts w:ascii="Times New Roman" w:eastAsia="Times New Roman" w:hAnsi="Times New Roman" w:cs="Times New Roman"/>
                <w:b w:val="0"/>
                <w:i w:val="0"/>
                <w:vanish w:val="0"/>
                <w:color w:val="000000"/>
                <w:sz w:val="12"/>
                <w:vertAlign w:val="baseline"/>
              </w:rPr>
              <w:t>Oznaka(2)</w:t>
            </w:r>
          </w:p>
        </w:tc>
        <w:tc>
          <w:tcPr>
            <w:tcW w:w="75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rsidR="00A77B3E">
            <w:pPr>
              <w:spacing w:before="100" w:after="0"/>
              <w:jc w:val="center"/>
              <w:rPr>
                <w:rFonts w:ascii="Times New Roman" w:eastAsia="Times New Roman" w:hAnsi="Times New Roman" w:cs="Times New Roman"/>
                <w:b w:val="0"/>
                <w:i w:val="0"/>
                <w:vanish w:val="0"/>
                <w:color w:val="000000"/>
                <w:sz w:val="12"/>
                <w:vertAlign w:val="baseline"/>
              </w:rPr>
            </w:pPr>
            <w:r>
              <w:rPr>
                <w:rFonts w:ascii="Times New Roman" w:eastAsia="Times New Roman" w:hAnsi="Times New Roman" w:cs="Times New Roman"/>
                <w:b w:val="0"/>
                <w:i w:val="0"/>
                <w:vanish w:val="0"/>
                <w:color w:val="000000"/>
                <w:sz w:val="12"/>
                <w:vertAlign w:val="baseline"/>
              </w:rPr>
              <w:t>Opis</w:t>
            </w:r>
          </w:p>
        </w:tc>
        <w:tc>
          <w:tcPr>
            <w:tcW w:w="75pt" w:type="dxa"/>
            <w:vMerge/>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rsidR="00A77B3E">
            <w:pPr>
              <w:spacing w:before="100" w:after="0"/>
              <w:jc w:val="center"/>
              <w:rPr>
                <w:rFonts w:ascii="Times New Roman" w:eastAsia="Times New Roman" w:hAnsi="Times New Roman" w:cs="Times New Roman"/>
                <w:b w:val="0"/>
                <w:i w:val="0"/>
                <w:vanish w:val="0"/>
                <w:color w:val="000000"/>
                <w:sz w:val="12"/>
                <w:vertAlign w:val="baseline"/>
              </w:rPr>
            </w:pPr>
          </w:p>
        </w:tc>
        <w:tc>
          <w:tcPr>
            <w:tcW w:w="100pt" w:type="dxa"/>
            <w:vMerge/>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rsidR="00A77B3E">
            <w:pPr>
              <w:spacing w:before="100" w:after="0"/>
              <w:jc w:val="center"/>
              <w:rPr>
                <w:rFonts w:ascii="Times New Roman" w:eastAsia="Times New Roman" w:hAnsi="Times New Roman" w:cs="Times New Roman"/>
                <w:b w:val="0"/>
                <w:i w:val="0"/>
                <w:vanish w:val="0"/>
                <w:color w:val="000000"/>
                <w:sz w:val="12"/>
                <w:vertAlign w:val="baseline"/>
              </w:rPr>
            </w:pPr>
          </w:p>
        </w:tc>
      </w:tr>
    </w:tbl>
    <w:p w:rsidR="00A77B3E">
      <w:pPr>
        <w:spacing w:before="100" w:after="0"/>
        <w:jc w:val="start"/>
        <w:rPr>
          <w:rFonts w:ascii="Times New Roman" w:eastAsia="Times New Roman" w:hAnsi="Times New Roman" w:cs="Times New Roman"/>
          <w:b w:val="0"/>
          <w:i w:val="0"/>
          <w:vanish w:val="0"/>
          <w:color w:val="000000"/>
          <w:sz w:val="12"/>
          <w:vertAlign w:val="baseline"/>
        </w:rPr>
      </w:pPr>
      <w:r>
        <w:rPr>
          <w:rFonts w:ascii="Times New Roman" w:eastAsia="Times New Roman" w:hAnsi="Times New Roman" w:cs="Times New Roman"/>
          <w:b w:val="0"/>
          <w:i w:val="0"/>
          <w:vanish w:val="0"/>
          <w:color w:val="000000"/>
          <w:sz w:val="12"/>
          <w:vertAlign w:val="baseline"/>
        </w:rPr>
        <w:t>(1) To se nanaša na kodo v Prilogi VI uredb o AMIF, IUMV in SNV.</w:t>
      </w:r>
    </w:p>
    <w:p w:rsidR="00A77B3E">
      <w:pPr>
        <w:spacing w:before="100" w:after="0"/>
        <w:jc w:val="start"/>
        <w:rPr>
          <w:rFonts w:ascii="Times New Roman" w:eastAsia="Times New Roman" w:hAnsi="Times New Roman" w:cs="Times New Roman"/>
          <w:b w:val="0"/>
          <w:i w:val="0"/>
          <w:vanish w:val="0"/>
          <w:color w:val="000000"/>
          <w:sz w:val="12"/>
          <w:vertAlign w:val="baseline"/>
        </w:rPr>
      </w:pPr>
      <w:r>
        <w:rPr>
          <w:rFonts w:ascii="Times New Roman" w:eastAsia="Times New Roman" w:hAnsi="Times New Roman" w:cs="Times New Roman"/>
          <w:b w:val="0"/>
          <w:i w:val="0"/>
          <w:vanish w:val="0"/>
          <w:color w:val="000000"/>
          <w:sz w:val="12"/>
          <w:vertAlign w:val="baseline"/>
        </w:rPr>
        <w:t>(2) To se nanaša na kodo skupnega kazalnika, če je ustrezno.</w:t>
      </w:r>
    </w:p>
    <w:p w:rsidR="00A77B3E">
      <w:pPr>
        <w:spacing w:before="100" w:after="0"/>
        <w:jc w:val="start"/>
        <w:rPr>
          <w:rFonts w:ascii="Times New Roman" w:eastAsia="Times New Roman" w:hAnsi="Times New Roman" w:cs="Times New Roman"/>
          <w:b w:val="0"/>
          <w:i w:val="0"/>
          <w:vanish w:val="0"/>
          <w:color w:val="000000"/>
          <w:sz w:val="12"/>
          <w:vertAlign w:val="baseline"/>
        </w:rPr>
        <w:sectPr>
          <w:headerReference w:type="even" r:id="rId88"/>
          <w:headerReference w:type="default" r:id="rId89"/>
          <w:footerReference w:type="even" r:id="rId90"/>
          <w:footerReference w:type="default" r:id="rId91"/>
          <w:headerReference w:type="first" r:id="rId92"/>
          <w:footerReference w:type="first" r:id="rId93"/>
          <w:type w:val="nextPage"/>
          <w:pgSz w:w="16838" w:h="11906" w:orient="landscape"/>
          <w:pgMar w:top="720" w:right="720" w:bottom="864" w:left="936" w:header="288" w:footer="72" w:gutter="0"/>
          <w:cols w:space="720"/>
          <w:noEndnote/>
          <w:docGrid w:linePitch="360"/>
        </w:sectPr>
      </w:pPr>
    </w:p>
    <w:p w:rsidR="00A77B3E">
      <w:pPr>
        <w:pStyle w:val="Heading2"/>
        <w:spacing w:before="100" w:after="0"/>
        <w:jc w:val="start"/>
        <w:rPr>
          <w:rFonts w:ascii="TimesNewRoman" w:eastAsia="TimesNewRoman" w:hAnsi="TimesNewRoman" w:cs="TimesNewRoman"/>
          <w:b w:val="0"/>
          <w:i w:val="0"/>
          <w:vanish w:val="0"/>
          <w:color w:val="000000"/>
          <w:sz w:val="24"/>
          <w:vertAlign w:val="baseline"/>
        </w:rPr>
      </w:pPr>
      <w:bookmarkStart w:id="51" w:name="_Toc256000106"/>
      <w:r>
        <w:rPr>
          <w:rFonts w:ascii="TimesNewRoman" w:eastAsia="TimesNewRoman" w:hAnsi="TimesNewRoman" w:cs="TimesNewRoman"/>
          <w:b w:val="0"/>
          <w:i w:val="0"/>
          <w:vanish w:val="0"/>
          <w:color w:val="000000"/>
          <w:sz w:val="24"/>
          <w:vertAlign w:val="baseline"/>
        </w:rPr>
        <w:t>B. Podrobnosti glede na vrsto operacije</w:t>
      </w:r>
      <w:bookmarkEnd w:id="51"/>
    </w:p>
    <w:p w:rsidR="00A77B3E">
      <w:pPr>
        <w:spacing w:before="100" w:after="0"/>
        <w:jc w:val="start"/>
        <w:rPr>
          <w:rFonts w:ascii="TimesNewRoman" w:eastAsia="TimesNewRoman" w:hAnsi="TimesNewRoman" w:cs="TimesNewRoman"/>
          <w:b w:val="0"/>
          <w:i w:val="0"/>
          <w:vanish w:val="0"/>
          <w:color w:val="000000"/>
          <w:sz w:val="24"/>
          <w:vertAlign w:val="baseline"/>
        </w:rPr>
        <w:sectPr>
          <w:headerReference w:type="even" r:id="rId94"/>
          <w:headerReference w:type="default" r:id="rId95"/>
          <w:footerReference w:type="even" r:id="rId96"/>
          <w:footerReference w:type="default" r:id="rId97"/>
          <w:headerReference w:type="first" r:id="rId98"/>
          <w:footerReference w:type="first" r:id="rId99"/>
          <w:type w:val="nextPage"/>
          <w:pgSz w:w="11906" w:h="16838" w:orient="portrait"/>
          <w:pgMar w:top="720" w:right="936" w:bottom="864" w:left="720" w:header="0" w:footer="72" w:gutter="0"/>
          <w:cols w:space="720"/>
          <w:noEndnote/>
          <w:docGrid w:linePitch="360"/>
        </w:sectPr>
      </w:pPr>
    </w:p>
    <w:p w:rsidR="00A77B3E">
      <w:pPr>
        <w:pStyle w:val="Heading1"/>
        <w:spacing w:before="100" w:after="0"/>
        <w:jc w:val="start"/>
        <w:rPr>
          <w:rFonts w:ascii="TimesNewRoman" w:eastAsia="TimesNewRoman" w:hAnsi="TimesNewRoman" w:cs="TimesNewRoman"/>
          <w:b w:val="0"/>
          <w:i w:val="0"/>
          <w:vanish w:val="0"/>
          <w:color w:val="000000"/>
          <w:sz w:val="24"/>
          <w:vertAlign w:val="baseline"/>
        </w:rPr>
      </w:pPr>
      <w:bookmarkStart w:id="52" w:name="_Toc256000107"/>
      <w:r>
        <w:rPr>
          <w:rFonts w:ascii="TimesNewRoman" w:eastAsia="TimesNewRoman" w:hAnsi="TimesNewRoman" w:cs="TimesNewRoman"/>
          <w:b w:val="0"/>
          <w:i w:val="0"/>
          <w:vanish w:val="0"/>
          <w:color w:val="000000"/>
          <w:sz w:val="24"/>
          <w:vertAlign w:val="baseline"/>
        </w:rPr>
        <w:t>Dodatek 3</w:t>
      </w:r>
      <w:bookmarkEnd w:id="52"/>
    </w:p>
    <w:p w:rsidR="00A77B3E">
      <w:pPr>
        <w:pStyle w:val="Heading2"/>
        <w:spacing w:before="100" w:after="0"/>
        <w:jc w:val="start"/>
        <w:rPr>
          <w:rFonts w:ascii="TimesNewRoman" w:eastAsia="TimesNewRoman" w:hAnsi="TimesNewRoman" w:cs="TimesNewRoman"/>
          <w:b w:val="0"/>
          <w:i w:val="0"/>
          <w:vanish w:val="0"/>
          <w:color w:val="000000"/>
          <w:sz w:val="24"/>
          <w:vertAlign w:val="baseline"/>
        </w:rPr>
      </w:pPr>
      <w:bookmarkStart w:id="53" w:name="_Toc256000108"/>
      <w:r>
        <w:rPr>
          <w:rFonts w:ascii="TimesNewRoman" w:eastAsia="TimesNewRoman" w:hAnsi="TimesNewRoman" w:cs="TimesNewRoman"/>
          <w:b w:val="0"/>
          <w:i w:val="0"/>
          <w:vanish w:val="0"/>
          <w:color w:val="000000"/>
          <w:sz w:val="24"/>
          <w:vertAlign w:val="baseline"/>
        </w:rPr>
        <w:t>Tematski instrument (člen 11 uredbe o AMIF, člen 8 uredbe o IUMV, člen 8 uredbe o SNV)</w:t>
      </w:r>
      <w:bookmarkEnd w:id="53"/>
    </w:p>
    <w:p w:rsidR="00A77B3E">
      <w:pPr>
        <w:spacing w:before="100" w:after="0"/>
        <w:jc w:val="start"/>
        <w:rPr>
          <w:rFonts w:ascii="TimesNewRoman" w:eastAsia="TimesNewRoman" w:hAnsi="TimesNewRoman" w:cs="TimesNewRoman"/>
          <w:b w:val="0"/>
          <w:i w:val="0"/>
          <w:vanish w:val="0"/>
          <w:color w:val="000000"/>
          <w:sz w:val="12"/>
          <w:vertAlign w:val="baseline"/>
        </w:rPr>
      </w:pPr>
    </w:p>
    <w:tbl>
      <w:tblPr>
        <w:tblW w:w="100%" w:type="pct"/>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CellMar>
          <w:start w:w="5.4pt" w:type="dxa"/>
          <w:end w:w="5.4pt" w:type="dxa"/>
        </w:tblCellMar>
      </w:tblPr>
      <w:tblGrid>
        <w:gridCol w:w="4535"/>
        <w:gridCol w:w="2905"/>
        <w:gridCol w:w="1861"/>
        <w:gridCol w:w="4088"/>
        <w:gridCol w:w="1913"/>
      </w:tblGrid>
      <w:tr>
        <w:tblPrEx>
          <w:tblW w:w="100%" w:type="pct"/>
        </w:tblPrEx>
        <w:trPr>
          <w:cantSplit w:val="0"/>
          <w:trHeight w:hRule="auto" w:val="0"/>
        </w:trPr>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NewRoman" w:eastAsia="TimesNewRoman" w:hAnsi="TimesNewRoman" w:cs="TimesNewRoman"/>
                <w:b w:val="0"/>
                <w:i w:val="0"/>
                <w:vanish w:val="0"/>
                <w:color w:val="000000"/>
                <w:sz w:val="16"/>
                <w:vertAlign w:val="baseline"/>
              </w:rPr>
            </w:pPr>
            <w:r>
              <w:rPr>
                <w:rFonts w:ascii="TimesNewRoman" w:eastAsia="TimesNewRoman" w:hAnsi="TimesNewRoman" w:cs="TimesNewRoman"/>
                <w:b w:val="0"/>
                <w:i w:val="0"/>
                <w:vanish w:val="0"/>
                <w:color w:val="000000"/>
                <w:sz w:val="16"/>
                <w:vertAlign w:val="baseline"/>
              </w:rPr>
              <w:t>Sklic na postopek</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NewRoman" w:eastAsia="TimesNewRoman" w:hAnsi="TimesNewRoman" w:cs="TimesNewRoman"/>
                <w:b w:val="0"/>
                <w:i w:val="0"/>
                <w:vanish w:val="0"/>
                <w:color w:val="000000"/>
                <w:sz w:val="16"/>
                <w:vertAlign w:val="baseline"/>
              </w:rPr>
            </w:pPr>
            <w:r>
              <w:rPr>
                <w:rFonts w:ascii="TimesNewRoman" w:eastAsia="TimesNewRoman" w:hAnsi="TimesNewRoman" w:cs="TimesNewRoman"/>
                <w:b w:val="0"/>
                <w:i w:val="0"/>
                <w:vanish w:val="0"/>
                <w:color w:val="000000"/>
                <w:sz w:val="16"/>
                <w:vertAlign w:val="baseline"/>
              </w:rPr>
              <w:t>Različica programa</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NewRoman" w:eastAsia="TimesNewRoman" w:hAnsi="TimesNewRoman" w:cs="TimesNewRoman"/>
                <w:b w:val="0"/>
                <w:i w:val="0"/>
                <w:vanish w:val="0"/>
                <w:color w:val="000000"/>
                <w:sz w:val="16"/>
                <w:vertAlign w:val="baseline"/>
              </w:rPr>
            </w:pPr>
            <w:r>
              <w:rPr>
                <w:rFonts w:ascii="TimesNewRoman" w:eastAsia="TimesNewRoman" w:hAnsi="TimesNewRoman" w:cs="TimesNewRoman"/>
                <w:b w:val="0"/>
                <w:i w:val="0"/>
                <w:vanish w:val="0"/>
                <w:color w:val="000000"/>
                <w:sz w:val="16"/>
                <w:vertAlign w:val="baseline"/>
              </w:rPr>
              <w:t>Status</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NewRoman" w:eastAsia="TimesNewRoman" w:hAnsi="TimesNewRoman" w:cs="TimesNewRoman"/>
                <w:b w:val="0"/>
                <w:i w:val="0"/>
                <w:vanish w:val="0"/>
                <w:color w:val="000000"/>
                <w:sz w:val="16"/>
                <w:vertAlign w:val="baseline"/>
              </w:rPr>
            </w:pPr>
            <w:r>
              <w:rPr>
                <w:rFonts w:ascii="TimesNewRoman" w:eastAsia="TimesNewRoman" w:hAnsi="TimesNewRoman" w:cs="TimesNewRoman"/>
                <w:b w:val="0"/>
                <w:i w:val="0"/>
                <w:vanish w:val="0"/>
                <w:color w:val="000000"/>
                <w:sz w:val="16"/>
                <w:vertAlign w:val="baseline"/>
              </w:rPr>
              <w:t>Datum sprejema/zavrnitve</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NewRoman" w:eastAsia="TimesNewRoman" w:hAnsi="TimesNewRoman" w:cs="TimesNewRoman"/>
                <w:b w:val="0"/>
                <w:i w:val="0"/>
                <w:vanish w:val="0"/>
                <w:color w:val="000000"/>
                <w:sz w:val="16"/>
                <w:vertAlign w:val="baseline"/>
              </w:rPr>
            </w:pPr>
            <w:r>
              <w:rPr>
                <w:rFonts w:ascii="TimesNewRoman" w:eastAsia="TimesNewRoman" w:hAnsi="TimesNewRoman" w:cs="TimesNewRoman"/>
                <w:b w:val="0"/>
                <w:i w:val="0"/>
                <w:vanish w:val="0"/>
                <w:color w:val="000000"/>
                <w:sz w:val="16"/>
                <w:vertAlign w:val="baseline"/>
              </w:rPr>
              <w:t>Opombe</w:t>
            </w:r>
          </w:p>
        </w:tc>
      </w:tr>
      <w:tr>
        <w:tblPrEx>
          <w:tblW w:w="100%" w:type="pct"/>
        </w:tblPrEx>
        <w:trPr>
          <w:cantSplit w:val="0"/>
          <w:trHeight w:hRule="auto" w:val="0"/>
        </w:trPr>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NewRoman" w:eastAsia="TimesNewRoman" w:hAnsi="TimesNewRoman" w:cs="TimesNewRoman"/>
                <w:b w:val="0"/>
                <w:i w:val="0"/>
                <w:vanish w:val="0"/>
                <w:color w:val="000000"/>
                <w:sz w:val="16"/>
                <w:vertAlign w:val="baseline"/>
              </w:rPr>
            </w:pPr>
            <w:r>
              <w:rPr>
                <w:rFonts w:ascii="TimesNewRoman" w:eastAsia="TimesNewRoman" w:hAnsi="TimesNewRoman" w:cs="TimesNewRoman"/>
                <w:b w:val="0"/>
                <w:i w:val="0"/>
                <w:vanish w:val="0"/>
                <w:color w:val="000000"/>
                <w:sz w:val="16"/>
                <w:vertAlign w:val="baseline"/>
              </w:rPr>
              <w:t>C(2021)8460 - 26. nov. 2021 - 1</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NewRoman" w:eastAsia="TimesNewRoman" w:hAnsi="TimesNewRoman" w:cs="TimesNewRoman"/>
                <w:b w:val="0"/>
                <w:i w:val="0"/>
                <w:vanish w:val="0"/>
                <w:color w:val="000000"/>
                <w:sz w:val="16"/>
                <w:vertAlign w:val="baseline"/>
              </w:rPr>
            </w:pPr>
            <w:r>
              <w:rPr>
                <w:rFonts w:ascii="TimesNewRoman" w:eastAsia="TimesNewRoman" w:hAnsi="TimesNewRoman" w:cs="TimesNewRoman"/>
                <w:b w:val="0"/>
                <w:i w:val="0"/>
                <w:vanish w:val="0"/>
                <w:color w:val="000000"/>
                <w:sz w:val="16"/>
                <w:vertAlign w:val="baseline"/>
              </w:rPr>
              <w:t>1.1</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NewRoman" w:eastAsia="TimesNewRoman" w:hAnsi="TimesNewRoman" w:cs="TimesNewRoman"/>
                <w:b w:val="0"/>
                <w:i w:val="0"/>
                <w:vanish w:val="0"/>
                <w:color w:val="000000"/>
                <w:sz w:val="16"/>
                <w:vertAlign w:val="baseline"/>
              </w:rPr>
            </w:pPr>
            <w:r>
              <w:rPr>
                <w:rFonts w:ascii="TimesNewRoman" w:eastAsia="TimesNewRoman" w:hAnsi="TimesNewRoman" w:cs="TimesNewRoman"/>
                <w:b w:val="0"/>
                <w:i w:val="0"/>
                <w:vanish w:val="0"/>
                <w:color w:val="000000"/>
                <w:sz w:val="16"/>
                <w:vertAlign w:val="baseline"/>
              </w:rPr>
              <w:t>Sprejeto</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NewRoman" w:eastAsia="TimesNewRoman" w:hAnsi="TimesNewRoman" w:cs="TimesNewRoman"/>
                <w:b w:val="0"/>
                <w:i w:val="0"/>
                <w:vanish w:val="0"/>
                <w:color w:val="000000"/>
                <w:sz w:val="16"/>
                <w:vertAlign w:val="baseline"/>
              </w:rPr>
            </w:pPr>
            <w:r>
              <w:rPr>
                <w:rFonts w:ascii="TimesNewRoman" w:eastAsia="TimesNewRoman" w:hAnsi="TimesNewRoman" w:cs="TimesNewRoman"/>
                <w:b w:val="0"/>
                <w:i w:val="0"/>
                <w:vanish w:val="0"/>
                <w:color w:val="000000"/>
                <w:sz w:val="16"/>
                <w:vertAlign w:val="baseline"/>
              </w:rPr>
              <w:t>12. avg. 2022</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NewRoman" w:eastAsia="TimesNewRoman" w:hAnsi="TimesNewRoman" w:cs="TimesNewRoman"/>
                <w:b w:val="0"/>
                <w:i w:val="0"/>
                <w:vanish w:val="0"/>
                <w:color w:val="000000"/>
                <w:sz w:val="16"/>
                <w:vertAlign w:val="baseline"/>
              </w:rPr>
            </w:pPr>
          </w:p>
        </w:tc>
      </w:tr>
      <w:tr>
        <w:tblPrEx>
          <w:tblW w:w="100%" w:type="pct"/>
        </w:tblPrEx>
        <w:trPr>
          <w:cantSplit w:val="0"/>
          <w:trHeight w:hRule="auto" w:val="0"/>
        </w:trPr>
        <w:tc>
          <w:tcPr>
            <w:gridSpan w:val="5"/>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NewRoman" w:eastAsia="TimesNewRoman" w:hAnsi="TimesNewRoman" w:cs="TimesNewRoman"/>
                <w:b w:val="0"/>
                <w:i w:val="0"/>
                <w:vanish w:val="0"/>
                <w:color w:val="000000"/>
                <w:sz w:val="0"/>
                <w:vertAlign w:val="baseline"/>
              </w:rPr>
            </w:pPr>
          </w:p>
          <w:tbl>
            <w:tblPr>
              <w:tblW w:w="100%" w:type="pct"/>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CellMar>
                <w:start w:w="5.4pt" w:type="dxa"/>
                <w:end w:w="5.4pt" w:type="dxa"/>
              </w:tblCellMar>
            </w:tblPr>
            <w:tblGrid>
              <w:gridCol w:w="2064"/>
              <w:gridCol w:w="738"/>
              <w:gridCol w:w="971"/>
              <w:gridCol w:w="856"/>
              <w:gridCol w:w="1276"/>
              <w:gridCol w:w="9267"/>
            </w:tblGrid>
            <w:tr>
              <w:tblPrEx>
                <w:tblW w:w="100%" w:type="pct"/>
              </w:tblPrEx>
              <w:trPr>
                <w:cantSplit w:val="0"/>
                <w:trHeight w:hRule="auto" w:val="0"/>
              </w:trPr>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rsidR="00A77B3E">
                  <w:pPr>
                    <w:spacing w:before="100" w:after="0"/>
                    <w:jc w:val="center"/>
                    <w:rPr>
                      <w:rFonts w:ascii="TimesNewRoman" w:eastAsia="TimesNewRoman" w:hAnsi="TimesNewRoman" w:cs="TimesNewRoman"/>
                      <w:b w:val="0"/>
                      <w:i w:val="0"/>
                      <w:vanish w:val="0"/>
                      <w:color w:val="000000"/>
                      <w:sz w:val="16"/>
                      <w:vertAlign w:val="baseline"/>
                    </w:rPr>
                  </w:pPr>
                  <w:r>
                    <w:rPr>
                      <w:rFonts w:ascii="TimesNewRoman" w:eastAsia="TimesNewRoman" w:hAnsi="TimesNewRoman" w:cs="TimesNewRoman"/>
                      <w:b w:val="0"/>
                      <w:i w:val="0"/>
                      <w:vanish w:val="0"/>
                      <w:color w:val="000000"/>
                      <w:sz w:val="16"/>
                      <w:vertAlign w:val="baseline"/>
                    </w:rPr>
                    <w:t>Specifični cilj</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rsidR="00A77B3E">
                  <w:pPr>
                    <w:spacing w:before="100" w:after="0"/>
                    <w:jc w:val="center"/>
                    <w:rPr>
                      <w:rFonts w:ascii="TimesNewRoman" w:eastAsia="TimesNewRoman" w:hAnsi="TimesNewRoman" w:cs="TimesNewRoman"/>
                      <w:b w:val="0"/>
                      <w:i w:val="0"/>
                      <w:vanish w:val="0"/>
                      <w:color w:val="000000"/>
                      <w:sz w:val="16"/>
                      <w:vertAlign w:val="baseline"/>
                    </w:rPr>
                  </w:pPr>
                  <w:r>
                    <w:rPr>
                      <w:rFonts w:ascii="TimesNewRoman" w:eastAsia="TimesNewRoman" w:hAnsi="TimesNewRoman" w:cs="TimesNewRoman"/>
                      <w:b w:val="0"/>
                      <w:i w:val="0"/>
                      <w:vanish w:val="0"/>
                      <w:color w:val="000000"/>
                      <w:sz w:val="16"/>
                      <w:vertAlign w:val="baseline"/>
                    </w:rPr>
                    <w:t>Način</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rsidR="00A77B3E">
                  <w:pPr>
                    <w:spacing w:before="100" w:after="0"/>
                    <w:jc w:val="center"/>
                    <w:rPr>
                      <w:rFonts w:ascii="TimesNewRoman" w:eastAsia="TimesNewRoman" w:hAnsi="TimesNewRoman" w:cs="TimesNewRoman"/>
                      <w:b w:val="0"/>
                      <w:i w:val="0"/>
                      <w:vanish w:val="0"/>
                      <w:color w:val="000000"/>
                      <w:sz w:val="16"/>
                      <w:vertAlign w:val="baseline"/>
                    </w:rPr>
                  </w:pPr>
                  <w:r>
                    <w:rPr>
                      <w:rFonts w:ascii="TimesNewRoman" w:eastAsia="TimesNewRoman" w:hAnsi="TimesNewRoman" w:cs="TimesNewRoman"/>
                      <w:b w:val="0"/>
                      <w:i w:val="0"/>
                      <w:vanish w:val="0"/>
                      <w:color w:val="000000"/>
                      <w:sz w:val="16"/>
                      <w:vertAlign w:val="baseline"/>
                    </w:rPr>
                    <w:t>Vrsta intervencije</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rsidR="00A77B3E">
                  <w:pPr>
                    <w:spacing w:before="100" w:after="0"/>
                    <w:jc w:val="center"/>
                    <w:rPr>
                      <w:rFonts w:ascii="TimesNewRoman" w:eastAsia="TimesNewRoman" w:hAnsi="TimesNewRoman" w:cs="TimesNewRoman"/>
                      <w:b w:val="0"/>
                      <w:i w:val="0"/>
                      <w:vanish w:val="0"/>
                      <w:color w:val="000000"/>
                      <w:sz w:val="16"/>
                      <w:vertAlign w:val="baseline"/>
                    </w:rPr>
                  </w:pPr>
                  <w:r>
                    <w:rPr>
                      <w:rFonts w:ascii="TimesNewRoman" w:eastAsia="TimesNewRoman" w:hAnsi="TimesNewRoman" w:cs="TimesNewRoman"/>
                      <w:b w:val="0"/>
                      <w:i w:val="0"/>
                      <w:vanish w:val="0"/>
                      <w:color w:val="000000"/>
                      <w:sz w:val="16"/>
                      <w:vertAlign w:val="baseline"/>
                    </w:rPr>
                    <w:t>Prispevek Unije</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rsidR="00A77B3E">
                  <w:pPr>
                    <w:spacing w:before="100" w:after="0"/>
                    <w:jc w:val="center"/>
                    <w:rPr>
                      <w:rFonts w:ascii="TimesNewRoman" w:eastAsia="TimesNewRoman" w:hAnsi="TimesNewRoman" w:cs="TimesNewRoman"/>
                      <w:b w:val="0"/>
                      <w:i w:val="0"/>
                      <w:vanish w:val="0"/>
                      <w:color w:val="000000"/>
                      <w:sz w:val="16"/>
                      <w:vertAlign w:val="baseline"/>
                    </w:rPr>
                  </w:pPr>
                  <w:r>
                    <w:rPr>
                      <w:rFonts w:ascii="TimesNewRoman" w:eastAsia="TimesNewRoman" w:hAnsi="TimesNewRoman" w:cs="TimesNewRoman"/>
                      <w:b w:val="0"/>
                      <w:i w:val="0"/>
                      <w:vanish w:val="0"/>
                      <w:color w:val="000000"/>
                      <w:sz w:val="16"/>
                      <w:vertAlign w:val="baseline"/>
                    </w:rPr>
                    <w:t>Stopnja predhodnega financiranja</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rsidR="00A77B3E">
                  <w:pPr>
                    <w:spacing w:before="100" w:after="0"/>
                    <w:jc w:val="center"/>
                    <w:rPr>
                      <w:rFonts w:ascii="TimesNewRoman" w:eastAsia="TimesNewRoman" w:hAnsi="TimesNewRoman" w:cs="TimesNewRoman"/>
                      <w:b w:val="0"/>
                      <w:i w:val="0"/>
                      <w:vanish w:val="0"/>
                      <w:color w:val="000000"/>
                      <w:sz w:val="16"/>
                      <w:vertAlign w:val="baseline"/>
                    </w:rPr>
                  </w:pPr>
                  <w:r>
                    <w:rPr>
                      <w:rFonts w:ascii="TimesNewRoman" w:eastAsia="TimesNewRoman" w:hAnsi="TimesNewRoman" w:cs="TimesNewRoman"/>
                      <w:b w:val="0"/>
                      <w:i w:val="0"/>
                      <w:vanish w:val="0"/>
                      <w:color w:val="000000"/>
                      <w:sz w:val="16"/>
                      <w:vertAlign w:val="baseline"/>
                    </w:rPr>
                    <w:t>Opis ukrepa</w:t>
                  </w:r>
                </w:p>
              </w:tc>
            </w:tr>
            <w:tr>
              <w:tblPrEx>
                <w:tblW w:w="100%" w:type="pct"/>
              </w:tblPrEx>
              <w:trPr>
                <w:cantSplit w:val="0"/>
                <w:trHeight w:hRule="auto" w:val="0"/>
              </w:trPr>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NewRoman" w:eastAsia="TimesNewRoman" w:hAnsi="TimesNewRoman" w:cs="TimesNewRoman"/>
                      <w:b w:val="0"/>
                      <w:i w:val="0"/>
                      <w:vanish w:val="0"/>
                      <w:color w:val="000000"/>
                      <w:sz w:val="16"/>
                      <w:vertAlign w:val="baseline"/>
                    </w:rPr>
                  </w:pPr>
                  <w:r>
                    <w:rPr>
                      <w:rFonts w:ascii="TimesNewRoman" w:eastAsia="TimesNewRoman" w:hAnsi="TimesNewRoman" w:cs="TimesNewRoman"/>
                      <w:b w:val="0"/>
                      <w:i w:val="0"/>
                      <w:vanish w:val="0"/>
                      <w:color w:val="000000"/>
                      <w:sz w:val="16"/>
                      <w:vertAlign w:val="baseline"/>
                    </w:rPr>
                    <w:t>2. Čezmejno sodelovanje</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NewRoman" w:eastAsia="TimesNewRoman" w:hAnsi="TimesNewRoman" w:cs="TimesNewRoman"/>
                      <w:b w:val="0"/>
                      <w:i w:val="0"/>
                      <w:vanish w:val="0"/>
                      <w:color w:val="000000"/>
                      <w:sz w:val="16"/>
                      <w:vertAlign w:val="baseline"/>
                    </w:rPr>
                  </w:pPr>
                  <w:r>
                    <w:rPr>
                      <w:rFonts w:ascii="TimesNewRoman" w:eastAsia="TimesNewRoman" w:hAnsi="TimesNewRoman" w:cs="TimesNewRoman"/>
                      <w:b w:val="0"/>
                      <w:i w:val="0"/>
                      <w:vanish w:val="0"/>
                      <w:color w:val="000000"/>
                      <w:sz w:val="16"/>
                      <w:vertAlign w:val="baseline"/>
                    </w:rPr>
                    <w:t>Posebni ukrepi</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NewRoman" w:eastAsia="TimesNewRoman" w:hAnsi="TimesNewRoman" w:cs="TimesNewRoman"/>
                      <w:b w:val="0"/>
                      <w:i w:val="0"/>
                      <w:vanish w:val="0"/>
                      <w:color w:val="000000"/>
                      <w:sz w:val="16"/>
                      <w:vertAlign w:val="baseline"/>
                    </w:rPr>
                  </w:pPr>
                  <w:r>
                    <w:rPr>
                      <w:rFonts w:ascii="TimesNewRoman" w:eastAsia="TimesNewRoman" w:hAnsi="TimesNewRoman" w:cs="TimesNewRoman"/>
                      <w:b w:val="0"/>
                      <w:i w:val="0"/>
                      <w:vanish w:val="0"/>
                      <w:color w:val="000000"/>
                      <w:sz w:val="16"/>
                      <w:vertAlign w:val="baseline"/>
                    </w:rPr>
                    <w:t xml:space="preserve"> </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NewRoman" w:eastAsia="TimesNewRoman" w:hAnsi="TimesNewRoman" w:cs="TimesNewRoman"/>
                      <w:b w:val="0"/>
                      <w:i w:val="0"/>
                      <w:vanish w:val="0"/>
                      <w:color w:val="000000"/>
                      <w:sz w:val="16"/>
                      <w:vertAlign w:val="baseline"/>
                    </w:rPr>
                  </w:pPr>
                  <w:r>
                    <w:rPr>
                      <w:rFonts w:ascii="TimesNewRoman" w:eastAsia="TimesNewRoman" w:hAnsi="TimesNewRoman" w:cs="TimesNewRoman"/>
                      <w:b w:val="0"/>
                      <w:i w:val="0"/>
                      <w:vanish w:val="0"/>
                      <w:color w:val="000000"/>
                      <w:sz w:val="16"/>
                      <w:vertAlign w:val="baseline"/>
                    </w:rPr>
                    <w:t>54.000,00</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NewRoman" w:eastAsia="TimesNewRoman" w:hAnsi="TimesNewRoman" w:cs="TimesNewRoman"/>
                      <w:b w:val="0"/>
                      <w:i w:val="0"/>
                      <w:vanish w:val="0"/>
                      <w:color w:val="000000"/>
                      <w:sz w:val="16"/>
                      <w:vertAlign w:val="baseline"/>
                    </w:rPr>
                  </w:pP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NewRoman" w:eastAsia="TimesNewRoman" w:hAnsi="TimesNewRoman" w:cs="TimesNewRoman"/>
                      <w:b w:val="0"/>
                      <w:i w:val="0"/>
                      <w:vanish w:val="0"/>
                      <w:color w:val="000000"/>
                      <w:sz w:val="16"/>
                      <w:vertAlign w:val="baseline"/>
                    </w:rPr>
                  </w:pPr>
                  <w:r>
                    <w:rPr>
                      <w:rFonts w:ascii="TimesNewRoman" w:eastAsia="TimesNewRoman" w:hAnsi="TimesNewRoman" w:cs="TimesNewRoman"/>
                      <w:b w:val="0"/>
                      <w:i w:val="0"/>
                      <w:vanish w:val="0"/>
                      <w:color w:val="000000"/>
                      <w:sz w:val="16"/>
                      <w:vertAlign w:val="baseline"/>
                    </w:rPr>
                    <w:t>ISF/2022/SA/2.2.1/012 EMPACT EUR 54.000,00</w:t>
                  </w:r>
                </w:p>
                <w:p w:rsidR="00A77B3E">
                  <w:pPr>
                    <w:spacing w:before="100" w:after="0"/>
                    <w:jc w:val="start"/>
                    <w:rPr>
                      <w:rFonts w:ascii="TimesNewRoman" w:eastAsia="TimesNewRoman" w:hAnsi="TimesNewRoman" w:cs="TimesNewRoman"/>
                      <w:b w:val="0"/>
                      <w:i w:val="0"/>
                      <w:vanish w:val="0"/>
                      <w:color w:val="000000"/>
                      <w:sz w:val="16"/>
                      <w:vertAlign w:val="baseline"/>
                    </w:rPr>
                  </w:pPr>
                  <w:r>
                    <w:rPr>
                      <w:rFonts w:ascii="TimesNewRoman" w:eastAsia="TimesNewRoman" w:hAnsi="TimesNewRoman" w:cs="TimesNewRoman"/>
                      <w:b w:val="0"/>
                      <w:i w:val="0"/>
                      <w:vanish w:val="0"/>
                      <w:color w:val="000000"/>
                      <w:sz w:val="16"/>
                      <w:vertAlign w:val="baseline"/>
                    </w:rPr>
                    <w:t xml:space="preserve">The objective of this specific action is to develop complex and long-term EMPACT activities and actions, laid down in the operational action plans (OAPs) and implementing one or more common horizontal strategic goals (CHSGs) contained in the EMPACT multi-annual strategic plan (MASP) designed for the EMPACT cycle 2022-2025 (reference: Council document 10109/21 of 23 June 2021 (EU LIMITE). </w:t>
                  </w:r>
                </w:p>
                <w:p w:rsidR="00A77B3E">
                  <w:pPr>
                    <w:spacing w:before="100" w:after="0"/>
                    <w:jc w:val="start"/>
                    <w:rPr>
                      <w:rFonts w:ascii="TimesNewRoman" w:eastAsia="TimesNewRoman" w:hAnsi="TimesNewRoman" w:cs="TimesNewRoman"/>
                      <w:b w:val="0"/>
                      <w:i w:val="0"/>
                      <w:vanish w:val="0"/>
                      <w:color w:val="000000"/>
                      <w:sz w:val="16"/>
                      <w:vertAlign w:val="baseline"/>
                    </w:rPr>
                  </w:pPr>
                  <w:r>
                    <w:rPr>
                      <w:rFonts w:ascii="TimesNewRoman" w:eastAsia="TimesNewRoman" w:hAnsi="TimesNewRoman" w:cs="TimesNewRoman"/>
                      <w:b w:val="0"/>
                      <w:i w:val="0"/>
                      <w:vanish w:val="0"/>
                      <w:color w:val="000000"/>
                      <w:sz w:val="16"/>
                      <w:vertAlign w:val="baseline"/>
                    </w:rPr>
                    <w:t>Spain is carrying out the project CCH - EUROPEAN OPERATIONAL TEAM Costa del Sol, mainly related to EMPACT CCH (Cannabis/Cocaine/Heroin), but also to EMPACT HRCN (High-Risk Criminal Networks), covering strategic goals n°1, 2, 3, 4 and 8.</w:t>
                  </w:r>
                </w:p>
                <w:p w:rsidR="00A77B3E">
                  <w:pPr>
                    <w:spacing w:before="100" w:after="0"/>
                    <w:jc w:val="start"/>
                    <w:rPr>
                      <w:rFonts w:ascii="TimesNewRoman" w:eastAsia="TimesNewRoman" w:hAnsi="TimesNewRoman" w:cs="TimesNewRoman"/>
                      <w:b w:val="0"/>
                      <w:i w:val="0"/>
                      <w:vanish w:val="0"/>
                      <w:color w:val="000000"/>
                      <w:sz w:val="16"/>
                      <w:vertAlign w:val="baseline"/>
                    </w:rPr>
                  </w:pPr>
                  <w:r>
                    <w:rPr>
                      <w:rFonts w:ascii="TimesNewRoman" w:eastAsia="TimesNewRoman" w:hAnsi="TimesNewRoman" w:cs="TimesNewRoman"/>
                      <w:b w:val="0"/>
                      <w:i w:val="0"/>
                      <w:vanish w:val="0"/>
                      <w:color w:val="000000"/>
                      <w:sz w:val="16"/>
                      <w:vertAlign w:val="baseline"/>
                    </w:rPr>
                    <w:t>The project partnership is composed of Spain, Bulgaria, Estonia, Finland, France, the Netherlands, Lithuania, Latvia, Poland, Portugal, Romania, Sweden, Slovenia, Denmark, Iceland, Norway, Serbia, UK, USA, Frontex and Europol. The Pilot Project is meant to establish a European Operational Team (EOT) in the Spanish region ‘Costa del Sol’, to develop and implement a joint investigative and operational strategy against the main criminal organisations and related High Value Targets (HVTs) affecting the EU Member States from the region. The activity of the EOT will be primarily aimed at identifying, investigating and dismantling HVTs and related organised criminal networks. The selection of HVTs and the establishment of related Operational Task Force (OTF) will be carried out in accordance with Standard Operating Procedure developed jointly by the EU Member States and Europol.</w:t>
                  </w:r>
                </w:p>
              </w:tc>
            </w:tr>
            <w:tr>
              <w:tblPrEx>
                <w:tblW w:w="100%" w:type="pct"/>
              </w:tblPrEx>
              <w:trPr>
                <w:cantSplit w:val="0"/>
                <w:trHeight w:hRule="auto" w:val="0"/>
              </w:trPr>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NewRoman" w:eastAsia="TimesNewRoman" w:hAnsi="TimesNewRoman" w:cs="TimesNewRoman"/>
                      <w:b w:val="0"/>
                      <w:i w:val="0"/>
                      <w:vanish w:val="0"/>
                      <w:color w:val="000000"/>
                      <w:sz w:val="16"/>
                      <w:vertAlign w:val="baseline"/>
                    </w:rPr>
                  </w:pPr>
                  <w:r>
                    <w:rPr>
                      <w:rFonts w:ascii="TimesNewRoman" w:eastAsia="TimesNewRoman" w:hAnsi="TimesNewRoman" w:cs="TimesNewRoman"/>
                      <w:b w:val="0"/>
                      <w:i w:val="0"/>
                      <w:vanish w:val="0"/>
                      <w:color w:val="000000"/>
                      <w:sz w:val="16"/>
                      <w:vertAlign w:val="baseline"/>
                    </w:rPr>
                    <w:t>TA.36(5). Tehnična pomoč – pavšalna stopnja (člen 36(5) uredbe o skupnih določbah)</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NewRoman" w:eastAsia="TimesNewRoman" w:hAnsi="TimesNewRoman" w:cs="TimesNewRoman"/>
                      <w:b w:val="0"/>
                      <w:i w:val="0"/>
                      <w:vanish w:val="0"/>
                      <w:color w:val="000000"/>
                      <w:sz w:val="16"/>
                      <w:vertAlign w:val="baseline"/>
                    </w:rPr>
                  </w:pPr>
                  <w:r>
                    <w:rPr>
                      <w:rFonts w:ascii="TimesNewRoman" w:eastAsia="TimesNewRoman" w:hAnsi="TimesNewRoman" w:cs="TimesNewRoman"/>
                      <w:b w:val="0"/>
                      <w:i w:val="0"/>
                      <w:vanish w:val="0"/>
                      <w:color w:val="000000"/>
                      <w:sz w:val="16"/>
                      <w:vertAlign w:val="baseline"/>
                    </w:rPr>
                    <w:t xml:space="preserve"> </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NewRoman" w:eastAsia="TimesNewRoman" w:hAnsi="TimesNewRoman" w:cs="TimesNewRoman"/>
                      <w:b w:val="0"/>
                      <w:i w:val="0"/>
                      <w:vanish w:val="0"/>
                      <w:color w:val="000000"/>
                      <w:sz w:val="16"/>
                      <w:vertAlign w:val="baseline"/>
                    </w:rPr>
                  </w:pPr>
                  <w:r>
                    <w:rPr>
                      <w:rFonts w:ascii="TimesNewRoman" w:eastAsia="TimesNewRoman" w:hAnsi="TimesNewRoman" w:cs="TimesNewRoman"/>
                      <w:b w:val="0"/>
                      <w:i w:val="0"/>
                      <w:vanish w:val="0"/>
                      <w:color w:val="000000"/>
                      <w:sz w:val="16"/>
                      <w:vertAlign w:val="baseline"/>
                    </w:rPr>
                    <w:t xml:space="preserve"> </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NewRoman" w:eastAsia="TimesNewRoman" w:hAnsi="TimesNewRoman" w:cs="TimesNewRoman"/>
                      <w:b w:val="0"/>
                      <w:i w:val="0"/>
                      <w:vanish w:val="0"/>
                      <w:color w:val="000000"/>
                      <w:sz w:val="16"/>
                      <w:vertAlign w:val="baseline"/>
                    </w:rPr>
                  </w:pPr>
                  <w:r>
                    <w:rPr>
                      <w:rFonts w:ascii="TimesNewRoman" w:eastAsia="TimesNewRoman" w:hAnsi="TimesNewRoman" w:cs="TimesNewRoman"/>
                      <w:b w:val="0"/>
                      <w:i w:val="0"/>
                      <w:vanish w:val="0"/>
                      <w:color w:val="000000"/>
                      <w:sz w:val="16"/>
                      <w:vertAlign w:val="baseline"/>
                    </w:rPr>
                    <w:t>3.240,00</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NewRoman" w:eastAsia="TimesNewRoman" w:hAnsi="TimesNewRoman" w:cs="TimesNewRoman"/>
                      <w:b w:val="0"/>
                      <w:i w:val="0"/>
                      <w:vanish w:val="0"/>
                      <w:color w:val="000000"/>
                      <w:sz w:val="16"/>
                      <w:vertAlign w:val="baseline"/>
                    </w:rPr>
                  </w:pP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NewRoman" w:eastAsia="TimesNewRoman" w:hAnsi="TimesNewRoman" w:cs="TimesNewRoman"/>
                      <w:b w:val="0"/>
                      <w:i w:val="0"/>
                      <w:vanish w:val="0"/>
                      <w:color w:val="000000"/>
                      <w:sz w:val="16"/>
                      <w:vertAlign w:val="baseline"/>
                    </w:rPr>
                  </w:pPr>
                  <w:r>
                    <w:rPr>
                      <w:rFonts w:ascii="TimesNewRoman" w:eastAsia="TimesNewRoman" w:hAnsi="TimesNewRoman" w:cs="TimesNewRoman"/>
                      <w:b w:val="0"/>
                      <w:i w:val="0"/>
                      <w:vanish w:val="0"/>
                      <w:color w:val="000000"/>
                      <w:sz w:val="16"/>
                      <w:vertAlign w:val="baseline"/>
                    </w:rPr>
                    <w:t>TA</w:t>
                  </w:r>
                </w:p>
              </w:tc>
            </w:tr>
          </w:tbl>
          <w:p w:rsidR="00A77B3E">
            <w:pPr>
              <w:spacing w:before="100" w:after="0"/>
              <w:jc w:val="start"/>
              <w:rPr>
                <w:rFonts w:ascii="TimesNewRoman" w:eastAsia="TimesNewRoman" w:hAnsi="TimesNewRoman" w:cs="TimesNewRoman"/>
                <w:b w:val="0"/>
                <w:i w:val="0"/>
                <w:vanish w:val="0"/>
                <w:color w:val="000000"/>
                <w:sz w:val="16"/>
                <w:vertAlign w:val="baseline"/>
              </w:rPr>
            </w:pPr>
          </w:p>
        </w:tc>
      </w:tr>
    </w:tbl>
    <w:p w:rsidR="00A77B3E">
      <w:pPr>
        <w:spacing w:before="100" w:after="0"/>
        <w:jc w:val="start"/>
        <w:rPr>
          <w:rFonts w:ascii="TimesNewRoman" w:eastAsia="TimesNewRoman" w:hAnsi="TimesNewRoman" w:cs="TimesNewRoman"/>
          <w:b w:val="0"/>
          <w:i w:val="0"/>
          <w:vanish w:val="0"/>
          <w:color w:val="000000"/>
          <w:sz w:val="16"/>
          <w:vertAlign w:val="baseline"/>
        </w:rPr>
      </w:pPr>
    </w:p>
    <w:p w:rsidR="00A77B3E">
      <w:pPr>
        <w:spacing w:before="100" w:after="0"/>
        <w:jc w:val="start"/>
        <w:rPr>
          <w:rFonts w:ascii="TimesNewRoman" w:eastAsia="TimesNewRoman" w:hAnsi="TimesNewRoman" w:cs="TimesNewRoman"/>
          <w:b w:val="0"/>
          <w:i w:val="0"/>
          <w:vanish w:val="0"/>
          <w:color w:val="000000"/>
          <w:sz w:val="16"/>
          <w:vertAlign w:val="baseline"/>
        </w:rPr>
        <w:sectPr>
          <w:headerReference w:type="even" r:id="rId100"/>
          <w:headerReference w:type="default" r:id="rId101"/>
          <w:footerReference w:type="even" r:id="rId102"/>
          <w:footerReference w:type="default" r:id="rId103"/>
          <w:headerReference w:type="first" r:id="rId104"/>
          <w:footerReference w:type="first" r:id="rId105"/>
          <w:type w:val="nextPage"/>
          <w:pgSz w:w="16838" w:h="11906" w:orient="landscape"/>
          <w:pgMar w:top="720" w:right="720" w:bottom="864" w:left="936" w:header="288" w:footer="72" w:gutter="0"/>
          <w:cols w:space="720"/>
          <w:noEndnote/>
          <w:docGrid w:linePitch="360"/>
        </w:sectPr>
      </w:pPr>
    </w:p>
    <w:p w:rsidR="00A77B3E">
      <w:pPr>
        <w:pStyle w:val="Heading1"/>
        <w:spacing w:before="100" w:after="0"/>
        <w:jc w:val="start"/>
        <w:rPr>
          <w:rFonts w:ascii="TimesNewRoman" w:eastAsia="TimesNewRoman" w:hAnsi="TimesNewRoman" w:cs="TimesNewRoman"/>
          <w:b w:val="0"/>
          <w:i w:val="0"/>
          <w:vanish w:val="0"/>
          <w:color w:val="000000"/>
          <w:sz w:val="24"/>
          <w:vertAlign w:val="baseline"/>
        </w:rPr>
      </w:pPr>
      <w:bookmarkStart w:id="54" w:name="_Toc256000109"/>
      <w:r>
        <w:rPr>
          <w:rFonts w:ascii="TimesNewRoman" w:eastAsia="TimesNewRoman" w:hAnsi="TimesNewRoman" w:cs="TimesNewRoman"/>
          <w:b w:val="0"/>
          <w:i w:val="0"/>
          <w:vanish w:val="0"/>
          <w:color w:val="000000"/>
          <w:sz w:val="24"/>
          <w:vertAlign w:val="baseline"/>
        </w:rPr>
        <w:t>DOKUMENTI</w:t>
      </w:r>
      <w:bookmarkEnd w:id="54"/>
    </w:p>
    <w:p w:rsidR="00A77B3E">
      <w:pPr>
        <w:spacing w:before="100" w:after="0"/>
        <w:jc w:val="start"/>
        <w:rPr>
          <w:rFonts w:ascii="TimesNewRoman" w:eastAsia="TimesNewRoman" w:hAnsi="TimesNewRoman" w:cs="TimesNewRoman"/>
          <w:b w:val="0"/>
          <w:i w:val="0"/>
          <w:vanish w:val="0"/>
          <w:color w:val="000000"/>
          <w:sz w:val="12"/>
          <w:vertAlign w:val="baseline"/>
        </w:rPr>
      </w:pPr>
    </w:p>
    <w:tbl>
      <w:tblPr>
        <w:tblW w:w="100%" w:type="pct"/>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CellMar>
          <w:start w:w="5.4pt" w:type="dxa"/>
          <w:end w:w="5.4pt" w:type="dxa"/>
        </w:tblCellMar>
      </w:tblPr>
      <w:tblGrid>
        <w:gridCol w:w="1782"/>
        <w:gridCol w:w="1782"/>
        <w:gridCol w:w="1114"/>
        <w:gridCol w:w="1782"/>
        <w:gridCol w:w="1782"/>
        <w:gridCol w:w="4164"/>
        <w:gridCol w:w="1114"/>
        <w:gridCol w:w="1782"/>
      </w:tblGrid>
      <w:tr>
        <w:tblPrEx>
          <w:tblW w:w="100%" w:type="pct"/>
        </w:tblPrEx>
        <w:trPr>
          <w:cantSplit w:val="0"/>
          <w:trHeight w:val="240"/>
          <w:tblHeader/>
        </w:trPr>
        <w:tc>
          <w:tcPr>
            <w:tcW w:w="80pt" w:type="dxa"/>
            <w:tcBorders>
              <w:top w:val="single" w:sz="4" w:space="0" w:color="000000"/>
              <w:start w:val="single" w:sz="4" w:space="0" w:color="000000"/>
              <w:bottom w:val="single" w:sz="4" w:space="0" w:color="000000"/>
              <w:end w:val="single" w:sz="4" w:space="0" w:color="000000"/>
            </w:tcBorders>
            <w:tcMar>
              <w:top w:w="0pt" w:type="dxa"/>
              <w:start w:w="3pt" w:type="dxa"/>
              <w:bottom w:w="5pt" w:type="dxa"/>
              <w:end w:w="3pt" w:type="dxa"/>
            </w:tcMar>
            <w:vAlign w:val="top"/>
          </w:tcPr>
          <w:p w:rsidR="00A77B3E">
            <w:pPr>
              <w:spacing w:before="100" w:after="0"/>
              <w:jc w:val="center"/>
              <w:rPr>
                <w:rFonts w:ascii="Times New Roman" w:eastAsia="Times New Roman" w:hAnsi="Times New Roman" w:cs="Times New Roman"/>
                <w:b w:val="0"/>
                <w:i w:val="0"/>
                <w:vanish w:val="0"/>
                <w:color w:val="000000"/>
                <w:sz w:val="16"/>
                <w:vertAlign w:val="baseline"/>
              </w:rPr>
            </w:pPr>
            <w:r>
              <w:rPr>
                <w:rFonts w:ascii="Times New Roman" w:eastAsia="Times New Roman" w:hAnsi="Times New Roman" w:cs="Times New Roman"/>
                <w:b w:val="0"/>
                <w:i w:val="0"/>
                <w:vanish w:val="0"/>
                <w:color w:val="000000"/>
                <w:sz w:val="16"/>
                <w:vertAlign w:val="baseline"/>
              </w:rPr>
              <w:t>Naslov dokumenta</w:t>
            </w:r>
          </w:p>
        </w:tc>
        <w:tc>
          <w:tcPr>
            <w:tcW w:w="80pt" w:type="dxa"/>
            <w:tcBorders>
              <w:top w:val="single" w:sz="4" w:space="0" w:color="000000"/>
              <w:start w:val="single" w:sz="4" w:space="0" w:color="000000"/>
              <w:bottom w:val="single" w:sz="4" w:space="0" w:color="000000"/>
              <w:end w:val="single" w:sz="4" w:space="0" w:color="000000"/>
            </w:tcBorders>
            <w:tcMar>
              <w:top w:w="0pt" w:type="dxa"/>
              <w:start w:w="3pt" w:type="dxa"/>
              <w:bottom w:w="5pt" w:type="dxa"/>
              <w:end w:w="3pt" w:type="dxa"/>
            </w:tcMar>
            <w:vAlign w:val="top"/>
          </w:tcPr>
          <w:p w:rsidR="00A77B3E">
            <w:pPr>
              <w:spacing w:before="100" w:after="0"/>
              <w:jc w:val="center"/>
              <w:rPr>
                <w:rFonts w:ascii="Times New Roman" w:eastAsia="Times New Roman" w:hAnsi="Times New Roman" w:cs="Times New Roman"/>
                <w:b w:val="0"/>
                <w:i w:val="0"/>
                <w:vanish w:val="0"/>
                <w:color w:val="000000"/>
                <w:sz w:val="16"/>
                <w:vertAlign w:val="baseline"/>
              </w:rPr>
            </w:pPr>
            <w:r>
              <w:rPr>
                <w:rFonts w:ascii="Times New Roman" w:eastAsia="Times New Roman" w:hAnsi="Times New Roman" w:cs="Times New Roman"/>
                <w:b w:val="0"/>
                <w:i w:val="0"/>
                <w:vanish w:val="0"/>
                <w:color w:val="000000"/>
                <w:sz w:val="16"/>
                <w:vertAlign w:val="baseline"/>
              </w:rPr>
              <w:t>Vrsta dokumenta</w:t>
            </w:r>
          </w:p>
        </w:tc>
        <w:tc>
          <w:tcPr>
            <w:tcW w:w="50pt" w:type="dxa"/>
            <w:tcBorders>
              <w:top w:val="single" w:sz="4" w:space="0" w:color="000000"/>
              <w:start w:val="single" w:sz="4" w:space="0" w:color="000000"/>
              <w:bottom w:val="single" w:sz="4" w:space="0" w:color="000000"/>
              <w:end w:val="single" w:sz="4" w:space="0" w:color="000000"/>
            </w:tcBorders>
            <w:tcMar>
              <w:top w:w="0pt" w:type="dxa"/>
              <w:start w:w="3pt" w:type="dxa"/>
              <w:bottom w:w="5pt" w:type="dxa"/>
              <w:end w:w="3pt" w:type="dxa"/>
            </w:tcMar>
            <w:vAlign w:val="top"/>
          </w:tcPr>
          <w:p w:rsidR="00A77B3E">
            <w:pPr>
              <w:spacing w:before="100" w:after="0"/>
              <w:jc w:val="center"/>
              <w:rPr>
                <w:rFonts w:ascii="Times New Roman" w:eastAsia="Times New Roman" w:hAnsi="Times New Roman" w:cs="Times New Roman"/>
                <w:b w:val="0"/>
                <w:i w:val="0"/>
                <w:vanish w:val="0"/>
                <w:color w:val="000000"/>
                <w:sz w:val="16"/>
                <w:vertAlign w:val="baseline"/>
              </w:rPr>
            </w:pPr>
            <w:r>
              <w:rPr>
                <w:rFonts w:ascii="Times New Roman" w:eastAsia="Times New Roman" w:hAnsi="Times New Roman" w:cs="Times New Roman"/>
                <w:b w:val="0"/>
                <w:i w:val="0"/>
                <w:vanish w:val="0"/>
                <w:color w:val="000000"/>
                <w:sz w:val="16"/>
                <w:vertAlign w:val="baseline"/>
              </w:rPr>
              <w:t>Datum dokumenta</w:t>
            </w:r>
          </w:p>
        </w:tc>
        <w:tc>
          <w:tcPr>
            <w:tcW w:w="80pt" w:type="dxa"/>
            <w:tcBorders>
              <w:top w:val="single" w:sz="4" w:space="0" w:color="000000"/>
              <w:start w:val="single" w:sz="4" w:space="0" w:color="000000"/>
              <w:bottom w:val="single" w:sz="4" w:space="0" w:color="000000"/>
              <w:end w:val="single" w:sz="4" w:space="0" w:color="000000"/>
            </w:tcBorders>
            <w:tcMar>
              <w:top w:w="0pt" w:type="dxa"/>
              <w:start w:w="3pt" w:type="dxa"/>
              <w:bottom w:w="5pt" w:type="dxa"/>
              <w:end w:w="3pt" w:type="dxa"/>
            </w:tcMar>
            <w:vAlign w:val="top"/>
          </w:tcPr>
          <w:p w:rsidR="00A77B3E">
            <w:pPr>
              <w:spacing w:before="100" w:after="0"/>
              <w:jc w:val="center"/>
              <w:rPr>
                <w:rFonts w:ascii="Times New Roman" w:eastAsia="Times New Roman" w:hAnsi="Times New Roman" w:cs="Times New Roman"/>
                <w:b w:val="0"/>
                <w:i w:val="0"/>
                <w:vanish w:val="0"/>
                <w:color w:val="000000"/>
                <w:sz w:val="16"/>
                <w:vertAlign w:val="baseline"/>
              </w:rPr>
            </w:pPr>
            <w:r>
              <w:rPr>
                <w:rFonts w:ascii="Times New Roman" w:eastAsia="Times New Roman" w:hAnsi="Times New Roman" w:cs="Times New Roman"/>
                <w:b w:val="0"/>
                <w:i w:val="0"/>
                <w:vanish w:val="0"/>
                <w:color w:val="000000"/>
                <w:sz w:val="16"/>
                <w:vertAlign w:val="baseline"/>
              </w:rPr>
              <w:t>Lokalna referenca</w:t>
            </w:r>
          </w:p>
        </w:tc>
        <w:tc>
          <w:tcPr>
            <w:tcW w:w="80pt" w:type="dxa"/>
            <w:tcBorders>
              <w:top w:val="single" w:sz="4" w:space="0" w:color="000000"/>
              <w:start w:val="single" w:sz="4" w:space="0" w:color="000000"/>
              <w:bottom w:val="single" w:sz="4" w:space="0" w:color="000000"/>
              <w:end w:val="single" w:sz="4" w:space="0" w:color="000000"/>
            </w:tcBorders>
            <w:tcMar>
              <w:top w:w="0pt" w:type="dxa"/>
              <w:start w:w="3pt" w:type="dxa"/>
              <w:bottom w:w="5pt" w:type="dxa"/>
              <w:end w:w="3pt" w:type="dxa"/>
            </w:tcMar>
            <w:vAlign w:val="top"/>
          </w:tcPr>
          <w:p w:rsidR="00A77B3E">
            <w:pPr>
              <w:spacing w:before="100" w:after="0"/>
              <w:jc w:val="center"/>
              <w:rPr>
                <w:rFonts w:ascii="Times New Roman" w:eastAsia="Times New Roman" w:hAnsi="Times New Roman" w:cs="Times New Roman"/>
                <w:b w:val="0"/>
                <w:i w:val="0"/>
                <w:vanish w:val="0"/>
                <w:color w:val="000000"/>
                <w:sz w:val="16"/>
                <w:vertAlign w:val="baseline"/>
              </w:rPr>
            </w:pPr>
            <w:r>
              <w:rPr>
                <w:rFonts w:ascii="Times New Roman" w:eastAsia="Times New Roman" w:hAnsi="Times New Roman" w:cs="Times New Roman"/>
                <w:b w:val="0"/>
                <w:i w:val="0"/>
                <w:vanish w:val="0"/>
                <w:color w:val="000000"/>
                <w:sz w:val="16"/>
                <w:vertAlign w:val="baseline"/>
              </w:rPr>
              <w:t>Referenčna oznaka Komisije</w:t>
            </w:r>
          </w:p>
        </w:tc>
        <w:tc>
          <w:tcPr>
            <w:tcW w:w="80pt" w:type="dxa"/>
            <w:tcBorders>
              <w:top w:val="single" w:sz="4" w:space="0" w:color="000000"/>
              <w:start w:val="single" w:sz="4" w:space="0" w:color="000000"/>
              <w:bottom w:val="single" w:sz="4" w:space="0" w:color="000000"/>
              <w:end w:val="single" w:sz="4" w:space="0" w:color="000000"/>
            </w:tcBorders>
            <w:tcMar>
              <w:top w:w="0pt" w:type="dxa"/>
              <w:start w:w="3pt" w:type="dxa"/>
              <w:bottom w:w="5pt" w:type="dxa"/>
              <w:end w:w="3pt" w:type="dxa"/>
            </w:tcMar>
            <w:vAlign w:val="top"/>
          </w:tcPr>
          <w:p w:rsidR="00A77B3E">
            <w:pPr>
              <w:spacing w:before="100" w:after="0"/>
              <w:jc w:val="center"/>
              <w:rPr>
                <w:rFonts w:ascii="Times New Roman" w:eastAsia="Times New Roman" w:hAnsi="Times New Roman" w:cs="Times New Roman"/>
                <w:b w:val="0"/>
                <w:i w:val="0"/>
                <w:vanish w:val="0"/>
                <w:color w:val="000000"/>
                <w:sz w:val="16"/>
                <w:vertAlign w:val="baseline"/>
              </w:rPr>
            </w:pPr>
            <w:r>
              <w:rPr>
                <w:rFonts w:ascii="Times New Roman" w:eastAsia="Times New Roman" w:hAnsi="Times New Roman" w:cs="Times New Roman"/>
                <w:b w:val="0"/>
                <w:i w:val="0"/>
                <w:vanish w:val="0"/>
                <w:color w:val="000000"/>
                <w:sz w:val="16"/>
                <w:vertAlign w:val="baseline"/>
              </w:rPr>
              <w:t>Datoteke</w:t>
            </w:r>
          </w:p>
        </w:tc>
        <w:tc>
          <w:tcPr>
            <w:tcW w:w="50pt" w:type="dxa"/>
            <w:tcBorders>
              <w:top w:val="single" w:sz="4" w:space="0" w:color="000000"/>
              <w:start w:val="single" w:sz="4" w:space="0" w:color="000000"/>
              <w:bottom w:val="single" w:sz="4" w:space="0" w:color="000000"/>
              <w:end w:val="single" w:sz="4" w:space="0" w:color="000000"/>
            </w:tcBorders>
            <w:tcMar>
              <w:top w:w="0pt" w:type="dxa"/>
              <w:start w:w="3pt" w:type="dxa"/>
              <w:bottom w:w="5pt" w:type="dxa"/>
              <w:end w:w="3pt" w:type="dxa"/>
            </w:tcMar>
            <w:vAlign w:val="top"/>
          </w:tcPr>
          <w:p w:rsidR="00A77B3E">
            <w:pPr>
              <w:spacing w:before="100" w:after="0"/>
              <w:jc w:val="center"/>
              <w:rPr>
                <w:rFonts w:ascii="Times New Roman" w:eastAsia="Times New Roman" w:hAnsi="Times New Roman" w:cs="Times New Roman"/>
                <w:b w:val="0"/>
                <w:i w:val="0"/>
                <w:vanish w:val="0"/>
                <w:color w:val="000000"/>
                <w:sz w:val="16"/>
                <w:vertAlign w:val="baseline"/>
              </w:rPr>
            </w:pPr>
            <w:r>
              <w:rPr>
                <w:rFonts w:ascii="Times New Roman" w:eastAsia="Times New Roman" w:hAnsi="Times New Roman" w:cs="Times New Roman"/>
                <w:b w:val="0"/>
                <w:i w:val="0"/>
                <w:vanish w:val="0"/>
                <w:color w:val="000000"/>
                <w:sz w:val="16"/>
                <w:vertAlign w:val="baseline"/>
              </w:rPr>
              <w:t>Datum pošiljanja</w:t>
            </w:r>
          </w:p>
        </w:tc>
        <w:tc>
          <w:tcPr>
            <w:tcW w:w="80pt" w:type="dxa"/>
            <w:tcBorders>
              <w:top w:val="single" w:sz="4" w:space="0" w:color="000000"/>
              <w:start w:val="single" w:sz="4" w:space="0" w:color="000000"/>
              <w:bottom w:val="single" w:sz="4" w:space="0" w:color="000000"/>
              <w:end w:val="single" w:sz="4" w:space="0" w:color="000000"/>
            </w:tcBorders>
            <w:tcMar>
              <w:top w:w="0pt" w:type="dxa"/>
              <w:start w:w="3pt" w:type="dxa"/>
              <w:bottom w:w="5pt" w:type="dxa"/>
              <w:end w:w="3pt" w:type="dxa"/>
            </w:tcMar>
            <w:vAlign w:val="top"/>
          </w:tcPr>
          <w:p w:rsidR="00A77B3E">
            <w:pPr>
              <w:spacing w:before="100" w:after="0"/>
              <w:jc w:val="center"/>
              <w:rPr>
                <w:rFonts w:ascii="Times New Roman" w:eastAsia="Times New Roman" w:hAnsi="Times New Roman" w:cs="Times New Roman"/>
                <w:b w:val="0"/>
                <w:i w:val="0"/>
                <w:vanish w:val="0"/>
                <w:color w:val="000000"/>
                <w:sz w:val="16"/>
                <w:vertAlign w:val="baseline"/>
              </w:rPr>
            </w:pPr>
            <w:r>
              <w:rPr>
                <w:rFonts w:ascii="Times New Roman" w:eastAsia="Times New Roman" w:hAnsi="Times New Roman" w:cs="Times New Roman"/>
                <w:b w:val="0"/>
                <w:i w:val="0"/>
                <w:vanish w:val="0"/>
                <w:color w:val="000000"/>
                <w:sz w:val="16"/>
                <w:vertAlign w:val="baseline"/>
              </w:rPr>
              <w:t>Poslal</w:t>
            </w:r>
          </w:p>
        </w:tc>
      </w:tr>
      <w:tr>
        <w:tblPrEx>
          <w:tblW w:w="100%" w:type="pct"/>
        </w:tblPrEx>
        <w:trPr>
          <w:cantSplit w:val="0"/>
          <w:trHeight w:val="240"/>
          <w:tblHeader w:val="0"/>
        </w:trPr>
        <w:tc>
          <w:tcPr>
            <w:tcW w:w="80pt" w:type="dxa"/>
            <w:tcBorders>
              <w:top w:val="single" w:sz="4" w:space="0" w:color="000000"/>
              <w:start w:val="single" w:sz="4" w:space="0" w:color="000000"/>
              <w:bottom w:val="single" w:sz="4" w:space="0" w:color="000000"/>
              <w:end w:val="single" w:sz="4" w:space="0" w:color="000000"/>
            </w:tcBorders>
            <w:tcMar>
              <w:top w:w="0pt" w:type="dxa"/>
              <w:start w:w="3pt" w:type="dxa"/>
              <w:bottom w:w="5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6"/>
                <w:vertAlign w:val="baseline"/>
              </w:rPr>
            </w:pPr>
            <w:r>
              <w:rPr>
                <w:rFonts w:ascii="Times New Roman" w:eastAsia="Times New Roman" w:hAnsi="Times New Roman" w:cs="Times New Roman"/>
                <w:b w:val="0"/>
                <w:i w:val="0"/>
                <w:vanish w:val="0"/>
                <w:color w:val="000000"/>
                <w:sz w:val="16"/>
                <w:vertAlign w:val="baseline"/>
              </w:rPr>
              <w:t>Programme snapshot 2021SI65ISPR001 2.0</w:t>
            </w:r>
          </w:p>
        </w:tc>
        <w:tc>
          <w:tcPr>
            <w:tcW w:w="80pt" w:type="dxa"/>
            <w:tcBorders>
              <w:top w:val="single" w:sz="4" w:space="0" w:color="000000"/>
              <w:start w:val="single" w:sz="4" w:space="0" w:color="000000"/>
              <w:bottom w:val="single" w:sz="4" w:space="0" w:color="000000"/>
              <w:end w:val="single" w:sz="4" w:space="0" w:color="000000"/>
            </w:tcBorders>
            <w:tcMar>
              <w:top w:w="0pt" w:type="dxa"/>
              <w:start w:w="3pt" w:type="dxa"/>
              <w:bottom w:w="5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6"/>
                <w:vertAlign w:val="baseline"/>
              </w:rPr>
            </w:pPr>
            <w:r>
              <w:rPr>
                <w:rFonts w:ascii="Times New Roman" w:eastAsia="Times New Roman" w:hAnsi="Times New Roman" w:cs="Times New Roman"/>
                <w:b w:val="0"/>
                <w:i w:val="0"/>
                <w:vanish w:val="0"/>
                <w:color w:val="000000"/>
                <w:sz w:val="16"/>
                <w:vertAlign w:val="baseline"/>
              </w:rPr>
              <w:t>Posnetek podatkov pred pošiljanjem</w:t>
            </w:r>
          </w:p>
        </w:tc>
        <w:tc>
          <w:tcPr>
            <w:tcW w:w="50pt" w:type="dxa"/>
            <w:tcBorders>
              <w:top w:val="single" w:sz="4" w:space="0" w:color="000000"/>
              <w:start w:val="single" w:sz="4" w:space="0" w:color="000000"/>
              <w:bottom w:val="single" w:sz="4" w:space="0" w:color="000000"/>
              <w:end w:val="single" w:sz="4" w:space="0" w:color="000000"/>
            </w:tcBorders>
            <w:tcMar>
              <w:top w:w="0pt" w:type="dxa"/>
              <w:start w:w="3pt" w:type="dxa"/>
              <w:bottom w:w="5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6"/>
                <w:vertAlign w:val="baseline"/>
              </w:rPr>
            </w:pPr>
            <w:r>
              <w:rPr>
                <w:rFonts w:ascii="Times New Roman" w:eastAsia="Times New Roman" w:hAnsi="Times New Roman" w:cs="Times New Roman"/>
                <w:b w:val="0"/>
                <w:i w:val="0"/>
                <w:vanish w:val="0"/>
                <w:color w:val="000000"/>
                <w:sz w:val="16"/>
                <w:vertAlign w:val="baseline"/>
              </w:rPr>
              <w:t>9. sep. 2024</w:t>
            </w:r>
          </w:p>
        </w:tc>
        <w:tc>
          <w:tcPr>
            <w:tcW w:w="80pt" w:type="dxa"/>
            <w:tcBorders>
              <w:top w:val="single" w:sz="4" w:space="0" w:color="000000"/>
              <w:start w:val="single" w:sz="4" w:space="0" w:color="000000"/>
              <w:bottom w:val="single" w:sz="4" w:space="0" w:color="000000"/>
              <w:end w:val="single" w:sz="4" w:space="0" w:color="000000"/>
            </w:tcBorders>
            <w:tcMar>
              <w:top w:w="0pt" w:type="dxa"/>
              <w:start w:w="3pt" w:type="dxa"/>
              <w:bottom w:w="5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6"/>
                <w:vertAlign w:val="baseline"/>
              </w:rPr>
            </w:pPr>
          </w:p>
        </w:tc>
        <w:tc>
          <w:tcPr>
            <w:tcW w:w="80pt" w:type="dxa"/>
            <w:tcBorders>
              <w:top w:val="single" w:sz="4" w:space="0" w:color="000000"/>
              <w:start w:val="single" w:sz="4" w:space="0" w:color="000000"/>
              <w:bottom w:val="single" w:sz="4" w:space="0" w:color="000000"/>
              <w:end w:val="single" w:sz="4" w:space="0" w:color="000000"/>
            </w:tcBorders>
            <w:tcMar>
              <w:top w:w="0pt" w:type="dxa"/>
              <w:start w:w="3pt" w:type="dxa"/>
              <w:bottom w:w="5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6"/>
                <w:vertAlign w:val="baseline"/>
              </w:rPr>
            </w:pPr>
            <w:r>
              <w:rPr>
                <w:rFonts w:ascii="Times New Roman" w:eastAsia="Times New Roman" w:hAnsi="Times New Roman" w:cs="Times New Roman"/>
                <w:b w:val="0"/>
                <w:i w:val="0"/>
                <w:vanish w:val="0"/>
                <w:color w:val="000000"/>
                <w:sz w:val="16"/>
                <w:vertAlign w:val="baseline"/>
              </w:rPr>
              <w:t>Ares(2024)6367236</w:t>
            </w:r>
          </w:p>
        </w:tc>
        <w:tc>
          <w:tcPr>
            <w:tcW w:w="80pt" w:type="dxa"/>
            <w:tcBorders>
              <w:top w:val="single" w:sz="4" w:space="0" w:color="000000"/>
              <w:start w:val="single" w:sz="4" w:space="0" w:color="000000"/>
              <w:bottom w:val="single" w:sz="4" w:space="0" w:color="000000"/>
              <w:end w:val="single" w:sz="4" w:space="0" w:color="000000"/>
            </w:tcBorders>
            <w:tcMar>
              <w:top w:w="0pt" w:type="dxa"/>
              <w:start w:w="3pt" w:type="dxa"/>
              <w:bottom w:w="5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6"/>
                <w:vertAlign w:val="baseline"/>
              </w:rPr>
            </w:pPr>
            <w:r>
              <w:rPr>
                <w:rFonts w:ascii="Times New Roman" w:eastAsia="Times New Roman" w:hAnsi="Times New Roman" w:cs="Times New Roman"/>
                <w:b w:val="0"/>
                <w:i w:val="0"/>
                <w:vanish w:val="0"/>
                <w:color w:val="000000"/>
                <w:sz w:val="16"/>
                <w:vertAlign w:val="baseline"/>
              </w:rPr>
              <w:t>Programme_snapshot_2021SI65ISPR001_2.0_sl_en.pdf</w:t>
            </w:r>
            <w:r>
              <w:rPr>
                <w:rFonts w:ascii="Times New Roman" w:eastAsia="Times New Roman" w:hAnsi="Times New Roman" w:cs="Times New Roman"/>
                <w:b w:val="0"/>
                <w:i w:val="0"/>
                <w:vanish w:val="0"/>
                <w:color w:val="000000"/>
                <w:sz w:val="16"/>
                <w:vertAlign w:val="baseline"/>
              </w:rPr>
              <w:br/>
            </w:r>
            <w:r>
              <w:rPr>
                <w:rFonts w:ascii="Times New Roman" w:eastAsia="Times New Roman" w:hAnsi="Times New Roman" w:cs="Times New Roman"/>
                <w:b w:val="0"/>
                <w:i w:val="0"/>
                <w:vanish w:val="0"/>
                <w:color w:val="000000"/>
                <w:sz w:val="16"/>
                <w:vertAlign w:val="baseline"/>
              </w:rPr>
              <w:t>Programme_snapshot_2021SI65ISPR001_2.0_sl.pdf</w:t>
            </w:r>
            <w:r>
              <w:rPr>
                <w:rFonts w:ascii="Times New Roman" w:eastAsia="Times New Roman" w:hAnsi="Times New Roman" w:cs="Times New Roman"/>
                <w:b w:val="0"/>
                <w:i w:val="0"/>
                <w:vanish w:val="0"/>
                <w:color w:val="000000"/>
                <w:sz w:val="16"/>
                <w:vertAlign w:val="baseline"/>
              </w:rPr>
              <w:br/>
            </w:r>
            <w:r>
              <w:rPr>
                <w:rFonts w:ascii="Times New Roman" w:eastAsia="Times New Roman" w:hAnsi="Times New Roman" w:cs="Times New Roman"/>
                <w:b w:val="0"/>
                <w:i w:val="0"/>
                <w:vanish w:val="0"/>
                <w:color w:val="000000"/>
                <w:sz w:val="16"/>
                <w:vertAlign w:val="baseline"/>
              </w:rPr>
              <w:t>Programme_snapshot_2021SI65ISPR001_2.0_en.pdf</w:t>
            </w:r>
          </w:p>
        </w:tc>
        <w:tc>
          <w:tcPr>
            <w:tcW w:w="50pt" w:type="dxa"/>
            <w:tcBorders>
              <w:top w:val="single" w:sz="4" w:space="0" w:color="000000"/>
              <w:start w:val="single" w:sz="4" w:space="0" w:color="000000"/>
              <w:bottom w:val="single" w:sz="4" w:space="0" w:color="000000"/>
              <w:end w:val="single" w:sz="4" w:space="0" w:color="000000"/>
            </w:tcBorders>
            <w:tcMar>
              <w:top w:w="0pt" w:type="dxa"/>
              <w:start w:w="3pt" w:type="dxa"/>
              <w:bottom w:w="5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6"/>
                <w:vertAlign w:val="baseline"/>
              </w:rPr>
            </w:pPr>
            <w:r>
              <w:rPr>
                <w:rFonts w:ascii="Times New Roman" w:eastAsia="Times New Roman" w:hAnsi="Times New Roman" w:cs="Times New Roman"/>
                <w:b w:val="0"/>
                <w:i w:val="0"/>
                <w:vanish w:val="0"/>
                <w:color w:val="000000"/>
                <w:sz w:val="16"/>
                <w:vertAlign w:val="baseline"/>
              </w:rPr>
              <w:t>9. sep. 2024</w:t>
            </w:r>
          </w:p>
        </w:tc>
        <w:tc>
          <w:tcPr>
            <w:tcW w:w="80pt" w:type="dxa"/>
            <w:tcBorders>
              <w:top w:val="single" w:sz="4" w:space="0" w:color="000000"/>
              <w:start w:val="single" w:sz="4" w:space="0" w:color="000000"/>
              <w:bottom w:val="single" w:sz="4" w:space="0" w:color="000000"/>
              <w:end w:val="single" w:sz="4" w:space="0" w:color="000000"/>
            </w:tcBorders>
            <w:tcMar>
              <w:top w:w="0pt" w:type="dxa"/>
              <w:start w:w="3pt" w:type="dxa"/>
              <w:bottom w:w="5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6"/>
                <w:vertAlign w:val="baseline"/>
              </w:rPr>
            </w:pPr>
            <w:r>
              <w:rPr>
                <w:rFonts w:ascii="Times New Roman" w:eastAsia="Times New Roman" w:hAnsi="Times New Roman" w:cs="Times New Roman"/>
                <w:b w:val="0"/>
                <w:i w:val="0"/>
                <w:vanish w:val="0"/>
                <w:color w:val="000000"/>
                <w:sz w:val="16"/>
                <w:vertAlign w:val="baseline"/>
              </w:rPr>
              <w:t>KERN, Erik</w:t>
            </w:r>
          </w:p>
        </w:tc>
      </w:tr>
    </w:tbl>
    <w:p w:rsidR="00A77B3E">
      <w:pPr>
        <w:spacing w:before="100" w:after="0"/>
        <w:jc w:val="center"/>
        <w:rPr>
          <w:rFonts w:ascii="Times New Roman" w:eastAsia="Times New Roman" w:hAnsi="Times New Roman" w:cs="Times New Roman"/>
          <w:b w:val="0"/>
          <w:i w:val="0"/>
          <w:vanish w:val="0"/>
          <w:color w:val="000000"/>
          <w:sz w:val="16"/>
          <w:vertAlign w:val="baseline"/>
        </w:rPr>
      </w:pPr>
    </w:p>
    <w:sectPr>
      <w:headerReference w:type="even" r:id="rId106"/>
      <w:headerReference w:type="default" r:id="rId107"/>
      <w:footerReference w:type="even" r:id="rId108"/>
      <w:footerReference w:type="default" r:id="rId109"/>
      <w:headerReference w:type="first" r:id="rId110"/>
      <w:footerReference w:type="first" r:id="rId111"/>
      <w:type w:val="nextPage"/>
      <w:pgSz w:w="16838" w:h="11906" w:orient="landscape"/>
      <w:pgMar w:top="720" w:right="720" w:bottom="864" w:left="936" w:header="288" w:footer="72" w:gutter="0"/>
      <w:cols w:space="720"/>
      <w:noEndnote/>
      <w:docGrid w:linePitch="360"/>
    </w:sectPr>
  </w:body>
</w:document>
</file>

<file path=word/fontTable.xml><?xml version="1.0" encoding="utf-8"?>
<w:fonts xmlns:mc="http://schemas.openxmlformats.org/markup-compatibility/2006" xmlns:r="http://purl.oclc.org/ooxml/officeDocument/relationships" xmlns:w="http://purl.oclc.org/ooxml/wordprocessingml/main" xmlns:w14="http://schemas.microsoft.com/office/word/2010/wordml" xmlns:w15="http://schemas.microsoft.com/office/word/2012/wordml" mc:Ignorable="w14 w15">
  <w:font w:name="Times New Roman">
    <w:panose1 w:val="02020603050405020304"/>
    <w:charset w:characterSet="windows-1251"/>
    <w:family w:val="roman"/>
    <w:pitch w:val="variable"/>
    <w:sig w:usb0="20007A87" w:usb1="80000000" w:usb2="00000008" w:usb3="00000000" w:csb0="000001FF" w:csb1="00000000"/>
  </w:font>
  <w:font w:name="Symbol">
    <w:panose1 w:val="05050102010706020507"/>
    <w:family w:val="roman"/>
    <w:pitch w:val="variable"/>
    <w:sig w:usb0="00000000" w:usb1="10000000" w:usb2="00000000" w:usb3="00000000" w:csb0="80000000" w:csb1="00000000"/>
  </w:font>
  <w:font w:name="Arial">
    <w:panose1 w:val="020B0604020202020204"/>
    <w:charset w:characterSet="windows-1251"/>
    <w:family w:val="swiss"/>
    <w:pitch w:val="variable"/>
    <w:sig w:usb0="20007A87" w:usb1="80000000" w:usb2="00000008"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tbl>
    <w:tblPr>
      <w:tblW w:w="100%" w:type="pct"/>
      <w:tblCellMar>
        <w:start w:w="5.4pt" w:type="dxa"/>
        <w:end w:w="5.4pt" w:type="dxa"/>
      </w:tblCellMar>
    </w:tblPr>
    <w:tblGrid>
      <w:gridCol w:w="5661"/>
      <w:gridCol w:w="3980"/>
      <w:gridCol w:w="5661"/>
    </w:tblGrid>
    <w:tr>
      <w:tblPrEx>
        <w:tblW w:w="100%" w:type="pct"/>
      </w:tblPrEx>
      <w:trPr>
        <w:cantSplit w:val="0"/>
        <w:trHeight w:val="160"/>
        <w:tblHeader w:val="0"/>
      </w:trPr>
      <w:tc>
        <w:tcPr>
          <w:tcMar>
            <w:top w:w="0pt" w:type="dxa"/>
            <w:start w:w="3pt" w:type="dxa"/>
            <w:bottom w:w="4pt" w:type="dxa"/>
            <w:end w:w="3pt" w:type="dxa"/>
          </w:tcMar>
          <w:vAlign w:val="top"/>
        </w:tcPr>
        <w:p>
          <w:pPr>
            <w:jc w:val="start"/>
            <w:rPr>
              <w:rFonts w:ascii="Times New Roman" w:eastAsia="Times New Roman" w:hAnsi="Times New Roman" w:cs="Times New Roman"/>
              <w:b/>
              <w:vanish w:val="0"/>
              <w:color w:val="000000"/>
              <w:sz w:val="24"/>
            </w:rPr>
          </w:pPr>
          <w:r>
            <w:rPr>
              <w:rFonts w:ascii="Times New Roman" w:eastAsia="Times New Roman" w:hAnsi="Times New Roman" w:cs="Times New Roman"/>
              <w:b/>
              <w:vanish w:val="0"/>
              <w:color w:val="000000"/>
              <w:sz w:val="32"/>
            </w:rPr>
            <w:t>SL</w:t>
          </w:r>
        </w:p>
      </w:tc>
      <w:tc>
        <w:tcPr>
          <w:tcMar>
            <w:top w:w="0pt" w:type="dxa"/>
            <w:start w:w="3pt" w:type="dxa"/>
            <w:bottom w:w="4pt" w:type="dxa"/>
            <w:end w:w="3pt" w:type="dxa"/>
          </w:tcMar>
          <w:vAlign w:val="top"/>
        </w:tcPr>
        <w:p>
          <w:pPr>
            <w:jc w:val="center"/>
            <w:rPr>
              <w:rFonts w:ascii="Times New Roman" w:eastAsia="Times New Roman" w:hAnsi="Times New Roman" w:cs="Times New Roman"/>
              <w:b/>
              <w:vanish w:val="0"/>
              <w:color w:val="000000"/>
              <w:sz w:val="32"/>
            </w:rPr>
          </w:pPr>
          <w:r>
            <w:rPr>
              <w:rFonts w:ascii="Times New Roman" w:eastAsia="Times New Roman" w:hAnsi="Times New Roman" w:cs="Times New Roman"/>
              <w:b/>
              <w:vanish w:val="0"/>
              <w:color w:val="000000"/>
              <w:sz w:val="24"/>
            </w:rPr>
            <w:fldChar w:fldCharType="begin"/>
          </w:r>
          <w:r>
            <w:rPr>
              <w:rFonts w:ascii="Times New Roman" w:eastAsia="Times New Roman" w:hAnsi="Times New Roman" w:cs="Times New Roman"/>
              <w:b/>
              <w:vanish w:val="0"/>
              <w:color w:val="000000"/>
              <w:sz w:val="24"/>
            </w:rPr>
            <w:instrText>PAGE</w:instrText>
          </w:r>
          <w:r>
            <w:rPr>
              <w:rFonts w:ascii="Times New Roman" w:eastAsia="Times New Roman" w:hAnsi="Times New Roman" w:cs="Times New Roman"/>
              <w:b/>
              <w:vanish w:val="0"/>
              <w:color w:val="000000"/>
              <w:sz w:val="24"/>
            </w:rPr>
            <w:fldChar w:fldCharType="separate"/>
          </w:r>
          <w:r>
            <w:rPr>
              <w:rFonts w:ascii="Times New Roman" w:eastAsia="Times New Roman" w:hAnsi="Times New Roman" w:cs="Times New Roman"/>
              <w:b/>
              <w:noProof/>
              <w:vanish w:val="0"/>
              <w:color w:val="000000"/>
              <w:sz w:val="24"/>
              <w:szCs w:val="24"/>
              <w:lang w:val="en-US" w:eastAsia="en-US" w:bidi="ar-SA"/>
            </w:rPr>
            <w:t>18</w:t>
          </w:r>
          <w:r>
            <w:rPr>
              <w:rFonts w:ascii="Times New Roman" w:eastAsia="Times New Roman" w:hAnsi="Times New Roman" w:cs="Times New Roman"/>
              <w:b/>
              <w:vanish w:val="0"/>
              <w:color w:val="000000"/>
              <w:sz w:val="24"/>
            </w:rPr>
            <w:fldChar w:fldCharType="end"/>
          </w:r>
        </w:p>
      </w:tc>
      <w:tc>
        <w:tcPr>
          <w:tcMar>
            <w:top w:w="0pt" w:type="dxa"/>
            <w:start w:w="3pt" w:type="dxa"/>
            <w:bottom w:w="4pt" w:type="dxa"/>
            <w:end w:w="3pt" w:type="dxa"/>
          </w:tcMar>
          <w:vAlign w:val="top"/>
        </w:tcPr>
        <w:p>
          <w:pPr>
            <w:jc w:val="end"/>
            <w:rPr>
              <w:rFonts w:ascii="Times New Roman" w:eastAsia="Times New Roman" w:hAnsi="Times New Roman" w:cs="Times New Roman"/>
              <w:b/>
              <w:vanish w:val="0"/>
              <w:color w:val="000000"/>
              <w:sz w:val="32"/>
            </w:rPr>
          </w:pPr>
          <w:r>
            <w:rPr>
              <w:rFonts w:ascii="Times New Roman" w:eastAsia="Times New Roman" w:hAnsi="Times New Roman" w:cs="Times New Roman"/>
              <w:b/>
              <w:vanish w:val="0"/>
              <w:color w:val="000000"/>
              <w:sz w:val="32"/>
            </w:rPr>
            <w:t>SL</w:t>
          </w:r>
        </w:p>
      </w:tc>
    </w:tr>
  </w:tbl>
  <w:p>
    <w:pPr>
      <w:rPr>
        <w:rFonts w:ascii="Times New Roman" w:eastAsia="Times New Roman" w:hAnsi="Times New Roman" w:cs="Times New Roman"/>
        <w:b/>
        <w:color w:val="000000"/>
      </w:rP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tbl>
    <w:tblPr>
      <w:tblW w:w="100%" w:type="pct"/>
      <w:tblCellMar>
        <w:start w:w="5.4pt" w:type="dxa"/>
        <w:end w:w="5.4pt" w:type="dxa"/>
      </w:tblCellMar>
    </w:tblPr>
    <w:tblGrid>
      <w:gridCol w:w="3837"/>
      <w:gridCol w:w="2697"/>
      <w:gridCol w:w="3836"/>
    </w:tblGrid>
    <w:tr>
      <w:tblPrEx>
        <w:tblW w:w="100%" w:type="pct"/>
      </w:tblPrEx>
      <w:trPr>
        <w:cantSplit w:val="0"/>
        <w:trHeight w:hRule="auto" w:val="0"/>
        <w:tblHeader w:val="0"/>
      </w:trPr>
      <w:tc>
        <w:tcPr>
          <w:tcMar>
            <w:top w:w="0pt" w:type="dxa"/>
            <w:start w:w="3pt" w:type="dxa"/>
            <w:bottom w:w="4pt" w:type="dxa"/>
            <w:end w:w="3pt" w:type="dxa"/>
          </w:tcMar>
          <w:vAlign w:val="top"/>
        </w:tcPr>
        <w:p>
          <w:pPr>
            <w:jc w:val="start"/>
            <w:rPr>
              <w:rFonts w:ascii="Times New Roman" w:eastAsia="Times New Roman" w:hAnsi="Times New Roman" w:cs="Times New Roman"/>
              <w:b/>
              <w:vanish w:val="0"/>
              <w:color w:val="000000"/>
              <w:sz w:val="24"/>
            </w:rPr>
          </w:pPr>
          <w:r>
            <w:rPr>
              <w:rFonts w:ascii="Times New Roman" w:eastAsia="Times New Roman" w:hAnsi="Times New Roman" w:cs="Times New Roman"/>
              <w:b/>
              <w:vanish w:val="0"/>
              <w:color w:val="000000"/>
              <w:sz w:val="32"/>
            </w:rPr>
            <w:t>SL</w:t>
          </w:r>
        </w:p>
      </w:tc>
      <w:tc>
        <w:tcPr>
          <w:tcMar>
            <w:top w:w="0pt" w:type="dxa"/>
            <w:start w:w="3pt" w:type="dxa"/>
            <w:bottom w:w="4pt" w:type="dxa"/>
            <w:end w:w="3pt" w:type="dxa"/>
          </w:tcMar>
          <w:vAlign w:val="top"/>
        </w:tcPr>
        <w:p>
          <w:pPr>
            <w:jc w:val="center"/>
            <w:rPr>
              <w:rFonts w:ascii="Times New Roman" w:eastAsia="Times New Roman" w:hAnsi="Times New Roman" w:cs="Times New Roman"/>
              <w:b/>
              <w:vanish w:val="0"/>
              <w:color w:val="000000"/>
              <w:sz w:val="32"/>
            </w:rPr>
          </w:pPr>
          <w:r>
            <w:rPr>
              <w:rFonts w:ascii="Times New Roman" w:eastAsia="Times New Roman" w:hAnsi="Times New Roman" w:cs="Times New Roman"/>
              <w:b/>
              <w:vanish w:val="0"/>
              <w:color w:val="000000"/>
              <w:sz w:val="24"/>
            </w:rPr>
            <w:fldChar w:fldCharType="begin"/>
          </w:r>
          <w:r>
            <w:rPr>
              <w:rFonts w:ascii="Times New Roman" w:eastAsia="Times New Roman" w:hAnsi="Times New Roman" w:cs="Times New Roman"/>
              <w:b/>
              <w:vanish w:val="0"/>
              <w:color w:val="000000"/>
              <w:sz w:val="24"/>
            </w:rPr>
            <w:instrText>PAGE</w:instrText>
          </w:r>
          <w:r>
            <w:rPr>
              <w:rFonts w:ascii="Times New Roman" w:eastAsia="Times New Roman" w:hAnsi="Times New Roman" w:cs="Times New Roman"/>
              <w:b/>
              <w:vanish w:val="0"/>
              <w:color w:val="000000"/>
              <w:sz w:val="24"/>
            </w:rPr>
            <w:fldChar w:fldCharType="separate"/>
          </w:r>
          <w:r>
            <w:rPr>
              <w:rFonts w:ascii="Times New Roman" w:eastAsia="Times New Roman" w:hAnsi="Times New Roman" w:cs="Times New Roman"/>
              <w:b/>
              <w:noProof/>
              <w:vanish w:val="0"/>
              <w:color w:val="000000"/>
              <w:sz w:val="24"/>
              <w:szCs w:val="24"/>
              <w:lang w:val="en-US" w:eastAsia="en-US" w:bidi="ar-SA"/>
            </w:rPr>
            <w:t>22</w:t>
          </w:r>
          <w:r>
            <w:rPr>
              <w:rFonts w:ascii="Times New Roman" w:eastAsia="Times New Roman" w:hAnsi="Times New Roman" w:cs="Times New Roman"/>
              <w:b/>
              <w:vanish w:val="0"/>
              <w:color w:val="000000"/>
              <w:sz w:val="24"/>
            </w:rPr>
            <w:fldChar w:fldCharType="end"/>
          </w:r>
        </w:p>
      </w:tc>
      <w:tc>
        <w:tcPr>
          <w:tcMar>
            <w:top w:w="0pt" w:type="dxa"/>
            <w:start w:w="3pt" w:type="dxa"/>
            <w:bottom w:w="4pt" w:type="dxa"/>
            <w:end w:w="3pt" w:type="dxa"/>
          </w:tcMar>
          <w:vAlign w:val="top"/>
        </w:tcPr>
        <w:p>
          <w:pPr>
            <w:jc w:val="end"/>
            <w:rPr>
              <w:rFonts w:ascii="Times New Roman" w:eastAsia="Times New Roman" w:hAnsi="Times New Roman" w:cs="Times New Roman"/>
              <w:b/>
              <w:vanish w:val="0"/>
              <w:color w:val="000000"/>
              <w:sz w:val="32"/>
            </w:rPr>
          </w:pPr>
          <w:r>
            <w:rPr>
              <w:rFonts w:ascii="Times New Roman" w:eastAsia="Times New Roman" w:hAnsi="Times New Roman" w:cs="Times New Roman"/>
              <w:b/>
              <w:vanish w:val="0"/>
              <w:color w:val="000000"/>
              <w:sz w:val="32"/>
            </w:rPr>
            <w:t>SL</w:t>
          </w:r>
        </w:p>
      </w:tc>
    </w:tr>
  </w:tbl>
  <w:p>
    <w:pPr>
      <w:rPr>
        <w:rFonts w:ascii="Times New Roman" w:eastAsia="Times New Roman" w:hAnsi="Times New Roman" w:cs="Times New Roman"/>
        <w:b/>
        <w:color w:val="000000"/>
      </w:rPr>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tbl>
    <w:tblPr>
      <w:tblW w:w="100%" w:type="pct"/>
      <w:tblCellMar>
        <w:start w:w="5.4pt" w:type="dxa"/>
        <w:end w:w="5.4pt" w:type="dxa"/>
      </w:tblCellMar>
    </w:tblPr>
    <w:tblGrid>
      <w:gridCol w:w="5661"/>
      <w:gridCol w:w="3980"/>
      <w:gridCol w:w="5661"/>
    </w:tblGrid>
    <w:tr>
      <w:tblPrEx>
        <w:tblW w:w="100%" w:type="pct"/>
      </w:tblPrEx>
      <w:trPr>
        <w:cantSplit w:val="0"/>
        <w:trHeight w:hRule="auto" w:val="0"/>
        <w:tblHeader w:val="0"/>
      </w:trPr>
      <w:tc>
        <w:tcPr>
          <w:tcMar>
            <w:top w:w="0pt" w:type="dxa"/>
            <w:start w:w="3pt" w:type="dxa"/>
            <w:bottom w:w="4pt" w:type="dxa"/>
            <w:end w:w="3pt" w:type="dxa"/>
          </w:tcMar>
          <w:vAlign w:val="top"/>
        </w:tcPr>
        <w:p>
          <w:pPr>
            <w:jc w:val="start"/>
            <w:rPr>
              <w:rFonts w:ascii="Times New Roman" w:eastAsia="Times New Roman" w:hAnsi="Times New Roman" w:cs="Times New Roman"/>
              <w:b/>
              <w:vanish w:val="0"/>
              <w:color w:val="000000"/>
              <w:sz w:val="24"/>
            </w:rPr>
          </w:pPr>
          <w:r>
            <w:rPr>
              <w:rFonts w:ascii="Times New Roman" w:eastAsia="Times New Roman" w:hAnsi="Times New Roman" w:cs="Times New Roman"/>
              <w:b/>
              <w:vanish w:val="0"/>
              <w:color w:val="000000"/>
              <w:sz w:val="32"/>
            </w:rPr>
            <w:t>SL</w:t>
          </w:r>
        </w:p>
      </w:tc>
      <w:tc>
        <w:tcPr>
          <w:tcMar>
            <w:top w:w="0pt" w:type="dxa"/>
            <w:start w:w="3pt" w:type="dxa"/>
            <w:bottom w:w="4pt" w:type="dxa"/>
            <w:end w:w="3pt" w:type="dxa"/>
          </w:tcMar>
          <w:vAlign w:val="top"/>
        </w:tcPr>
        <w:p>
          <w:pPr>
            <w:jc w:val="center"/>
            <w:rPr>
              <w:rFonts w:ascii="Times New Roman" w:eastAsia="Times New Roman" w:hAnsi="Times New Roman" w:cs="Times New Roman"/>
              <w:b/>
              <w:vanish w:val="0"/>
              <w:color w:val="000000"/>
              <w:sz w:val="32"/>
            </w:rPr>
          </w:pPr>
          <w:r>
            <w:rPr>
              <w:rFonts w:ascii="Times New Roman" w:eastAsia="Times New Roman" w:hAnsi="Times New Roman" w:cs="Times New Roman"/>
              <w:b/>
              <w:vanish w:val="0"/>
              <w:color w:val="000000"/>
              <w:sz w:val="24"/>
            </w:rPr>
            <w:fldChar w:fldCharType="begin"/>
          </w:r>
          <w:r>
            <w:rPr>
              <w:rFonts w:ascii="Times New Roman" w:eastAsia="Times New Roman" w:hAnsi="Times New Roman" w:cs="Times New Roman"/>
              <w:b/>
              <w:vanish w:val="0"/>
              <w:color w:val="000000"/>
              <w:sz w:val="24"/>
            </w:rPr>
            <w:instrText>PAGE</w:instrText>
          </w:r>
          <w:r>
            <w:rPr>
              <w:rFonts w:ascii="Times New Roman" w:eastAsia="Times New Roman" w:hAnsi="Times New Roman" w:cs="Times New Roman"/>
              <w:b/>
              <w:vanish w:val="0"/>
              <w:color w:val="000000"/>
              <w:sz w:val="24"/>
            </w:rPr>
            <w:fldChar w:fldCharType="separate"/>
          </w:r>
          <w:r>
            <w:rPr>
              <w:rFonts w:ascii="Times New Roman" w:eastAsia="Times New Roman" w:hAnsi="Times New Roman" w:cs="Times New Roman"/>
              <w:b/>
              <w:noProof/>
              <w:vanish w:val="0"/>
              <w:color w:val="000000"/>
              <w:sz w:val="24"/>
              <w:szCs w:val="24"/>
              <w:lang w:val="en-US" w:eastAsia="en-US" w:bidi="ar-SA"/>
            </w:rPr>
            <w:t>27</w:t>
          </w:r>
          <w:r>
            <w:rPr>
              <w:rFonts w:ascii="Times New Roman" w:eastAsia="Times New Roman" w:hAnsi="Times New Roman" w:cs="Times New Roman"/>
              <w:b/>
              <w:vanish w:val="0"/>
              <w:color w:val="000000"/>
              <w:sz w:val="24"/>
            </w:rPr>
            <w:fldChar w:fldCharType="end"/>
          </w:r>
        </w:p>
      </w:tc>
      <w:tc>
        <w:tcPr>
          <w:tcMar>
            <w:top w:w="0pt" w:type="dxa"/>
            <w:start w:w="3pt" w:type="dxa"/>
            <w:bottom w:w="4pt" w:type="dxa"/>
            <w:end w:w="3pt" w:type="dxa"/>
          </w:tcMar>
          <w:vAlign w:val="top"/>
        </w:tcPr>
        <w:p>
          <w:pPr>
            <w:jc w:val="end"/>
            <w:rPr>
              <w:rFonts w:ascii="Times New Roman" w:eastAsia="Times New Roman" w:hAnsi="Times New Roman" w:cs="Times New Roman"/>
              <w:b/>
              <w:vanish w:val="0"/>
              <w:color w:val="000000"/>
              <w:sz w:val="32"/>
            </w:rPr>
          </w:pPr>
          <w:r>
            <w:rPr>
              <w:rFonts w:ascii="Times New Roman" w:eastAsia="Times New Roman" w:hAnsi="Times New Roman" w:cs="Times New Roman"/>
              <w:b/>
              <w:vanish w:val="0"/>
              <w:color w:val="000000"/>
              <w:sz w:val="32"/>
            </w:rPr>
            <w:t>SL</w:t>
          </w:r>
        </w:p>
      </w:tc>
    </w:tr>
  </w:tbl>
  <w:p>
    <w:pPr>
      <w:rPr>
        <w:rFonts w:ascii="Times New Roman" w:eastAsia="Times New Roman" w:hAnsi="Times New Roman" w:cs="Times New Roman"/>
        <w:b/>
        <w:color w:val="000000"/>
      </w:rPr>
    </w:pPr>
  </w:p>
</w:ftr>
</file>

<file path=word/footer1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ftr>
</file>

<file path=word/footer1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tbl>
    <w:tblPr>
      <w:tblW w:w="100%" w:type="pct"/>
      <w:tblCellMar>
        <w:start w:w="5.4pt" w:type="dxa"/>
        <w:end w:w="5.4pt" w:type="dxa"/>
      </w:tblCellMar>
    </w:tblPr>
    <w:tblGrid>
      <w:gridCol w:w="4114"/>
      <w:gridCol w:w="2223"/>
      <w:gridCol w:w="4113"/>
    </w:tblGrid>
    <w:tr>
      <w:tblPrEx>
        <w:tblW w:w="100%" w:type="pct"/>
      </w:tblPrEx>
      <w:trPr>
        <w:trHeight w:val="240"/>
      </w:trPr>
      <w:tc>
        <w:tcPr>
          <w:tcMar>
            <w:start w:w="5pt" w:type="dxa"/>
            <w:end w:w="5pt" w:type="dxa"/>
          </w:tcMar>
          <w:vAlign w:val="top"/>
        </w:tcPr>
        <w:p>
          <w:pPr>
            <w:jc w:val="start"/>
            <w:rPr>
              <w:rFonts w:ascii="Times New Roman" w:eastAsia="Times New Roman" w:hAnsi="Times New Roman" w:cs="Times New Roman"/>
              <w:b/>
              <w:vanish w:val="0"/>
              <w:color w:val="000000"/>
              <w:sz w:val="24"/>
            </w:rPr>
          </w:pPr>
          <w:r>
            <w:rPr>
              <w:rFonts w:ascii="Times New Roman" w:eastAsia="Times New Roman" w:hAnsi="Times New Roman" w:cs="Times New Roman"/>
              <w:b/>
              <w:vanish w:val="0"/>
              <w:color w:val="000000"/>
              <w:sz w:val="32"/>
            </w:rPr>
            <w:t>SL</w:t>
          </w:r>
        </w:p>
      </w:tc>
      <w:tc>
        <w:tcPr>
          <w:tcMar>
            <w:start w:w="5pt" w:type="dxa"/>
            <w:end w:w="5pt" w:type="dxa"/>
          </w:tcMar>
          <w:vAlign w:val="top"/>
        </w:tcPr>
        <w:p>
          <w:pPr>
            <w:jc w:val="center"/>
            <w:rPr>
              <w:rFonts w:ascii="Times New Roman" w:eastAsia="Times New Roman" w:hAnsi="Times New Roman" w:cs="Times New Roman"/>
              <w:b/>
              <w:vanish w:val="0"/>
              <w:color w:val="000000"/>
              <w:sz w:val="32"/>
            </w:rPr>
          </w:pPr>
          <w:r>
            <w:rPr>
              <w:rFonts w:ascii="Times New Roman" w:eastAsia="Times New Roman" w:hAnsi="Times New Roman" w:cs="Times New Roman"/>
              <w:b/>
              <w:vanish w:val="0"/>
              <w:color w:val="000000"/>
              <w:sz w:val="24"/>
            </w:rPr>
            <w:fldChar w:fldCharType="begin"/>
          </w:r>
          <w:r>
            <w:rPr>
              <w:rFonts w:ascii="Times New Roman" w:eastAsia="Times New Roman" w:hAnsi="Times New Roman" w:cs="Times New Roman"/>
              <w:b/>
              <w:vanish w:val="0"/>
              <w:color w:val="000000"/>
              <w:sz w:val="24"/>
            </w:rPr>
            <w:instrText>PAGE</w:instrText>
          </w:r>
          <w:r>
            <w:rPr>
              <w:rFonts w:ascii="Times New Roman" w:eastAsia="Times New Roman" w:hAnsi="Times New Roman" w:cs="Times New Roman"/>
              <w:b/>
              <w:vanish w:val="0"/>
              <w:color w:val="000000"/>
              <w:sz w:val="24"/>
            </w:rPr>
            <w:fldChar w:fldCharType="separate"/>
          </w:r>
          <w:r>
            <w:rPr>
              <w:rFonts w:ascii="Times New Roman" w:eastAsia="Times New Roman" w:hAnsi="Times New Roman" w:cs="Times New Roman"/>
              <w:b/>
              <w:noProof/>
              <w:vanish w:val="0"/>
              <w:color w:val="000000"/>
              <w:sz w:val="24"/>
              <w:szCs w:val="24"/>
              <w:lang w:val="en-US" w:eastAsia="en-US" w:bidi="ar-SA"/>
            </w:rPr>
            <w:t>7</w:t>
          </w:r>
          <w:r>
            <w:rPr>
              <w:rFonts w:ascii="Times New Roman" w:eastAsia="Times New Roman" w:hAnsi="Times New Roman" w:cs="Times New Roman"/>
              <w:b/>
              <w:vanish w:val="0"/>
              <w:color w:val="000000"/>
              <w:sz w:val="24"/>
            </w:rPr>
            <w:fldChar w:fldCharType="end"/>
          </w:r>
        </w:p>
      </w:tc>
      <w:tc>
        <w:tcPr>
          <w:tcMar>
            <w:start w:w="5pt" w:type="dxa"/>
            <w:end w:w="5pt" w:type="dxa"/>
          </w:tcMar>
          <w:vAlign w:val="top"/>
        </w:tcPr>
        <w:p>
          <w:pPr>
            <w:jc w:val="end"/>
            <w:rPr>
              <w:rFonts w:ascii="Times New Roman" w:eastAsia="Times New Roman" w:hAnsi="Times New Roman" w:cs="Times New Roman"/>
              <w:b/>
              <w:vanish w:val="0"/>
              <w:color w:val="000000"/>
              <w:sz w:val="32"/>
            </w:rPr>
          </w:pPr>
          <w:r>
            <w:rPr>
              <w:rFonts w:ascii="Times New Roman" w:eastAsia="Times New Roman" w:hAnsi="Times New Roman" w:cs="Times New Roman"/>
              <w:b/>
              <w:vanish w:val="0"/>
              <w:color w:val="000000"/>
              <w:sz w:val="32"/>
            </w:rPr>
            <w:t>SL</w:t>
          </w:r>
        </w:p>
      </w:tc>
    </w:tr>
  </w:tbl>
  <w:p>
    <w:pPr>
      <w:rPr>
        <w:rFonts w:ascii="Times New Roman" w:eastAsia="Times New Roman" w:hAnsi="Times New Roman" w:cs="Times New Roman"/>
        <w:b/>
        <w:color w:val="000000"/>
      </w:rPr>
    </w:pPr>
  </w:p>
</w:ftr>
</file>

<file path=word/footer2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tbl>
    <w:tblPr>
      <w:tblW w:w="100%" w:type="pct"/>
      <w:tblCellMar>
        <w:start w:w="5.4pt" w:type="dxa"/>
        <w:end w:w="5.4pt" w:type="dxa"/>
      </w:tblCellMar>
    </w:tblPr>
    <w:tblGrid>
      <w:gridCol w:w="3837"/>
      <w:gridCol w:w="2697"/>
      <w:gridCol w:w="3836"/>
    </w:tblGrid>
    <w:tr>
      <w:tblPrEx>
        <w:tblW w:w="100%" w:type="pct"/>
      </w:tblPrEx>
      <w:trPr>
        <w:cantSplit w:val="0"/>
        <w:trHeight w:hRule="auto" w:val="0"/>
        <w:tblHeader w:val="0"/>
      </w:trPr>
      <w:tc>
        <w:tcPr>
          <w:tcMar>
            <w:top w:w="0pt" w:type="dxa"/>
            <w:start w:w="3pt" w:type="dxa"/>
            <w:bottom w:w="4pt" w:type="dxa"/>
            <w:end w:w="3pt" w:type="dxa"/>
          </w:tcMar>
          <w:vAlign w:val="top"/>
        </w:tcPr>
        <w:p>
          <w:pPr>
            <w:jc w:val="start"/>
            <w:rPr>
              <w:rFonts w:ascii="Times New Roman" w:eastAsia="Times New Roman" w:hAnsi="Times New Roman" w:cs="Times New Roman"/>
              <w:b/>
              <w:vanish w:val="0"/>
              <w:color w:val="000000"/>
              <w:sz w:val="24"/>
            </w:rPr>
          </w:pPr>
          <w:r>
            <w:rPr>
              <w:rFonts w:ascii="Times New Roman" w:eastAsia="Times New Roman" w:hAnsi="Times New Roman" w:cs="Times New Roman"/>
              <w:b/>
              <w:vanish w:val="0"/>
              <w:color w:val="000000"/>
              <w:sz w:val="32"/>
            </w:rPr>
            <w:t>SL</w:t>
          </w:r>
        </w:p>
      </w:tc>
      <w:tc>
        <w:tcPr>
          <w:tcMar>
            <w:top w:w="0pt" w:type="dxa"/>
            <w:start w:w="3pt" w:type="dxa"/>
            <w:bottom w:w="4pt" w:type="dxa"/>
            <w:end w:w="3pt" w:type="dxa"/>
          </w:tcMar>
          <w:vAlign w:val="top"/>
        </w:tcPr>
        <w:p>
          <w:pPr>
            <w:jc w:val="center"/>
            <w:rPr>
              <w:rFonts w:ascii="Times New Roman" w:eastAsia="Times New Roman" w:hAnsi="Times New Roman" w:cs="Times New Roman"/>
              <w:b/>
              <w:vanish w:val="0"/>
              <w:color w:val="000000"/>
              <w:sz w:val="32"/>
            </w:rPr>
          </w:pPr>
          <w:r>
            <w:rPr>
              <w:rFonts w:ascii="Times New Roman" w:eastAsia="Times New Roman" w:hAnsi="Times New Roman" w:cs="Times New Roman"/>
              <w:b/>
              <w:vanish w:val="0"/>
              <w:color w:val="000000"/>
              <w:sz w:val="24"/>
            </w:rPr>
            <w:fldChar w:fldCharType="begin"/>
          </w:r>
          <w:r>
            <w:rPr>
              <w:rFonts w:ascii="Times New Roman" w:eastAsia="Times New Roman" w:hAnsi="Times New Roman" w:cs="Times New Roman"/>
              <w:b/>
              <w:vanish w:val="0"/>
              <w:color w:val="000000"/>
              <w:sz w:val="24"/>
            </w:rPr>
            <w:instrText>PAGE</w:instrText>
          </w:r>
          <w:r>
            <w:rPr>
              <w:rFonts w:ascii="Times New Roman" w:eastAsia="Times New Roman" w:hAnsi="Times New Roman" w:cs="Times New Roman"/>
              <w:b/>
              <w:vanish w:val="0"/>
              <w:color w:val="000000"/>
              <w:sz w:val="24"/>
            </w:rPr>
            <w:fldChar w:fldCharType="separate"/>
          </w:r>
          <w:r>
            <w:rPr>
              <w:rFonts w:ascii="Times New Roman" w:eastAsia="Times New Roman" w:hAnsi="Times New Roman" w:cs="Times New Roman"/>
              <w:b/>
              <w:noProof/>
              <w:vanish w:val="0"/>
              <w:color w:val="000000"/>
              <w:sz w:val="24"/>
              <w:szCs w:val="24"/>
              <w:lang w:val="en-US" w:eastAsia="en-US" w:bidi="ar-SA"/>
            </w:rPr>
            <w:t>33</w:t>
          </w:r>
          <w:r>
            <w:rPr>
              <w:rFonts w:ascii="Times New Roman" w:eastAsia="Times New Roman" w:hAnsi="Times New Roman" w:cs="Times New Roman"/>
              <w:b/>
              <w:vanish w:val="0"/>
              <w:color w:val="000000"/>
              <w:sz w:val="24"/>
            </w:rPr>
            <w:fldChar w:fldCharType="end"/>
          </w:r>
        </w:p>
      </w:tc>
      <w:tc>
        <w:tcPr>
          <w:tcMar>
            <w:top w:w="0pt" w:type="dxa"/>
            <w:start w:w="3pt" w:type="dxa"/>
            <w:bottom w:w="4pt" w:type="dxa"/>
            <w:end w:w="3pt" w:type="dxa"/>
          </w:tcMar>
          <w:vAlign w:val="top"/>
        </w:tcPr>
        <w:p>
          <w:pPr>
            <w:jc w:val="end"/>
            <w:rPr>
              <w:rFonts w:ascii="Times New Roman" w:eastAsia="Times New Roman" w:hAnsi="Times New Roman" w:cs="Times New Roman"/>
              <w:b/>
              <w:vanish w:val="0"/>
              <w:color w:val="000000"/>
              <w:sz w:val="32"/>
            </w:rPr>
          </w:pPr>
          <w:r>
            <w:rPr>
              <w:rFonts w:ascii="Times New Roman" w:eastAsia="Times New Roman" w:hAnsi="Times New Roman" w:cs="Times New Roman"/>
              <w:b/>
              <w:vanish w:val="0"/>
              <w:color w:val="000000"/>
              <w:sz w:val="32"/>
            </w:rPr>
            <w:t>SL</w:t>
          </w:r>
        </w:p>
      </w:tc>
    </w:tr>
  </w:tbl>
  <w:p>
    <w:pPr>
      <w:rPr>
        <w:rFonts w:ascii="Times New Roman" w:eastAsia="Times New Roman" w:hAnsi="Times New Roman" w:cs="Times New Roman"/>
        <w:b/>
        <w:color w:val="000000"/>
      </w:rPr>
    </w:pPr>
  </w:p>
</w:ftr>
</file>

<file path=word/footer2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ftr>
</file>

<file path=word/footer2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ftr>
</file>

<file path=word/footer2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tbl>
    <w:tblPr>
      <w:tblW w:w="100%" w:type="pct"/>
      <w:tblCellMar>
        <w:start w:w="5.4pt" w:type="dxa"/>
        <w:end w:w="5.4pt" w:type="dxa"/>
      </w:tblCellMar>
    </w:tblPr>
    <w:tblGrid>
      <w:gridCol w:w="5661"/>
      <w:gridCol w:w="3980"/>
      <w:gridCol w:w="5661"/>
    </w:tblGrid>
    <w:tr>
      <w:tblPrEx>
        <w:tblW w:w="100%" w:type="pct"/>
      </w:tblPrEx>
      <w:trPr>
        <w:cantSplit w:val="0"/>
        <w:trHeight w:hRule="auto" w:val="0"/>
        <w:tblHeader w:val="0"/>
      </w:trPr>
      <w:tc>
        <w:tcPr>
          <w:tcMar>
            <w:top w:w="0pt" w:type="dxa"/>
            <w:start w:w="3pt" w:type="dxa"/>
            <w:bottom w:w="4pt" w:type="dxa"/>
            <w:end w:w="3pt" w:type="dxa"/>
          </w:tcMar>
          <w:vAlign w:val="top"/>
        </w:tcPr>
        <w:p>
          <w:pPr>
            <w:jc w:val="start"/>
            <w:rPr>
              <w:rFonts w:ascii="Times New Roman" w:eastAsia="Times New Roman" w:hAnsi="Times New Roman" w:cs="Times New Roman"/>
              <w:b/>
              <w:vanish w:val="0"/>
              <w:color w:val="000000"/>
              <w:sz w:val="24"/>
            </w:rPr>
          </w:pPr>
          <w:r>
            <w:rPr>
              <w:rFonts w:ascii="Times New Roman" w:eastAsia="Times New Roman" w:hAnsi="Times New Roman" w:cs="Times New Roman"/>
              <w:b/>
              <w:vanish w:val="0"/>
              <w:color w:val="000000"/>
              <w:sz w:val="32"/>
            </w:rPr>
            <w:t>SL</w:t>
          </w:r>
        </w:p>
      </w:tc>
      <w:tc>
        <w:tcPr>
          <w:tcMar>
            <w:top w:w="0pt" w:type="dxa"/>
            <w:start w:w="3pt" w:type="dxa"/>
            <w:bottom w:w="4pt" w:type="dxa"/>
            <w:end w:w="3pt" w:type="dxa"/>
          </w:tcMar>
          <w:vAlign w:val="top"/>
        </w:tcPr>
        <w:p>
          <w:pPr>
            <w:jc w:val="center"/>
            <w:rPr>
              <w:rFonts w:ascii="Times New Roman" w:eastAsia="Times New Roman" w:hAnsi="Times New Roman" w:cs="Times New Roman"/>
              <w:b/>
              <w:vanish w:val="0"/>
              <w:color w:val="000000"/>
              <w:sz w:val="32"/>
            </w:rPr>
          </w:pPr>
          <w:r>
            <w:rPr>
              <w:rFonts w:ascii="Times New Roman" w:eastAsia="Times New Roman" w:hAnsi="Times New Roman" w:cs="Times New Roman"/>
              <w:b/>
              <w:vanish w:val="0"/>
              <w:color w:val="000000"/>
              <w:sz w:val="24"/>
            </w:rPr>
            <w:fldChar w:fldCharType="begin"/>
          </w:r>
          <w:r>
            <w:rPr>
              <w:rFonts w:ascii="Times New Roman" w:eastAsia="Times New Roman" w:hAnsi="Times New Roman" w:cs="Times New Roman"/>
              <w:b/>
              <w:vanish w:val="0"/>
              <w:color w:val="000000"/>
              <w:sz w:val="24"/>
            </w:rPr>
            <w:instrText>PAGE</w:instrText>
          </w:r>
          <w:r>
            <w:rPr>
              <w:rFonts w:ascii="Times New Roman" w:eastAsia="Times New Roman" w:hAnsi="Times New Roman" w:cs="Times New Roman"/>
              <w:b/>
              <w:vanish w:val="0"/>
              <w:color w:val="000000"/>
              <w:sz w:val="24"/>
            </w:rPr>
            <w:fldChar w:fldCharType="separate"/>
          </w:r>
          <w:r>
            <w:rPr>
              <w:rFonts w:ascii="Times New Roman" w:eastAsia="Times New Roman" w:hAnsi="Times New Roman" w:cs="Times New Roman"/>
              <w:b/>
              <w:noProof/>
              <w:vanish w:val="0"/>
              <w:color w:val="000000"/>
              <w:sz w:val="24"/>
              <w:szCs w:val="24"/>
              <w:lang w:val="en-US" w:eastAsia="en-US" w:bidi="ar-SA"/>
            </w:rPr>
            <w:t>36</w:t>
          </w:r>
          <w:r>
            <w:rPr>
              <w:rFonts w:ascii="Times New Roman" w:eastAsia="Times New Roman" w:hAnsi="Times New Roman" w:cs="Times New Roman"/>
              <w:b/>
              <w:vanish w:val="0"/>
              <w:color w:val="000000"/>
              <w:sz w:val="24"/>
            </w:rPr>
            <w:fldChar w:fldCharType="end"/>
          </w:r>
        </w:p>
      </w:tc>
      <w:tc>
        <w:tcPr>
          <w:tcMar>
            <w:top w:w="0pt" w:type="dxa"/>
            <w:start w:w="3pt" w:type="dxa"/>
            <w:bottom w:w="4pt" w:type="dxa"/>
            <w:end w:w="3pt" w:type="dxa"/>
          </w:tcMar>
          <w:vAlign w:val="top"/>
        </w:tcPr>
        <w:p>
          <w:pPr>
            <w:jc w:val="end"/>
            <w:rPr>
              <w:rFonts w:ascii="Times New Roman" w:eastAsia="Times New Roman" w:hAnsi="Times New Roman" w:cs="Times New Roman"/>
              <w:b/>
              <w:vanish w:val="0"/>
              <w:color w:val="000000"/>
              <w:sz w:val="32"/>
            </w:rPr>
          </w:pPr>
          <w:r>
            <w:rPr>
              <w:rFonts w:ascii="Times New Roman" w:eastAsia="Times New Roman" w:hAnsi="Times New Roman" w:cs="Times New Roman"/>
              <w:b/>
              <w:vanish w:val="0"/>
              <w:color w:val="000000"/>
              <w:sz w:val="32"/>
            </w:rPr>
            <w:t>SL</w:t>
          </w:r>
        </w:p>
      </w:tc>
    </w:tr>
  </w:tbl>
  <w:p>
    <w:pPr>
      <w:rPr>
        <w:rFonts w:ascii="Times New Roman" w:eastAsia="Times New Roman" w:hAnsi="Times New Roman" w:cs="Times New Roman"/>
        <w:b/>
        <w:color w:val="000000"/>
      </w:rPr>
    </w:pPr>
  </w:p>
</w:ftr>
</file>

<file path=word/footer2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ftr>
</file>

<file path=word/footer2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ftr>
</file>

<file path=word/footer2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tbl>
    <w:tblPr>
      <w:tblW w:w="100%" w:type="pct"/>
      <w:tblCellMar>
        <w:start w:w="5.4pt" w:type="dxa"/>
        <w:end w:w="5.4pt" w:type="dxa"/>
      </w:tblCellMar>
    </w:tblPr>
    <w:tblGrid>
      <w:gridCol w:w="3837"/>
      <w:gridCol w:w="2697"/>
      <w:gridCol w:w="3836"/>
    </w:tblGrid>
    <w:tr>
      <w:tblPrEx>
        <w:tblW w:w="100%" w:type="pct"/>
      </w:tblPrEx>
      <w:trPr>
        <w:cantSplit w:val="0"/>
        <w:trHeight w:hRule="auto" w:val="0"/>
        <w:tblHeader w:val="0"/>
      </w:trPr>
      <w:tc>
        <w:tcPr>
          <w:tcMar>
            <w:top w:w="0pt" w:type="dxa"/>
            <w:start w:w="3pt" w:type="dxa"/>
            <w:bottom w:w="4pt" w:type="dxa"/>
            <w:end w:w="3pt" w:type="dxa"/>
          </w:tcMar>
          <w:vAlign w:val="top"/>
        </w:tcPr>
        <w:p>
          <w:pPr>
            <w:jc w:val="start"/>
            <w:rPr>
              <w:rFonts w:ascii="Times New Roman" w:eastAsia="Times New Roman" w:hAnsi="Times New Roman" w:cs="Times New Roman"/>
              <w:b/>
              <w:vanish w:val="0"/>
              <w:color w:val="000000"/>
              <w:sz w:val="24"/>
            </w:rPr>
          </w:pPr>
          <w:r>
            <w:rPr>
              <w:rFonts w:ascii="Times New Roman" w:eastAsia="Times New Roman" w:hAnsi="Times New Roman" w:cs="Times New Roman"/>
              <w:b/>
              <w:vanish w:val="0"/>
              <w:color w:val="000000"/>
              <w:sz w:val="32"/>
            </w:rPr>
            <w:t>SL</w:t>
          </w:r>
        </w:p>
      </w:tc>
      <w:tc>
        <w:tcPr>
          <w:tcMar>
            <w:top w:w="0pt" w:type="dxa"/>
            <w:start w:w="3pt" w:type="dxa"/>
            <w:bottom w:w="4pt" w:type="dxa"/>
            <w:end w:w="3pt" w:type="dxa"/>
          </w:tcMar>
          <w:vAlign w:val="top"/>
        </w:tcPr>
        <w:p>
          <w:pPr>
            <w:jc w:val="center"/>
            <w:rPr>
              <w:rFonts w:ascii="Times New Roman" w:eastAsia="Times New Roman" w:hAnsi="Times New Roman" w:cs="Times New Roman"/>
              <w:b/>
              <w:vanish w:val="0"/>
              <w:color w:val="000000"/>
              <w:sz w:val="32"/>
            </w:rPr>
          </w:pPr>
          <w:r>
            <w:rPr>
              <w:rFonts w:ascii="Times New Roman" w:eastAsia="Times New Roman" w:hAnsi="Times New Roman" w:cs="Times New Roman"/>
              <w:b/>
              <w:vanish w:val="0"/>
              <w:color w:val="000000"/>
              <w:sz w:val="24"/>
            </w:rPr>
            <w:fldChar w:fldCharType="begin"/>
          </w:r>
          <w:r>
            <w:rPr>
              <w:rFonts w:ascii="Times New Roman" w:eastAsia="Times New Roman" w:hAnsi="Times New Roman" w:cs="Times New Roman"/>
              <w:b/>
              <w:vanish w:val="0"/>
              <w:color w:val="000000"/>
              <w:sz w:val="24"/>
            </w:rPr>
            <w:instrText>PAGE</w:instrText>
          </w:r>
          <w:r>
            <w:rPr>
              <w:rFonts w:ascii="Times New Roman" w:eastAsia="Times New Roman" w:hAnsi="Times New Roman" w:cs="Times New Roman"/>
              <w:b/>
              <w:vanish w:val="0"/>
              <w:color w:val="000000"/>
              <w:sz w:val="24"/>
            </w:rPr>
            <w:fldChar w:fldCharType="separate"/>
          </w:r>
          <w:r>
            <w:rPr>
              <w:rFonts w:ascii="Times New Roman" w:eastAsia="Times New Roman" w:hAnsi="Times New Roman" w:cs="Times New Roman"/>
              <w:b/>
              <w:noProof/>
              <w:vanish w:val="0"/>
              <w:color w:val="000000"/>
              <w:sz w:val="24"/>
              <w:szCs w:val="24"/>
              <w:lang w:val="en-US" w:eastAsia="en-US" w:bidi="ar-SA"/>
            </w:rPr>
            <w:t>38</w:t>
          </w:r>
          <w:r>
            <w:rPr>
              <w:rFonts w:ascii="Times New Roman" w:eastAsia="Times New Roman" w:hAnsi="Times New Roman" w:cs="Times New Roman"/>
              <w:b/>
              <w:vanish w:val="0"/>
              <w:color w:val="000000"/>
              <w:sz w:val="24"/>
            </w:rPr>
            <w:fldChar w:fldCharType="end"/>
          </w:r>
        </w:p>
      </w:tc>
      <w:tc>
        <w:tcPr>
          <w:tcMar>
            <w:top w:w="0pt" w:type="dxa"/>
            <w:start w:w="3pt" w:type="dxa"/>
            <w:bottom w:w="4pt" w:type="dxa"/>
            <w:end w:w="3pt" w:type="dxa"/>
          </w:tcMar>
          <w:vAlign w:val="top"/>
        </w:tcPr>
        <w:p>
          <w:pPr>
            <w:jc w:val="end"/>
            <w:rPr>
              <w:rFonts w:ascii="Times New Roman" w:eastAsia="Times New Roman" w:hAnsi="Times New Roman" w:cs="Times New Roman"/>
              <w:b/>
              <w:vanish w:val="0"/>
              <w:color w:val="000000"/>
              <w:sz w:val="32"/>
            </w:rPr>
          </w:pPr>
          <w:r>
            <w:rPr>
              <w:rFonts w:ascii="Times New Roman" w:eastAsia="Times New Roman" w:hAnsi="Times New Roman" w:cs="Times New Roman"/>
              <w:b/>
              <w:vanish w:val="0"/>
              <w:color w:val="000000"/>
              <w:sz w:val="32"/>
            </w:rPr>
            <w:t>SL</w:t>
          </w:r>
        </w:p>
      </w:tc>
    </w:tr>
  </w:tbl>
  <w:p>
    <w:pPr>
      <w:rPr>
        <w:rFonts w:ascii="Times New Roman" w:eastAsia="Times New Roman" w:hAnsi="Times New Roman" w:cs="Times New Roman"/>
        <w:b/>
        <w:color w:val="000000"/>
      </w:rPr>
    </w:pPr>
  </w:p>
</w:ftr>
</file>

<file path=word/footer2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ftr>
</file>

<file path=word/footer2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ftr>
</file>

<file path=word/footer2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tbl>
    <w:tblPr>
      <w:tblW w:w="100%" w:type="pct"/>
      <w:tblCellMar>
        <w:start w:w="5.4pt" w:type="dxa"/>
        <w:end w:w="5.4pt" w:type="dxa"/>
      </w:tblCellMar>
    </w:tblPr>
    <w:tblGrid>
      <w:gridCol w:w="5661"/>
      <w:gridCol w:w="3980"/>
      <w:gridCol w:w="5661"/>
    </w:tblGrid>
    <w:tr>
      <w:tblPrEx>
        <w:tblW w:w="100%" w:type="pct"/>
      </w:tblPrEx>
      <w:trPr>
        <w:cantSplit w:val="0"/>
        <w:trHeight w:hRule="auto" w:val="0"/>
        <w:tblHeader w:val="0"/>
      </w:trPr>
      <w:tc>
        <w:tcPr>
          <w:tcMar>
            <w:top w:w="0pt" w:type="dxa"/>
            <w:start w:w="3pt" w:type="dxa"/>
            <w:bottom w:w="4pt" w:type="dxa"/>
            <w:end w:w="3pt" w:type="dxa"/>
          </w:tcMar>
          <w:vAlign w:val="top"/>
        </w:tcPr>
        <w:p>
          <w:pPr>
            <w:jc w:val="start"/>
            <w:rPr>
              <w:rFonts w:ascii="Times New Roman" w:eastAsia="Times New Roman" w:hAnsi="Times New Roman" w:cs="Times New Roman"/>
              <w:b/>
              <w:vanish w:val="0"/>
              <w:color w:val="000000"/>
              <w:sz w:val="24"/>
            </w:rPr>
          </w:pPr>
          <w:r>
            <w:rPr>
              <w:rFonts w:ascii="Times New Roman" w:eastAsia="Times New Roman" w:hAnsi="Times New Roman" w:cs="Times New Roman"/>
              <w:b/>
              <w:vanish w:val="0"/>
              <w:color w:val="000000"/>
              <w:sz w:val="32"/>
            </w:rPr>
            <w:t>SL</w:t>
          </w:r>
        </w:p>
      </w:tc>
      <w:tc>
        <w:tcPr>
          <w:tcMar>
            <w:top w:w="0pt" w:type="dxa"/>
            <w:start w:w="3pt" w:type="dxa"/>
            <w:bottom w:w="4pt" w:type="dxa"/>
            <w:end w:w="3pt" w:type="dxa"/>
          </w:tcMar>
          <w:vAlign w:val="top"/>
        </w:tcPr>
        <w:p>
          <w:pPr>
            <w:jc w:val="center"/>
            <w:rPr>
              <w:rFonts w:ascii="Times New Roman" w:eastAsia="Times New Roman" w:hAnsi="Times New Roman" w:cs="Times New Roman"/>
              <w:b/>
              <w:vanish w:val="0"/>
              <w:color w:val="000000"/>
              <w:sz w:val="32"/>
            </w:rPr>
          </w:pPr>
          <w:r>
            <w:rPr>
              <w:rFonts w:ascii="Times New Roman" w:eastAsia="Times New Roman" w:hAnsi="Times New Roman" w:cs="Times New Roman"/>
              <w:b/>
              <w:vanish w:val="0"/>
              <w:color w:val="000000"/>
              <w:sz w:val="24"/>
            </w:rPr>
            <w:fldChar w:fldCharType="begin"/>
          </w:r>
          <w:r>
            <w:rPr>
              <w:rFonts w:ascii="Times New Roman" w:eastAsia="Times New Roman" w:hAnsi="Times New Roman" w:cs="Times New Roman"/>
              <w:b/>
              <w:vanish w:val="0"/>
              <w:color w:val="000000"/>
              <w:sz w:val="24"/>
            </w:rPr>
            <w:instrText>PAGE</w:instrText>
          </w:r>
          <w:r>
            <w:rPr>
              <w:rFonts w:ascii="Times New Roman" w:eastAsia="Times New Roman" w:hAnsi="Times New Roman" w:cs="Times New Roman"/>
              <w:b/>
              <w:vanish w:val="0"/>
              <w:color w:val="000000"/>
              <w:sz w:val="24"/>
            </w:rPr>
            <w:fldChar w:fldCharType="separate"/>
          </w:r>
          <w:r>
            <w:rPr>
              <w:rFonts w:ascii="Times New Roman" w:eastAsia="Times New Roman" w:hAnsi="Times New Roman" w:cs="Times New Roman"/>
              <w:b/>
              <w:noProof/>
              <w:vanish w:val="0"/>
              <w:color w:val="000000"/>
              <w:sz w:val="24"/>
              <w:szCs w:val="24"/>
              <w:lang w:val="en-US" w:eastAsia="en-US" w:bidi="ar-SA"/>
            </w:rPr>
            <w:t>42</w:t>
          </w:r>
          <w:r>
            <w:rPr>
              <w:rFonts w:ascii="Times New Roman" w:eastAsia="Times New Roman" w:hAnsi="Times New Roman" w:cs="Times New Roman"/>
              <w:b/>
              <w:vanish w:val="0"/>
              <w:color w:val="000000"/>
              <w:sz w:val="24"/>
            </w:rPr>
            <w:fldChar w:fldCharType="end"/>
          </w:r>
        </w:p>
      </w:tc>
      <w:tc>
        <w:tcPr>
          <w:tcMar>
            <w:top w:w="0pt" w:type="dxa"/>
            <w:start w:w="3pt" w:type="dxa"/>
            <w:bottom w:w="4pt" w:type="dxa"/>
            <w:end w:w="3pt" w:type="dxa"/>
          </w:tcMar>
          <w:vAlign w:val="top"/>
        </w:tcPr>
        <w:p>
          <w:pPr>
            <w:jc w:val="end"/>
            <w:rPr>
              <w:rFonts w:ascii="Times New Roman" w:eastAsia="Times New Roman" w:hAnsi="Times New Roman" w:cs="Times New Roman"/>
              <w:b/>
              <w:vanish w:val="0"/>
              <w:color w:val="000000"/>
              <w:sz w:val="32"/>
            </w:rPr>
          </w:pPr>
          <w:r>
            <w:rPr>
              <w:rFonts w:ascii="Times New Roman" w:eastAsia="Times New Roman" w:hAnsi="Times New Roman" w:cs="Times New Roman"/>
              <w:b/>
              <w:vanish w:val="0"/>
              <w:color w:val="000000"/>
              <w:sz w:val="32"/>
            </w:rPr>
            <w:t>SL</w:t>
          </w:r>
        </w:p>
      </w:tc>
    </w:tr>
  </w:tbl>
  <w:p>
    <w:pPr>
      <w:rPr>
        <w:rFonts w:ascii="Times New Roman" w:eastAsia="Times New Roman" w:hAnsi="Times New Roman" w:cs="Times New Roman"/>
        <w:b/>
        <w:color w:val="00000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ftr>
</file>

<file path=word/footer3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ftr>
</file>

<file path=word/footer3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ftr>
</file>

<file path=word/footer3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tbl>
    <w:tblPr>
      <w:tblW w:w="100%" w:type="pct"/>
      <w:tblCellMar>
        <w:start w:w="5.4pt" w:type="dxa"/>
        <w:end w:w="5.4pt" w:type="dxa"/>
      </w:tblCellMar>
    </w:tblPr>
    <w:tblGrid>
      <w:gridCol w:w="5661"/>
      <w:gridCol w:w="3980"/>
      <w:gridCol w:w="5661"/>
    </w:tblGrid>
    <w:tr>
      <w:tblPrEx>
        <w:tblW w:w="100%" w:type="pct"/>
      </w:tblPrEx>
      <w:trPr>
        <w:cantSplit w:val="0"/>
        <w:trHeight w:hRule="auto" w:val="0"/>
        <w:tblHeader w:val="0"/>
      </w:trPr>
      <w:tc>
        <w:tcPr>
          <w:tcMar>
            <w:top w:w="0pt" w:type="dxa"/>
            <w:start w:w="3pt" w:type="dxa"/>
            <w:bottom w:w="4pt" w:type="dxa"/>
            <w:end w:w="3pt" w:type="dxa"/>
          </w:tcMar>
          <w:vAlign w:val="center"/>
        </w:tcPr>
        <w:p>
          <w:pPr>
            <w:jc w:val="start"/>
            <w:rPr>
              <w:rFonts w:ascii="Times New Roman" w:eastAsia="Times New Roman" w:hAnsi="Times New Roman" w:cs="Times New Roman"/>
              <w:b/>
              <w:vanish w:val="0"/>
              <w:color w:val="000000"/>
              <w:sz w:val="24"/>
            </w:rPr>
          </w:pPr>
          <w:r>
            <w:rPr>
              <w:rFonts w:ascii="Times New Roman" w:eastAsia="Times New Roman" w:hAnsi="Times New Roman" w:cs="Times New Roman"/>
              <w:b/>
              <w:vanish w:val="0"/>
              <w:color w:val="000000"/>
              <w:sz w:val="32"/>
            </w:rPr>
            <w:t>SL</w:t>
          </w:r>
        </w:p>
      </w:tc>
      <w:tc>
        <w:tcPr>
          <w:tcMar>
            <w:top w:w="0pt" w:type="dxa"/>
            <w:start w:w="3pt" w:type="dxa"/>
            <w:bottom w:w="4pt" w:type="dxa"/>
            <w:end w:w="3pt" w:type="dxa"/>
          </w:tcMar>
          <w:vAlign w:val="center"/>
        </w:tcPr>
        <w:p>
          <w:pPr>
            <w:jc w:val="center"/>
            <w:rPr>
              <w:rFonts w:ascii="Times New Roman" w:eastAsia="Times New Roman" w:hAnsi="Times New Roman" w:cs="Times New Roman"/>
              <w:b/>
              <w:vanish w:val="0"/>
              <w:color w:val="000000"/>
              <w:sz w:val="32"/>
            </w:rPr>
          </w:pPr>
          <w:r>
            <w:rPr>
              <w:rFonts w:ascii="Times New Roman" w:eastAsia="Times New Roman" w:hAnsi="Times New Roman" w:cs="Times New Roman"/>
              <w:b/>
              <w:vanish w:val="0"/>
              <w:color w:val="000000"/>
              <w:sz w:val="24"/>
            </w:rPr>
            <w:fldChar w:fldCharType="begin"/>
          </w:r>
          <w:r>
            <w:rPr>
              <w:rFonts w:ascii="Times New Roman" w:eastAsia="Times New Roman" w:hAnsi="Times New Roman" w:cs="Times New Roman"/>
              <w:b/>
              <w:vanish w:val="0"/>
              <w:color w:val="000000"/>
              <w:sz w:val="24"/>
            </w:rPr>
            <w:instrText>PAGE</w:instrText>
          </w:r>
          <w:r>
            <w:rPr>
              <w:rFonts w:ascii="Times New Roman" w:eastAsia="Times New Roman" w:hAnsi="Times New Roman" w:cs="Times New Roman"/>
              <w:b/>
              <w:vanish w:val="0"/>
              <w:color w:val="000000"/>
              <w:sz w:val="24"/>
            </w:rPr>
            <w:fldChar w:fldCharType="separate"/>
          </w:r>
          <w:r>
            <w:rPr>
              <w:rFonts w:ascii="Times New Roman" w:eastAsia="Times New Roman" w:hAnsi="Times New Roman" w:cs="Times New Roman"/>
              <w:b/>
              <w:noProof/>
              <w:vanish w:val="0"/>
              <w:color w:val="000000"/>
              <w:sz w:val="24"/>
              <w:szCs w:val="24"/>
              <w:lang w:val="en-US" w:eastAsia="en-US" w:bidi="ar-SA"/>
            </w:rPr>
            <w:t>51</w:t>
          </w:r>
          <w:r>
            <w:rPr>
              <w:rFonts w:ascii="Times New Roman" w:eastAsia="Times New Roman" w:hAnsi="Times New Roman" w:cs="Times New Roman"/>
              <w:b/>
              <w:vanish w:val="0"/>
              <w:color w:val="000000"/>
              <w:sz w:val="24"/>
            </w:rPr>
            <w:fldChar w:fldCharType="end"/>
          </w:r>
        </w:p>
      </w:tc>
      <w:tc>
        <w:tcPr>
          <w:tcMar>
            <w:top w:w="0pt" w:type="dxa"/>
            <w:start w:w="3pt" w:type="dxa"/>
            <w:bottom w:w="4pt" w:type="dxa"/>
            <w:end w:w="3pt" w:type="dxa"/>
          </w:tcMar>
          <w:vAlign w:val="center"/>
        </w:tcPr>
        <w:p>
          <w:pPr>
            <w:jc w:val="end"/>
            <w:rPr>
              <w:rFonts w:ascii="Times New Roman" w:eastAsia="Times New Roman" w:hAnsi="Times New Roman" w:cs="Times New Roman"/>
              <w:b/>
              <w:vanish w:val="0"/>
              <w:color w:val="000000"/>
              <w:sz w:val="32"/>
            </w:rPr>
          </w:pPr>
          <w:r>
            <w:rPr>
              <w:rFonts w:ascii="Times New Roman" w:eastAsia="Times New Roman" w:hAnsi="Times New Roman" w:cs="Times New Roman"/>
              <w:b/>
              <w:vanish w:val="0"/>
              <w:color w:val="000000"/>
              <w:sz w:val="32"/>
            </w:rPr>
            <w:t>SL</w:t>
          </w:r>
        </w:p>
      </w:tc>
    </w:tr>
  </w:tbl>
  <w:p>
    <w:pPr>
      <w:rPr>
        <w:rFonts w:ascii="Times New Roman" w:eastAsia="Times New Roman" w:hAnsi="Times New Roman" w:cs="Times New Roman"/>
        <w:b/>
        <w:color w:val="000000"/>
      </w:rPr>
    </w:pPr>
  </w:p>
</w:ftr>
</file>

<file path=word/footer3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ftr>
</file>

<file path=word/footer3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ftr>
</file>

<file path=word/footer3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tbl>
    <w:tblPr>
      <w:tblW w:w="100%" w:type="pct"/>
      <w:tblCellMar>
        <w:start w:w="5.4pt" w:type="dxa"/>
        <w:end w:w="5.4pt" w:type="dxa"/>
      </w:tblCellMar>
    </w:tblPr>
    <w:tblGrid>
      <w:gridCol w:w="3837"/>
      <w:gridCol w:w="2697"/>
      <w:gridCol w:w="3836"/>
    </w:tblGrid>
    <w:tr>
      <w:tblPrEx>
        <w:tblW w:w="100%" w:type="pct"/>
      </w:tblPrEx>
      <w:trPr>
        <w:cantSplit w:val="0"/>
        <w:trHeight w:hRule="auto" w:val="0"/>
        <w:tblHeader w:val="0"/>
      </w:trPr>
      <w:tc>
        <w:tcPr>
          <w:tcMar>
            <w:top w:w="0pt" w:type="dxa"/>
            <w:start w:w="3pt" w:type="dxa"/>
            <w:bottom w:w="4pt" w:type="dxa"/>
            <w:end w:w="3pt" w:type="dxa"/>
          </w:tcMar>
          <w:vAlign w:val="top"/>
        </w:tcPr>
        <w:p>
          <w:pPr>
            <w:jc w:val="start"/>
            <w:rPr>
              <w:rFonts w:ascii="Times New Roman" w:eastAsia="Times New Roman" w:hAnsi="Times New Roman" w:cs="Times New Roman"/>
              <w:b/>
              <w:vanish w:val="0"/>
              <w:color w:val="000000"/>
              <w:sz w:val="24"/>
            </w:rPr>
          </w:pPr>
          <w:r>
            <w:rPr>
              <w:rFonts w:ascii="Times New Roman" w:eastAsia="Times New Roman" w:hAnsi="Times New Roman" w:cs="Times New Roman"/>
              <w:b/>
              <w:vanish w:val="0"/>
              <w:color w:val="000000"/>
              <w:sz w:val="32"/>
            </w:rPr>
            <w:t>SL</w:t>
          </w:r>
        </w:p>
      </w:tc>
      <w:tc>
        <w:tcPr>
          <w:tcMar>
            <w:top w:w="0pt" w:type="dxa"/>
            <w:start w:w="3pt" w:type="dxa"/>
            <w:bottom w:w="4pt" w:type="dxa"/>
            <w:end w:w="3pt" w:type="dxa"/>
          </w:tcMar>
          <w:vAlign w:val="top"/>
        </w:tcPr>
        <w:p>
          <w:pPr>
            <w:jc w:val="center"/>
            <w:rPr>
              <w:rFonts w:ascii="Times New Roman" w:eastAsia="Times New Roman" w:hAnsi="Times New Roman" w:cs="Times New Roman"/>
              <w:b/>
              <w:vanish w:val="0"/>
              <w:color w:val="000000"/>
              <w:sz w:val="32"/>
            </w:rPr>
          </w:pPr>
          <w:r>
            <w:rPr>
              <w:rFonts w:ascii="Times New Roman" w:eastAsia="Times New Roman" w:hAnsi="Times New Roman" w:cs="Times New Roman"/>
              <w:b/>
              <w:vanish w:val="0"/>
              <w:color w:val="000000"/>
              <w:sz w:val="24"/>
            </w:rPr>
            <w:fldChar w:fldCharType="begin"/>
          </w:r>
          <w:r>
            <w:rPr>
              <w:rFonts w:ascii="Times New Roman" w:eastAsia="Times New Roman" w:hAnsi="Times New Roman" w:cs="Times New Roman"/>
              <w:b/>
              <w:vanish w:val="0"/>
              <w:color w:val="000000"/>
              <w:sz w:val="24"/>
            </w:rPr>
            <w:instrText>PAGE</w:instrText>
          </w:r>
          <w:r>
            <w:rPr>
              <w:rFonts w:ascii="Times New Roman" w:eastAsia="Times New Roman" w:hAnsi="Times New Roman" w:cs="Times New Roman"/>
              <w:b/>
              <w:vanish w:val="0"/>
              <w:color w:val="000000"/>
              <w:sz w:val="24"/>
            </w:rPr>
            <w:fldChar w:fldCharType="separate"/>
          </w:r>
          <w:r>
            <w:rPr>
              <w:rFonts w:ascii="Times New Roman" w:eastAsia="Times New Roman" w:hAnsi="Times New Roman" w:cs="Times New Roman"/>
              <w:b/>
              <w:noProof/>
              <w:vanish w:val="0"/>
              <w:color w:val="000000"/>
              <w:sz w:val="24"/>
              <w:szCs w:val="24"/>
              <w:lang w:val="en-US" w:eastAsia="en-US" w:bidi="ar-SA"/>
            </w:rPr>
            <w:t>57</w:t>
          </w:r>
          <w:r>
            <w:rPr>
              <w:rFonts w:ascii="Times New Roman" w:eastAsia="Times New Roman" w:hAnsi="Times New Roman" w:cs="Times New Roman"/>
              <w:b/>
              <w:vanish w:val="0"/>
              <w:color w:val="000000"/>
              <w:sz w:val="24"/>
            </w:rPr>
            <w:fldChar w:fldCharType="end"/>
          </w:r>
        </w:p>
      </w:tc>
      <w:tc>
        <w:tcPr>
          <w:tcMar>
            <w:top w:w="0pt" w:type="dxa"/>
            <w:start w:w="3pt" w:type="dxa"/>
            <w:bottom w:w="4pt" w:type="dxa"/>
            <w:end w:w="3pt" w:type="dxa"/>
          </w:tcMar>
          <w:vAlign w:val="top"/>
        </w:tcPr>
        <w:p>
          <w:pPr>
            <w:jc w:val="end"/>
            <w:rPr>
              <w:rFonts w:ascii="Times New Roman" w:eastAsia="Times New Roman" w:hAnsi="Times New Roman" w:cs="Times New Roman"/>
              <w:b/>
              <w:vanish w:val="0"/>
              <w:color w:val="000000"/>
              <w:sz w:val="32"/>
            </w:rPr>
          </w:pPr>
          <w:r>
            <w:rPr>
              <w:rFonts w:ascii="Times New Roman" w:eastAsia="Times New Roman" w:hAnsi="Times New Roman" w:cs="Times New Roman"/>
              <w:b/>
              <w:vanish w:val="0"/>
              <w:color w:val="000000"/>
              <w:sz w:val="32"/>
            </w:rPr>
            <w:t>SL</w:t>
          </w:r>
        </w:p>
      </w:tc>
    </w:tr>
  </w:tbl>
  <w:p>
    <w:pPr>
      <w:rPr>
        <w:rFonts w:ascii="Times New Roman" w:eastAsia="Times New Roman" w:hAnsi="Times New Roman" w:cs="Times New Roman"/>
        <w:b/>
        <w:color w:val="000000"/>
      </w:rPr>
    </w:pPr>
  </w:p>
</w:ftr>
</file>

<file path=word/footer3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ftr>
</file>

<file path=word/footer3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ftr>
</file>

<file path=word/footer3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tbl>
    <w:tblPr>
      <w:tblW w:w="100%" w:type="pct"/>
      <w:tblCellMar>
        <w:start w:w="5.4pt" w:type="dxa"/>
        <w:end w:w="5.4pt" w:type="dxa"/>
      </w:tblCellMar>
    </w:tblPr>
    <w:tblGrid>
      <w:gridCol w:w="5661"/>
      <w:gridCol w:w="3980"/>
      <w:gridCol w:w="5661"/>
    </w:tblGrid>
    <w:tr>
      <w:tblPrEx>
        <w:tblW w:w="100%" w:type="pct"/>
      </w:tblPrEx>
      <w:trPr>
        <w:cantSplit w:val="0"/>
        <w:trHeight w:hRule="auto" w:val="0"/>
      </w:trPr>
      <w:tc>
        <w:tcPr>
          <w:tcMar>
            <w:top w:w="0pt" w:type="dxa"/>
            <w:start w:w="3pt" w:type="dxa"/>
            <w:bottom w:w="4pt" w:type="dxa"/>
            <w:end w:w="3pt" w:type="dxa"/>
          </w:tcMar>
          <w:vAlign w:val="top"/>
        </w:tcPr>
        <w:p>
          <w:pPr>
            <w:jc w:val="start"/>
            <w:rPr>
              <w:rFonts w:ascii="Times New Roman" w:eastAsia="Times New Roman" w:hAnsi="Times New Roman" w:cs="Times New Roman"/>
              <w:b/>
              <w:vanish w:val="0"/>
              <w:color w:val="000000"/>
              <w:sz w:val="24"/>
            </w:rPr>
          </w:pPr>
          <w:r>
            <w:rPr>
              <w:rFonts w:ascii="Times New Roman" w:eastAsia="Times New Roman" w:hAnsi="Times New Roman" w:cs="Times New Roman"/>
              <w:b/>
              <w:vanish w:val="0"/>
              <w:color w:val="000000"/>
              <w:sz w:val="32"/>
            </w:rPr>
            <w:t>SL</w:t>
          </w:r>
        </w:p>
      </w:tc>
      <w:tc>
        <w:tcPr>
          <w:tcMar>
            <w:top w:w="0pt" w:type="dxa"/>
            <w:start w:w="3pt" w:type="dxa"/>
            <w:bottom w:w="4pt" w:type="dxa"/>
            <w:end w:w="3pt" w:type="dxa"/>
          </w:tcMar>
          <w:vAlign w:val="top"/>
        </w:tcPr>
        <w:p>
          <w:pPr>
            <w:jc w:val="center"/>
            <w:rPr>
              <w:rFonts w:ascii="Times New Roman" w:eastAsia="Times New Roman" w:hAnsi="Times New Roman" w:cs="Times New Roman"/>
              <w:b/>
              <w:vanish w:val="0"/>
              <w:color w:val="000000"/>
              <w:sz w:val="32"/>
            </w:rPr>
          </w:pPr>
          <w:r>
            <w:rPr>
              <w:rFonts w:ascii="Times New Roman" w:eastAsia="Times New Roman" w:hAnsi="Times New Roman" w:cs="Times New Roman"/>
              <w:b/>
              <w:vanish w:val="0"/>
              <w:color w:val="000000"/>
              <w:sz w:val="24"/>
            </w:rPr>
            <w:fldChar w:fldCharType="begin"/>
          </w:r>
          <w:r>
            <w:rPr>
              <w:rFonts w:ascii="Times New Roman" w:eastAsia="Times New Roman" w:hAnsi="Times New Roman" w:cs="Times New Roman"/>
              <w:b/>
              <w:vanish w:val="0"/>
              <w:color w:val="000000"/>
              <w:sz w:val="24"/>
            </w:rPr>
            <w:instrText>PAGE</w:instrText>
          </w:r>
          <w:r>
            <w:rPr>
              <w:rFonts w:ascii="Times New Roman" w:eastAsia="Times New Roman" w:hAnsi="Times New Roman" w:cs="Times New Roman"/>
              <w:b/>
              <w:vanish w:val="0"/>
              <w:color w:val="000000"/>
              <w:sz w:val="24"/>
            </w:rPr>
            <w:fldChar w:fldCharType="separate"/>
          </w:r>
          <w:r>
            <w:rPr>
              <w:rFonts w:ascii="Times New Roman" w:eastAsia="Times New Roman" w:hAnsi="Times New Roman" w:cs="Times New Roman"/>
              <w:b/>
              <w:noProof/>
              <w:vanish w:val="0"/>
              <w:color w:val="000000"/>
              <w:sz w:val="24"/>
              <w:szCs w:val="24"/>
              <w:lang w:val="en-US" w:eastAsia="en-US" w:bidi="ar-SA"/>
            </w:rPr>
            <w:t>59</w:t>
          </w:r>
          <w:r>
            <w:rPr>
              <w:rFonts w:ascii="Times New Roman" w:eastAsia="Times New Roman" w:hAnsi="Times New Roman" w:cs="Times New Roman"/>
              <w:b/>
              <w:vanish w:val="0"/>
              <w:color w:val="000000"/>
              <w:sz w:val="24"/>
            </w:rPr>
            <w:fldChar w:fldCharType="end"/>
          </w:r>
        </w:p>
      </w:tc>
      <w:tc>
        <w:tcPr>
          <w:tcMar>
            <w:top w:w="0pt" w:type="dxa"/>
            <w:start w:w="3pt" w:type="dxa"/>
            <w:bottom w:w="4pt" w:type="dxa"/>
            <w:end w:w="3pt" w:type="dxa"/>
          </w:tcMar>
          <w:vAlign w:val="top"/>
        </w:tcPr>
        <w:p>
          <w:pPr>
            <w:jc w:val="end"/>
            <w:rPr>
              <w:rFonts w:ascii="Times New Roman" w:eastAsia="Times New Roman" w:hAnsi="Times New Roman" w:cs="Times New Roman"/>
              <w:b/>
              <w:vanish w:val="0"/>
              <w:color w:val="000000"/>
              <w:sz w:val="32"/>
            </w:rPr>
          </w:pPr>
          <w:r>
            <w:rPr>
              <w:rFonts w:ascii="Times New Roman" w:eastAsia="Times New Roman" w:hAnsi="Times New Roman" w:cs="Times New Roman"/>
              <w:b/>
              <w:vanish w:val="0"/>
              <w:color w:val="000000"/>
              <w:sz w:val="32"/>
            </w:rPr>
            <w:t>SL</w:t>
          </w:r>
        </w:p>
      </w:tc>
    </w:tr>
  </w:tbl>
  <w:p>
    <w:pPr>
      <w:rPr>
        <w:rFonts w:ascii="Times New Roman" w:eastAsia="Times New Roman" w:hAnsi="Times New Roman" w:cs="Times New Roman"/>
        <w:b/>
        <w:color w:val="000000"/>
      </w:rPr>
    </w:pPr>
  </w:p>
</w:ftr>
</file>

<file path=word/footer3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ftr>
</file>

<file path=word/footer4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ftr>
</file>

<file path=word/footer4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tbl>
    <w:tblPr>
      <w:tblW w:w="100%" w:type="pct"/>
      <w:tblCellMar>
        <w:start w:w="5.4pt" w:type="dxa"/>
        <w:end w:w="5.4pt" w:type="dxa"/>
      </w:tblCellMar>
    </w:tblPr>
    <w:tblGrid>
      <w:gridCol w:w="3837"/>
      <w:gridCol w:w="2697"/>
      <w:gridCol w:w="3836"/>
    </w:tblGrid>
    <w:tr>
      <w:tblPrEx>
        <w:tblW w:w="100%" w:type="pct"/>
      </w:tblPrEx>
      <w:trPr>
        <w:cantSplit w:val="0"/>
        <w:trHeight w:hRule="auto" w:val="0"/>
        <w:tblHeader w:val="0"/>
      </w:trPr>
      <w:tc>
        <w:tcPr>
          <w:tcMar>
            <w:top w:w="0pt" w:type="dxa"/>
            <w:start w:w="3pt" w:type="dxa"/>
            <w:bottom w:w="4pt" w:type="dxa"/>
            <w:end w:w="3pt" w:type="dxa"/>
          </w:tcMar>
          <w:vAlign w:val="center"/>
        </w:tcPr>
        <w:p>
          <w:pPr>
            <w:jc w:val="start"/>
            <w:rPr>
              <w:rFonts w:ascii="Times New Roman" w:eastAsia="Times New Roman" w:hAnsi="Times New Roman" w:cs="Times New Roman"/>
              <w:b/>
              <w:vanish w:val="0"/>
              <w:color w:val="000000"/>
              <w:sz w:val="24"/>
            </w:rPr>
          </w:pPr>
          <w:r>
            <w:rPr>
              <w:rFonts w:ascii="Times New Roman" w:eastAsia="Times New Roman" w:hAnsi="Times New Roman" w:cs="Times New Roman"/>
              <w:b/>
              <w:vanish w:val="0"/>
              <w:color w:val="000000"/>
              <w:sz w:val="32"/>
            </w:rPr>
            <w:t>SL</w:t>
          </w:r>
        </w:p>
      </w:tc>
      <w:tc>
        <w:tcPr>
          <w:tcMar>
            <w:top w:w="0pt" w:type="dxa"/>
            <w:start w:w="3pt" w:type="dxa"/>
            <w:bottom w:w="4pt" w:type="dxa"/>
            <w:end w:w="3pt" w:type="dxa"/>
          </w:tcMar>
          <w:vAlign w:val="center"/>
        </w:tcPr>
        <w:p>
          <w:pPr>
            <w:jc w:val="center"/>
            <w:rPr>
              <w:rFonts w:ascii="Times New Roman" w:eastAsia="Times New Roman" w:hAnsi="Times New Roman" w:cs="Times New Roman"/>
              <w:b/>
              <w:vanish w:val="0"/>
              <w:color w:val="000000"/>
              <w:sz w:val="32"/>
            </w:rPr>
          </w:pPr>
          <w:r>
            <w:rPr>
              <w:rFonts w:ascii="Times New Roman" w:eastAsia="Times New Roman" w:hAnsi="Times New Roman" w:cs="Times New Roman"/>
              <w:b/>
              <w:vanish w:val="0"/>
              <w:color w:val="000000"/>
              <w:sz w:val="24"/>
            </w:rPr>
            <w:fldChar w:fldCharType="begin"/>
          </w:r>
          <w:r>
            <w:rPr>
              <w:rFonts w:ascii="Times New Roman" w:eastAsia="Times New Roman" w:hAnsi="Times New Roman" w:cs="Times New Roman"/>
              <w:b/>
              <w:vanish w:val="0"/>
              <w:color w:val="000000"/>
              <w:sz w:val="24"/>
            </w:rPr>
            <w:instrText>PAGE</w:instrText>
          </w:r>
          <w:r>
            <w:rPr>
              <w:rFonts w:ascii="Times New Roman" w:eastAsia="Times New Roman" w:hAnsi="Times New Roman" w:cs="Times New Roman"/>
              <w:b/>
              <w:vanish w:val="0"/>
              <w:color w:val="000000"/>
              <w:sz w:val="24"/>
            </w:rPr>
            <w:fldChar w:fldCharType="separate"/>
          </w:r>
          <w:r>
            <w:rPr>
              <w:rFonts w:ascii="Times New Roman" w:eastAsia="Times New Roman" w:hAnsi="Times New Roman" w:cs="Times New Roman"/>
              <w:b/>
              <w:noProof/>
              <w:vanish w:val="0"/>
              <w:color w:val="000000"/>
              <w:sz w:val="24"/>
              <w:szCs w:val="24"/>
              <w:lang w:val="en-US" w:eastAsia="en-US" w:bidi="ar-SA"/>
            </w:rPr>
            <w:t>64</w:t>
          </w:r>
          <w:r>
            <w:rPr>
              <w:rFonts w:ascii="Times New Roman" w:eastAsia="Times New Roman" w:hAnsi="Times New Roman" w:cs="Times New Roman"/>
              <w:b/>
              <w:vanish w:val="0"/>
              <w:color w:val="000000"/>
              <w:sz w:val="24"/>
            </w:rPr>
            <w:fldChar w:fldCharType="end"/>
          </w:r>
        </w:p>
      </w:tc>
      <w:tc>
        <w:tcPr>
          <w:tcMar>
            <w:top w:w="0pt" w:type="dxa"/>
            <w:start w:w="3pt" w:type="dxa"/>
            <w:bottom w:w="4pt" w:type="dxa"/>
            <w:end w:w="3pt" w:type="dxa"/>
          </w:tcMar>
          <w:vAlign w:val="center"/>
        </w:tcPr>
        <w:p>
          <w:pPr>
            <w:jc w:val="end"/>
            <w:rPr>
              <w:rFonts w:ascii="Times New Roman" w:eastAsia="Times New Roman" w:hAnsi="Times New Roman" w:cs="Times New Roman"/>
              <w:b/>
              <w:vanish w:val="0"/>
              <w:color w:val="000000"/>
              <w:sz w:val="32"/>
            </w:rPr>
          </w:pPr>
          <w:r>
            <w:rPr>
              <w:rFonts w:ascii="Times New Roman" w:eastAsia="Times New Roman" w:hAnsi="Times New Roman" w:cs="Times New Roman"/>
              <w:b/>
              <w:vanish w:val="0"/>
              <w:color w:val="000000"/>
              <w:sz w:val="32"/>
            </w:rPr>
            <w:t>SL</w:t>
          </w:r>
        </w:p>
      </w:tc>
    </w:tr>
  </w:tbl>
  <w:p>
    <w:pPr>
      <w:rPr>
        <w:rFonts w:ascii="Times New Roman" w:eastAsia="Times New Roman" w:hAnsi="Times New Roman" w:cs="Times New Roman"/>
        <w:b/>
        <w:color w:val="000000"/>
      </w:rPr>
    </w:pPr>
  </w:p>
</w:ftr>
</file>

<file path=word/footer4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ftr>
</file>

<file path=word/footer4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ftr>
</file>

<file path=word/footer4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tbl>
    <w:tblPr>
      <w:tblW w:w="100%" w:type="pct"/>
      <w:tblCellMar>
        <w:start w:w="5.4pt" w:type="dxa"/>
        <w:end w:w="5.4pt" w:type="dxa"/>
      </w:tblCellMar>
    </w:tblPr>
    <w:tblGrid>
      <w:gridCol w:w="5588"/>
      <w:gridCol w:w="4245"/>
      <w:gridCol w:w="5589"/>
    </w:tblGrid>
    <w:tr>
      <w:tblPrEx>
        <w:tblW w:w="100%" w:type="pct"/>
      </w:tblPrEx>
      <w:trPr>
        <w:cantSplit w:val="0"/>
        <w:trHeight w:hRule="auto" w:val="0"/>
      </w:trPr>
      <w:tc>
        <w:tcPr>
          <w:tcMar>
            <w:top w:w="1pt" w:type="dxa"/>
            <w:start w:w="6pt" w:type="dxa"/>
            <w:bottom w:w="6pt" w:type="dxa"/>
            <w:end w:w="6pt" w:type="dxa"/>
          </w:tcMar>
          <w:vAlign w:val="bottom"/>
        </w:tcPr>
        <w:p>
          <w:pPr>
            <w:jc w:val="start"/>
            <w:rPr>
              <w:rFonts w:ascii="Times New Roman" w:eastAsia="Times New Roman" w:hAnsi="Times New Roman" w:cs="Times New Roman"/>
              <w:b/>
              <w:vanish w:val="0"/>
              <w:color w:val="000000"/>
              <w:sz w:val="24"/>
            </w:rPr>
          </w:pPr>
          <w:r>
            <w:rPr>
              <w:rFonts w:ascii="Times New Roman" w:eastAsia="Times New Roman" w:hAnsi="Times New Roman" w:cs="Times New Roman"/>
              <w:b/>
              <w:vanish w:val="0"/>
              <w:color w:val="000000"/>
              <w:sz w:val="32"/>
            </w:rPr>
            <w:t>SL</w:t>
          </w:r>
        </w:p>
      </w:tc>
      <w:tc>
        <w:tcPr>
          <w:tcMar>
            <w:top w:w="1pt" w:type="dxa"/>
            <w:start w:w="6pt" w:type="dxa"/>
            <w:bottom w:w="6pt" w:type="dxa"/>
            <w:end w:w="6pt" w:type="dxa"/>
          </w:tcMar>
          <w:vAlign w:val="bottom"/>
        </w:tcPr>
        <w:p>
          <w:pPr>
            <w:jc w:val="center"/>
            <w:rPr>
              <w:rFonts w:ascii="Times New Roman" w:eastAsia="Times New Roman" w:hAnsi="Times New Roman" w:cs="Times New Roman"/>
              <w:b/>
              <w:vanish w:val="0"/>
              <w:color w:val="000000"/>
              <w:sz w:val="32"/>
            </w:rPr>
          </w:pPr>
          <w:r>
            <w:rPr>
              <w:rFonts w:ascii="Times New Roman" w:eastAsia="Times New Roman" w:hAnsi="Times New Roman" w:cs="Times New Roman"/>
              <w:b/>
              <w:vanish w:val="0"/>
              <w:color w:val="000000"/>
              <w:sz w:val="24"/>
            </w:rPr>
            <w:fldChar w:fldCharType="begin"/>
          </w:r>
          <w:r>
            <w:rPr>
              <w:rFonts w:ascii="Times New Roman" w:eastAsia="Times New Roman" w:hAnsi="Times New Roman" w:cs="Times New Roman"/>
              <w:b/>
              <w:vanish w:val="0"/>
              <w:color w:val="000000"/>
              <w:sz w:val="24"/>
            </w:rPr>
            <w:instrText>PAGE</w:instrText>
          </w:r>
          <w:r>
            <w:rPr>
              <w:rFonts w:ascii="Times New Roman" w:eastAsia="Times New Roman" w:hAnsi="Times New Roman" w:cs="Times New Roman"/>
              <w:b/>
              <w:vanish w:val="0"/>
              <w:color w:val="000000"/>
              <w:sz w:val="24"/>
            </w:rPr>
            <w:fldChar w:fldCharType="separate"/>
          </w:r>
          <w:r>
            <w:rPr>
              <w:rFonts w:ascii="Times New Roman" w:eastAsia="Times New Roman" w:hAnsi="Times New Roman" w:cs="Times New Roman"/>
              <w:b/>
              <w:noProof/>
              <w:vanish w:val="0"/>
              <w:color w:val="000000"/>
              <w:sz w:val="24"/>
              <w:szCs w:val="24"/>
              <w:lang w:val="en-US" w:eastAsia="en-US" w:bidi="ar-SA"/>
            </w:rPr>
            <w:t>65</w:t>
          </w:r>
          <w:r>
            <w:rPr>
              <w:rFonts w:ascii="Times New Roman" w:eastAsia="Times New Roman" w:hAnsi="Times New Roman" w:cs="Times New Roman"/>
              <w:b/>
              <w:vanish w:val="0"/>
              <w:color w:val="000000"/>
              <w:sz w:val="24"/>
            </w:rPr>
            <w:fldChar w:fldCharType="end"/>
          </w:r>
        </w:p>
      </w:tc>
      <w:tc>
        <w:tcPr>
          <w:tcMar>
            <w:top w:w="1pt" w:type="dxa"/>
            <w:start w:w="6pt" w:type="dxa"/>
            <w:bottom w:w="6pt" w:type="dxa"/>
            <w:end w:w="6pt" w:type="dxa"/>
          </w:tcMar>
          <w:vAlign w:val="bottom"/>
        </w:tcPr>
        <w:p>
          <w:pPr>
            <w:jc w:val="end"/>
            <w:rPr>
              <w:rFonts w:ascii="Times New Roman" w:eastAsia="Times New Roman" w:hAnsi="Times New Roman" w:cs="Times New Roman"/>
              <w:b/>
              <w:vanish w:val="0"/>
              <w:color w:val="000000"/>
              <w:sz w:val="32"/>
            </w:rPr>
          </w:pPr>
          <w:r>
            <w:rPr>
              <w:rFonts w:ascii="Times New Roman" w:eastAsia="Times New Roman" w:hAnsi="Times New Roman" w:cs="Times New Roman"/>
              <w:b/>
              <w:vanish w:val="0"/>
              <w:color w:val="000000"/>
              <w:sz w:val="32"/>
            </w:rPr>
            <w:t>SL</w:t>
          </w:r>
        </w:p>
      </w:tc>
    </w:tr>
  </w:tbl>
  <w:p>
    <w:pPr>
      <w:rPr>
        <w:rFonts w:ascii="Times New Roman" w:eastAsia="Times New Roman" w:hAnsi="Times New Roman" w:cs="Times New Roman"/>
        <w:b/>
        <w:color w:val="000000"/>
      </w:rPr>
    </w:pPr>
  </w:p>
</w:ftr>
</file>

<file path=word/footer4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ftr>
</file>

<file path=word/footer4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ftr>
</file>

<file path=word/footer4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tbl>
    <w:tblPr>
      <w:tblW w:w="100%" w:type="pct"/>
      <w:tblCellMar>
        <w:start w:w="5.4pt" w:type="dxa"/>
        <w:end w:w="5.4pt" w:type="dxa"/>
      </w:tblCellMar>
    </w:tblPr>
    <w:tblGrid>
      <w:gridCol w:w="3837"/>
      <w:gridCol w:w="2697"/>
      <w:gridCol w:w="3836"/>
    </w:tblGrid>
    <w:tr>
      <w:tblPrEx>
        <w:tblW w:w="100%" w:type="pct"/>
      </w:tblPrEx>
      <w:trPr>
        <w:cantSplit w:val="0"/>
        <w:trHeight w:hRule="auto" w:val="0"/>
        <w:tblHeader w:val="0"/>
      </w:trPr>
      <w:tc>
        <w:tcPr>
          <w:tcMar>
            <w:top w:w="0pt" w:type="dxa"/>
            <w:start w:w="3pt" w:type="dxa"/>
            <w:bottom w:w="4pt" w:type="dxa"/>
            <w:end w:w="3pt" w:type="dxa"/>
          </w:tcMar>
          <w:vAlign w:val="center"/>
        </w:tcPr>
        <w:p>
          <w:pPr>
            <w:jc w:val="start"/>
            <w:rPr>
              <w:rFonts w:ascii="Times New Roman" w:eastAsia="Times New Roman" w:hAnsi="Times New Roman" w:cs="Times New Roman"/>
              <w:b/>
              <w:vanish w:val="0"/>
              <w:color w:val="000000"/>
              <w:sz w:val="24"/>
            </w:rPr>
          </w:pPr>
          <w:r>
            <w:rPr>
              <w:rFonts w:ascii="Times New Roman" w:eastAsia="Times New Roman" w:hAnsi="Times New Roman" w:cs="Times New Roman"/>
              <w:b/>
              <w:vanish w:val="0"/>
              <w:color w:val="000000"/>
              <w:sz w:val="32"/>
            </w:rPr>
            <w:t>SL</w:t>
          </w:r>
        </w:p>
      </w:tc>
      <w:tc>
        <w:tcPr>
          <w:tcMar>
            <w:top w:w="0pt" w:type="dxa"/>
            <w:start w:w="3pt" w:type="dxa"/>
            <w:bottom w:w="4pt" w:type="dxa"/>
            <w:end w:w="3pt" w:type="dxa"/>
          </w:tcMar>
          <w:vAlign w:val="center"/>
        </w:tcPr>
        <w:p>
          <w:pPr>
            <w:jc w:val="center"/>
            <w:rPr>
              <w:rFonts w:ascii="Times New Roman" w:eastAsia="Times New Roman" w:hAnsi="Times New Roman" w:cs="Times New Roman"/>
              <w:b/>
              <w:vanish w:val="0"/>
              <w:color w:val="000000"/>
              <w:sz w:val="32"/>
            </w:rPr>
          </w:pPr>
          <w:r>
            <w:rPr>
              <w:rFonts w:ascii="Times New Roman" w:eastAsia="Times New Roman" w:hAnsi="Times New Roman" w:cs="Times New Roman"/>
              <w:b/>
              <w:vanish w:val="0"/>
              <w:color w:val="000000"/>
              <w:sz w:val="24"/>
            </w:rPr>
            <w:fldChar w:fldCharType="begin"/>
          </w:r>
          <w:r>
            <w:rPr>
              <w:rFonts w:ascii="Times New Roman" w:eastAsia="Times New Roman" w:hAnsi="Times New Roman" w:cs="Times New Roman"/>
              <w:b/>
              <w:vanish w:val="0"/>
              <w:color w:val="000000"/>
              <w:sz w:val="24"/>
            </w:rPr>
            <w:instrText>PAGE</w:instrText>
          </w:r>
          <w:r>
            <w:rPr>
              <w:rFonts w:ascii="Times New Roman" w:eastAsia="Times New Roman" w:hAnsi="Times New Roman" w:cs="Times New Roman"/>
              <w:b/>
              <w:vanish w:val="0"/>
              <w:color w:val="000000"/>
              <w:sz w:val="24"/>
            </w:rPr>
            <w:fldChar w:fldCharType="separate"/>
          </w:r>
          <w:r>
            <w:rPr>
              <w:rFonts w:ascii="Times New Roman" w:eastAsia="Times New Roman" w:hAnsi="Times New Roman" w:cs="Times New Roman"/>
              <w:b/>
              <w:noProof/>
              <w:vanish w:val="0"/>
              <w:color w:val="000000"/>
              <w:sz w:val="24"/>
              <w:szCs w:val="24"/>
              <w:lang w:val="en-US" w:eastAsia="en-US" w:bidi="ar-SA"/>
            </w:rPr>
            <w:t>66</w:t>
          </w:r>
          <w:r>
            <w:rPr>
              <w:rFonts w:ascii="Times New Roman" w:eastAsia="Times New Roman" w:hAnsi="Times New Roman" w:cs="Times New Roman"/>
              <w:b/>
              <w:vanish w:val="0"/>
              <w:color w:val="000000"/>
              <w:sz w:val="24"/>
            </w:rPr>
            <w:fldChar w:fldCharType="end"/>
          </w:r>
        </w:p>
      </w:tc>
      <w:tc>
        <w:tcPr>
          <w:tcMar>
            <w:top w:w="0pt" w:type="dxa"/>
            <w:start w:w="3pt" w:type="dxa"/>
            <w:bottom w:w="4pt" w:type="dxa"/>
            <w:end w:w="3pt" w:type="dxa"/>
          </w:tcMar>
          <w:vAlign w:val="center"/>
        </w:tcPr>
        <w:p>
          <w:pPr>
            <w:jc w:val="end"/>
            <w:rPr>
              <w:rFonts w:ascii="Times New Roman" w:eastAsia="Times New Roman" w:hAnsi="Times New Roman" w:cs="Times New Roman"/>
              <w:b/>
              <w:vanish w:val="0"/>
              <w:color w:val="000000"/>
              <w:sz w:val="32"/>
            </w:rPr>
          </w:pPr>
          <w:r>
            <w:rPr>
              <w:rFonts w:ascii="Times New Roman" w:eastAsia="Times New Roman" w:hAnsi="Times New Roman" w:cs="Times New Roman"/>
              <w:b/>
              <w:vanish w:val="0"/>
              <w:color w:val="000000"/>
              <w:sz w:val="32"/>
            </w:rPr>
            <w:t>SL</w:t>
          </w:r>
        </w:p>
      </w:tc>
    </w:tr>
  </w:tbl>
  <w:p>
    <w:pPr>
      <w:rPr>
        <w:rFonts w:ascii="Times New Roman" w:eastAsia="Times New Roman" w:hAnsi="Times New Roman" w:cs="Times New Roman"/>
        <w:b/>
        <w:color w:val="000000"/>
      </w:rPr>
    </w:pPr>
  </w:p>
</w:ftr>
</file>

<file path=word/footer4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ftr>
</file>

<file path=word/footer4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tbl>
    <w:tblPr>
      <w:tblW w:w="100%" w:type="pct"/>
      <w:tblCellMar>
        <w:start w:w="5.4pt" w:type="dxa"/>
        <w:end w:w="5.4pt" w:type="dxa"/>
      </w:tblCellMar>
    </w:tblPr>
    <w:tblGrid>
      <w:gridCol w:w="4114"/>
      <w:gridCol w:w="2223"/>
      <w:gridCol w:w="4113"/>
    </w:tblGrid>
    <w:tr>
      <w:tblPrEx>
        <w:tblW w:w="100%" w:type="pct"/>
      </w:tblPrEx>
      <w:trPr>
        <w:trHeight w:val="240"/>
      </w:trPr>
      <w:tc>
        <w:tcPr>
          <w:tcMar>
            <w:start w:w="5pt" w:type="dxa"/>
            <w:end w:w="5pt" w:type="dxa"/>
          </w:tcMar>
          <w:vAlign w:val="top"/>
        </w:tcPr>
        <w:p>
          <w:pPr>
            <w:jc w:val="start"/>
            <w:rPr>
              <w:rFonts w:ascii="Times New Roman" w:eastAsia="Times New Roman" w:hAnsi="Times New Roman" w:cs="Times New Roman"/>
              <w:b/>
              <w:vanish w:val="0"/>
              <w:color w:val="000000"/>
              <w:sz w:val="24"/>
            </w:rPr>
          </w:pPr>
          <w:r>
            <w:rPr>
              <w:rFonts w:ascii="Times New Roman" w:eastAsia="Times New Roman" w:hAnsi="Times New Roman" w:cs="Times New Roman"/>
              <w:b/>
              <w:vanish w:val="0"/>
              <w:color w:val="000000"/>
              <w:sz w:val="32"/>
            </w:rPr>
            <w:t>SL</w:t>
          </w:r>
        </w:p>
      </w:tc>
      <w:tc>
        <w:tcPr>
          <w:tcMar>
            <w:start w:w="5pt" w:type="dxa"/>
            <w:end w:w="5pt" w:type="dxa"/>
          </w:tcMar>
          <w:vAlign w:val="top"/>
        </w:tcPr>
        <w:p>
          <w:pPr>
            <w:jc w:val="center"/>
            <w:rPr>
              <w:rFonts w:ascii="Times New Roman" w:eastAsia="Times New Roman" w:hAnsi="Times New Roman" w:cs="Times New Roman"/>
              <w:b/>
              <w:vanish w:val="0"/>
              <w:color w:val="000000"/>
              <w:sz w:val="32"/>
            </w:rPr>
          </w:pPr>
          <w:r>
            <w:rPr>
              <w:rFonts w:ascii="Times New Roman" w:eastAsia="Times New Roman" w:hAnsi="Times New Roman" w:cs="Times New Roman"/>
              <w:b/>
              <w:vanish w:val="0"/>
              <w:color w:val="000000"/>
              <w:sz w:val="24"/>
            </w:rPr>
            <w:fldChar w:fldCharType="begin"/>
          </w:r>
          <w:r>
            <w:rPr>
              <w:rFonts w:ascii="Times New Roman" w:eastAsia="Times New Roman" w:hAnsi="Times New Roman" w:cs="Times New Roman"/>
              <w:b/>
              <w:vanish w:val="0"/>
              <w:color w:val="000000"/>
              <w:sz w:val="24"/>
            </w:rPr>
            <w:instrText>PAGE</w:instrText>
          </w:r>
          <w:r>
            <w:rPr>
              <w:rFonts w:ascii="Times New Roman" w:eastAsia="Times New Roman" w:hAnsi="Times New Roman" w:cs="Times New Roman"/>
              <w:b/>
              <w:vanish w:val="0"/>
              <w:color w:val="000000"/>
              <w:sz w:val="24"/>
            </w:rPr>
            <w:fldChar w:fldCharType="separate"/>
          </w:r>
          <w:r>
            <w:rPr>
              <w:rFonts w:ascii="Times New Roman" w:eastAsia="Times New Roman" w:hAnsi="Times New Roman" w:cs="Times New Roman"/>
              <w:b/>
              <w:noProof/>
              <w:vanish w:val="0"/>
              <w:color w:val="000000"/>
              <w:sz w:val="24"/>
              <w:szCs w:val="24"/>
              <w:lang w:val="en-US" w:eastAsia="en-US" w:bidi="ar-SA"/>
            </w:rPr>
            <w:t>8</w:t>
          </w:r>
          <w:r>
            <w:rPr>
              <w:rFonts w:ascii="Times New Roman" w:eastAsia="Times New Roman" w:hAnsi="Times New Roman" w:cs="Times New Roman"/>
              <w:b/>
              <w:vanish w:val="0"/>
              <w:color w:val="000000"/>
              <w:sz w:val="24"/>
            </w:rPr>
            <w:fldChar w:fldCharType="end"/>
          </w:r>
        </w:p>
      </w:tc>
      <w:tc>
        <w:tcPr>
          <w:tcMar>
            <w:start w:w="5pt" w:type="dxa"/>
            <w:end w:w="5pt" w:type="dxa"/>
          </w:tcMar>
          <w:vAlign w:val="top"/>
        </w:tcPr>
        <w:p>
          <w:pPr>
            <w:jc w:val="end"/>
            <w:rPr>
              <w:rFonts w:ascii="Times New Roman" w:eastAsia="Times New Roman" w:hAnsi="Times New Roman" w:cs="Times New Roman"/>
              <w:b/>
              <w:vanish w:val="0"/>
              <w:color w:val="000000"/>
              <w:sz w:val="32"/>
            </w:rPr>
          </w:pPr>
          <w:r>
            <w:rPr>
              <w:rFonts w:ascii="Times New Roman" w:eastAsia="Times New Roman" w:hAnsi="Times New Roman" w:cs="Times New Roman"/>
              <w:b/>
              <w:vanish w:val="0"/>
              <w:color w:val="000000"/>
              <w:sz w:val="32"/>
            </w:rPr>
            <w:t>SL</w:t>
          </w:r>
        </w:p>
      </w:tc>
    </w:tr>
  </w:tbl>
  <w:p>
    <w:pPr>
      <w:rPr>
        <w:rFonts w:ascii="Times New Roman" w:eastAsia="Times New Roman" w:hAnsi="Times New Roman" w:cs="Times New Roman"/>
        <w:b/>
        <w:color w:val="000000"/>
      </w:rPr>
    </w:pPr>
  </w:p>
</w:ftr>
</file>

<file path=word/footer5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tbl>
    <w:tblPr>
      <w:tblW w:w="100%" w:type="pct"/>
      <w:tblCellMar>
        <w:start w:w="5.4pt" w:type="dxa"/>
        <w:end w:w="5.4pt" w:type="dxa"/>
      </w:tblCellMar>
    </w:tblPr>
    <w:tblGrid>
      <w:gridCol w:w="5661"/>
      <w:gridCol w:w="3980"/>
      <w:gridCol w:w="5661"/>
    </w:tblGrid>
    <w:tr>
      <w:tblPrEx>
        <w:tblW w:w="100%" w:type="pct"/>
      </w:tblPrEx>
      <w:trPr>
        <w:cantSplit w:val="0"/>
        <w:trHeight w:hRule="auto" w:val="0"/>
        <w:tblHeader w:val="0"/>
      </w:trPr>
      <w:tc>
        <w:tcPr>
          <w:tcMar>
            <w:top w:w="0pt" w:type="dxa"/>
            <w:start w:w="3pt" w:type="dxa"/>
            <w:bottom w:w="4pt" w:type="dxa"/>
            <w:end w:w="3pt" w:type="dxa"/>
          </w:tcMar>
          <w:vAlign w:val="center"/>
        </w:tcPr>
        <w:p>
          <w:pPr>
            <w:jc w:val="start"/>
            <w:rPr>
              <w:rFonts w:ascii="Times New Roman" w:eastAsia="Times New Roman" w:hAnsi="Times New Roman" w:cs="Times New Roman"/>
              <w:b/>
              <w:vanish w:val="0"/>
              <w:color w:val="000000"/>
              <w:sz w:val="24"/>
            </w:rPr>
          </w:pPr>
          <w:r>
            <w:rPr>
              <w:rFonts w:ascii="Times New Roman" w:eastAsia="Times New Roman" w:hAnsi="Times New Roman" w:cs="Times New Roman"/>
              <w:b/>
              <w:vanish w:val="0"/>
              <w:color w:val="000000"/>
              <w:sz w:val="32"/>
            </w:rPr>
            <w:t>SL</w:t>
          </w:r>
        </w:p>
      </w:tc>
      <w:tc>
        <w:tcPr>
          <w:tcMar>
            <w:top w:w="0pt" w:type="dxa"/>
            <w:start w:w="3pt" w:type="dxa"/>
            <w:bottom w:w="4pt" w:type="dxa"/>
            <w:end w:w="3pt" w:type="dxa"/>
          </w:tcMar>
          <w:vAlign w:val="center"/>
        </w:tcPr>
        <w:p>
          <w:pPr>
            <w:jc w:val="center"/>
            <w:rPr>
              <w:rFonts w:ascii="Times New Roman" w:eastAsia="Times New Roman" w:hAnsi="Times New Roman" w:cs="Times New Roman"/>
              <w:b/>
              <w:vanish w:val="0"/>
              <w:color w:val="000000"/>
              <w:sz w:val="32"/>
            </w:rPr>
          </w:pPr>
          <w:r>
            <w:rPr>
              <w:rFonts w:ascii="Times New Roman" w:eastAsia="Times New Roman" w:hAnsi="Times New Roman" w:cs="Times New Roman"/>
              <w:b/>
              <w:vanish w:val="0"/>
              <w:color w:val="000000"/>
              <w:sz w:val="24"/>
            </w:rPr>
            <w:fldChar w:fldCharType="begin"/>
          </w:r>
          <w:r>
            <w:rPr>
              <w:rFonts w:ascii="Times New Roman" w:eastAsia="Times New Roman" w:hAnsi="Times New Roman" w:cs="Times New Roman"/>
              <w:b/>
              <w:vanish w:val="0"/>
              <w:color w:val="000000"/>
              <w:sz w:val="24"/>
            </w:rPr>
            <w:instrText>PAGE</w:instrText>
          </w:r>
          <w:r>
            <w:rPr>
              <w:rFonts w:ascii="Times New Roman" w:eastAsia="Times New Roman" w:hAnsi="Times New Roman" w:cs="Times New Roman"/>
              <w:b/>
              <w:vanish w:val="0"/>
              <w:color w:val="000000"/>
              <w:sz w:val="24"/>
            </w:rPr>
            <w:fldChar w:fldCharType="separate"/>
          </w:r>
          <w:r>
            <w:rPr>
              <w:rFonts w:ascii="Times New Roman" w:eastAsia="Times New Roman" w:hAnsi="Times New Roman" w:cs="Times New Roman"/>
              <w:b/>
              <w:noProof/>
              <w:vanish w:val="0"/>
              <w:color w:val="000000"/>
              <w:sz w:val="24"/>
              <w:szCs w:val="24"/>
              <w:lang w:val="en-US" w:eastAsia="en-US" w:bidi="ar-SA"/>
            </w:rPr>
            <w:t>67</w:t>
          </w:r>
          <w:r>
            <w:rPr>
              <w:rFonts w:ascii="Times New Roman" w:eastAsia="Times New Roman" w:hAnsi="Times New Roman" w:cs="Times New Roman"/>
              <w:b/>
              <w:vanish w:val="0"/>
              <w:color w:val="000000"/>
              <w:sz w:val="24"/>
            </w:rPr>
            <w:fldChar w:fldCharType="end"/>
          </w:r>
        </w:p>
      </w:tc>
      <w:tc>
        <w:tcPr>
          <w:tcMar>
            <w:top w:w="0pt" w:type="dxa"/>
            <w:start w:w="3pt" w:type="dxa"/>
            <w:bottom w:w="4pt" w:type="dxa"/>
            <w:end w:w="3pt" w:type="dxa"/>
          </w:tcMar>
          <w:vAlign w:val="center"/>
        </w:tcPr>
        <w:p>
          <w:pPr>
            <w:jc w:val="end"/>
            <w:rPr>
              <w:rFonts w:ascii="Times New Roman" w:eastAsia="Times New Roman" w:hAnsi="Times New Roman" w:cs="Times New Roman"/>
              <w:b/>
              <w:vanish w:val="0"/>
              <w:color w:val="000000"/>
              <w:sz w:val="32"/>
            </w:rPr>
          </w:pPr>
          <w:r>
            <w:rPr>
              <w:rFonts w:ascii="Times New Roman" w:eastAsia="Times New Roman" w:hAnsi="Times New Roman" w:cs="Times New Roman"/>
              <w:b/>
              <w:vanish w:val="0"/>
              <w:color w:val="000000"/>
              <w:sz w:val="32"/>
            </w:rPr>
            <w:t>SL</w:t>
          </w:r>
        </w:p>
      </w:tc>
    </w:tr>
  </w:tbl>
  <w:p>
    <w:pPr>
      <w:rPr>
        <w:rFonts w:ascii="Times New Roman" w:eastAsia="Times New Roman" w:hAnsi="Times New Roman" w:cs="Times New Roman"/>
        <w:b/>
        <w:color w:val="000000"/>
      </w:rPr>
    </w:pPr>
  </w:p>
</w:ftr>
</file>

<file path=word/footer5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ftr>
</file>

<file path=word/footer5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ftr>
</file>

<file path=word/footer5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tbl>
    <w:tblPr>
      <w:tblW w:w="100%" w:type="pct"/>
      <w:tblCellMar>
        <w:start w:w="5.4pt" w:type="dxa"/>
        <w:end w:w="5.4pt" w:type="dxa"/>
      </w:tblCellMar>
    </w:tblPr>
    <w:tblGrid>
      <w:gridCol w:w="5661"/>
      <w:gridCol w:w="3980"/>
      <w:gridCol w:w="5661"/>
    </w:tblGrid>
    <w:tr>
      <w:tblPrEx>
        <w:tblW w:w="100%" w:type="pct"/>
      </w:tblPrEx>
      <w:trPr>
        <w:cantSplit w:val="0"/>
        <w:trHeight w:hRule="auto" w:val="0"/>
      </w:trPr>
      <w:tc>
        <w:tcPr>
          <w:tcMar>
            <w:top w:w="0pt" w:type="dxa"/>
            <w:start w:w="3pt" w:type="dxa"/>
            <w:bottom w:w="4pt" w:type="dxa"/>
            <w:end w:w="3pt" w:type="dxa"/>
          </w:tcMar>
          <w:vAlign w:val="top"/>
        </w:tcPr>
        <w:p>
          <w:pPr>
            <w:jc w:val="start"/>
            <w:rPr>
              <w:rFonts w:ascii="Times New Roman" w:eastAsia="Times New Roman" w:hAnsi="Times New Roman" w:cs="Times New Roman"/>
              <w:b/>
              <w:vanish w:val="0"/>
              <w:color w:val="000000"/>
              <w:sz w:val="24"/>
            </w:rPr>
          </w:pPr>
          <w:r>
            <w:rPr>
              <w:rFonts w:ascii="Times New Roman" w:eastAsia="Times New Roman" w:hAnsi="Times New Roman" w:cs="Times New Roman"/>
              <w:b/>
              <w:vanish w:val="0"/>
              <w:color w:val="000000"/>
              <w:sz w:val="32"/>
            </w:rPr>
            <w:t>SL</w:t>
          </w:r>
        </w:p>
      </w:tc>
      <w:tc>
        <w:tcPr>
          <w:tcMar>
            <w:top w:w="0pt" w:type="dxa"/>
            <w:start w:w="3pt" w:type="dxa"/>
            <w:bottom w:w="4pt" w:type="dxa"/>
            <w:end w:w="3pt" w:type="dxa"/>
          </w:tcMar>
          <w:vAlign w:val="top"/>
        </w:tcPr>
        <w:p>
          <w:pPr>
            <w:jc w:val="center"/>
            <w:rPr>
              <w:rFonts w:ascii="Times New Roman" w:eastAsia="Times New Roman" w:hAnsi="Times New Roman" w:cs="Times New Roman"/>
              <w:b/>
              <w:vanish w:val="0"/>
              <w:color w:val="000000"/>
              <w:sz w:val="32"/>
            </w:rPr>
          </w:pPr>
          <w:r>
            <w:rPr>
              <w:rFonts w:ascii="Times New Roman" w:eastAsia="Times New Roman" w:hAnsi="Times New Roman" w:cs="Times New Roman"/>
              <w:b/>
              <w:vanish w:val="0"/>
              <w:color w:val="000000"/>
              <w:sz w:val="24"/>
            </w:rPr>
            <w:fldChar w:fldCharType="begin"/>
          </w:r>
          <w:r>
            <w:rPr>
              <w:rFonts w:ascii="Times New Roman" w:eastAsia="Times New Roman" w:hAnsi="Times New Roman" w:cs="Times New Roman"/>
              <w:b/>
              <w:vanish w:val="0"/>
              <w:color w:val="000000"/>
              <w:sz w:val="24"/>
            </w:rPr>
            <w:instrText>PAGE</w:instrText>
          </w:r>
          <w:r>
            <w:rPr>
              <w:rFonts w:ascii="Times New Roman" w:eastAsia="Times New Roman" w:hAnsi="Times New Roman" w:cs="Times New Roman"/>
              <w:b/>
              <w:vanish w:val="0"/>
              <w:color w:val="000000"/>
              <w:sz w:val="24"/>
            </w:rPr>
            <w:fldChar w:fldCharType="separate"/>
          </w:r>
          <w:r>
            <w:rPr>
              <w:rFonts w:ascii="Times New Roman" w:eastAsia="Times New Roman" w:hAnsi="Times New Roman" w:cs="Times New Roman"/>
              <w:b/>
              <w:noProof/>
              <w:vanish w:val="0"/>
              <w:color w:val="000000"/>
              <w:sz w:val="24"/>
              <w:szCs w:val="24"/>
              <w:lang w:val="en-US" w:eastAsia="en-US" w:bidi="ar-SA"/>
            </w:rPr>
            <w:t>68</w:t>
          </w:r>
          <w:r>
            <w:rPr>
              <w:rFonts w:ascii="Times New Roman" w:eastAsia="Times New Roman" w:hAnsi="Times New Roman" w:cs="Times New Roman"/>
              <w:b/>
              <w:vanish w:val="0"/>
              <w:color w:val="000000"/>
              <w:sz w:val="24"/>
            </w:rPr>
            <w:fldChar w:fldCharType="end"/>
          </w:r>
        </w:p>
      </w:tc>
      <w:tc>
        <w:tcPr>
          <w:tcMar>
            <w:top w:w="0pt" w:type="dxa"/>
            <w:start w:w="3pt" w:type="dxa"/>
            <w:bottom w:w="4pt" w:type="dxa"/>
            <w:end w:w="3pt" w:type="dxa"/>
          </w:tcMar>
          <w:vAlign w:val="top"/>
        </w:tcPr>
        <w:p>
          <w:pPr>
            <w:jc w:val="end"/>
            <w:rPr>
              <w:rFonts w:ascii="Times New Roman" w:eastAsia="Times New Roman" w:hAnsi="Times New Roman" w:cs="Times New Roman"/>
              <w:b/>
              <w:vanish w:val="0"/>
              <w:color w:val="000000"/>
              <w:sz w:val="32"/>
            </w:rPr>
          </w:pPr>
          <w:r>
            <w:rPr>
              <w:rFonts w:ascii="Times New Roman" w:eastAsia="Times New Roman" w:hAnsi="Times New Roman" w:cs="Times New Roman"/>
              <w:b/>
              <w:vanish w:val="0"/>
              <w:color w:val="000000"/>
              <w:sz w:val="32"/>
            </w:rPr>
            <w:t>SL</w:t>
          </w:r>
        </w:p>
      </w:tc>
    </w:tr>
  </w:tbl>
  <w:p>
    <w:pPr>
      <w:rPr>
        <w:rFonts w:ascii="Times New Roman" w:eastAsia="Times New Roman" w:hAnsi="Times New Roman" w:cs="Times New Roman"/>
        <w:b/>
        <w:color w:val="000000"/>
      </w:rPr>
    </w:pPr>
  </w:p>
</w:ftr>
</file>

<file path=word/footer5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tbl>
    <w:tblPr>
      <w:tblW w:w="100%" w:type="pct"/>
      <w:tblCellMar>
        <w:start w:w="5.4pt" w:type="dxa"/>
        <w:end w:w="5.4pt" w:type="dxa"/>
      </w:tblCellMar>
    </w:tblPr>
    <w:tblGrid>
      <w:gridCol w:w="3837"/>
      <w:gridCol w:w="2697"/>
      <w:gridCol w:w="3836"/>
    </w:tblGrid>
    <w:tr>
      <w:tblPrEx>
        <w:tblW w:w="100%" w:type="pct"/>
      </w:tblPrEx>
      <w:trPr>
        <w:cantSplit w:val="0"/>
        <w:trHeight w:val="160"/>
        <w:tblHeader w:val="0"/>
      </w:trPr>
      <w:tc>
        <w:tcPr>
          <w:tcMar>
            <w:top w:w="0pt" w:type="dxa"/>
            <w:start w:w="3pt" w:type="dxa"/>
            <w:bottom w:w="4pt" w:type="dxa"/>
            <w:end w:w="3pt" w:type="dxa"/>
          </w:tcMar>
          <w:vAlign w:val="top"/>
        </w:tcPr>
        <w:p>
          <w:pPr>
            <w:jc w:val="start"/>
            <w:rPr>
              <w:rFonts w:ascii="Times New Roman" w:eastAsia="Times New Roman" w:hAnsi="Times New Roman" w:cs="Times New Roman"/>
              <w:b/>
              <w:vanish w:val="0"/>
              <w:color w:val="000000"/>
              <w:sz w:val="24"/>
            </w:rPr>
          </w:pPr>
          <w:r>
            <w:rPr>
              <w:rFonts w:ascii="Times New Roman" w:eastAsia="Times New Roman" w:hAnsi="Times New Roman" w:cs="Times New Roman"/>
              <w:b/>
              <w:vanish w:val="0"/>
              <w:color w:val="000000"/>
              <w:sz w:val="32"/>
            </w:rPr>
            <w:t>SL</w:t>
          </w:r>
        </w:p>
      </w:tc>
      <w:tc>
        <w:tcPr>
          <w:tcMar>
            <w:top w:w="0pt" w:type="dxa"/>
            <w:start w:w="3pt" w:type="dxa"/>
            <w:bottom w:w="4pt" w:type="dxa"/>
            <w:end w:w="3pt" w:type="dxa"/>
          </w:tcMar>
          <w:vAlign w:val="top"/>
        </w:tcPr>
        <w:p>
          <w:pPr>
            <w:jc w:val="center"/>
            <w:rPr>
              <w:rFonts w:ascii="Times New Roman" w:eastAsia="Times New Roman" w:hAnsi="Times New Roman" w:cs="Times New Roman"/>
              <w:b/>
              <w:vanish w:val="0"/>
              <w:color w:val="000000"/>
              <w:sz w:val="32"/>
            </w:rPr>
          </w:pPr>
          <w:r>
            <w:rPr>
              <w:rFonts w:ascii="Times New Roman" w:eastAsia="Times New Roman" w:hAnsi="Times New Roman" w:cs="Times New Roman"/>
              <w:b/>
              <w:vanish w:val="0"/>
              <w:color w:val="000000"/>
              <w:sz w:val="24"/>
            </w:rPr>
            <w:fldChar w:fldCharType="begin"/>
          </w:r>
          <w:r>
            <w:rPr>
              <w:rFonts w:ascii="Times New Roman" w:eastAsia="Times New Roman" w:hAnsi="Times New Roman" w:cs="Times New Roman"/>
              <w:b/>
              <w:vanish w:val="0"/>
              <w:color w:val="000000"/>
              <w:sz w:val="24"/>
            </w:rPr>
            <w:instrText>PAGE</w:instrText>
          </w:r>
          <w:r>
            <w:rPr>
              <w:rFonts w:ascii="Times New Roman" w:eastAsia="Times New Roman" w:hAnsi="Times New Roman" w:cs="Times New Roman"/>
              <w:b/>
              <w:vanish w:val="0"/>
              <w:color w:val="000000"/>
              <w:sz w:val="24"/>
            </w:rPr>
            <w:fldChar w:fldCharType="separate"/>
          </w:r>
          <w:r>
            <w:rPr>
              <w:rFonts w:ascii="Times New Roman" w:eastAsia="Times New Roman" w:hAnsi="Times New Roman" w:cs="Times New Roman"/>
              <w:b/>
              <w:noProof/>
              <w:vanish w:val="0"/>
              <w:color w:val="000000"/>
              <w:sz w:val="24"/>
              <w:szCs w:val="24"/>
              <w:lang w:val="en-US" w:eastAsia="en-US" w:bidi="ar-SA"/>
            </w:rPr>
            <w:t>14</w:t>
          </w:r>
          <w:r>
            <w:rPr>
              <w:rFonts w:ascii="Times New Roman" w:eastAsia="Times New Roman" w:hAnsi="Times New Roman" w:cs="Times New Roman"/>
              <w:b/>
              <w:vanish w:val="0"/>
              <w:color w:val="000000"/>
              <w:sz w:val="24"/>
            </w:rPr>
            <w:fldChar w:fldCharType="end"/>
          </w:r>
        </w:p>
      </w:tc>
      <w:tc>
        <w:tcPr>
          <w:tcMar>
            <w:top w:w="0pt" w:type="dxa"/>
            <w:start w:w="3pt" w:type="dxa"/>
            <w:bottom w:w="4pt" w:type="dxa"/>
            <w:end w:w="3pt" w:type="dxa"/>
          </w:tcMar>
          <w:vAlign w:val="top"/>
        </w:tcPr>
        <w:p>
          <w:pPr>
            <w:jc w:val="end"/>
            <w:rPr>
              <w:rFonts w:ascii="Times New Roman" w:eastAsia="Times New Roman" w:hAnsi="Times New Roman" w:cs="Times New Roman"/>
              <w:b/>
              <w:vanish w:val="0"/>
              <w:color w:val="000000"/>
              <w:sz w:val="32"/>
            </w:rPr>
          </w:pPr>
          <w:r>
            <w:rPr>
              <w:rFonts w:ascii="Times New Roman" w:eastAsia="Times New Roman" w:hAnsi="Times New Roman" w:cs="Times New Roman"/>
              <w:b/>
              <w:vanish w:val="0"/>
              <w:color w:val="000000"/>
              <w:sz w:val="32"/>
            </w:rPr>
            <w:t>SL</w:t>
          </w:r>
        </w:p>
      </w:tc>
    </w:tr>
  </w:tbl>
  <w:p>
    <w:pPr>
      <w:rPr>
        <w:rFonts w:ascii="Times New Roman" w:eastAsia="Times New Roman" w:hAnsi="Times New Roman" w:cs="Times New Roman"/>
        <w:b/>
        <w:color w:val="000000"/>
      </w:rP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hdr>
</file>

<file path=word/header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hdr>
</file>

<file path=word/header2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hdr>
</file>

<file path=word/header2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hdr>
</file>

<file path=word/header2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hdr>
</file>

<file path=word/header2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hdr>
</file>

<file path=word/header2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hdr>
</file>

<file path=word/header2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hdr>
</file>

<file path=word/header2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hdr>
</file>

<file path=word/header2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hdr>
</file>

<file path=word/header2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hdr>
</file>

<file path=word/header2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hdr>
</file>

<file path=word/header3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hdr>
</file>

<file path=word/header3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hdr>
</file>

<file path=word/header3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hdr>
</file>

<file path=word/header3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hdr>
</file>

<file path=word/header3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hdr>
</file>

<file path=word/header3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hdr>
</file>

<file path=word/header3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hdr>
</file>

<file path=word/header3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hdr>
</file>

<file path=word/header3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hdr>
</file>

<file path=word/header3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hdr>
</file>

<file path=word/header4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hdr>
</file>

<file path=word/header4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hdr>
</file>

<file path=word/header4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hdr>
</file>

<file path=word/header4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hdr>
</file>

<file path=word/header4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hdr>
</file>

<file path=word/header4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hdr>
</file>

<file path=word/header4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hdr>
</file>

<file path=word/header4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hdr>
</file>

<file path=word/header4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hdr>
</file>

<file path=word/header4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hdr>
</file>

<file path=word/header5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hdr>
</file>

<file path=word/header5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hdr>
</file>

<file path=word/header5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hdr>
</file>

<file path=word/header5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hdr>
</file>

<file path=word/header5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0000001"/>
    <w:multiLevelType w:val="hybridMultilevel"/>
    <w:tmpl w:val="00000001"/>
    <w:lvl w:ilvl="0">
      <w:start w:val="1"/>
      <w:numFmt w:val="bullet"/>
      <w:lvlText w:val=""/>
      <w:lvlJc w:val="start"/>
      <w:pPr>
        <w:ind w:start="720" w:hanging="360"/>
      </w:pPr>
      <w:rPr>
        <w:rFonts w:ascii="Symbol" w:hAnsi="Symbol"/>
      </w:rPr>
    </w:lvl>
    <w:lvl w:ilvl="1">
      <w:start w:val="1"/>
      <w:numFmt w:val="bullet"/>
      <w:lvlText w:val="o"/>
      <w:lvlJc w:val="start"/>
      <w:pPr>
        <w:tabs>
          <w:tab w:val="num" w:pos="1440"/>
        </w:tabs>
        <w:ind w:start="1440" w:hanging="360"/>
      </w:pPr>
      <w:rPr>
        <w:rFonts w:ascii="Courier New" w:hAnsi="Courier New"/>
      </w:rPr>
    </w:lvl>
    <w:lvl w:ilvl="2">
      <w:start w:val="1"/>
      <w:numFmt w:val="bullet"/>
      <w:lvlText w:val=""/>
      <w:lvlJc w:val="start"/>
      <w:pPr>
        <w:tabs>
          <w:tab w:val="num" w:pos="2160"/>
        </w:tabs>
        <w:ind w:start="2160" w:hanging="360"/>
      </w:pPr>
      <w:rPr>
        <w:rFonts w:ascii="Wingdings" w:hAnsi="Wingdings"/>
      </w:rPr>
    </w:lvl>
    <w:lvl w:ilvl="3">
      <w:start w:val="1"/>
      <w:numFmt w:val="bullet"/>
      <w:lvlText w:val=""/>
      <w:lvlJc w:val="start"/>
      <w:pPr>
        <w:tabs>
          <w:tab w:val="num" w:pos="2880"/>
        </w:tabs>
        <w:ind w:start="2880" w:hanging="360"/>
      </w:pPr>
      <w:rPr>
        <w:rFonts w:ascii="Symbol" w:hAnsi="Symbol"/>
      </w:rPr>
    </w:lvl>
    <w:lvl w:ilvl="4">
      <w:start w:val="1"/>
      <w:numFmt w:val="bullet"/>
      <w:lvlText w:val="o"/>
      <w:lvlJc w:val="start"/>
      <w:pPr>
        <w:tabs>
          <w:tab w:val="num" w:pos="3600"/>
        </w:tabs>
        <w:ind w:start="3600" w:hanging="360"/>
      </w:pPr>
      <w:rPr>
        <w:rFonts w:ascii="Courier New" w:hAnsi="Courier New"/>
      </w:rPr>
    </w:lvl>
    <w:lvl w:ilvl="5">
      <w:start w:val="1"/>
      <w:numFmt w:val="bullet"/>
      <w:lvlText w:val=""/>
      <w:lvlJc w:val="start"/>
      <w:pPr>
        <w:tabs>
          <w:tab w:val="num" w:pos="4320"/>
        </w:tabs>
        <w:ind w:start="4320" w:hanging="360"/>
      </w:pPr>
      <w:rPr>
        <w:rFonts w:ascii="Wingdings" w:hAnsi="Wingdings"/>
      </w:rPr>
    </w:lvl>
    <w:lvl w:ilvl="6">
      <w:start w:val="1"/>
      <w:numFmt w:val="bullet"/>
      <w:lvlText w:val=""/>
      <w:lvlJc w:val="start"/>
      <w:pPr>
        <w:tabs>
          <w:tab w:val="num" w:pos="5040"/>
        </w:tabs>
        <w:ind w:start="5040" w:hanging="360"/>
      </w:pPr>
      <w:rPr>
        <w:rFonts w:ascii="Symbol" w:hAnsi="Symbol"/>
      </w:rPr>
    </w:lvl>
    <w:lvl w:ilvl="7">
      <w:start w:val="1"/>
      <w:numFmt w:val="bullet"/>
      <w:lvlText w:val="o"/>
      <w:lvlJc w:val="start"/>
      <w:pPr>
        <w:tabs>
          <w:tab w:val="num" w:pos="5760"/>
        </w:tabs>
        <w:ind w:start="5760" w:hanging="360"/>
      </w:pPr>
      <w:rPr>
        <w:rFonts w:ascii="Courier New" w:hAnsi="Courier New"/>
      </w:rPr>
    </w:lvl>
    <w:lvl w:ilvl="8">
      <w:start w:val="1"/>
      <w:numFmt w:val="bullet"/>
      <w:lvlText w:val=""/>
      <w:lvlJc w:val="start"/>
      <w:pPr>
        <w:tabs>
          <w:tab w:val="num" w:pos="6480"/>
        </w:tabs>
        <w:ind w:start="6480" w:hanging="360"/>
      </w:pPr>
      <w:rPr>
        <w:rFonts w:ascii="Wingdings" w:hAnsi="Wingdings"/>
      </w:rPr>
    </w:lvl>
  </w:abstractNum>
  <w:abstractNum w:abstractNumId="1">
    <w:nsid w:val="00000002"/>
    <w:multiLevelType w:val="hybridMultilevel"/>
    <w:tmpl w:val="00000002"/>
    <w:lvl w:ilvl="0">
      <w:start w:val="1"/>
      <w:numFmt w:val="bullet"/>
      <w:lvlText w:val=""/>
      <w:lvlJc w:val="start"/>
      <w:pPr>
        <w:ind w:start="720" w:hanging="360"/>
      </w:pPr>
      <w:rPr>
        <w:rFonts w:ascii="Symbol" w:hAnsi="Symbol"/>
      </w:rPr>
    </w:lvl>
    <w:lvl w:ilvl="1">
      <w:start w:val="1"/>
      <w:numFmt w:val="bullet"/>
      <w:lvlText w:val="o"/>
      <w:lvlJc w:val="start"/>
      <w:pPr>
        <w:tabs>
          <w:tab w:val="num" w:pos="1440"/>
        </w:tabs>
        <w:ind w:start="1440" w:hanging="360"/>
      </w:pPr>
      <w:rPr>
        <w:rFonts w:ascii="Courier New" w:hAnsi="Courier New"/>
      </w:rPr>
    </w:lvl>
    <w:lvl w:ilvl="2">
      <w:start w:val="1"/>
      <w:numFmt w:val="bullet"/>
      <w:lvlText w:val=""/>
      <w:lvlJc w:val="start"/>
      <w:pPr>
        <w:tabs>
          <w:tab w:val="num" w:pos="2160"/>
        </w:tabs>
        <w:ind w:start="2160" w:hanging="360"/>
      </w:pPr>
      <w:rPr>
        <w:rFonts w:ascii="Wingdings" w:hAnsi="Wingdings"/>
      </w:rPr>
    </w:lvl>
    <w:lvl w:ilvl="3">
      <w:start w:val="1"/>
      <w:numFmt w:val="bullet"/>
      <w:lvlText w:val=""/>
      <w:lvlJc w:val="start"/>
      <w:pPr>
        <w:tabs>
          <w:tab w:val="num" w:pos="2880"/>
        </w:tabs>
        <w:ind w:start="2880" w:hanging="360"/>
      </w:pPr>
      <w:rPr>
        <w:rFonts w:ascii="Symbol" w:hAnsi="Symbol"/>
      </w:rPr>
    </w:lvl>
    <w:lvl w:ilvl="4">
      <w:start w:val="1"/>
      <w:numFmt w:val="bullet"/>
      <w:lvlText w:val="o"/>
      <w:lvlJc w:val="start"/>
      <w:pPr>
        <w:tabs>
          <w:tab w:val="num" w:pos="3600"/>
        </w:tabs>
        <w:ind w:start="3600" w:hanging="360"/>
      </w:pPr>
      <w:rPr>
        <w:rFonts w:ascii="Courier New" w:hAnsi="Courier New"/>
      </w:rPr>
    </w:lvl>
    <w:lvl w:ilvl="5">
      <w:start w:val="1"/>
      <w:numFmt w:val="bullet"/>
      <w:lvlText w:val=""/>
      <w:lvlJc w:val="start"/>
      <w:pPr>
        <w:tabs>
          <w:tab w:val="num" w:pos="4320"/>
        </w:tabs>
        <w:ind w:start="4320" w:hanging="360"/>
      </w:pPr>
      <w:rPr>
        <w:rFonts w:ascii="Wingdings" w:hAnsi="Wingdings"/>
      </w:rPr>
    </w:lvl>
    <w:lvl w:ilvl="6">
      <w:start w:val="1"/>
      <w:numFmt w:val="bullet"/>
      <w:lvlText w:val=""/>
      <w:lvlJc w:val="start"/>
      <w:pPr>
        <w:tabs>
          <w:tab w:val="num" w:pos="5040"/>
        </w:tabs>
        <w:ind w:start="5040" w:hanging="360"/>
      </w:pPr>
      <w:rPr>
        <w:rFonts w:ascii="Symbol" w:hAnsi="Symbol"/>
      </w:rPr>
    </w:lvl>
    <w:lvl w:ilvl="7">
      <w:start w:val="1"/>
      <w:numFmt w:val="bullet"/>
      <w:lvlText w:val="o"/>
      <w:lvlJc w:val="start"/>
      <w:pPr>
        <w:tabs>
          <w:tab w:val="num" w:pos="5760"/>
        </w:tabs>
        <w:ind w:start="5760" w:hanging="360"/>
      </w:pPr>
      <w:rPr>
        <w:rFonts w:ascii="Courier New" w:hAnsi="Courier New"/>
      </w:rPr>
    </w:lvl>
    <w:lvl w:ilvl="8">
      <w:start w:val="1"/>
      <w:numFmt w:val="bullet"/>
      <w:lvlText w:val=""/>
      <w:lvlJc w:val="start"/>
      <w:pPr>
        <w:tabs>
          <w:tab w:val="num" w:pos="6480"/>
        </w:tabs>
        <w:ind w:start="6480" w:hanging="360"/>
      </w:pPr>
      <w:rPr>
        <w:rFonts w:ascii="Wingdings" w:hAnsi="Wingdings"/>
      </w:rPr>
    </w:lvl>
  </w:abstractNum>
  <w:abstractNum w:abstractNumId="2">
    <w:nsid w:val="00000003"/>
    <w:multiLevelType w:val="hybridMultilevel"/>
    <w:tmpl w:val="00000003"/>
    <w:lvl w:ilvl="0">
      <w:start w:val="1"/>
      <w:numFmt w:val="bullet"/>
      <w:lvlText w:val=""/>
      <w:lvlJc w:val="start"/>
      <w:pPr>
        <w:ind w:start="720" w:hanging="360"/>
      </w:pPr>
      <w:rPr>
        <w:rFonts w:ascii="Symbol" w:hAnsi="Symbol"/>
      </w:rPr>
    </w:lvl>
    <w:lvl w:ilvl="1">
      <w:start w:val="1"/>
      <w:numFmt w:val="bullet"/>
      <w:lvlText w:val="o"/>
      <w:lvlJc w:val="start"/>
      <w:pPr>
        <w:tabs>
          <w:tab w:val="num" w:pos="1440"/>
        </w:tabs>
        <w:ind w:start="1440" w:hanging="360"/>
      </w:pPr>
      <w:rPr>
        <w:rFonts w:ascii="Courier New" w:hAnsi="Courier New"/>
      </w:rPr>
    </w:lvl>
    <w:lvl w:ilvl="2">
      <w:start w:val="1"/>
      <w:numFmt w:val="bullet"/>
      <w:lvlText w:val=""/>
      <w:lvlJc w:val="start"/>
      <w:pPr>
        <w:tabs>
          <w:tab w:val="num" w:pos="2160"/>
        </w:tabs>
        <w:ind w:start="2160" w:hanging="360"/>
      </w:pPr>
      <w:rPr>
        <w:rFonts w:ascii="Wingdings" w:hAnsi="Wingdings"/>
      </w:rPr>
    </w:lvl>
    <w:lvl w:ilvl="3">
      <w:start w:val="1"/>
      <w:numFmt w:val="bullet"/>
      <w:lvlText w:val=""/>
      <w:lvlJc w:val="start"/>
      <w:pPr>
        <w:tabs>
          <w:tab w:val="num" w:pos="2880"/>
        </w:tabs>
        <w:ind w:start="2880" w:hanging="360"/>
      </w:pPr>
      <w:rPr>
        <w:rFonts w:ascii="Symbol" w:hAnsi="Symbol"/>
      </w:rPr>
    </w:lvl>
    <w:lvl w:ilvl="4">
      <w:start w:val="1"/>
      <w:numFmt w:val="bullet"/>
      <w:lvlText w:val="o"/>
      <w:lvlJc w:val="start"/>
      <w:pPr>
        <w:tabs>
          <w:tab w:val="num" w:pos="3600"/>
        </w:tabs>
        <w:ind w:start="3600" w:hanging="360"/>
      </w:pPr>
      <w:rPr>
        <w:rFonts w:ascii="Courier New" w:hAnsi="Courier New"/>
      </w:rPr>
    </w:lvl>
    <w:lvl w:ilvl="5">
      <w:start w:val="1"/>
      <w:numFmt w:val="bullet"/>
      <w:lvlText w:val=""/>
      <w:lvlJc w:val="start"/>
      <w:pPr>
        <w:tabs>
          <w:tab w:val="num" w:pos="4320"/>
        </w:tabs>
        <w:ind w:start="4320" w:hanging="360"/>
      </w:pPr>
      <w:rPr>
        <w:rFonts w:ascii="Wingdings" w:hAnsi="Wingdings"/>
      </w:rPr>
    </w:lvl>
    <w:lvl w:ilvl="6">
      <w:start w:val="1"/>
      <w:numFmt w:val="bullet"/>
      <w:lvlText w:val=""/>
      <w:lvlJc w:val="start"/>
      <w:pPr>
        <w:tabs>
          <w:tab w:val="num" w:pos="5040"/>
        </w:tabs>
        <w:ind w:start="5040" w:hanging="360"/>
      </w:pPr>
      <w:rPr>
        <w:rFonts w:ascii="Symbol" w:hAnsi="Symbol"/>
      </w:rPr>
    </w:lvl>
    <w:lvl w:ilvl="7">
      <w:start w:val="1"/>
      <w:numFmt w:val="bullet"/>
      <w:lvlText w:val="o"/>
      <w:lvlJc w:val="start"/>
      <w:pPr>
        <w:tabs>
          <w:tab w:val="num" w:pos="5760"/>
        </w:tabs>
        <w:ind w:start="5760" w:hanging="360"/>
      </w:pPr>
      <w:rPr>
        <w:rFonts w:ascii="Courier New" w:hAnsi="Courier New"/>
      </w:rPr>
    </w:lvl>
    <w:lvl w:ilvl="8">
      <w:start w:val="1"/>
      <w:numFmt w:val="bullet"/>
      <w:lvlText w:val=""/>
      <w:lvlJc w:val="start"/>
      <w:pPr>
        <w:tabs>
          <w:tab w:val="num" w:pos="6480"/>
        </w:tabs>
        <w:ind w:start="6480" w:hanging="360"/>
      </w:pPr>
      <w:rPr>
        <w:rFonts w:ascii="Wingdings" w:hAnsi="Wingdings"/>
      </w:rPr>
    </w:lvl>
  </w:abstractNum>
  <w:abstractNum w:abstractNumId="3">
    <w:nsid w:val="00000004"/>
    <w:multiLevelType w:val="hybridMultilevel"/>
    <w:tmpl w:val="00000004"/>
    <w:lvl w:ilvl="0">
      <w:start w:val="1"/>
      <w:numFmt w:val="bullet"/>
      <w:lvlText w:val=""/>
      <w:lvlJc w:val="start"/>
      <w:pPr>
        <w:ind w:start="720" w:hanging="360"/>
      </w:pPr>
      <w:rPr>
        <w:rFonts w:ascii="Symbol" w:hAnsi="Symbol"/>
      </w:rPr>
    </w:lvl>
    <w:lvl w:ilvl="1">
      <w:start w:val="1"/>
      <w:numFmt w:val="bullet"/>
      <w:lvlText w:val="o"/>
      <w:lvlJc w:val="start"/>
      <w:pPr>
        <w:tabs>
          <w:tab w:val="num" w:pos="1440"/>
        </w:tabs>
        <w:ind w:start="1440" w:hanging="360"/>
      </w:pPr>
      <w:rPr>
        <w:rFonts w:ascii="Courier New" w:hAnsi="Courier New"/>
      </w:rPr>
    </w:lvl>
    <w:lvl w:ilvl="2">
      <w:start w:val="1"/>
      <w:numFmt w:val="bullet"/>
      <w:lvlText w:val=""/>
      <w:lvlJc w:val="start"/>
      <w:pPr>
        <w:tabs>
          <w:tab w:val="num" w:pos="2160"/>
        </w:tabs>
        <w:ind w:start="2160" w:hanging="360"/>
      </w:pPr>
      <w:rPr>
        <w:rFonts w:ascii="Wingdings" w:hAnsi="Wingdings"/>
      </w:rPr>
    </w:lvl>
    <w:lvl w:ilvl="3">
      <w:start w:val="1"/>
      <w:numFmt w:val="bullet"/>
      <w:lvlText w:val=""/>
      <w:lvlJc w:val="start"/>
      <w:pPr>
        <w:tabs>
          <w:tab w:val="num" w:pos="2880"/>
        </w:tabs>
        <w:ind w:start="2880" w:hanging="360"/>
      </w:pPr>
      <w:rPr>
        <w:rFonts w:ascii="Symbol" w:hAnsi="Symbol"/>
      </w:rPr>
    </w:lvl>
    <w:lvl w:ilvl="4">
      <w:start w:val="1"/>
      <w:numFmt w:val="bullet"/>
      <w:lvlText w:val="o"/>
      <w:lvlJc w:val="start"/>
      <w:pPr>
        <w:tabs>
          <w:tab w:val="num" w:pos="3600"/>
        </w:tabs>
        <w:ind w:start="3600" w:hanging="360"/>
      </w:pPr>
      <w:rPr>
        <w:rFonts w:ascii="Courier New" w:hAnsi="Courier New"/>
      </w:rPr>
    </w:lvl>
    <w:lvl w:ilvl="5">
      <w:start w:val="1"/>
      <w:numFmt w:val="bullet"/>
      <w:lvlText w:val=""/>
      <w:lvlJc w:val="start"/>
      <w:pPr>
        <w:tabs>
          <w:tab w:val="num" w:pos="4320"/>
        </w:tabs>
        <w:ind w:start="4320" w:hanging="360"/>
      </w:pPr>
      <w:rPr>
        <w:rFonts w:ascii="Wingdings" w:hAnsi="Wingdings"/>
      </w:rPr>
    </w:lvl>
    <w:lvl w:ilvl="6">
      <w:start w:val="1"/>
      <w:numFmt w:val="bullet"/>
      <w:lvlText w:val=""/>
      <w:lvlJc w:val="start"/>
      <w:pPr>
        <w:tabs>
          <w:tab w:val="num" w:pos="5040"/>
        </w:tabs>
        <w:ind w:start="5040" w:hanging="360"/>
      </w:pPr>
      <w:rPr>
        <w:rFonts w:ascii="Symbol" w:hAnsi="Symbol"/>
      </w:rPr>
    </w:lvl>
    <w:lvl w:ilvl="7">
      <w:start w:val="1"/>
      <w:numFmt w:val="bullet"/>
      <w:lvlText w:val="o"/>
      <w:lvlJc w:val="start"/>
      <w:pPr>
        <w:tabs>
          <w:tab w:val="num" w:pos="5760"/>
        </w:tabs>
        <w:ind w:start="5760" w:hanging="360"/>
      </w:pPr>
      <w:rPr>
        <w:rFonts w:ascii="Courier New" w:hAnsi="Courier New"/>
      </w:rPr>
    </w:lvl>
    <w:lvl w:ilvl="8">
      <w:start w:val="1"/>
      <w:numFmt w:val="bullet"/>
      <w:lvlText w:val=""/>
      <w:lvlJc w:val="start"/>
      <w:pPr>
        <w:tabs>
          <w:tab w:val="num" w:pos="6480"/>
        </w:tabs>
        <w:ind w:start="6480" w:hanging="360"/>
      </w:pPr>
      <w:rPr>
        <w:rFonts w:ascii="Wingdings" w:hAnsi="Wingdings"/>
      </w:rPr>
    </w:lvl>
  </w:abstractNum>
  <w:abstractNum w:abstractNumId="4">
    <w:nsid w:val="00000005"/>
    <w:multiLevelType w:val="hybridMultilevel"/>
    <w:tmpl w:val="00000005"/>
    <w:lvl w:ilvl="0">
      <w:start w:val="1"/>
      <w:numFmt w:val="bullet"/>
      <w:lvlText w:val=""/>
      <w:lvlJc w:val="start"/>
      <w:pPr>
        <w:ind w:start="720" w:hanging="360"/>
      </w:pPr>
      <w:rPr>
        <w:rFonts w:ascii="Symbol" w:hAnsi="Symbol"/>
      </w:rPr>
    </w:lvl>
    <w:lvl w:ilvl="1">
      <w:start w:val="1"/>
      <w:numFmt w:val="bullet"/>
      <w:lvlText w:val="o"/>
      <w:lvlJc w:val="start"/>
      <w:pPr>
        <w:tabs>
          <w:tab w:val="num" w:pos="1440"/>
        </w:tabs>
        <w:ind w:start="1440" w:hanging="360"/>
      </w:pPr>
      <w:rPr>
        <w:rFonts w:ascii="Courier New" w:hAnsi="Courier New"/>
      </w:rPr>
    </w:lvl>
    <w:lvl w:ilvl="2">
      <w:start w:val="1"/>
      <w:numFmt w:val="bullet"/>
      <w:lvlText w:val=""/>
      <w:lvlJc w:val="start"/>
      <w:pPr>
        <w:tabs>
          <w:tab w:val="num" w:pos="2160"/>
        </w:tabs>
        <w:ind w:start="2160" w:hanging="360"/>
      </w:pPr>
      <w:rPr>
        <w:rFonts w:ascii="Wingdings" w:hAnsi="Wingdings"/>
      </w:rPr>
    </w:lvl>
    <w:lvl w:ilvl="3">
      <w:start w:val="1"/>
      <w:numFmt w:val="bullet"/>
      <w:lvlText w:val=""/>
      <w:lvlJc w:val="start"/>
      <w:pPr>
        <w:tabs>
          <w:tab w:val="num" w:pos="2880"/>
        </w:tabs>
        <w:ind w:start="2880" w:hanging="360"/>
      </w:pPr>
      <w:rPr>
        <w:rFonts w:ascii="Symbol" w:hAnsi="Symbol"/>
      </w:rPr>
    </w:lvl>
    <w:lvl w:ilvl="4">
      <w:start w:val="1"/>
      <w:numFmt w:val="bullet"/>
      <w:lvlText w:val="o"/>
      <w:lvlJc w:val="start"/>
      <w:pPr>
        <w:tabs>
          <w:tab w:val="num" w:pos="3600"/>
        </w:tabs>
        <w:ind w:start="3600" w:hanging="360"/>
      </w:pPr>
      <w:rPr>
        <w:rFonts w:ascii="Courier New" w:hAnsi="Courier New"/>
      </w:rPr>
    </w:lvl>
    <w:lvl w:ilvl="5">
      <w:start w:val="1"/>
      <w:numFmt w:val="bullet"/>
      <w:lvlText w:val=""/>
      <w:lvlJc w:val="start"/>
      <w:pPr>
        <w:tabs>
          <w:tab w:val="num" w:pos="4320"/>
        </w:tabs>
        <w:ind w:start="4320" w:hanging="360"/>
      </w:pPr>
      <w:rPr>
        <w:rFonts w:ascii="Wingdings" w:hAnsi="Wingdings"/>
      </w:rPr>
    </w:lvl>
    <w:lvl w:ilvl="6">
      <w:start w:val="1"/>
      <w:numFmt w:val="bullet"/>
      <w:lvlText w:val=""/>
      <w:lvlJc w:val="start"/>
      <w:pPr>
        <w:tabs>
          <w:tab w:val="num" w:pos="5040"/>
        </w:tabs>
        <w:ind w:start="5040" w:hanging="360"/>
      </w:pPr>
      <w:rPr>
        <w:rFonts w:ascii="Symbol" w:hAnsi="Symbol"/>
      </w:rPr>
    </w:lvl>
    <w:lvl w:ilvl="7">
      <w:start w:val="1"/>
      <w:numFmt w:val="bullet"/>
      <w:lvlText w:val="o"/>
      <w:lvlJc w:val="start"/>
      <w:pPr>
        <w:tabs>
          <w:tab w:val="num" w:pos="5760"/>
        </w:tabs>
        <w:ind w:start="5760" w:hanging="360"/>
      </w:pPr>
      <w:rPr>
        <w:rFonts w:ascii="Courier New" w:hAnsi="Courier New"/>
      </w:rPr>
    </w:lvl>
    <w:lvl w:ilvl="8">
      <w:start w:val="1"/>
      <w:numFmt w:val="bullet"/>
      <w:lvlText w:val=""/>
      <w:lvlJc w:val="start"/>
      <w:pPr>
        <w:tabs>
          <w:tab w:val="num" w:pos="6480"/>
        </w:tabs>
        <w:ind w:start="6480" w:hanging="360"/>
      </w:pPr>
      <w:rPr>
        <w:rFonts w:ascii="Wingdings" w:hAnsi="Wingdings"/>
      </w:rPr>
    </w:lvl>
  </w:abstractNum>
  <w:abstractNum w:abstractNumId="5">
    <w:nsid w:val="00000006"/>
    <w:multiLevelType w:val="hybridMultilevel"/>
    <w:tmpl w:val="00000006"/>
    <w:lvl w:ilvl="0">
      <w:start w:val="1"/>
      <w:numFmt w:val="bullet"/>
      <w:lvlText w:val=""/>
      <w:lvlJc w:val="start"/>
      <w:pPr>
        <w:ind w:start="720" w:hanging="360"/>
      </w:pPr>
      <w:rPr>
        <w:rFonts w:ascii="Symbol" w:hAnsi="Symbol"/>
      </w:rPr>
    </w:lvl>
    <w:lvl w:ilvl="1">
      <w:start w:val="1"/>
      <w:numFmt w:val="bullet"/>
      <w:lvlText w:val="o"/>
      <w:lvlJc w:val="start"/>
      <w:pPr>
        <w:tabs>
          <w:tab w:val="num" w:pos="1440"/>
        </w:tabs>
        <w:ind w:start="1440" w:hanging="360"/>
      </w:pPr>
      <w:rPr>
        <w:rFonts w:ascii="Courier New" w:hAnsi="Courier New"/>
      </w:rPr>
    </w:lvl>
    <w:lvl w:ilvl="2">
      <w:start w:val="1"/>
      <w:numFmt w:val="bullet"/>
      <w:lvlText w:val=""/>
      <w:lvlJc w:val="start"/>
      <w:pPr>
        <w:tabs>
          <w:tab w:val="num" w:pos="2160"/>
        </w:tabs>
        <w:ind w:start="2160" w:hanging="360"/>
      </w:pPr>
      <w:rPr>
        <w:rFonts w:ascii="Wingdings" w:hAnsi="Wingdings"/>
      </w:rPr>
    </w:lvl>
    <w:lvl w:ilvl="3">
      <w:start w:val="1"/>
      <w:numFmt w:val="bullet"/>
      <w:lvlText w:val=""/>
      <w:lvlJc w:val="start"/>
      <w:pPr>
        <w:tabs>
          <w:tab w:val="num" w:pos="2880"/>
        </w:tabs>
        <w:ind w:start="2880" w:hanging="360"/>
      </w:pPr>
      <w:rPr>
        <w:rFonts w:ascii="Symbol" w:hAnsi="Symbol"/>
      </w:rPr>
    </w:lvl>
    <w:lvl w:ilvl="4">
      <w:start w:val="1"/>
      <w:numFmt w:val="bullet"/>
      <w:lvlText w:val="o"/>
      <w:lvlJc w:val="start"/>
      <w:pPr>
        <w:tabs>
          <w:tab w:val="num" w:pos="3600"/>
        </w:tabs>
        <w:ind w:start="3600" w:hanging="360"/>
      </w:pPr>
      <w:rPr>
        <w:rFonts w:ascii="Courier New" w:hAnsi="Courier New"/>
      </w:rPr>
    </w:lvl>
    <w:lvl w:ilvl="5">
      <w:start w:val="1"/>
      <w:numFmt w:val="bullet"/>
      <w:lvlText w:val=""/>
      <w:lvlJc w:val="start"/>
      <w:pPr>
        <w:tabs>
          <w:tab w:val="num" w:pos="4320"/>
        </w:tabs>
        <w:ind w:start="4320" w:hanging="360"/>
      </w:pPr>
      <w:rPr>
        <w:rFonts w:ascii="Wingdings" w:hAnsi="Wingdings"/>
      </w:rPr>
    </w:lvl>
    <w:lvl w:ilvl="6">
      <w:start w:val="1"/>
      <w:numFmt w:val="bullet"/>
      <w:lvlText w:val=""/>
      <w:lvlJc w:val="start"/>
      <w:pPr>
        <w:tabs>
          <w:tab w:val="num" w:pos="5040"/>
        </w:tabs>
        <w:ind w:start="5040" w:hanging="360"/>
      </w:pPr>
      <w:rPr>
        <w:rFonts w:ascii="Symbol" w:hAnsi="Symbol"/>
      </w:rPr>
    </w:lvl>
    <w:lvl w:ilvl="7">
      <w:start w:val="1"/>
      <w:numFmt w:val="bullet"/>
      <w:lvlText w:val="o"/>
      <w:lvlJc w:val="start"/>
      <w:pPr>
        <w:tabs>
          <w:tab w:val="num" w:pos="5760"/>
        </w:tabs>
        <w:ind w:start="5760" w:hanging="360"/>
      </w:pPr>
      <w:rPr>
        <w:rFonts w:ascii="Courier New" w:hAnsi="Courier New"/>
      </w:rPr>
    </w:lvl>
    <w:lvl w:ilvl="8">
      <w:start w:val="1"/>
      <w:numFmt w:val="bullet"/>
      <w:lvlText w:val=""/>
      <w:lvlJc w:val="start"/>
      <w:pPr>
        <w:tabs>
          <w:tab w:val="num" w:pos="6480"/>
        </w:tabs>
        <w:ind w:start="6480" w:hanging="360"/>
      </w:pPr>
      <w:rPr>
        <w:rFonts w:ascii="Wingdings" w:hAnsi="Wingdings"/>
      </w:rPr>
    </w:lvl>
  </w:abstractNum>
  <w:abstractNum w:abstractNumId="6">
    <w:nsid w:val="00000007"/>
    <w:multiLevelType w:val="hybridMultilevel"/>
    <w:tmpl w:val="00000007"/>
    <w:lvl w:ilvl="0">
      <w:start w:val="1"/>
      <w:numFmt w:val="bullet"/>
      <w:lvlText w:val=""/>
      <w:lvlJc w:val="start"/>
      <w:pPr>
        <w:ind w:start="720" w:hanging="360"/>
      </w:pPr>
      <w:rPr>
        <w:rFonts w:ascii="Symbol" w:hAnsi="Symbol"/>
      </w:rPr>
    </w:lvl>
    <w:lvl w:ilvl="1">
      <w:start w:val="1"/>
      <w:numFmt w:val="bullet"/>
      <w:lvlText w:val="o"/>
      <w:lvlJc w:val="start"/>
      <w:pPr>
        <w:tabs>
          <w:tab w:val="num" w:pos="1440"/>
        </w:tabs>
        <w:ind w:start="1440" w:hanging="360"/>
      </w:pPr>
      <w:rPr>
        <w:rFonts w:ascii="Courier New" w:hAnsi="Courier New"/>
      </w:rPr>
    </w:lvl>
    <w:lvl w:ilvl="2">
      <w:start w:val="1"/>
      <w:numFmt w:val="bullet"/>
      <w:lvlText w:val=""/>
      <w:lvlJc w:val="start"/>
      <w:pPr>
        <w:tabs>
          <w:tab w:val="num" w:pos="2160"/>
        </w:tabs>
        <w:ind w:start="2160" w:hanging="360"/>
      </w:pPr>
      <w:rPr>
        <w:rFonts w:ascii="Wingdings" w:hAnsi="Wingdings"/>
      </w:rPr>
    </w:lvl>
    <w:lvl w:ilvl="3">
      <w:start w:val="1"/>
      <w:numFmt w:val="bullet"/>
      <w:lvlText w:val=""/>
      <w:lvlJc w:val="start"/>
      <w:pPr>
        <w:tabs>
          <w:tab w:val="num" w:pos="2880"/>
        </w:tabs>
        <w:ind w:start="2880" w:hanging="360"/>
      </w:pPr>
      <w:rPr>
        <w:rFonts w:ascii="Symbol" w:hAnsi="Symbol"/>
      </w:rPr>
    </w:lvl>
    <w:lvl w:ilvl="4">
      <w:start w:val="1"/>
      <w:numFmt w:val="bullet"/>
      <w:lvlText w:val="o"/>
      <w:lvlJc w:val="start"/>
      <w:pPr>
        <w:tabs>
          <w:tab w:val="num" w:pos="3600"/>
        </w:tabs>
        <w:ind w:start="3600" w:hanging="360"/>
      </w:pPr>
      <w:rPr>
        <w:rFonts w:ascii="Courier New" w:hAnsi="Courier New"/>
      </w:rPr>
    </w:lvl>
    <w:lvl w:ilvl="5">
      <w:start w:val="1"/>
      <w:numFmt w:val="bullet"/>
      <w:lvlText w:val=""/>
      <w:lvlJc w:val="start"/>
      <w:pPr>
        <w:tabs>
          <w:tab w:val="num" w:pos="4320"/>
        </w:tabs>
        <w:ind w:start="4320" w:hanging="360"/>
      </w:pPr>
      <w:rPr>
        <w:rFonts w:ascii="Wingdings" w:hAnsi="Wingdings"/>
      </w:rPr>
    </w:lvl>
    <w:lvl w:ilvl="6">
      <w:start w:val="1"/>
      <w:numFmt w:val="bullet"/>
      <w:lvlText w:val=""/>
      <w:lvlJc w:val="start"/>
      <w:pPr>
        <w:tabs>
          <w:tab w:val="num" w:pos="5040"/>
        </w:tabs>
        <w:ind w:start="5040" w:hanging="360"/>
      </w:pPr>
      <w:rPr>
        <w:rFonts w:ascii="Symbol" w:hAnsi="Symbol"/>
      </w:rPr>
    </w:lvl>
    <w:lvl w:ilvl="7">
      <w:start w:val="1"/>
      <w:numFmt w:val="bullet"/>
      <w:lvlText w:val="o"/>
      <w:lvlJc w:val="start"/>
      <w:pPr>
        <w:tabs>
          <w:tab w:val="num" w:pos="5760"/>
        </w:tabs>
        <w:ind w:start="5760" w:hanging="360"/>
      </w:pPr>
      <w:rPr>
        <w:rFonts w:ascii="Courier New" w:hAnsi="Courier New"/>
      </w:rPr>
    </w:lvl>
    <w:lvl w:ilvl="8">
      <w:start w:val="1"/>
      <w:numFmt w:val="bullet"/>
      <w:lvlText w:val=""/>
      <w:lvlJc w:val="start"/>
      <w:pPr>
        <w:tabs>
          <w:tab w:val="num" w:pos="6480"/>
        </w:tabs>
        <w:ind w:start="6480" w:hanging="360"/>
      </w:pPr>
      <w:rPr>
        <w:rFonts w:ascii="Wingdings" w:hAnsi="Wingdings"/>
      </w:rPr>
    </w:lvl>
  </w:abstractNum>
  <w:abstractNum w:abstractNumId="7">
    <w:nsid w:val="00000008"/>
    <w:multiLevelType w:val="hybridMultilevel"/>
    <w:tmpl w:val="00000008"/>
    <w:lvl w:ilvl="0">
      <w:start w:val="1"/>
      <w:numFmt w:val="bullet"/>
      <w:lvlText w:val=""/>
      <w:lvlJc w:val="start"/>
      <w:pPr>
        <w:ind w:start="720" w:hanging="360"/>
      </w:pPr>
      <w:rPr>
        <w:rFonts w:ascii="Symbol" w:hAnsi="Symbol"/>
      </w:rPr>
    </w:lvl>
    <w:lvl w:ilvl="1">
      <w:start w:val="1"/>
      <w:numFmt w:val="bullet"/>
      <w:lvlText w:val="o"/>
      <w:lvlJc w:val="start"/>
      <w:pPr>
        <w:tabs>
          <w:tab w:val="num" w:pos="1440"/>
        </w:tabs>
        <w:ind w:start="1440" w:hanging="360"/>
      </w:pPr>
      <w:rPr>
        <w:rFonts w:ascii="Courier New" w:hAnsi="Courier New"/>
      </w:rPr>
    </w:lvl>
    <w:lvl w:ilvl="2">
      <w:start w:val="1"/>
      <w:numFmt w:val="bullet"/>
      <w:lvlText w:val=""/>
      <w:lvlJc w:val="start"/>
      <w:pPr>
        <w:tabs>
          <w:tab w:val="num" w:pos="2160"/>
        </w:tabs>
        <w:ind w:start="2160" w:hanging="360"/>
      </w:pPr>
      <w:rPr>
        <w:rFonts w:ascii="Wingdings" w:hAnsi="Wingdings"/>
      </w:rPr>
    </w:lvl>
    <w:lvl w:ilvl="3">
      <w:start w:val="1"/>
      <w:numFmt w:val="bullet"/>
      <w:lvlText w:val=""/>
      <w:lvlJc w:val="start"/>
      <w:pPr>
        <w:tabs>
          <w:tab w:val="num" w:pos="2880"/>
        </w:tabs>
        <w:ind w:start="2880" w:hanging="360"/>
      </w:pPr>
      <w:rPr>
        <w:rFonts w:ascii="Symbol" w:hAnsi="Symbol"/>
      </w:rPr>
    </w:lvl>
    <w:lvl w:ilvl="4">
      <w:start w:val="1"/>
      <w:numFmt w:val="bullet"/>
      <w:lvlText w:val="o"/>
      <w:lvlJc w:val="start"/>
      <w:pPr>
        <w:tabs>
          <w:tab w:val="num" w:pos="3600"/>
        </w:tabs>
        <w:ind w:start="3600" w:hanging="360"/>
      </w:pPr>
      <w:rPr>
        <w:rFonts w:ascii="Courier New" w:hAnsi="Courier New"/>
      </w:rPr>
    </w:lvl>
    <w:lvl w:ilvl="5">
      <w:start w:val="1"/>
      <w:numFmt w:val="bullet"/>
      <w:lvlText w:val=""/>
      <w:lvlJc w:val="start"/>
      <w:pPr>
        <w:tabs>
          <w:tab w:val="num" w:pos="4320"/>
        </w:tabs>
        <w:ind w:start="4320" w:hanging="360"/>
      </w:pPr>
      <w:rPr>
        <w:rFonts w:ascii="Wingdings" w:hAnsi="Wingdings"/>
      </w:rPr>
    </w:lvl>
    <w:lvl w:ilvl="6">
      <w:start w:val="1"/>
      <w:numFmt w:val="bullet"/>
      <w:lvlText w:val=""/>
      <w:lvlJc w:val="start"/>
      <w:pPr>
        <w:tabs>
          <w:tab w:val="num" w:pos="5040"/>
        </w:tabs>
        <w:ind w:start="5040" w:hanging="360"/>
      </w:pPr>
      <w:rPr>
        <w:rFonts w:ascii="Symbol" w:hAnsi="Symbol"/>
      </w:rPr>
    </w:lvl>
    <w:lvl w:ilvl="7">
      <w:start w:val="1"/>
      <w:numFmt w:val="bullet"/>
      <w:lvlText w:val="o"/>
      <w:lvlJc w:val="start"/>
      <w:pPr>
        <w:tabs>
          <w:tab w:val="num" w:pos="5760"/>
        </w:tabs>
        <w:ind w:start="5760" w:hanging="360"/>
      </w:pPr>
      <w:rPr>
        <w:rFonts w:ascii="Courier New" w:hAnsi="Courier New"/>
      </w:rPr>
    </w:lvl>
    <w:lvl w:ilvl="8">
      <w:start w:val="1"/>
      <w:numFmt w:val="bullet"/>
      <w:lvlText w:val=""/>
      <w:lvlJc w:val="start"/>
      <w:pPr>
        <w:tabs>
          <w:tab w:val="num" w:pos="6480"/>
        </w:tabs>
        <w:ind w:start="6480" w:hanging="360"/>
      </w:pPr>
      <w:rPr>
        <w:rFonts w:ascii="Wingdings" w:hAnsi="Wingdings"/>
      </w:rPr>
    </w:lvl>
  </w:abstractNum>
  <w:abstractNum w:abstractNumId="8">
    <w:nsid w:val="00000009"/>
    <w:multiLevelType w:val="hybridMultilevel"/>
    <w:tmpl w:val="00000009"/>
    <w:lvl w:ilvl="0">
      <w:start w:val="1"/>
      <w:numFmt w:val="bullet"/>
      <w:lvlText w:val=""/>
      <w:lvlJc w:val="start"/>
      <w:pPr>
        <w:ind w:start="720" w:hanging="360"/>
      </w:pPr>
      <w:rPr>
        <w:rFonts w:ascii="Symbol" w:hAnsi="Symbol"/>
      </w:rPr>
    </w:lvl>
    <w:lvl w:ilvl="1">
      <w:start w:val="1"/>
      <w:numFmt w:val="bullet"/>
      <w:lvlText w:val="o"/>
      <w:lvlJc w:val="start"/>
      <w:pPr>
        <w:tabs>
          <w:tab w:val="num" w:pos="1440"/>
        </w:tabs>
        <w:ind w:start="1440" w:hanging="360"/>
      </w:pPr>
      <w:rPr>
        <w:rFonts w:ascii="Courier New" w:hAnsi="Courier New"/>
      </w:rPr>
    </w:lvl>
    <w:lvl w:ilvl="2">
      <w:start w:val="1"/>
      <w:numFmt w:val="bullet"/>
      <w:lvlText w:val=""/>
      <w:lvlJc w:val="start"/>
      <w:pPr>
        <w:tabs>
          <w:tab w:val="num" w:pos="2160"/>
        </w:tabs>
        <w:ind w:start="2160" w:hanging="360"/>
      </w:pPr>
      <w:rPr>
        <w:rFonts w:ascii="Wingdings" w:hAnsi="Wingdings"/>
      </w:rPr>
    </w:lvl>
    <w:lvl w:ilvl="3">
      <w:start w:val="1"/>
      <w:numFmt w:val="bullet"/>
      <w:lvlText w:val=""/>
      <w:lvlJc w:val="start"/>
      <w:pPr>
        <w:tabs>
          <w:tab w:val="num" w:pos="2880"/>
        </w:tabs>
        <w:ind w:start="2880" w:hanging="360"/>
      </w:pPr>
      <w:rPr>
        <w:rFonts w:ascii="Symbol" w:hAnsi="Symbol"/>
      </w:rPr>
    </w:lvl>
    <w:lvl w:ilvl="4">
      <w:start w:val="1"/>
      <w:numFmt w:val="bullet"/>
      <w:lvlText w:val="o"/>
      <w:lvlJc w:val="start"/>
      <w:pPr>
        <w:tabs>
          <w:tab w:val="num" w:pos="3600"/>
        </w:tabs>
        <w:ind w:start="3600" w:hanging="360"/>
      </w:pPr>
      <w:rPr>
        <w:rFonts w:ascii="Courier New" w:hAnsi="Courier New"/>
      </w:rPr>
    </w:lvl>
    <w:lvl w:ilvl="5">
      <w:start w:val="1"/>
      <w:numFmt w:val="bullet"/>
      <w:lvlText w:val=""/>
      <w:lvlJc w:val="start"/>
      <w:pPr>
        <w:tabs>
          <w:tab w:val="num" w:pos="4320"/>
        </w:tabs>
        <w:ind w:start="4320" w:hanging="360"/>
      </w:pPr>
      <w:rPr>
        <w:rFonts w:ascii="Wingdings" w:hAnsi="Wingdings"/>
      </w:rPr>
    </w:lvl>
    <w:lvl w:ilvl="6">
      <w:start w:val="1"/>
      <w:numFmt w:val="bullet"/>
      <w:lvlText w:val=""/>
      <w:lvlJc w:val="start"/>
      <w:pPr>
        <w:tabs>
          <w:tab w:val="num" w:pos="5040"/>
        </w:tabs>
        <w:ind w:start="5040" w:hanging="360"/>
      </w:pPr>
      <w:rPr>
        <w:rFonts w:ascii="Symbol" w:hAnsi="Symbol"/>
      </w:rPr>
    </w:lvl>
    <w:lvl w:ilvl="7">
      <w:start w:val="1"/>
      <w:numFmt w:val="bullet"/>
      <w:lvlText w:val="o"/>
      <w:lvlJc w:val="start"/>
      <w:pPr>
        <w:tabs>
          <w:tab w:val="num" w:pos="5760"/>
        </w:tabs>
        <w:ind w:start="5760" w:hanging="360"/>
      </w:pPr>
      <w:rPr>
        <w:rFonts w:ascii="Courier New" w:hAnsi="Courier New"/>
      </w:rPr>
    </w:lvl>
    <w:lvl w:ilvl="8">
      <w:start w:val="1"/>
      <w:numFmt w:val="bullet"/>
      <w:lvlText w:val=""/>
      <w:lvlJc w:val="start"/>
      <w:pPr>
        <w:tabs>
          <w:tab w:val="num" w:pos="6480"/>
        </w:tabs>
        <w:ind w:start="6480" w:hanging="360"/>
      </w:pPr>
      <w:rPr>
        <w:rFonts w:ascii="Wingdings" w:hAnsi="Wingdings"/>
      </w:rPr>
    </w:lvl>
  </w:abstractNum>
  <w:abstractNum w:abstractNumId="9">
    <w:nsid w:val="0000000A"/>
    <w:multiLevelType w:val="hybridMultilevel"/>
    <w:tmpl w:val="0000000A"/>
    <w:lvl w:ilvl="0">
      <w:start w:val="1"/>
      <w:numFmt w:val="bullet"/>
      <w:lvlText w:val=""/>
      <w:lvlJc w:val="start"/>
      <w:pPr>
        <w:ind w:start="720" w:hanging="360"/>
      </w:pPr>
      <w:rPr>
        <w:rFonts w:ascii="Symbol" w:hAnsi="Symbol"/>
      </w:rPr>
    </w:lvl>
    <w:lvl w:ilvl="1">
      <w:start w:val="1"/>
      <w:numFmt w:val="bullet"/>
      <w:lvlText w:val="o"/>
      <w:lvlJc w:val="start"/>
      <w:pPr>
        <w:tabs>
          <w:tab w:val="num" w:pos="1440"/>
        </w:tabs>
        <w:ind w:start="1440" w:hanging="360"/>
      </w:pPr>
      <w:rPr>
        <w:rFonts w:ascii="Courier New" w:hAnsi="Courier New"/>
      </w:rPr>
    </w:lvl>
    <w:lvl w:ilvl="2">
      <w:start w:val="1"/>
      <w:numFmt w:val="bullet"/>
      <w:lvlText w:val=""/>
      <w:lvlJc w:val="start"/>
      <w:pPr>
        <w:tabs>
          <w:tab w:val="num" w:pos="2160"/>
        </w:tabs>
        <w:ind w:start="2160" w:hanging="360"/>
      </w:pPr>
      <w:rPr>
        <w:rFonts w:ascii="Wingdings" w:hAnsi="Wingdings"/>
      </w:rPr>
    </w:lvl>
    <w:lvl w:ilvl="3">
      <w:start w:val="1"/>
      <w:numFmt w:val="bullet"/>
      <w:lvlText w:val=""/>
      <w:lvlJc w:val="start"/>
      <w:pPr>
        <w:tabs>
          <w:tab w:val="num" w:pos="2880"/>
        </w:tabs>
        <w:ind w:start="2880" w:hanging="360"/>
      </w:pPr>
      <w:rPr>
        <w:rFonts w:ascii="Symbol" w:hAnsi="Symbol"/>
      </w:rPr>
    </w:lvl>
    <w:lvl w:ilvl="4">
      <w:start w:val="1"/>
      <w:numFmt w:val="bullet"/>
      <w:lvlText w:val="o"/>
      <w:lvlJc w:val="start"/>
      <w:pPr>
        <w:tabs>
          <w:tab w:val="num" w:pos="3600"/>
        </w:tabs>
        <w:ind w:start="3600" w:hanging="360"/>
      </w:pPr>
      <w:rPr>
        <w:rFonts w:ascii="Courier New" w:hAnsi="Courier New"/>
      </w:rPr>
    </w:lvl>
    <w:lvl w:ilvl="5">
      <w:start w:val="1"/>
      <w:numFmt w:val="bullet"/>
      <w:lvlText w:val=""/>
      <w:lvlJc w:val="start"/>
      <w:pPr>
        <w:tabs>
          <w:tab w:val="num" w:pos="4320"/>
        </w:tabs>
        <w:ind w:start="4320" w:hanging="360"/>
      </w:pPr>
      <w:rPr>
        <w:rFonts w:ascii="Wingdings" w:hAnsi="Wingdings"/>
      </w:rPr>
    </w:lvl>
    <w:lvl w:ilvl="6">
      <w:start w:val="1"/>
      <w:numFmt w:val="bullet"/>
      <w:lvlText w:val=""/>
      <w:lvlJc w:val="start"/>
      <w:pPr>
        <w:tabs>
          <w:tab w:val="num" w:pos="5040"/>
        </w:tabs>
        <w:ind w:start="5040" w:hanging="360"/>
      </w:pPr>
      <w:rPr>
        <w:rFonts w:ascii="Symbol" w:hAnsi="Symbol"/>
      </w:rPr>
    </w:lvl>
    <w:lvl w:ilvl="7">
      <w:start w:val="1"/>
      <w:numFmt w:val="bullet"/>
      <w:lvlText w:val="o"/>
      <w:lvlJc w:val="start"/>
      <w:pPr>
        <w:tabs>
          <w:tab w:val="num" w:pos="5760"/>
        </w:tabs>
        <w:ind w:start="5760" w:hanging="360"/>
      </w:pPr>
      <w:rPr>
        <w:rFonts w:ascii="Courier New" w:hAnsi="Courier New"/>
      </w:rPr>
    </w:lvl>
    <w:lvl w:ilvl="8">
      <w:start w:val="1"/>
      <w:numFmt w:val="bullet"/>
      <w:lvlText w:val=""/>
      <w:lvlJc w:val="start"/>
      <w:pPr>
        <w:tabs>
          <w:tab w:val="num" w:pos="6480"/>
        </w:tabs>
        <w:ind w:start="6480" w:hanging="360"/>
      </w:pPr>
      <w:rPr>
        <w:rFonts w:ascii="Wingdings" w:hAnsi="Wingdings"/>
      </w:rPr>
    </w:lvl>
  </w:abstractNum>
  <w:abstractNum w:abstractNumId="10">
    <w:nsid w:val="0000000B"/>
    <w:multiLevelType w:val="hybridMultilevel"/>
    <w:tmpl w:val="0000000B"/>
    <w:lvl w:ilvl="0">
      <w:start w:val="1"/>
      <w:numFmt w:val="bullet"/>
      <w:lvlText w:val=""/>
      <w:lvlJc w:val="start"/>
      <w:pPr>
        <w:ind w:start="720" w:hanging="360"/>
      </w:pPr>
      <w:rPr>
        <w:rFonts w:ascii="Symbol" w:hAnsi="Symbol"/>
      </w:rPr>
    </w:lvl>
    <w:lvl w:ilvl="1">
      <w:start w:val="1"/>
      <w:numFmt w:val="bullet"/>
      <w:lvlText w:val="o"/>
      <w:lvlJc w:val="start"/>
      <w:pPr>
        <w:tabs>
          <w:tab w:val="num" w:pos="1440"/>
        </w:tabs>
        <w:ind w:start="1440" w:hanging="360"/>
      </w:pPr>
      <w:rPr>
        <w:rFonts w:ascii="Courier New" w:hAnsi="Courier New"/>
      </w:rPr>
    </w:lvl>
    <w:lvl w:ilvl="2">
      <w:start w:val="1"/>
      <w:numFmt w:val="bullet"/>
      <w:lvlText w:val=""/>
      <w:lvlJc w:val="start"/>
      <w:pPr>
        <w:tabs>
          <w:tab w:val="num" w:pos="2160"/>
        </w:tabs>
        <w:ind w:start="2160" w:hanging="360"/>
      </w:pPr>
      <w:rPr>
        <w:rFonts w:ascii="Wingdings" w:hAnsi="Wingdings"/>
      </w:rPr>
    </w:lvl>
    <w:lvl w:ilvl="3">
      <w:start w:val="1"/>
      <w:numFmt w:val="bullet"/>
      <w:lvlText w:val=""/>
      <w:lvlJc w:val="start"/>
      <w:pPr>
        <w:tabs>
          <w:tab w:val="num" w:pos="2880"/>
        </w:tabs>
        <w:ind w:start="2880" w:hanging="360"/>
      </w:pPr>
      <w:rPr>
        <w:rFonts w:ascii="Symbol" w:hAnsi="Symbol"/>
      </w:rPr>
    </w:lvl>
    <w:lvl w:ilvl="4">
      <w:start w:val="1"/>
      <w:numFmt w:val="bullet"/>
      <w:lvlText w:val="o"/>
      <w:lvlJc w:val="start"/>
      <w:pPr>
        <w:tabs>
          <w:tab w:val="num" w:pos="3600"/>
        </w:tabs>
        <w:ind w:start="3600" w:hanging="360"/>
      </w:pPr>
      <w:rPr>
        <w:rFonts w:ascii="Courier New" w:hAnsi="Courier New"/>
      </w:rPr>
    </w:lvl>
    <w:lvl w:ilvl="5">
      <w:start w:val="1"/>
      <w:numFmt w:val="bullet"/>
      <w:lvlText w:val=""/>
      <w:lvlJc w:val="start"/>
      <w:pPr>
        <w:tabs>
          <w:tab w:val="num" w:pos="4320"/>
        </w:tabs>
        <w:ind w:start="4320" w:hanging="360"/>
      </w:pPr>
      <w:rPr>
        <w:rFonts w:ascii="Wingdings" w:hAnsi="Wingdings"/>
      </w:rPr>
    </w:lvl>
    <w:lvl w:ilvl="6">
      <w:start w:val="1"/>
      <w:numFmt w:val="bullet"/>
      <w:lvlText w:val=""/>
      <w:lvlJc w:val="start"/>
      <w:pPr>
        <w:tabs>
          <w:tab w:val="num" w:pos="5040"/>
        </w:tabs>
        <w:ind w:start="5040" w:hanging="360"/>
      </w:pPr>
      <w:rPr>
        <w:rFonts w:ascii="Symbol" w:hAnsi="Symbol"/>
      </w:rPr>
    </w:lvl>
    <w:lvl w:ilvl="7">
      <w:start w:val="1"/>
      <w:numFmt w:val="bullet"/>
      <w:lvlText w:val="o"/>
      <w:lvlJc w:val="start"/>
      <w:pPr>
        <w:tabs>
          <w:tab w:val="num" w:pos="5760"/>
        </w:tabs>
        <w:ind w:start="5760" w:hanging="360"/>
      </w:pPr>
      <w:rPr>
        <w:rFonts w:ascii="Courier New" w:hAnsi="Courier New"/>
      </w:rPr>
    </w:lvl>
    <w:lvl w:ilvl="8">
      <w:start w:val="1"/>
      <w:numFmt w:val="bullet"/>
      <w:lvlText w:val=""/>
      <w:lvlJc w:val="start"/>
      <w:pPr>
        <w:tabs>
          <w:tab w:val="num" w:pos="6480"/>
        </w:tabs>
        <w:ind w:start="6480" w:hanging="360"/>
      </w:pPr>
      <w:rPr>
        <w:rFonts w:ascii="Wingdings" w:hAnsi="Wingdings"/>
      </w:rPr>
    </w:lvl>
  </w:abstractNum>
  <w:abstractNum w:abstractNumId="11">
    <w:nsid w:val="0000000C"/>
    <w:multiLevelType w:val="hybridMultilevel"/>
    <w:tmpl w:val="0000000C"/>
    <w:lvl w:ilvl="0">
      <w:start w:val="1"/>
      <w:numFmt w:val="bullet"/>
      <w:lvlText w:val=""/>
      <w:lvlJc w:val="start"/>
      <w:pPr>
        <w:ind w:start="720" w:hanging="360"/>
      </w:pPr>
      <w:rPr>
        <w:rFonts w:ascii="Symbol" w:hAnsi="Symbol"/>
      </w:rPr>
    </w:lvl>
    <w:lvl w:ilvl="1">
      <w:start w:val="1"/>
      <w:numFmt w:val="bullet"/>
      <w:lvlText w:val="o"/>
      <w:lvlJc w:val="start"/>
      <w:pPr>
        <w:tabs>
          <w:tab w:val="num" w:pos="1440"/>
        </w:tabs>
        <w:ind w:start="1440" w:hanging="360"/>
      </w:pPr>
      <w:rPr>
        <w:rFonts w:ascii="Courier New" w:hAnsi="Courier New"/>
      </w:rPr>
    </w:lvl>
    <w:lvl w:ilvl="2">
      <w:start w:val="1"/>
      <w:numFmt w:val="bullet"/>
      <w:lvlText w:val=""/>
      <w:lvlJc w:val="start"/>
      <w:pPr>
        <w:tabs>
          <w:tab w:val="num" w:pos="2160"/>
        </w:tabs>
        <w:ind w:start="2160" w:hanging="360"/>
      </w:pPr>
      <w:rPr>
        <w:rFonts w:ascii="Wingdings" w:hAnsi="Wingdings"/>
      </w:rPr>
    </w:lvl>
    <w:lvl w:ilvl="3">
      <w:start w:val="1"/>
      <w:numFmt w:val="bullet"/>
      <w:lvlText w:val=""/>
      <w:lvlJc w:val="start"/>
      <w:pPr>
        <w:tabs>
          <w:tab w:val="num" w:pos="2880"/>
        </w:tabs>
        <w:ind w:start="2880" w:hanging="360"/>
      </w:pPr>
      <w:rPr>
        <w:rFonts w:ascii="Symbol" w:hAnsi="Symbol"/>
      </w:rPr>
    </w:lvl>
    <w:lvl w:ilvl="4">
      <w:start w:val="1"/>
      <w:numFmt w:val="bullet"/>
      <w:lvlText w:val="o"/>
      <w:lvlJc w:val="start"/>
      <w:pPr>
        <w:tabs>
          <w:tab w:val="num" w:pos="3600"/>
        </w:tabs>
        <w:ind w:start="3600" w:hanging="360"/>
      </w:pPr>
      <w:rPr>
        <w:rFonts w:ascii="Courier New" w:hAnsi="Courier New"/>
      </w:rPr>
    </w:lvl>
    <w:lvl w:ilvl="5">
      <w:start w:val="1"/>
      <w:numFmt w:val="bullet"/>
      <w:lvlText w:val=""/>
      <w:lvlJc w:val="start"/>
      <w:pPr>
        <w:tabs>
          <w:tab w:val="num" w:pos="4320"/>
        </w:tabs>
        <w:ind w:start="4320" w:hanging="360"/>
      </w:pPr>
      <w:rPr>
        <w:rFonts w:ascii="Wingdings" w:hAnsi="Wingdings"/>
      </w:rPr>
    </w:lvl>
    <w:lvl w:ilvl="6">
      <w:start w:val="1"/>
      <w:numFmt w:val="bullet"/>
      <w:lvlText w:val=""/>
      <w:lvlJc w:val="start"/>
      <w:pPr>
        <w:tabs>
          <w:tab w:val="num" w:pos="5040"/>
        </w:tabs>
        <w:ind w:start="5040" w:hanging="360"/>
      </w:pPr>
      <w:rPr>
        <w:rFonts w:ascii="Symbol" w:hAnsi="Symbol"/>
      </w:rPr>
    </w:lvl>
    <w:lvl w:ilvl="7">
      <w:start w:val="1"/>
      <w:numFmt w:val="bullet"/>
      <w:lvlText w:val="o"/>
      <w:lvlJc w:val="start"/>
      <w:pPr>
        <w:tabs>
          <w:tab w:val="num" w:pos="5760"/>
        </w:tabs>
        <w:ind w:start="5760" w:hanging="360"/>
      </w:pPr>
      <w:rPr>
        <w:rFonts w:ascii="Courier New" w:hAnsi="Courier New"/>
      </w:rPr>
    </w:lvl>
    <w:lvl w:ilvl="8">
      <w:start w:val="1"/>
      <w:numFmt w:val="bullet"/>
      <w:lvlText w:val=""/>
      <w:lvlJc w:val="start"/>
      <w:pPr>
        <w:tabs>
          <w:tab w:val="num" w:pos="6480"/>
        </w:tabs>
        <w:ind w:start="6480" w:hanging="360"/>
      </w:pPr>
      <w:rPr>
        <w:rFonts w:ascii="Wingdings" w:hAnsi="Wingdings"/>
      </w:rPr>
    </w:lvl>
  </w:abstractNum>
  <w:abstractNum w:abstractNumId="12">
    <w:nsid w:val="0000000D"/>
    <w:multiLevelType w:val="hybridMultilevel"/>
    <w:tmpl w:val="0000000D"/>
    <w:lvl w:ilvl="0">
      <w:start w:val="1"/>
      <w:numFmt w:val="bullet"/>
      <w:lvlText w:val=""/>
      <w:lvlJc w:val="start"/>
      <w:pPr>
        <w:ind w:start="720" w:hanging="360"/>
      </w:pPr>
      <w:rPr>
        <w:rFonts w:ascii="Symbol" w:hAnsi="Symbol"/>
      </w:rPr>
    </w:lvl>
    <w:lvl w:ilvl="1">
      <w:start w:val="1"/>
      <w:numFmt w:val="bullet"/>
      <w:lvlText w:val="o"/>
      <w:lvlJc w:val="start"/>
      <w:pPr>
        <w:tabs>
          <w:tab w:val="num" w:pos="1440"/>
        </w:tabs>
        <w:ind w:start="1440" w:hanging="360"/>
      </w:pPr>
      <w:rPr>
        <w:rFonts w:ascii="Courier New" w:hAnsi="Courier New"/>
      </w:rPr>
    </w:lvl>
    <w:lvl w:ilvl="2">
      <w:start w:val="1"/>
      <w:numFmt w:val="bullet"/>
      <w:lvlText w:val=""/>
      <w:lvlJc w:val="start"/>
      <w:pPr>
        <w:tabs>
          <w:tab w:val="num" w:pos="2160"/>
        </w:tabs>
        <w:ind w:start="2160" w:hanging="360"/>
      </w:pPr>
      <w:rPr>
        <w:rFonts w:ascii="Wingdings" w:hAnsi="Wingdings"/>
      </w:rPr>
    </w:lvl>
    <w:lvl w:ilvl="3">
      <w:start w:val="1"/>
      <w:numFmt w:val="bullet"/>
      <w:lvlText w:val=""/>
      <w:lvlJc w:val="start"/>
      <w:pPr>
        <w:tabs>
          <w:tab w:val="num" w:pos="2880"/>
        </w:tabs>
        <w:ind w:start="2880" w:hanging="360"/>
      </w:pPr>
      <w:rPr>
        <w:rFonts w:ascii="Symbol" w:hAnsi="Symbol"/>
      </w:rPr>
    </w:lvl>
    <w:lvl w:ilvl="4">
      <w:start w:val="1"/>
      <w:numFmt w:val="bullet"/>
      <w:lvlText w:val="o"/>
      <w:lvlJc w:val="start"/>
      <w:pPr>
        <w:tabs>
          <w:tab w:val="num" w:pos="3600"/>
        </w:tabs>
        <w:ind w:start="3600" w:hanging="360"/>
      </w:pPr>
      <w:rPr>
        <w:rFonts w:ascii="Courier New" w:hAnsi="Courier New"/>
      </w:rPr>
    </w:lvl>
    <w:lvl w:ilvl="5">
      <w:start w:val="1"/>
      <w:numFmt w:val="bullet"/>
      <w:lvlText w:val=""/>
      <w:lvlJc w:val="start"/>
      <w:pPr>
        <w:tabs>
          <w:tab w:val="num" w:pos="4320"/>
        </w:tabs>
        <w:ind w:start="4320" w:hanging="360"/>
      </w:pPr>
      <w:rPr>
        <w:rFonts w:ascii="Wingdings" w:hAnsi="Wingdings"/>
      </w:rPr>
    </w:lvl>
    <w:lvl w:ilvl="6">
      <w:start w:val="1"/>
      <w:numFmt w:val="bullet"/>
      <w:lvlText w:val=""/>
      <w:lvlJc w:val="start"/>
      <w:pPr>
        <w:tabs>
          <w:tab w:val="num" w:pos="5040"/>
        </w:tabs>
        <w:ind w:start="5040" w:hanging="360"/>
      </w:pPr>
      <w:rPr>
        <w:rFonts w:ascii="Symbol" w:hAnsi="Symbol"/>
      </w:rPr>
    </w:lvl>
    <w:lvl w:ilvl="7">
      <w:start w:val="1"/>
      <w:numFmt w:val="bullet"/>
      <w:lvlText w:val="o"/>
      <w:lvlJc w:val="start"/>
      <w:pPr>
        <w:tabs>
          <w:tab w:val="num" w:pos="5760"/>
        </w:tabs>
        <w:ind w:start="5760" w:hanging="360"/>
      </w:pPr>
      <w:rPr>
        <w:rFonts w:ascii="Courier New" w:hAnsi="Courier New"/>
      </w:rPr>
    </w:lvl>
    <w:lvl w:ilvl="8">
      <w:start w:val="1"/>
      <w:numFmt w:val="bullet"/>
      <w:lvlText w:val=""/>
      <w:lvlJc w:val="start"/>
      <w:pPr>
        <w:tabs>
          <w:tab w:val="num" w:pos="6480"/>
        </w:tabs>
        <w:ind w:start="6480" w:hanging="360"/>
      </w:pPr>
      <w:rPr>
        <w:rFonts w:ascii="Wingdings" w:hAnsi="Wingdings"/>
      </w:rPr>
    </w:lvl>
  </w:abstractNum>
  <w:abstractNum w:abstractNumId="13">
    <w:nsid w:val="0000000E"/>
    <w:multiLevelType w:val="hybridMultilevel"/>
    <w:tmpl w:val="0000000E"/>
    <w:lvl w:ilvl="0">
      <w:start w:val="1"/>
      <w:numFmt w:val="bullet"/>
      <w:lvlText w:val=""/>
      <w:lvlJc w:val="start"/>
      <w:pPr>
        <w:ind w:start="720" w:hanging="360"/>
      </w:pPr>
      <w:rPr>
        <w:rFonts w:ascii="Symbol" w:hAnsi="Symbol"/>
      </w:rPr>
    </w:lvl>
    <w:lvl w:ilvl="1">
      <w:start w:val="1"/>
      <w:numFmt w:val="bullet"/>
      <w:lvlText w:val="o"/>
      <w:lvlJc w:val="start"/>
      <w:pPr>
        <w:tabs>
          <w:tab w:val="num" w:pos="1440"/>
        </w:tabs>
        <w:ind w:start="1440" w:hanging="360"/>
      </w:pPr>
      <w:rPr>
        <w:rFonts w:ascii="Courier New" w:hAnsi="Courier New"/>
      </w:rPr>
    </w:lvl>
    <w:lvl w:ilvl="2">
      <w:start w:val="1"/>
      <w:numFmt w:val="bullet"/>
      <w:lvlText w:val=""/>
      <w:lvlJc w:val="start"/>
      <w:pPr>
        <w:tabs>
          <w:tab w:val="num" w:pos="2160"/>
        </w:tabs>
        <w:ind w:start="2160" w:hanging="360"/>
      </w:pPr>
      <w:rPr>
        <w:rFonts w:ascii="Wingdings" w:hAnsi="Wingdings"/>
      </w:rPr>
    </w:lvl>
    <w:lvl w:ilvl="3">
      <w:start w:val="1"/>
      <w:numFmt w:val="bullet"/>
      <w:lvlText w:val=""/>
      <w:lvlJc w:val="start"/>
      <w:pPr>
        <w:tabs>
          <w:tab w:val="num" w:pos="2880"/>
        </w:tabs>
        <w:ind w:start="2880" w:hanging="360"/>
      </w:pPr>
      <w:rPr>
        <w:rFonts w:ascii="Symbol" w:hAnsi="Symbol"/>
      </w:rPr>
    </w:lvl>
    <w:lvl w:ilvl="4">
      <w:start w:val="1"/>
      <w:numFmt w:val="bullet"/>
      <w:lvlText w:val="o"/>
      <w:lvlJc w:val="start"/>
      <w:pPr>
        <w:tabs>
          <w:tab w:val="num" w:pos="3600"/>
        </w:tabs>
        <w:ind w:start="3600" w:hanging="360"/>
      </w:pPr>
      <w:rPr>
        <w:rFonts w:ascii="Courier New" w:hAnsi="Courier New"/>
      </w:rPr>
    </w:lvl>
    <w:lvl w:ilvl="5">
      <w:start w:val="1"/>
      <w:numFmt w:val="bullet"/>
      <w:lvlText w:val=""/>
      <w:lvlJc w:val="start"/>
      <w:pPr>
        <w:tabs>
          <w:tab w:val="num" w:pos="4320"/>
        </w:tabs>
        <w:ind w:start="4320" w:hanging="360"/>
      </w:pPr>
      <w:rPr>
        <w:rFonts w:ascii="Wingdings" w:hAnsi="Wingdings"/>
      </w:rPr>
    </w:lvl>
    <w:lvl w:ilvl="6">
      <w:start w:val="1"/>
      <w:numFmt w:val="bullet"/>
      <w:lvlText w:val=""/>
      <w:lvlJc w:val="start"/>
      <w:pPr>
        <w:tabs>
          <w:tab w:val="num" w:pos="5040"/>
        </w:tabs>
        <w:ind w:start="5040" w:hanging="360"/>
      </w:pPr>
      <w:rPr>
        <w:rFonts w:ascii="Symbol" w:hAnsi="Symbol"/>
      </w:rPr>
    </w:lvl>
    <w:lvl w:ilvl="7">
      <w:start w:val="1"/>
      <w:numFmt w:val="bullet"/>
      <w:lvlText w:val="o"/>
      <w:lvlJc w:val="start"/>
      <w:pPr>
        <w:tabs>
          <w:tab w:val="num" w:pos="5760"/>
        </w:tabs>
        <w:ind w:start="5760" w:hanging="360"/>
      </w:pPr>
      <w:rPr>
        <w:rFonts w:ascii="Courier New" w:hAnsi="Courier New"/>
      </w:rPr>
    </w:lvl>
    <w:lvl w:ilvl="8">
      <w:start w:val="1"/>
      <w:numFmt w:val="bullet"/>
      <w:lvlText w:val=""/>
      <w:lvlJc w:val="start"/>
      <w:pPr>
        <w:tabs>
          <w:tab w:val="num" w:pos="6480"/>
        </w:tabs>
        <w:ind w:start="6480" w:hanging="360"/>
      </w:pPr>
      <w:rPr>
        <w:rFonts w:ascii="Wingdings" w:hAnsi="Wingdings"/>
      </w:rPr>
    </w:lvl>
  </w:abstractNum>
  <w:abstractNum w:abstractNumId="14">
    <w:nsid w:val="0000000F"/>
    <w:multiLevelType w:val="hybridMultilevel"/>
    <w:tmpl w:val="0000000F"/>
    <w:lvl w:ilvl="0">
      <w:start w:val="1"/>
      <w:numFmt w:val="bullet"/>
      <w:lvlText w:val=""/>
      <w:lvlJc w:val="start"/>
      <w:pPr>
        <w:ind w:start="720" w:hanging="360"/>
      </w:pPr>
      <w:rPr>
        <w:rFonts w:ascii="Symbol" w:hAnsi="Symbol"/>
      </w:rPr>
    </w:lvl>
    <w:lvl w:ilvl="1">
      <w:start w:val="1"/>
      <w:numFmt w:val="bullet"/>
      <w:lvlText w:val="o"/>
      <w:lvlJc w:val="start"/>
      <w:pPr>
        <w:tabs>
          <w:tab w:val="num" w:pos="1440"/>
        </w:tabs>
        <w:ind w:start="1440" w:hanging="360"/>
      </w:pPr>
      <w:rPr>
        <w:rFonts w:ascii="Courier New" w:hAnsi="Courier New"/>
      </w:rPr>
    </w:lvl>
    <w:lvl w:ilvl="2">
      <w:start w:val="1"/>
      <w:numFmt w:val="bullet"/>
      <w:lvlText w:val=""/>
      <w:lvlJc w:val="start"/>
      <w:pPr>
        <w:tabs>
          <w:tab w:val="num" w:pos="2160"/>
        </w:tabs>
        <w:ind w:start="2160" w:hanging="360"/>
      </w:pPr>
      <w:rPr>
        <w:rFonts w:ascii="Wingdings" w:hAnsi="Wingdings"/>
      </w:rPr>
    </w:lvl>
    <w:lvl w:ilvl="3">
      <w:start w:val="1"/>
      <w:numFmt w:val="bullet"/>
      <w:lvlText w:val=""/>
      <w:lvlJc w:val="start"/>
      <w:pPr>
        <w:tabs>
          <w:tab w:val="num" w:pos="2880"/>
        </w:tabs>
        <w:ind w:start="2880" w:hanging="360"/>
      </w:pPr>
      <w:rPr>
        <w:rFonts w:ascii="Symbol" w:hAnsi="Symbol"/>
      </w:rPr>
    </w:lvl>
    <w:lvl w:ilvl="4">
      <w:start w:val="1"/>
      <w:numFmt w:val="bullet"/>
      <w:lvlText w:val="o"/>
      <w:lvlJc w:val="start"/>
      <w:pPr>
        <w:tabs>
          <w:tab w:val="num" w:pos="3600"/>
        </w:tabs>
        <w:ind w:start="3600" w:hanging="360"/>
      </w:pPr>
      <w:rPr>
        <w:rFonts w:ascii="Courier New" w:hAnsi="Courier New"/>
      </w:rPr>
    </w:lvl>
    <w:lvl w:ilvl="5">
      <w:start w:val="1"/>
      <w:numFmt w:val="bullet"/>
      <w:lvlText w:val=""/>
      <w:lvlJc w:val="start"/>
      <w:pPr>
        <w:tabs>
          <w:tab w:val="num" w:pos="4320"/>
        </w:tabs>
        <w:ind w:start="4320" w:hanging="360"/>
      </w:pPr>
      <w:rPr>
        <w:rFonts w:ascii="Wingdings" w:hAnsi="Wingdings"/>
      </w:rPr>
    </w:lvl>
    <w:lvl w:ilvl="6">
      <w:start w:val="1"/>
      <w:numFmt w:val="bullet"/>
      <w:lvlText w:val=""/>
      <w:lvlJc w:val="start"/>
      <w:pPr>
        <w:tabs>
          <w:tab w:val="num" w:pos="5040"/>
        </w:tabs>
        <w:ind w:start="5040" w:hanging="360"/>
      </w:pPr>
      <w:rPr>
        <w:rFonts w:ascii="Symbol" w:hAnsi="Symbol"/>
      </w:rPr>
    </w:lvl>
    <w:lvl w:ilvl="7">
      <w:start w:val="1"/>
      <w:numFmt w:val="bullet"/>
      <w:lvlText w:val="o"/>
      <w:lvlJc w:val="start"/>
      <w:pPr>
        <w:tabs>
          <w:tab w:val="num" w:pos="5760"/>
        </w:tabs>
        <w:ind w:start="5760" w:hanging="360"/>
      </w:pPr>
      <w:rPr>
        <w:rFonts w:ascii="Courier New" w:hAnsi="Courier New"/>
      </w:rPr>
    </w:lvl>
    <w:lvl w:ilvl="8">
      <w:start w:val="1"/>
      <w:numFmt w:val="bullet"/>
      <w:lvlText w:val=""/>
      <w:lvlJc w:val="start"/>
      <w:pPr>
        <w:tabs>
          <w:tab w:val="num" w:pos="6480"/>
        </w:tabs>
        <w:ind w:start="6480" w:hanging="360"/>
      </w:pPr>
      <w:rPr>
        <w:rFonts w:ascii="Wingdings" w:hAnsi="Wingdings"/>
      </w:rPr>
    </w:lvl>
  </w:abstractNum>
  <w:abstractNum w:abstractNumId="15">
    <w:nsid w:val="00000010"/>
    <w:multiLevelType w:val="hybridMultilevel"/>
    <w:tmpl w:val="00000010"/>
    <w:lvl w:ilvl="0">
      <w:start w:val="1"/>
      <w:numFmt w:val="bullet"/>
      <w:lvlText w:val=""/>
      <w:lvlJc w:val="start"/>
      <w:pPr>
        <w:ind w:start="720" w:hanging="360"/>
      </w:pPr>
      <w:rPr>
        <w:rFonts w:ascii="Symbol" w:hAnsi="Symbol"/>
      </w:rPr>
    </w:lvl>
    <w:lvl w:ilvl="1">
      <w:start w:val="1"/>
      <w:numFmt w:val="bullet"/>
      <w:lvlText w:val="o"/>
      <w:lvlJc w:val="start"/>
      <w:pPr>
        <w:tabs>
          <w:tab w:val="num" w:pos="1440"/>
        </w:tabs>
        <w:ind w:start="1440" w:hanging="360"/>
      </w:pPr>
      <w:rPr>
        <w:rFonts w:ascii="Courier New" w:hAnsi="Courier New"/>
      </w:rPr>
    </w:lvl>
    <w:lvl w:ilvl="2">
      <w:start w:val="1"/>
      <w:numFmt w:val="bullet"/>
      <w:lvlText w:val=""/>
      <w:lvlJc w:val="start"/>
      <w:pPr>
        <w:tabs>
          <w:tab w:val="num" w:pos="2160"/>
        </w:tabs>
        <w:ind w:start="2160" w:hanging="360"/>
      </w:pPr>
      <w:rPr>
        <w:rFonts w:ascii="Wingdings" w:hAnsi="Wingdings"/>
      </w:rPr>
    </w:lvl>
    <w:lvl w:ilvl="3">
      <w:start w:val="1"/>
      <w:numFmt w:val="bullet"/>
      <w:lvlText w:val=""/>
      <w:lvlJc w:val="start"/>
      <w:pPr>
        <w:tabs>
          <w:tab w:val="num" w:pos="2880"/>
        </w:tabs>
        <w:ind w:start="2880" w:hanging="360"/>
      </w:pPr>
      <w:rPr>
        <w:rFonts w:ascii="Symbol" w:hAnsi="Symbol"/>
      </w:rPr>
    </w:lvl>
    <w:lvl w:ilvl="4">
      <w:start w:val="1"/>
      <w:numFmt w:val="bullet"/>
      <w:lvlText w:val="o"/>
      <w:lvlJc w:val="start"/>
      <w:pPr>
        <w:tabs>
          <w:tab w:val="num" w:pos="3600"/>
        </w:tabs>
        <w:ind w:start="3600" w:hanging="360"/>
      </w:pPr>
      <w:rPr>
        <w:rFonts w:ascii="Courier New" w:hAnsi="Courier New"/>
      </w:rPr>
    </w:lvl>
    <w:lvl w:ilvl="5">
      <w:start w:val="1"/>
      <w:numFmt w:val="bullet"/>
      <w:lvlText w:val=""/>
      <w:lvlJc w:val="start"/>
      <w:pPr>
        <w:tabs>
          <w:tab w:val="num" w:pos="4320"/>
        </w:tabs>
        <w:ind w:start="4320" w:hanging="360"/>
      </w:pPr>
      <w:rPr>
        <w:rFonts w:ascii="Wingdings" w:hAnsi="Wingdings"/>
      </w:rPr>
    </w:lvl>
    <w:lvl w:ilvl="6">
      <w:start w:val="1"/>
      <w:numFmt w:val="bullet"/>
      <w:lvlText w:val=""/>
      <w:lvlJc w:val="start"/>
      <w:pPr>
        <w:tabs>
          <w:tab w:val="num" w:pos="5040"/>
        </w:tabs>
        <w:ind w:start="5040" w:hanging="360"/>
      </w:pPr>
      <w:rPr>
        <w:rFonts w:ascii="Symbol" w:hAnsi="Symbol"/>
      </w:rPr>
    </w:lvl>
    <w:lvl w:ilvl="7">
      <w:start w:val="1"/>
      <w:numFmt w:val="bullet"/>
      <w:lvlText w:val="o"/>
      <w:lvlJc w:val="start"/>
      <w:pPr>
        <w:tabs>
          <w:tab w:val="num" w:pos="5760"/>
        </w:tabs>
        <w:ind w:start="5760" w:hanging="360"/>
      </w:pPr>
      <w:rPr>
        <w:rFonts w:ascii="Courier New" w:hAnsi="Courier New"/>
      </w:rPr>
    </w:lvl>
    <w:lvl w:ilvl="8">
      <w:start w:val="1"/>
      <w:numFmt w:val="bullet"/>
      <w:lvlText w:val=""/>
      <w:lvlJc w:val="start"/>
      <w:pPr>
        <w:tabs>
          <w:tab w:val="num" w:pos="6480"/>
        </w:tabs>
        <w:ind w:start="6480" w:hanging="360"/>
      </w:pPr>
      <w:rPr>
        <w:rFonts w:ascii="Wingdings" w:hAnsi="Wingdings"/>
      </w:rPr>
    </w:lvl>
  </w:abstractNum>
  <w:abstractNum w:abstractNumId="16">
    <w:nsid w:val="00000011"/>
    <w:multiLevelType w:val="hybridMultilevel"/>
    <w:tmpl w:val="00000011"/>
    <w:lvl w:ilvl="0">
      <w:start w:val="1"/>
      <w:numFmt w:val="bullet"/>
      <w:lvlText w:val=""/>
      <w:lvlJc w:val="start"/>
      <w:pPr>
        <w:ind w:start="720" w:hanging="360"/>
      </w:pPr>
      <w:rPr>
        <w:rFonts w:ascii="Symbol" w:hAnsi="Symbol"/>
      </w:rPr>
    </w:lvl>
    <w:lvl w:ilvl="1">
      <w:start w:val="1"/>
      <w:numFmt w:val="bullet"/>
      <w:lvlText w:val="o"/>
      <w:lvlJc w:val="start"/>
      <w:pPr>
        <w:tabs>
          <w:tab w:val="num" w:pos="1440"/>
        </w:tabs>
        <w:ind w:start="1440" w:hanging="360"/>
      </w:pPr>
      <w:rPr>
        <w:rFonts w:ascii="Courier New" w:hAnsi="Courier New"/>
      </w:rPr>
    </w:lvl>
    <w:lvl w:ilvl="2">
      <w:start w:val="1"/>
      <w:numFmt w:val="bullet"/>
      <w:lvlText w:val=""/>
      <w:lvlJc w:val="start"/>
      <w:pPr>
        <w:tabs>
          <w:tab w:val="num" w:pos="2160"/>
        </w:tabs>
        <w:ind w:start="2160" w:hanging="360"/>
      </w:pPr>
      <w:rPr>
        <w:rFonts w:ascii="Wingdings" w:hAnsi="Wingdings"/>
      </w:rPr>
    </w:lvl>
    <w:lvl w:ilvl="3">
      <w:start w:val="1"/>
      <w:numFmt w:val="bullet"/>
      <w:lvlText w:val=""/>
      <w:lvlJc w:val="start"/>
      <w:pPr>
        <w:tabs>
          <w:tab w:val="num" w:pos="2880"/>
        </w:tabs>
        <w:ind w:start="2880" w:hanging="360"/>
      </w:pPr>
      <w:rPr>
        <w:rFonts w:ascii="Symbol" w:hAnsi="Symbol"/>
      </w:rPr>
    </w:lvl>
    <w:lvl w:ilvl="4">
      <w:start w:val="1"/>
      <w:numFmt w:val="bullet"/>
      <w:lvlText w:val="o"/>
      <w:lvlJc w:val="start"/>
      <w:pPr>
        <w:tabs>
          <w:tab w:val="num" w:pos="3600"/>
        </w:tabs>
        <w:ind w:start="3600" w:hanging="360"/>
      </w:pPr>
      <w:rPr>
        <w:rFonts w:ascii="Courier New" w:hAnsi="Courier New"/>
      </w:rPr>
    </w:lvl>
    <w:lvl w:ilvl="5">
      <w:start w:val="1"/>
      <w:numFmt w:val="bullet"/>
      <w:lvlText w:val=""/>
      <w:lvlJc w:val="start"/>
      <w:pPr>
        <w:tabs>
          <w:tab w:val="num" w:pos="4320"/>
        </w:tabs>
        <w:ind w:start="4320" w:hanging="360"/>
      </w:pPr>
      <w:rPr>
        <w:rFonts w:ascii="Wingdings" w:hAnsi="Wingdings"/>
      </w:rPr>
    </w:lvl>
    <w:lvl w:ilvl="6">
      <w:start w:val="1"/>
      <w:numFmt w:val="bullet"/>
      <w:lvlText w:val=""/>
      <w:lvlJc w:val="start"/>
      <w:pPr>
        <w:tabs>
          <w:tab w:val="num" w:pos="5040"/>
        </w:tabs>
        <w:ind w:start="5040" w:hanging="360"/>
      </w:pPr>
      <w:rPr>
        <w:rFonts w:ascii="Symbol" w:hAnsi="Symbol"/>
      </w:rPr>
    </w:lvl>
    <w:lvl w:ilvl="7">
      <w:start w:val="1"/>
      <w:numFmt w:val="bullet"/>
      <w:lvlText w:val="o"/>
      <w:lvlJc w:val="start"/>
      <w:pPr>
        <w:tabs>
          <w:tab w:val="num" w:pos="5760"/>
        </w:tabs>
        <w:ind w:start="5760" w:hanging="360"/>
      </w:pPr>
      <w:rPr>
        <w:rFonts w:ascii="Courier New" w:hAnsi="Courier New"/>
      </w:rPr>
    </w:lvl>
    <w:lvl w:ilvl="8">
      <w:start w:val="1"/>
      <w:numFmt w:val="bullet"/>
      <w:lvlText w:val=""/>
      <w:lvlJc w:val="start"/>
      <w:pPr>
        <w:tabs>
          <w:tab w:val="num" w:pos="6480"/>
        </w:tabs>
        <w:ind w:start="6480" w:hanging="360"/>
      </w:pPr>
      <w:rPr>
        <w:rFonts w:ascii="Wingdings" w:hAnsi="Wingdings"/>
      </w:rPr>
    </w:lvl>
  </w:abstractNum>
  <w:abstractNum w:abstractNumId="17">
    <w:nsid w:val="00000012"/>
    <w:multiLevelType w:val="hybridMultilevel"/>
    <w:tmpl w:val="00000012"/>
    <w:lvl w:ilvl="0">
      <w:start w:val="1"/>
      <w:numFmt w:val="bullet"/>
      <w:lvlText w:val=""/>
      <w:lvlJc w:val="start"/>
      <w:pPr>
        <w:ind w:start="720" w:hanging="360"/>
      </w:pPr>
      <w:rPr>
        <w:rFonts w:ascii="Symbol" w:hAnsi="Symbol"/>
      </w:rPr>
    </w:lvl>
    <w:lvl w:ilvl="1">
      <w:start w:val="1"/>
      <w:numFmt w:val="bullet"/>
      <w:lvlText w:val="o"/>
      <w:lvlJc w:val="start"/>
      <w:pPr>
        <w:tabs>
          <w:tab w:val="num" w:pos="1440"/>
        </w:tabs>
        <w:ind w:start="1440" w:hanging="360"/>
      </w:pPr>
      <w:rPr>
        <w:rFonts w:ascii="Courier New" w:hAnsi="Courier New"/>
      </w:rPr>
    </w:lvl>
    <w:lvl w:ilvl="2">
      <w:start w:val="1"/>
      <w:numFmt w:val="bullet"/>
      <w:lvlText w:val=""/>
      <w:lvlJc w:val="start"/>
      <w:pPr>
        <w:tabs>
          <w:tab w:val="num" w:pos="2160"/>
        </w:tabs>
        <w:ind w:start="2160" w:hanging="360"/>
      </w:pPr>
      <w:rPr>
        <w:rFonts w:ascii="Wingdings" w:hAnsi="Wingdings"/>
      </w:rPr>
    </w:lvl>
    <w:lvl w:ilvl="3">
      <w:start w:val="1"/>
      <w:numFmt w:val="bullet"/>
      <w:lvlText w:val=""/>
      <w:lvlJc w:val="start"/>
      <w:pPr>
        <w:tabs>
          <w:tab w:val="num" w:pos="2880"/>
        </w:tabs>
        <w:ind w:start="2880" w:hanging="360"/>
      </w:pPr>
      <w:rPr>
        <w:rFonts w:ascii="Symbol" w:hAnsi="Symbol"/>
      </w:rPr>
    </w:lvl>
    <w:lvl w:ilvl="4">
      <w:start w:val="1"/>
      <w:numFmt w:val="bullet"/>
      <w:lvlText w:val="o"/>
      <w:lvlJc w:val="start"/>
      <w:pPr>
        <w:tabs>
          <w:tab w:val="num" w:pos="3600"/>
        </w:tabs>
        <w:ind w:start="3600" w:hanging="360"/>
      </w:pPr>
      <w:rPr>
        <w:rFonts w:ascii="Courier New" w:hAnsi="Courier New"/>
      </w:rPr>
    </w:lvl>
    <w:lvl w:ilvl="5">
      <w:start w:val="1"/>
      <w:numFmt w:val="bullet"/>
      <w:lvlText w:val=""/>
      <w:lvlJc w:val="start"/>
      <w:pPr>
        <w:tabs>
          <w:tab w:val="num" w:pos="4320"/>
        </w:tabs>
        <w:ind w:start="4320" w:hanging="360"/>
      </w:pPr>
      <w:rPr>
        <w:rFonts w:ascii="Wingdings" w:hAnsi="Wingdings"/>
      </w:rPr>
    </w:lvl>
    <w:lvl w:ilvl="6">
      <w:start w:val="1"/>
      <w:numFmt w:val="bullet"/>
      <w:lvlText w:val=""/>
      <w:lvlJc w:val="start"/>
      <w:pPr>
        <w:tabs>
          <w:tab w:val="num" w:pos="5040"/>
        </w:tabs>
        <w:ind w:start="5040" w:hanging="360"/>
      </w:pPr>
      <w:rPr>
        <w:rFonts w:ascii="Symbol" w:hAnsi="Symbol"/>
      </w:rPr>
    </w:lvl>
    <w:lvl w:ilvl="7">
      <w:start w:val="1"/>
      <w:numFmt w:val="bullet"/>
      <w:lvlText w:val="o"/>
      <w:lvlJc w:val="start"/>
      <w:pPr>
        <w:tabs>
          <w:tab w:val="num" w:pos="5760"/>
        </w:tabs>
        <w:ind w:start="5760" w:hanging="360"/>
      </w:pPr>
      <w:rPr>
        <w:rFonts w:ascii="Courier New" w:hAnsi="Courier New"/>
      </w:rPr>
    </w:lvl>
    <w:lvl w:ilvl="8">
      <w:start w:val="1"/>
      <w:numFmt w:val="bullet"/>
      <w:lvlText w:val=""/>
      <w:lvlJc w:val="start"/>
      <w:pPr>
        <w:tabs>
          <w:tab w:val="num" w:pos="6480"/>
        </w:tabs>
        <w:ind w:start="6480" w:hanging="360"/>
      </w:pPr>
      <w:rPr>
        <w:rFonts w:ascii="Wingdings" w:hAnsi="Wingdings"/>
      </w:rPr>
    </w:lvl>
  </w:abstractNum>
  <w:abstractNum w:abstractNumId="18">
    <w:nsid w:val="00000013"/>
    <w:multiLevelType w:val="hybridMultilevel"/>
    <w:tmpl w:val="00000013"/>
    <w:lvl w:ilvl="0">
      <w:start w:val="1"/>
      <w:numFmt w:val="bullet"/>
      <w:lvlText w:val=""/>
      <w:lvlJc w:val="start"/>
      <w:pPr>
        <w:ind w:start="720" w:hanging="360"/>
      </w:pPr>
      <w:rPr>
        <w:rFonts w:ascii="Symbol" w:hAnsi="Symbol"/>
      </w:rPr>
    </w:lvl>
    <w:lvl w:ilvl="1">
      <w:start w:val="1"/>
      <w:numFmt w:val="bullet"/>
      <w:lvlText w:val="o"/>
      <w:lvlJc w:val="start"/>
      <w:pPr>
        <w:tabs>
          <w:tab w:val="num" w:pos="1440"/>
        </w:tabs>
        <w:ind w:start="1440" w:hanging="360"/>
      </w:pPr>
      <w:rPr>
        <w:rFonts w:ascii="Courier New" w:hAnsi="Courier New"/>
      </w:rPr>
    </w:lvl>
    <w:lvl w:ilvl="2">
      <w:start w:val="1"/>
      <w:numFmt w:val="bullet"/>
      <w:lvlText w:val=""/>
      <w:lvlJc w:val="start"/>
      <w:pPr>
        <w:tabs>
          <w:tab w:val="num" w:pos="2160"/>
        </w:tabs>
        <w:ind w:start="2160" w:hanging="360"/>
      </w:pPr>
      <w:rPr>
        <w:rFonts w:ascii="Wingdings" w:hAnsi="Wingdings"/>
      </w:rPr>
    </w:lvl>
    <w:lvl w:ilvl="3">
      <w:start w:val="1"/>
      <w:numFmt w:val="bullet"/>
      <w:lvlText w:val=""/>
      <w:lvlJc w:val="start"/>
      <w:pPr>
        <w:tabs>
          <w:tab w:val="num" w:pos="2880"/>
        </w:tabs>
        <w:ind w:start="2880" w:hanging="360"/>
      </w:pPr>
      <w:rPr>
        <w:rFonts w:ascii="Symbol" w:hAnsi="Symbol"/>
      </w:rPr>
    </w:lvl>
    <w:lvl w:ilvl="4">
      <w:start w:val="1"/>
      <w:numFmt w:val="bullet"/>
      <w:lvlText w:val="o"/>
      <w:lvlJc w:val="start"/>
      <w:pPr>
        <w:tabs>
          <w:tab w:val="num" w:pos="3600"/>
        </w:tabs>
        <w:ind w:start="3600" w:hanging="360"/>
      </w:pPr>
      <w:rPr>
        <w:rFonts w:ascii="Courier New" w:hAnsi="Courier New"/>
      </w:rPr>
    </w:lvl>
    <w:lvl w:ilvl="5">
      <w:start w:val="1"/>
      <w:numFmt w:val="bullet"/>
      <w:lvlText w:val=""/>
      <w:lvlJc w:val="start"/>
      <w:pPr>
        <w:tabs>
          <w:tab w:val="num" w:pos="4320"/>
        </w:tabs>
        <w:ind w:start="4320" w:hanging="360"/>
      </w:pPr>
      <w:rPr>
        <w:rFonts w:ascii="Wingdings" w:hAnsi="Wingdings"/>
      </w:rPr>
    </w:lvl>
    <w:lvl w:ilvl="6">
      <w:start w:val="1"/>
      <w:numFmt w:val="bullet"/>
      <w:lvlText w:val=""/>
      <w:lvlJc w:val="start"/>
      <w:pPr>
        <w:tabs>
          <w:tab w:val="num" w:pos="5040"/>
        </w:tabs>
        <w:ind w:start="5040" w:hanging="360"/>
      </w:pPr>
      <w:rPr>
        <w:rFonts w:ascii="Symbol" w:hAnsi="Symbol"/>
      </w:rPr>
    </w:lvl>
    <w:lvl w:ilvl="7">
      <w:start w:val="1"/>
      <w:numFmt w:val="bullet"/>
      <w:lvlText w:val="o"/>
      <w:lvlJc w:val="start"/>
      <w:pPr>
        <w:tabs>
          <w:tab w:val="num" w:pos="5760"/>
        </w:tabs>
        <w:ind w:start="5760" w:hanging="360"/>
      </w:pPr>
      <w:rPr>
        <w:rFonts w:ascii="Courier New" w:hAnsi="Courier New"/>
      </w:rPr>
    </w:lvl>
    <w:lvl w:ilvl="8">
      <w:start w:val="1"/>
      <w:numFmt w:val="bullet"/>
      <w:lvlText w:val=""/>
      <w:lvlJc w:val="start"/>
      <w:pPr>
        <w:tabs>
          <w:tab w:val="num" w:pos="6480"/>
        </w:tabs>
        <w:ind w:start="6480" w:hanging="360"/>
      </w:pPr>
      <w:rPr>
        <w:rFonts w:ascii="Wingdings" w:hAnsi="Wingdings"/>
      </w:rPr>
    </w:lvl>
  </w:abstractNum>
  <w:abstractNum w:abstractNumId="19">
    <w:nsid w:val="00000014"/>
    <w:multiLevelType w:val="hybridMultilevel"/>
    <w:tmpl w:val="00000014"/>
    <w:lvl w:ilvl="0">
      <w:start w:val="1"/>
      <w:numFmt w:val="bullet"/>
      <w:lvlText w:val=""/>
      <w:lvlJc w:val="start"/>
      <w:pPr>
        <w:ind w:start="720" w:hanging="360"/>
      </w:pPr>
      <w:rPr>
        <w:rFonts w:ascii="Symbol" w:hAnsi="Symbol"/>
      </w:rPr>
    </w:lvl>
    <w:lvl w:ilvl="1">
      <w:start w:val="1"/>
      <w:numFmt w:val="bullet"/>
      <w:lvlText w:val="o"/>
      <w:lvlJc w:val="start"/>
      <w:pPr>
        <w:tabs>
          <w:tab w:val="num" w:pos="1440"/>
        </w:tabs>
        <w:ind w:start="1440" w:hanging="360"/>
      </w:pPr>
      <w:rPr>
        <w:rFonts w:ascii="Courier New" w:hAnsi="Courier New"/>
      </w:rPr>
    </w:lvl>
    <w:lvl w:ilvl="2">
      <w:start w:val="1"/>
      <w:numFmt w:val="bullet"/>
      <w:lvlText w:val=""/>
      <w:lvlJc w:val="start"/>
      <w:pPr>
        <w:tabs>
          <w:tab w:val="num" w:pos="2160"/>
        </w:tabs>
        <w:ind w:start="2160" w:hanging="360"/>
      </w:pPr>
      <w:rPr>
        <w:rFonts w:ascii="Wingdings" w:hAnsi="Wingdings"/>
      </w:rPr>
    </w:lvl>
    <w:lvl w:ilvl="3">
      <w:start w:val="1"/>
      <w:numFmt w:val="bullet"/>
      <w:lvlText w:val=""/>
      <w:lvlJc w:val="start"/>
      <w:pPr>
        <w:tabs>
          <w:tab w:val="num" w:pos="2880"/>
        </w:tabs>
        <w:ind w:start="2880" w:hanging="360"/>
      </w:pPr>
      <w:rPr>
        <w:rFonts w:ascii="Symbol" w:hAnsi="Symbol"/>
      </w:rPr>
    </w:lvl>
    <w:lvl w:ilvl="4">
      <w:start w:val="1"/>
      <w:numFmt w:val="bullet"/>
      <w:lvlText w:val="o"/>
      <w:lvlJc w:val="start"/>
      <w:pPr>
        <w:tabs>
          <w:tab w:val="num" w:pos="3600"/>
        </w:tabs>
        <w:ind w:start="3600" w:hanging="360"/>
      </w:pPr>
      <w:rPr>
        <w:rFonts w:ascii="Courier New" w:hAnsi="Courier New"/>
      </w:rPr>
    </w:lvl>
    <w:lvl w:ilvl="5">
      <w:start w:val="1"/>
      <w:numFmt w:val="bullet"/>
      <w:lvlText w:val=""/>
      <w:lvlJc w:val="start"/>
      <w:pPr>
        <w:tabs>
          <w:tab w:val="num" w:pos="4320"/>
        </w:tabs>
        <w:ind w:start="4320" w:hanging="360"/>
      </w:pPr>
      <w:rPr>
        <w:rFonts w:ascii="Wingdings" w:hAnsi="Wingdings"/>
      </w:rPr>
    </w:lvl>
    <w:lvl w:ilvl="6">
      <w:start w:val="1"/>
      <w:numFmt w:val="bullet"/>
      <w:lvlText w:val=""/>
      <w:lvlJc w:val="start"/>
      <w:pPr>
        <w:tabs>
          <w:tab w:val="num" w:pos="5040"/>
        </w:tabs>
        <w:ind w:start="5040" w:hanging="360"/>
      </w:pPr>
      <w:rPr>
        <w:rFonts w:ascii="Symbol" w:hAnsi="Symbol"/>
      </w:rPr>
    </w:lvl>
    <w:lvl w:ilvl="7">
      <w:start w:val="1"/>
      <w:numFmt w:val="bullet"/>
      <w:lvlText w:val="o"/>
      <w:lvlJc w:val="start"/>
      <w:pPr>
        <w:tabs>
          <w:tab w:val="num" w:pos="5760"/>
        </w:tabs>
        <w:ind w:start="5760" w:hanging="360"/>
      </w:pPr>
      <w:rPr>
        <w:rFonts w:ascii="Courier New" w:hAnsi="Courier New"/>
      </w:rPr>
    </w:lvl>
    <w:lvl w:ilvl="8">
      <w:start w:val="1"/>
      <w:numFmt w:val="bullet"/>
      <w:lvlText w:val=""/>
      <w:lvlJc w:val="start"/>
      <w:pPr>
        <w:tabs>
          <w:tab w:val="num" w:pos="6480"/>
        </w:tabs>
        <w:ind w:start="6480" w:hanging="360"/>
      </w:pPr>
      <w:rPr>
        <w:rFonts w:ascii="Wingdings" w:hAnsi="Wingdings"/>
      </w:rPr>
    </w:lvl>
  </w:abstractNum>
  <w:abstractNum w:abstractNumId="20">
    <w:nsid w:val="00000015"/>
    <w:multiLevelType w:val="hybridMultilevel"/>
    <w:tmpl w:val="00000015"/>
    <w:lvl w:ilvl="0">
      <w:start w:val="1"/>
      <w:numFmt w:val="bullet"/>
      <w:lvlText w:val=""/>
      <w:lvlJc w:val="start"/>
      <w:pPr>
        <w:ind w:start="720" w:hanging="360"/>
      </w:pPr>
      <w:rPr>
        <w:rFonts w:ascii="Symbol" w:hAnsi="Symbol"/>
      </w:rPr>
    </w:lvl>
    <w:lvl w:ilvl="1">
      <w:start w:val="1"/>
      <w:numFmt w:val="bullet"/>
      <w:lvlText w:val="o"/>
      <w:lvlJc w:val="start"/>
      <w:pPr>
        <w:tabs>
          <w:tab w:val="num" w:pos="1440"/>
        </w:tabs>
        <w:ind w:start="1440" w:hanging="360"/>
      </w:pPr>
      <w:rPr>
        <w:rFonts w:ascii="Courier New" w:hAnsi="Courier New"/>
      </w:rPr>
    </w:lvl>
    <w:lvl w:ilvl="2">
      <w:start w:val="1"/>
      <w:numFmt w:val="bullet"/>
      <w:lvlText w:val=""/>
      <w:lvlJc w:val="start"/>
      <w:pPr>
        <w:tabs>
          <w:tab w:val="num" w:pos="2160"/>
        </w:tabs>
        <w:ind w:start="2160" w:hanging="360"/>
      </w:pPr>
      <w:rPr>
        <w:rFonts w:ascii="Wingdings" w:hAnsi="Wingdings"/>
      </w:rPr>
    </w:lvl>
    <w:lvl w:ilvl="3">
      <w:start w:val="1"/>
      <w:numFmt w:val="bullet"/>
      <w:lvlText w:val=""/>
      <w:lvlJc w:val="start"/>
      <w:pPr>
        <w:tabs>
          <w:tab w:val="num" w:pos="2880"/>
        </w:tabs>
        <w:ind w:start="2880" w:hanging="360"/>
      </w:pPr>
      <w:rPr>
        <w:rFonts w:ascii="Symbol" w:hAnsi="Symbol"/>
      </w:rPr>
    </w:lvl>
    <w:lvl w:ilvl="4">
      <w:start w:val="1"/>
      <w:numFmt w:val="bullet"/>
      <w:lvlText w:val="o"/>
      <w:lvlJc w:val="start"/>
      <w:pPr>
        <w:tabs>
          <w:tab w:val="num" w:pos="3600"/>
        </w:tabs>
        <w:ind w:start="3600" w:hanging="360"/>
      </w:pPr>
      <w:rPr>
        <w:rFonts w:ascii="Courier New" w:hAnsi="Courier New"/>
      </w:rPr>
    </w:lvl>
    <w:lvl w:ilvl="5">
      <w:start w:val="1"/>
      <w:numFmt w:val="bullet"/>
      <w:lvlText w:val=""/>
      <w:lvlJc w:val="start"/>
      <w:pPr>
        <w:tabs>
          <w:tab w:val="num" w:pos="4320"/>
        </w:tabs>
        <w:ind w:start="4320" w:hanging="360"/>
      </w:pPr>
      <w:rPr>
        <w:rFonts w:ascii="Wingdings" w:hAnsi="Wingdings"/>
      </w:rPr>
    </w:lvl>
    <w:lvl w:ilvl="6">
      <w:start w:val="1"/>
      <w:numFmt w:val="bullet"/>
      <w:lvlText w:val=""/>
      <w:lvlJc w:val="start"/>
      <w:pPr>
        <w:tabs>
          <w:tab w:val="num" w:pos="5040"/>
        </w:tabs>
        <w:ind w:start="5040" w:hanging="360"/>
      </w:pPr>
      <w:rPr>
        <w:rFonts w:ascii="Symbol" w:hAnsi="Symbol"/>
      </w:rPr>
    </w:lvl>
    <w:lvl w:ilvl="7">
      <w:start w:val="1"/>
      <w:numFmt w:val="bullet"/>
      <w:lvlText w:val="o"/>
      <w:lvlJc w:val="start"/>
      <w:pPr>
        <w:tabs>
          <w:tab w:val="num" w:pos="5760"/>
        </w:tabs>
        <w:ind w:start="5760" w:hanging="360"/>
      </w:pPr>
      <w:rPr>
        <w:rFonts w:ascii="Courier New" w:hAnsi="Courier New"/>
      </w:rPr>
    </w:lvl>
    <w:lvl w:ilvl="8">
      <w:start w:val="1"/>
      <w:numFmt w:val="bullet"/>
      <w:lvlText w:val=""/>
      <w:lvlJc w:val="start"/>
      <w:pPr>
        <w:tabs>
          <w:tab w:val="num" w:pos="6480"/>
        </w:tabs>
        <w:ind w:start="6480" w:hanging="360"/>
      </w:pPr>
      <w:rPr>
        <w:rFonts w:ascii="Wingdings" w:hAnsi="Wingdings"/>
      </w:rPr>
    </w:lvl>
  </w:abstractNum>
  <w:abstractNum w:abstractNumId="21">
    <w:nsid w:val="00000016"/>
    <w:multiLevelType w:val="hybridMultilevel"/>
    <w:tmpl w:val="00000016"/>
    <w:lvl w:ilvl="0">
      <w:start w:val="1"/>
      <w:numFmt w:val="bullet"/>
      <w:lvlText w:val=""/>
      <w:lvlJc w:val="start"/>
      <w:pPr>
        <w:ind w:start="720" w:hanging="360"/>
      </w:pPr>
      <w:rPr>
        <w:rFonts w:ascii="Symbol" w:hAnsi="Symbol"/>
      </w:rPr>
    </w:lvl>
    <w:lvl w:ilvl="1">
      <w:start w:val="1"/>
      <w:numFmt w:val="bullet"/>
      <w:lvlText w:val="o"/>
      <w:lvlJc w:val="start"/>
      <w:pPr>
        <w:tabs>
          <w:tab w:val="num" w:pos="1440"/>
        </w:tabs>
        <w:ind w:start="1440" w:hanging="360"/>
      </w:pPr>
      <w:rPr>
        <w:rFonts w:ascii="Courier New" w:hAnsi="Courier New"/>
      </w:rPr>
    </w:lvl>
    <w:lvl w:ilvl="2">
      <w:start w:val="1"/>
      <w:numFmt w:val="bullet"/>
      <w:lvlText w:val=""/>
      <w:lvlJc w:val="start"/>
      <w:pPr>
        <w:tabs>
          <w:tab w:val="num" w:pos="2160"/>
        </w:tabs>
        <w:ind w:start="2160" w:hanging="360"/>
      </w:pPr>
      <w:rPr>
        <w:rFonts w:ascii="Wingdings" w:hAnsi="Wingdings"/>
      </w:rPr>
    </w:lvl>
    <w:lvl w:ilvl="3">
      <w:start w:val="1"/>
      <w:numFmt w:val="bullet"/>
      <w:lvlText w:val=""/>
      <w:lvlJc w:val="start"/>
      <w:pPr>
        <w:tabs>
          <w:tab w:val="num" w:pos="2880"/>
        </w:tabs>
        <w:ind w:start="2880" w:hanging="360"/>
      </w:pPr>
      <w:rPr>
        <w:rFonts w:ascii="Symbol" w:hAnsi="Symbol"/>
      </w:rPr>
    </w:lvl>
    <w:lvl w:ilvl="4">
      <w:start w:val="1"/>
      <w:numFmt w:val="bullet"/>
      <w:lvlText w:val="o"/>
      <w:lvlJc w:val="start"/>
      <w:pPr>
        <w:tabs>
          <w:tab w:val="num" w:pos="3600"/>
        </w:tabs>
        <w:ind w:start="3600" w:hanging="360"/>
      </w:pPr>
      <w:rPr>
        <w:rFonts w:ascii="Courier New" w:hAnsi="Courier New"/>
      </w:rPr>
    </w:lvl>
    <w:lvl w:ilvl="5">
      <w:start w:val="1"/>
      <w:numFmt w:val="bullet"/>
      <w:lvlText w:val=""/>
      <w:lvlJc w:val="start"/>
      <w:pPr>
        <w:tabs>
          <w:tab w:val="num" w:pos="4320"/>
        </w:tabs>
        <w:ind w:start="4320" w:hanging="360"/>
      </w:pPr>
      <w:rPr>
        <w:rFonts w:ascii="Wingdings" w:hAnsi="Wingdings"/>
      </w:rPr>
    </w:lvl>
    <w:lvl w:ilvl="6">
      <w:start w:val="1"/>
      <w:numFmt w:val="bullet"/>
      <w:lvlText w:val=""/>
      <w:lvlJc w:val="start"/>
      <w:pPr>
        <w:tabs>
          <w:tab w:val="num" w:pos="5040"/>
        </w:tabs>
        <w:ind w:start="5040" w:hanging="360"/>
      </w:pPr>
      <w:rPr>
        <w:rFonts w:ascii="Symbol" w:hAnsi="Symbol"/>
      </w:rPr>
    </w:lvl>
    <w:lvl w:ilvl="7">
      <w:start w:val="1"/>
      <w:numFmt w:val="bullet"/>
      <w:lvlText w:val="o"/>
      <w:lvlJc w:val="start"/>
      <w:pPr>
        <w:tabs>
          <w:tab w:val="num" w:pos="5760"/>
        </w:tabs>
        <w:ind w:start="5760" w:hanging="360"/>
      </w:pPr>
      <w:rPr>
        <w:rFonts w:ascii="Courier New" w:hAnsi="Courier New"/>
      </w:rPr>
    </w:lvl>
    <w:lvl w:ilvl="8">
      <w:start w:val="1"/>
      <w:numFmt w:val="bullet"/>
      <w:lvlText w:val=""/>
      <w:lvlJc w:val="start"/>
      <w:pPr>
        <w:tabs>
          <w:tab w:val="num" w:pos="6480"/>
        </w:tabs>
        <w:ind w:start="6480" w:hanging="360"/>
      </w:pPr>
      <w:rPr>
        <w:rFonts w:ascii="Wingdings" w:hAnsi="Wingdings"/>
      </w:rPr>
    </w:lvl>
  </w:abstractNum>
  <w:abstractNum w:abstractNumId="22">
    <w:nsid w:val="00000017"/>
    <w:multiLevelType w:val="hybridMultilevel"/>
    <w:tmpl w:val="00000017"/>
    <w:lvl w:ilvl="0">
      <w:start w:val="1"/>
      <w:numFmt w:val="bullet"/>
      <w:lvlText w:val=""/>
      <w:lvlJc w:val="start"/>
      <w:pPr>
        <w:ind w:start="720" w:hanging="360"/>
      </w:pPr>
      <w:rPr>
        <w:rFonts w:ascii="Symbol" w:hAnsi="Symbol"/>
      </w:rPr>
    </w:lvl>
    <w:lvl w:ilvl="1">
      <w:start w:val="1"/>
      <w:numFmt w:val="bullet"/>
      <w:lvlText w:val="o"/>
      <w:lvlJc w:val="start"/>
      <w:pPr>
        <w:tabs>
          <w:tab w:val="num" w:pos="1440"/>
        </w:tabs>
        <w:ind w:start="1440" w:hanging="360"/>
      </w:pPr>
      <w:rPr>
        <w:rFonts w:ascii="Courier New" w:hAnsi="Courier New"/>
      </w:rPr>
    </w:lvl>
    <w:lvl w:ilvl="2">
      <w:start w:val="1"/>
      <w:numFmt w:val="bullet"/>
      <w:lvlText w:val=""/>
      <w:lvlJc w:val="start"/>
      <w:pPr>
        <w:tabs>
          <w:tab w:val="num" w:pos="2160"/>
        </w:tabs>
        <w:ind w:start="2160" w:hanging="360"/>
      </w:pPr>
      <w:rPr>
        <w:rFonts w:ascii="Wingdings" w:hAnsi="Wingdings"/>
      </w:rPr>
    </w:lvl>
    <w:lvl w:ilvl="3">
      <w:start w:val="1"/>
      <w:numFmt w:val="bullet"/>
      <w:lvlText w:val=""/>
      <w:lvlJc w:val="start"/>
      <w:pPr>
        <w:tabs>
          <w:tab w:val="num" w:pos="2880"/>
        </w:tabs>
        <w:ind w:start="2880" w:hanging="360"/>
      </w:pPr>
      <w:rPr>
        <w:rFonts w:ascii="Symbol" w:hAnsi="Symbol"/>
      </w:rPr>
    </w:lvl>
    <w:lvl w:ilvl="4">
      <w:start w:val="1"/>
      <w:numFmt w:val="bullet"/>
      <w:lvlText w:val="o"/>
      <w:lvlJc w:val="start"/>
      <w:pPr>
        <w:tabs>
          <w:tab w:val="num" w:pos="3600"/>
        </w:tabs>
        <w:ind w:start="3600" w:hanging="360"/>
      </w:pPr>
      <w:rPr>
        <w:rFonts w:ascii="Courier New" w:hAnsi="Courier New"/>
      </w:rPr>
    </w:lvl>
    <w:lvl w:ilvl="5">
      <w:start w:val="1"/>
      <w:numFmt w:val="bullet"/>
      <w:lvlText w:val=""/>
      <w:lvlJc w:val="start"/>
      <w:pPr>
        <w:tabs>
          <w:tab w:val="num" w:pos="4320"/>
        </w:tabs>
        <w:ind w:start="4320" w:hanging="360"/>
      </w:pPr>
      <w:rPr>
        <w:rFonts w:ascii="Wingdings" w:hAnsi="Wingdings"/>
      </w:rPr>
    </w:lvl>
    <w:lvl w:ilvl="6">
      <w:start w:val="1"/>
      <w:numFmt w:val="bullet"/>
      <w:lvlText w:val=""/>
      <w:lvlJc w:val="start"/>
      <w:pPr>
        <w:tabs>
          <w:tab w:val="num" w:pos="5040"/>
        </w:tabs>
        <w:ind w:start="5040" w:hanging="360"/>
      </w:pPr>
      <w:rPr>
        <w:rFonts w:ascii="Symbol" w:hAnsi="Symbol"/>
      </w:rPr>
    </w:lvl>
    <w:lvl w:ilvl="7">
      <w:start w:val="1"/>
      <w:numFmt w:val="bullet"/>
      <w:lvlText w:val="o"/>
      <w:lvlJc w:val="start"/>
      <w:pPr>
        <w:tabs>
          <w:tab w:val="num" w:pos="5760"/>
        </w:tabs>
        <w:ind w:start="5760" w:hanging="360"/>
      </w:pPr>
      <w:rPr>
        <w:rFonts w:ascii="Courier New" w:hAnsi="Courier New"/>
      </w:rPr>
    </w:lvl>
    <w:lvl w:ilvl="8">
      <w:start w:val="1"/>
      <w:numFmt w:val="bullet"/>
      <w:lvlText w:val=""/>
      <w:lvlJc w:val="start"/>
      <w:pPr>
        <w:tabs>
          <w:tab w:val="num" w:pos="6480"/>
        </w:tabs>
        <w:ind w:start="6480" w:hanging="360"/>
      </w:pPr>
      <w:rPr>
        <w:rFonts w:ascii="Wingdings" w:hAnsi="Wingdings"/>
      </w:rPr>
    </w:lvl>
  </w:abstractNum>
  <w:abstractNum w:abstractNumId="23">
    <w:nsid w:val="00000018"/>
    <w:multiLevelType w:val="hybridMultilevel"/>
    <w:tmpl w:val="00000018"/>
    <w:lvl w:ilvl="0">
      <w:start w:val="1"/>
      <w:numFmt w:val="bullet"/>
      <w:lvlText w:val=""/>
      <w:lvlJc w:val="start"/>
      <w:pPr>
        <w:ind w:start="720" w:hanging="360"/>
      </w:pPr>
      <w:rPr>
        <w:rFonts w:ascii="Symbol" w:hAnsi="Symbol"/>
      </w:rPr>
    </w:lvl>
    <w:lvl w:ilvl="1">
      <w:start w:val="1"/>
      <w:numFmt w:val="bullet"/>
      <w:lvlText w:val="o"/>
      <w:lvlJc w:val="start"/>
      <w:pPr>
        <w:tabs>
          <w:tab w:val="num" w:pos="1440"/>
        </w:tabs>
        <w:ind w:start="1440" w:hanging="360"/>
      </w:pPr>
      <w:rPr>
        <w:rFonts w:ascii="Courier New" w:hAnsi="Courier New"/>
      </w:rPr>
    </w:lvl>
    <w:lvl w:ilvl="2">
      <w:start w:val="1"/>
      <w:numFmt w:val="bullet"/>
      <w:lvlText w:val=""/>
      <w:lvlJc w:val="start"/>
      <w:pPr>
        <w:tabs>
          <w:tab w:val="num" w:pos="2160"/>
        </w:tabs>
        <w:ind w:start="2160" w:hanging="360"/>
      </w:pPr>
      <w:rPr>
        <w:rFonts w:ascii="Wingdings" w:hAnsi="Wingdings"/>
      </w:rPr>
    </w:lvl>
    <w:lvl w:ilvl="3">
      <w:start w:val="1"/>
      <w:numFmt w:val="bullet"/>
      <w:lvlText w:val=""/>
      <w:lvlJc w:val="start"/>
      <w:pPr>
        <w:tabs>
          <w:tab w:val="num" w:pos="2880"/>
        </w:tabs>
        <w:ind w:start="2880" w:hanging="360"/>
      </w:pPr>
      <w:rPr>
        <w:rFonts w:ascii="Symbol" w:hAnsi="Symbol"/>
      </w:rPr>
    </w:lvl>
    <w:lvl w:ilvl="4">
      <w:start w:val="1"/>
      <w:numFmt w:val="bullet"/>
      <w:lvlText w:val="o"/>
      <w:lvlJc w:val="start"/>
      <w:pPr>
        <w:tabs>
          <w:tab w:val="num" w:pos="3600"/>
        </w:tabs>
        <w:ind w:start="3600" w:hanging="360"/>
      </w:pPr>
      <w:rPr>
        <w:rFonts w:ascii="Courier New" w:hAnsi="Courier New"/>
      </w:rPr>
    </w:lvl>
    <w:lvl w:ilvl="5">
      <w:start w:val="1"/>
      <w:numFmt w:val="bullet"/>
      <w:lvlText w:val=""/>
      <w:lvlJc w:val="start"/>
      <w:pPr>
        <w:tabs>
          <w:tab w:val="num" w:pos="4320"/>
        </w:tabs>
        <w:ind w:start="4320" w:hanging="360"/>
      </w:pPr>
      <w:rPr>
        <w:rFonts w:ascii="Wingdings" w:hAnsi="Wingdings"/>
      </w:rPr>
    </w:lvl>
    <w:lvl w:ilvl="6">
      <w:start w:val="1"/>
      <w:numFmt w:val="bullet"/>
      <w:lvlText w:val=""/>
      <w:lvlJc w:val="start"/>
      <w:pPr>
        <w:tabs>
          <w:tab w:val="num" w:pos="5040"/>
        </w:tabs>
        <w:ind w:start="5040" w:hanging="360"/>
      </w:pPr>
      <w:rPr>
        <w:rFonts w:ascii="Symbol" w:hAnsi="Symbol"/>
      </w:rPr>
    </w:lvl>
    <w:lvl w:ilvl="7">
      <w:start w:val="1"/>
      <w:numFmt w:val="bullet"/>
      <w:lvlText w:val="o"/>
      <w:lvlJc w:val="start"/>
      <w:pPr>
        <w:tabs>
          <w:tab w:val="num" w:pos="5760"/>
        </w:tabs>
        <w:ind w:start="5760" w:hanging="360"/>
      </w:pPr>
      <w:rPr>
        <w:rFonts w:ascii="Courier New" w:hAnsi="Courier New"/>
      </w:rPr>
    </w:lvl>
    <w:lvl w:ilvl="8">
      <w:start w:val="1"/>
      <w:numFmt w:val="bullet"/>
      <w:lvlText w:val=""/>
      <w:lvlJc w:val="start"/>
      <w:pPr>
        <w:tabs>
          <w:tab w:val="num" w:pos="6480"/>
        </w:tabs>
        <w:ind w:start="6480" w:hanging="360"/>
      </w:pPr>
      <w:rPr>
        <w:rFonts w:ascii="Wingdings" w:hAnsi="Wingdings"/>
      </w:rPr>
    </w:lvl>
  </w:abstractNum>
  <w:abstractNum w:abstractNumId="24">
    <w:nsid w:val="00000019"/>
    <w:multiLevelType w:val="hybridMultilevel"/>
    <w:tmpl w:val="00000019"/>
    <w:lvl w:ilvl="0">
      <w:start w:val="1"/>
      <w:numFmt w:val="bullet"/>
      <w:lvlText w:val=""/>
      <w:lvlJc w:val="start"/>
      <w:pPr>
        <w:ind w:start="720" w:hanging="360"/>
      </w:pPr>
      <w:rPr>
        <w:rFonts w:ascii="Symbol" w:hAnsi="Symbol"/>
      </w:rPr>
    </w:lvl>
    <w:lvl w:ilvl="1">
      <w:start w:val="1"/>
      <w:numFmt w:val="bullet"/>
      <w:lvlText w:val="o"/>
      <w:lvlJc w:val="start"/>
      <w:pPr>
        <w:tabs>
          <w:tab w:val="num" w:pos="1440"/>
        </w:tabs>
        <w:ind w:start="1440" w:hanging="360"/>
      </w:pPr>
      <w:rPr>
        <w:rFonts w:ascii="Courier New" w:hAnsi="Courier New"/>
      </w:rPr>
    </w:lvl>
    <w:lvl w:ilvl="2">
      <w:start w:val="1"/>
      <w:numFmt w:val="bullet"/>
      <w:lvlText w:val=""/>
      <w:lvlJc w:val="start"/>
      <w:pPr>
        <w:tabs>
          <w:tab w:val="num" w:pos="2160"/>
        </w:tabs>
        <w:ind w:start="2160" w:hanging="360"/>
      </w:pPr>
      <w:rPr>
        <w:rFonts w:ascii="Wingdings" w:hAnsi="Wingdings"/>
      </w:rPr>
    </w:lvl>
    <w:lvl w:ilvl="3">
      <w:start w:val="1"/>
      <w:numFmt w:val="bullet"/>
      <w:lvlText w:val=""/>
      <w:lvlJc w:val="start"/>
      <w:pPr>
        <w:tabs>
          <w:tab w:val="num" w:pos="2880"/>
        </w:tabs>
        <w:ind w:start="2880" w:hanging="360"/>
      </w:pPr>
      <w:rPr>
        <w:rFonts w:ascii="Symbol" w:hAnsi="Symbol"/>
      </w:rPr>
    </w:lvl>
    <w:lvl w:ilvl="4">
      <w:start w:val="1"/>
      <w:numFmt w:val="bullet"/>
      <w:lvlText w:val="o"/>
      <w:lvlJc w:val="start"/>
      <w:pPr>
        <w:tabs>
          <w:tab w:val="num" w:pos="3600"/>
        </w:tabs>
        <w:ind w:start="3600" w:hanging="360"/>
      </w:pPr>
      <w:rPr>
        <w:rFonts w:ascii="Courier New" w:hAnsi="Courier New"/>
      </w:rPr>
    </w:lvl>
    <w:lvl w:ilvl="5">
      <w:start w:val="1"/>
      <w:numFmt w:val="bullet"/>
      <w:lvlText w:val=""/>
      <w:lvlJc w:val="start"/>
      <w:pPr>
        <w:tabs>
          <w:tab w:val="num" w:pos="4320"/>
        </w:tabs>
        <w:ind w:start="4320" w:hanging="360"/>
      </w:pPr>
      <w:rPr>
        <w:rFonts w:ascii="Wingdings" w:hAnsi="Wingdings"/>
      </w:rPr>
    </w:lvl>
    <w:lvl w:ilvl="6">
      <w:start w:val="1"/>
      <w:numFmt w:val="bullet"/>
      <w:lvlText w:val=""/>
      <w:lvlJc w:val="start"/>
      <w:pPr>
        <w:tabs>
          <w:tab w:val="num" w:pos="5040"/>
        </w:tabs>
        <w:ind w:start="5040" w:hanging="360"/>
      </w:pPr>
      <w:rPr>
        <w:rFonts w:ascii="Symbol" w:hAnsi="Symbol"/>
      </w:rPr>
    </w:lvl>
    <w:lvl w:ilvl="7">
      <w:start w:val="1"/>
      <w:numFmt w:val="bullet"/>
      <w:lvlText w:val="o"/>
      <w:lvlJc w:val="start"/>
      <w:pPr>
        <w:tabs>
          <w:tab w:val="num" w:pos="5760"/>
        </w:tabs>
        <w:ind w:start="5760" w:hanging="360"/>
      </w:pPr>
      <w:rPr>
        <w:rFonts w:ascii="Courier New" w:hAnsi="Courier New"/>
      </w:rPr>
    </w:lvl>
    <w:lvl w:ilvl="8">
      <w:start w:val="1"/>
      <w:numFmt w:val="bullet"/>
      <w:lvlText w:val=""/>
      <w:lvlJc w:val="start"/>
      <w:pPr>
        <w:tabs>
          <w:tab w:val="num" w:pos="6480"/>
        </w:tabs>
        <w:ind w:start="6480" w:hanging="360"/>
      </w:pPr>
      <w:rPr>
        <w:rFonts w:ascii="Wingdings" w:hAnsi="Wingdings"/>
      </w:rPr>
    </w:lvl>
  </w:abstractNum>
  <w:abstractNum w:abstractNumId="25">
    <w:nsid w:val="0000001A"/>
    <w:multiLevelType w:val="hybridMultilevel"/>
    <w:tmpl w:val="0000001A"/>
    <w:lvl w:ilvl="0">
      <w:start w:val="1"/>
      <w:numFmt w:val="bullet"/>
      <w:lvlText w:val=""/>
      <w:lvlJc w:val="start"/>
      <w:pPr>
        <w:ind w:start="720" w:hanging="360"/>
      </w:pPr>
      <w:rPr>
        <w:rFonts w:ascii="Symbol" w:hAnsi="Symbol"/>
      </w:rPr>
    </w:lvl>
    <w:lvl w:ilvl="1">
      <w:start w:val="1"/>
      <w:numFmt w:val="bullet"/>
      <w:lvlText w:val="o"/>
      <w:lvlJc w:val="start"/>
      <w:pPr>
        <w:tabs>
          <w:tab w:val="num" w:pos="1440"/>
        </w:tabs>
        <w:ind w:start="1440" w:hanging="360"/>
      </w:pPr>
      <w:rPr>
        <w:rFonts w:ascii="Courier New" w:hAnsi="Courier New"/>
      </w:rPr>
    </w:lvl>
    <w:lvl w:ilvl="2">
      <w:start w:val="1"/>
      <w:numFmt w:val="bullet"/>
      <w:lvlText w:val=""/>
      <w:lvlJc w:val="start"/>
      <w:pPr>
        <w:tabs>
          <w:tab w:val="num" w:pos="2160"/>
        </w:tabs>
        <w:ind w:start="2160" w:hanging="360"/>
      </w:pPr>
      <w:rPr>
        <w:rFonts w:ascii="Wingdings" w:hAnsi="Wingdings"/>
      </w:rPr>
    </w:lvl>
    <w:lvl w:ilvl="3">
      <w:start w:val="1"/>
      <w:numFmt w:val="bullet"/>
      <w:lvlText w:val=""/>
      <w:lvlJc w:val="start"/>
      <w:pPr>
        <w:tabs>
          <w:tab w:val="num" w:pos="2880"/>
        </w:tabs>
        <w:ind w:start="2880" w:hanging="360"/>
      </w:pPr>
      <w:rPr>
        <w:rFonts w:ascii="Symbol" w:hAnsi="Symbol"/>
      </w:rPr>
    </w:lvl>
    <w:lvl w:ilvl="4">
      <w:start w:val="1"/>
      <w:numFmt w:val="bullet"/>
      <w:lvlText w:val="o"/>
      <w:lvlJc w:val="start"/>
      <w:pPr>
        <w:tabs>
          <w:tab w:val="num" w:pos="3600"/>
        </w:tabs>
        <w:ind w:start="3600" w:hanging="360"/>
      </w:pPr>
      <w:rPr>
        <w:rFonts w:ascii="Courier New" w:hAnsi="Courier New"/>
      </w:rPr>
    </w:lvl>
    <w:lvl w:ilvl="5">
      <w:start w:val="1"/>
      <w:numFmt w:val="bullet"/>
      <w:lvlText w:val=""/>
      <w:lvlJc w:val="start"/>
      <w:pPr>
        <w:tabs>
          <w:tab w:val="num" w:pos="4320"/>
        </w:tabs>
        <w:ind w:start="4320" w:hanging="360"/>
      </w:pPr>
      <w:rPr>
        <w:rFonts w:ascii="Wingdings" w:hAnsi="Wingdings"/>
      </w:rPr>
    </w:lvl>
    <w:lvl w:ilvl="6">
      <w:start w:val="1"/>
      <w:numFmt w:val="bullet"/>
      <w:lvlText w:val=""/>
      <w:lvlJc w:val="start"/>
      <w:pPr>
        <w:tabs>
          <w:tab w:val="num" w:pos="5040"/>
        </w:tabs>
        <w:ind w:start="5040" w:hanging="360"/>
      </w:pPr>
      <w:rPr>
        <w:rFonts w:ascii="Symbol" w:hAnsi="Symbol"/>
      </w:rPr>
    </w:lvl>
    <w:lvl w:ilvl="7">
      <w:start w:val="1"/>
      <w:numFmt w:val="bullet"/>
      <w:lvlText w:val="o"/>
      <w:lvlJc w:val="start"/>
      <w:pPr>
        <w:tabs>
          <w:tab w:val="num" w:pos="5760"/>
        </w:tabs>
        <w:ind w:start="5760" w:hanging="360"/>
      </w:pPr>
      <w:rPr>
        <w:rFonts w:ascii="Courier New" w:hAnsi="Courier New"/>
      </w:rPr>
    </w:lvl>
    <w:lvl w:ilvl="8">
      <w:start w:val="1"/>
      <w:numFmt w:val="bullet"/>
      <w:lvlText w:val=""/>
      <w:lvlJc w:val="start"/>
      <w:pPr>
        <w:tabs>
          <w:tab w:val="num" w:pos="6480"/>
        </w:tabs>
        <w:ind w:start="6480" w:hanging="360"/>
      </w:pPr>
      <w:rPr>
        <w:rFonts w:ascii="Wingdings" w:hAnsi="Wingdings"/>
      </w:rPr>
    </w:lvl>
  </w:abstractNum>
  <w:abstractNum w:abstractNumId="26">
    <w:nsid w:val="0000001B"/>
    <w:multiLevelType w:val="hybridMultilevel"/>
    <w:tmpl w:val="0000001B"/>
    <w:lvl w:ilvl="0">
      <w:start w:val="1"/>
      <w:numFmt w:val="bullet"/>
      <w:lvlText w:val=""/>
      <w:lvlJc w:val="start"/>
      <w:pPr>
        <w:ind w:start="720" w:hanging="360"/>
      </w:pPr>
      <w:rPr>
        <w:rFonts w:ascii="Symbol" w:hAnsi="Symbol"/>
      </w:rPr>
    </w:lvl>
    <w:lvl w:ilvl="1">
      <w:start w:val="1"/>
      <w:numFmt w:val="bullet"/>
      <w:lvlText w:val="o"/>
      <w:lvlJc w:val="start"/>
      <w:pPr>
        <w:tabs>
          <w:tab w:val="num" w:pos="1440"/>
        </w:tabs>
        <w:ind w:start="1440" w:hanging="360"/>
      </w:pPr>
      <w:rPr>
        <w:rFonts w:ascii="Courier New" w:hAnsi="Courier New"/>
      </w:rPr>
    </w:lvl>
    <w:lvl w:ilvl="2">
      <w:start w:val="1"/>
      <w:numFmt w:val="bullet"/>
      <w:lvlText w:val=""/>
      <w:lvlJc w:val="start"/>
      <w:pPr>
        <w:tabs>
          <w:tab w:val="num" w:pos="2160"/>
        </w:tabs>
        <w:ind w:start="2160" w:hanging="360"/>
      </w:pPr>
      <w:rPr>
        <w:rFonts w:ascii="Wingdings" w:hAnsi="Wingdings"/>
      </w:rPr>
    </w:lvl>
    <w:lvl w:ilvl="3">
      <w:start w:val="1"/>
      <w:numFmt w:val="bullet"/>
      <w:lvlText w:val=""/>
      <w:lvlJc w:val="start"/>
      <w:pPr>
        <w:tabs>
          <w:tab w:val="num" w:pos="2880"/>
        </w:tabs>
        <w:ind w:start="2880" w:hanging="360"/>
      </w:pPr>
      <w:rPr>
        <w:rFonts w:ascii="Symbol" w:hAnsi="Symbol"/>
      </w:rPr>
    </w:lvl>
    <w:lvl w:ilvl="4">
      <w:start w:val="1"/>
      <w:numFmt w:val="bullet"/>
      <w:lvlText w:val="o"/>
      <w:lvlJc w:val="start"/>
      <w:pPr>
        <w:tabs>
          <w:tab w:val="num" w:pos="3600"/>
        </w:tabs>
        <w:ind w:start="3600" w:hanging="360"/>
      </w:pPr>
      <w:rPr>
        <w:rFonts w:ascii="Courier New" w:hAnsi="Courier New"/>
      </w:rPr>
    </w:lvl>
    <w:lvl w:ilvl="5">
      <w:start w:val="1"/>
      <w:numFmt w:val="bullet"/>
      <w:lvlText w:val=""/>
      <w:lvlJc w:val="start"/>
      <w:pPr>
        <w:tabs>
          <w:tab w:val="num" w:pos="4320"/>
        </w:tabs>
        <w:ind w:start="4320" w:hanging="360"/>
      </w:pPr>
      <w:rPr>
        <w:rFonts w:ascii="Wingdings" w:hAnsi="Wingdings"/>
      </w:rPr>
    </w:lvl>
    <w:lvl w:ilvl="6">
      <w:start w:val="1"/>
      <w:numFmt w:val="bullet"/>
      <w:lvlText w:val=""/>
      <w:lvlJc w:val="start"/>
      <w:pPr>
        <w:tabs>
          <w:tab w:val="num" w:pos="5040"/>
        </w:tabs>
        <w:ind w:start="5040" w:hanging="360"/>
      </w:pPr>
      <w:rPr>
        <w:rFonts w:ascii="Symbol" w:hAnsi="Symbol"/>
      </w:rPr>
    </w:lvl>
    <w:lvl w:ilvl="7">
      <w:start w:val="1"/>
      <w:numFmt w:val="bullet"/>
      <w:lvlText w:val="o"/>
      <w:lvlJc w:val="start"/>
      <w:pPr>
        <w:tabs>
          <w:tab w:val="num" w:pos="5760"/>
        </w:tabs>
        <w:ind w:start="5760" w:hanging="360"/>
      </w:pPr>
      <w:rPr>
        <w:rFonts w:ascii="Courier New" w:hAnsi="Courier New"/>
      </w:rPr>
    </w:lvl>
    <w:lvl w:ilvl="8">
      <w:start w:val="1"/>
      <w:numFmt w:val="bullet"/>
      <w:lvlText w:val=""/>
      <w:lvlJc w:val="start"/>
      <w:pPr>
        <w:tabs>
          <w:tab w:val="num" w:pos="6480"/>
        </w:tabs>
        <w:ind w:start="6480" w:hanging="360"/>
      </w:pPr>
      <w:rPr>
        <w:rFonts w:ascii="Wingdings" w:hAnsi="Wingdings"/>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bering>
</file>

<file path=word/settings.xml><?xml version="1.0" encoding="utf-8"?>
<w:settings xmlns:mc="http://schemas.openxmlformats.org/markup-compatibility/2006" xmlns:o="urn:schemas-microsoft-com:office:office" xmlns:r="http://purl.oclc.org/ooxml/officeDocument/relationships" xmlns:m="http://purl.oclc.org/ooxml/officeDocument/math" xmlns:v="urn:schemas-microsoft-com:vml" xmlns:w10="urn:schemas-microsoft-com:office:word" xmlns:w="http://purl.oclc.org/ooxml/wordprocessingml/main" xmlns:w14="http://schemas.microsoft.com/office/word/2010/wordml" xmlns:w15="http://schemas.microsoft.com/office/word/2012/wordml" xmlns:sl="http://schemas.openxmlformats.org/schemaLibrary/2006/main" mc:Ignorable="w14 w15">
  <w:zoom w:percent="100%"/>
  <w:proofState w:grammar="clean"/>
  <w:stylePaneFormatFilter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77B3E"/>
    <w:rsid w:val="00A77B3E"/>
    <w:rsid w:val="00CA2A55"/>
  </w:rsids>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purl.oclc.org/ooxml/officeDocument/relationships" xmlns:w="http://purl.oclc.org/ooxml/wordprocessingml/main" xmlns:w14="http://schemas.microsoft.com/office/word/2010/wordml" xmlns:w15="http://schemas.microsoft.com/office/word/2012/wordml" mc:Ignorable="w14 w15">
  <w:docDefaults>
    <w:rPrDefault>
      <w:rPr>
        <w:rFonts w:ascii="Times New Roman" w:eastAsia="Times New Roman" w:hAnsi="Times New Roman" w:cs="Times New Roman"/>
        <w:noProof/>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1">
    <w:name w:val="heading 1"/>
    <w:basedOn w:val="Normal"/>
    <w:next w:val="Normal"/>
    <w:qFormat/>
    <w:rsid w:val="00EF7B96"/>
    <w:pPr>
      <w:keepNext/>
      <w:spacing w:before="240" w:after="60"/>
      <w:outlineLvl w:val="0"/>
    </w:pPr>
    <w:rPr>
      <w:rFonts w:ascii="Arial" w:hAnsi="Arial" w:cs="Arial"/>
      <w:b/>
      <w:bCs/>
      <w:kern w:val="32"/>
      <w:sz w:val="32"/>
      <w:szCs w:val="32"/>
    </w:rPr>
  </w:style>
  <w:style w:type="paragraph" w:styleId="Heading2">
    <w:name w:val="heading 2"/>
    <w:basedOn w:val="Normal"/>
    <w:next w:val="Normal"/>
    <w:qFormat/>
    <w:rsid w:val="00EF7B96"/>
    <w:pPr>
      <w:keepNext/>
      <w:spacing w:before="240" w:after="60"/>
      <w:outlineLvl w:val="1"/>
    </w:pPr>
    <w:rPr>
      <w:rFonts w:ascii="Arial" w:hAnsi="Arial" w:cs="Arial"/>
      <w:b/>
      <w:bCs/>
      <w:i/>
      <w:iCs/>
      <w:sz w:val="28"/>
      <w:szCs w:val="28"/>
    </w:rPr>
  </w:style>
  <w:style w:type="paragraph" w:styleId="Heading3">
    <w:name w:val="heading 3"/>
    <w:basedOn w:val="Normal"/>
    <w:next w:val="Normal"/>
    <w:qFormat/>
    <w:rsid w:val="00EF7B96"/>
    <w:pPr>
      <w:keepNext/>
      <w:spacing w:before="240" w:after="60"/>
      <w:outlineLvl w:val="2"/>
    </w:pPr>
    <w:rPr>
      <w:rFonts w:ascii="Arial" w:hAnsi="Arial" w:cs="Arial"/>
      <w:b/>
      <w:bCs/>
      <w:sz w:val="26"/>
      <w:szCs w:val="26"/>
    </w:rPr>
  </w:style>
  <w:style w:type="paragraph" w:styleId="Heading4">
    <w:name w:val="heading 4"/>
    <w:basedOn w:val="Normal"/>
    <w:next w:val="Normal"/>
    <w:qFormat/>
    <w:rsid w:val="00EF7B96"/>
    <w:pPr>
      <w:keepNext/>
      <w:spacing w:before="240" w:after="60"/>
      <w:outlineLvl w:val="3"/>
    </w:pPr>
    <w:rPr>
      <w:b/>
      <w:bCs/>
      <w:sz w:val="28"/>
      <w:szCs w:val="28"/>
    </w:rPr>
  </w:style>
  <w:style w:type="character" w:default="1" w:styleId="DefaultParagraphFont">
    <w:name w:val="Default Paragraph Font"/>
    <w:semiHidden/>
  </w:style>
  <w:style w:type="table" w:default="1" w:styleId="TableNormal">
    <w:name w:val="Normal Table"/>
    <w:semiHidden/>
    <w:tblPr>
      <w:tblInd w:w="0pt" w:type="dxa"/>
      <w:tblCellMar>
        <w:top w:w="0pt" w:type="dxa"/>
        <w:start w:w="5.4pt" w:type="dxa"/>
        <w:bottom w:w="0pt" w:type="dxa"/>
        <w:end w:w="5.4pt" w:type="dxa"/>
      </w:tblCellMar>
    </w:tblPr>
  </w:style>
  <w:style w:type="numbering" w:default="1" w:styleId="NoList">
    <w:name w:val="No List"/>
    <w:semiHidden/>
  </w:style>
  <w:style w:type="paragraph" w:styleId="TOC1">
    <w:name w:val="toc 1"/>
    <w:basedOn w:val="Normal"/>
    <w:next w:val="Normal"/>
    <w:autoRedefine/>
    <w:rsid w:val="00805BCE"/>
    <w:rPr>
      <w:b w:val="0"/>
      <w:caps w:val="0"/>
    </w:rPr>
  </w:style>
  <w:style w:type="character" w:styleId="Hyperlink">
    <w:name w:val="Hyperlink"/>
    <w:basedOn w:val="DefaultParagraphFont"/>
    <w:rsid w:val="00EF7B96"/>
    <w:rPr>
      <w:color w:val="0000FF"/>
      <w:u w:val="single"/>
    </w:rPr>
  </w:style>
  <w:style w:type="paragraph" w:styleId="TOC2">
    <w:name w:val="toc 2"/>
    <w:basedOn w:val="Normal"/>
    <w:next w:val="Normal"/>
    <w:autoRedefine/>
    <w:rsid w:val="00805BCE"/>
    <w:pPr>
      <w:ind w:start="240"/>
    </w:pPr>
  </w:style>
  <w:style w:type="paragraph" w:styleId="TOC3">
    <w:name w:val="toc 3"/>
    <w:basedOn w:val="Normal"/>
    <w:next w:val="Normal"/>
    <w:autoRedefine/>
    <w:rsid w:val="00805BCE"/>
    <w:pPr>
      <w:ind w:start="480"/>
    </w:pPr>
    <w:rPr>
      <w:i w:val="0"/>
    </w:rPr>
  </w:style>
  <w:style w:type="paragraph" w:styleId="TOC4">
    <w:name w:val="toc 4"/>
    <w:basedOn w:val="Normal"/>
    <w:next w:val="Normal"/>
    <w:autoRedefine/>
    <w:rsid w:val="00805BCE"/>
    <w:pPr>
      <w:ind w:start="720"/>
    </w:pPr>
    <w:rPr>
      <w:i w:val="0"/>
    </w:rPr>
  </w:style>
</w:styles>
</file>

<file path=word/webSettings.xml><?xml version="1.0" encoding="utf-8"?>
<w:webSettings xmlns:mc="http://schemas.openxmlformats.org/markup-compatibility/2006" xmlns:r="http://purl.oclc.org/ooxml/officeDocument/relationships" xmlns:w="http://purl.oclc.org/ooxml/wordprocessingml/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purl.oclc.org/ooxml/officeDocument/relationships/settings" Target="settings.xml" /><Relationship Id="rId10" Type="http://purl.oclc.org/ooxml/officeDocument/relationships/header" Target="header4.xml" /><Relationship Id="rId100" Type="http://purl.oclc.org/ooxml/officeDocument/relationships/header" Target="header49.xml" /><Relationship Id="rId101" Type="http://purl.oclc.org/ooxml/officeDocument/relationships/header" Target="header50.xml" /><Relationship Id="rId102" Type="http://purl.oclc.org/ooxml/officeDocument/relationships/footer" Target="footer49.xml" /><Relationship Id="rId103" Type="http://purl.oclc.org/ooxml/officeDocument/relationships/footer" Target="footer50.xml" /><Relationship Id="rId104" Type="http://purl.oclc.org/ooxml/officeDocument/relationships/header" Target="header51.xml" /><Relationship Id="rId105" Type="http://purl.oclc.org/ooxml/officeDocument/relationships/footer" Target="footer51.xml" /><Relationship Id="rId106" Type="http://purl.oclc.org/ooxml/officeDocument/relationships/header" Target="header52.xml" /><Relationship Id="rId107" Type="http://purl.oclc.org/ooxml/officeDocument/relationships/header" Target="header53.xml" /><Relationship Id="rId108" Type="http://purl.oclc.org/ooxml/officeDocument/relationships/footer" Target="footer52.xml" /><Relationship Id="rId109" Type="http://purl.oclc.org/ooxml/officeDocument/relationships/footer" Target="footer53.xml" /><Relationship Id="rId11" Type="http://purl.oclc.org/ooxml/officeDocument/relationships/header" Target="header5.xml" /><Relationship Id="rId110" Type="http://purl.oclc.org/ooxml/officeDocument/relationships/header" Target="header54.xml" /><Relationship Id="rId111" Type="http://purl.oclc.org/ooxml/officeDocument/relationships/footer" Target="footer54.xml" /><Relationship Id="rId112" Type="http://purl.oclc.org/ooxml/officeDocument/relationships/theme" Target="theme/theme1.xml" /><Relationship Id="rId113" Type="http://purl.oclc.org/ooxml/officeDocument/relationships/numbering" Target="numbering.xml" /><Relationship Id="rId114" Type="http://purl.oclc.org/ooxml/officeDocument/relationships/styles" Target="styles.xml" /><Relationship Id="rId12" Type="http://purl.oclc.org/ooxml/officeDocument/relationships/footer" Target="footer4.xml" /><Relationship Id="rId13" Type="http://purl.oclc.org/ooxml/officeDocument/relationships/footer" Target="footer5.xml" /><Relationship Id="rId14" Type="http://purl.oclc.org/ooxml/officeDocument/relationships/header" Target="header6.xml" /><Relationship Id="rId15" Type="http://purl.oclc.org/ooxml/officeDocument/relationships/footer" Target="footer6.xml" /><Relationship Id="rId16" Type="http://purl.oclc.org/ooxml/officeDocument/relationships/header" Target="header7.xml" /><Relationship Id="rId17" Type="http://purl.oclc.org/ooxml/officeDocument/relationships/header" Target="header8.xml" /><Relationship Id="rId18" Type="http://purl.oclc.org/ooxml/officeDocument/relationships/footer" Target="footer7.xml" /><Relationship Id="rId19" Type="http://purl.oclc.org/ooxml/officeDocument/relationships/footer" Target="footer8.xml" /><Relationship Id="rId2" Type="http://purl.oclc.org/ooxml/officeDocument/relationships/webSettings" Target="webSettings.xml" /><Relationship Id="rId20" Type="http://purl.oclc.org/ooxml/officeDocument/relationships/header" Target="header9.xml" /><Relationship Id="rId21" Type="http://purl.oclc.org/ooxml/officeDocument/relationships/footer" Target="footer9.xml" /><Relationship Id="rId22" Type="http://purl.oclc.org/ooxml/officeDocument/relationships/header" Target="header10.xml" /><Relationship Id="rId23" Type="http://purl.oclc.org/ooxml/officeDocument/relationships/header" Target="header11.xml" /><Relationship Id="rId24" Type="http://purl.oclc.org/ooxml/officeDocument/relationships/footer" Target="footer10.xml" /><Relationship Id="rId25" Type="http://purl.oclc.org/ooxml/officeDocument/relationships/footer" Target="footer11.xml" /><Relationship Id="rId26" Type="http://purl.oclc.org/ooxml/officeDocument/relationships/header" Target="header12.xml" /><Relationship Id="rId27" Type="http://purl.oclc.org/ooxml/officeDocument/relationships/footer" Target="footer12.xml" /><Relationship Id="rId28" Type="http://purl.oclc.org/ooxml/officeDocument/relationships/header" Target="header13.xml" /><Relationship Id="rId29" Type="http://purl.oclc.org/ooxml/officeDocument/relationships/header" Target="header14.xml" /><Relationship Id="rId3" Type="http://purl.oclc.org/ooxml/officeDocument/relationships/fontTable" Target="fontTable.xml" /><Relationship Id="rId30" Type="http://purl.oclc.org/ooxml/officeDocument/relationships/footer" Target="footer13.xml" /><Relationship Id="rId31" Type="http://purl.oclc.org/ooxml/officeDocument/relationships/footer" Target="footer14.xml" /><Relationship Id="rId32" Type="http://purl.oclc.org/ooxml/officeDocument/relationships/header" Target="header15.xml" /><Relationship Id="rId33" Type="http://purl.oclc.org/ooxml/officeDocument/relationships/footer" Target="footer15.xml" /><Relationship Id="rId34" Type="http://purl.oclc.org/ooxml/officeDocument/relationships/header" Target="header16.xml" /><Relationship Id="rId35" Type="http://purl.oclc.org/ooxml/officeDocument/relationships/header" Target="header17.xml" /><Relationship Id="rId36" Type="http://purl.oclc.org/ooxml/officeDocument/relationships/footer" Target="footer16.xml" /><Relationship Id="rId37" Type="http://purl.oclc.org/ooxml/officeDocument/relationships/footer" Target="footer17.xml" /><Relationship Id="rId38" Type="http://purl.oclc.org/ooxml/officeDocument/relationships/header" Target="header18.xml" /><Relationship Id="rId39" Type="http://purl.oclc.org/ooxml/officeDocument/relationships/footer" Target="footer18.xml" /><Relationship Id="rId4" Type="http://purl.oclc.org/ooxml/officeDocument/relationships/header" Target="header1.xml" /><Relationship Id="rId40" Type="http://purl.oclc.org/ooxml/officeDocument/relationships/header" Target="header19.xml" /><Relationship Id="rId41" Type="http://purl.oclc.org/ooxml/officeDocument/relationships/header" Target="header20.xml" /><Relationship Id="rId42" Type="http://purl.oclc.org/ooxml/officeDocument/relationships/footer" Target="footer19.xml" /><Relationship Id="rId43" Type="http://purl.oclc.org/ooxml/officeDocument/relationships/footer" Target="footer20.xml" /><Relationship Id="rId44" Type="http://purl.oclc.org/ooxml/officeDocument/relationships/header" Target="header21.xml" /><Relationship Id="rId45" Type="http://purl.oclc.org/ooxml/officeDocument/relationships/footer" Target="footer21.xml" /><Relationship Id="rId46" Type="http://purl.oclc.org/ooxml/officeDocument/relationships/header" Target="header22.xml" /><Relationship Id="rId47" Type="http://purl.oclc.org/ooxml/officeDocument/relationships/header" Target="header23.xml" /><Relationship Id="rId48" Type="http://purl.oclc.org/ooxml/officeDocument/relationships/footer" Target="footer22.xml" /><Relationship Id="rId49" Type="http://purl.oclc.org/ooxml/officeDocument/relationships/footer" Target="footer23.xml" /><Relationship Id="rId5" Type="http://purl.oclc.org/ooxml/officeDocument/relationships/header" Target="header2.xml" /><Relationship Id="rId50" Type="http://purl.oclc.org/ooxml/officeDocument/relationships/header" Target="header24.xml" /><Relationship Id="rId51" Type="http://purl.oclc.org/ooxml/officeDocument/relationships/footer" Target="footer24.xml" /><Relationship Id="rId52" Type="http://purl.oclc.org/ooxml/officeDocument/relationships/header" Target="header25.xml" /><Relationship Id="rId53" Type="http://purl.oclc.org/ooxml/officeDocument/relationships/header" Target="header26.xml" /><Relationship Id="rId54" Type="http://purl.oclc.org/ooxml/officeDocument/relationships/footer" Target="footer25.xml" /><Relationship Id="rId55" Type="http://purl.oclc.org/ooxml/officeDocument/relationships/footer" Target="footer26.xml" /><Relationship Id="rId56" Type="http://purl.oclc.org/ooxml/officeDocument/relationships/header" Target="header27.xml" /><Relationship Id="rId57" Type="http://purl.oclc.org/ooxml/officeDocument/relationships/footer" Target="footer27.xml" /><Relationship Id="rId58" Type="http://purl.oclc.org/ooxml/officeDocument/relationships/header" Target="header28.xml" /><Relationship Id="rId59" Type="http://purl.oclc.org/ooxml/officeDocument/relationships/header" Target="header29.xml" /><Relationship Id="rId6" Type="http://purl.oclc.org/ooxml/officeDocument/relationships/footer" Target="footer1.xml" /><Relationship Id="rId60" Type="http://purl.oclc.org/ooxml/officeDocument/relationships/footer" Target="footer28.xml" /><Relationship Id="rId61" Type="http://purl.oclc.org/ooxml/officeDocument/relationships/footer" Target="footer29.xml" /><Relationship Id="rId62" Type="http://purl.oclc.org/ooxml/officeDocument/relationships/header" Target="header30.xml" /><Relationship Id="rId63" Type="http://purl.oclc.org/ooxml/officeDocument/relationships/footer" Target="footer30.xml" /><Relationship Id="rId64" Type="http://purl.oclc.org/ooxml/officeDocument/relationships/header" Target="header31.xml" /><Relationship Id="rId65" Type="http://purl.oclc.org/ooxml/officeDocument/relationships/header" Target="header32.xml" /><Relationship Id="rId66" Type="http://purl.oclc.org/ooxml/officeDocument/relationships/footer" Target="footer31.xml" /><Relationship Id="rId67" Type="http://purl.oclc.org/ooxml/officeDocument/relationships/footer" Target="footer32.xml" /><Relationship Id="rId68" Type="http://purl.oclc.org/ooxml/officeDocument/relationships/header" Target="header33.xml" /><Relationship Id="rId69" Type="http://purl.oclc.org/ooxml/officeDocument/relationships/footer" Target="footer33.xml" /><Relationship Id="rId7" Type="http://purl.oclc.org/ooxml/officeDocument/relationships/footer" Target="footer2.xml" /><Relationship Id="rId70" Type="http://purl.oclc.org/ooxml/officeDocument/relationships/header" Target="header34.xml" /><Relationship Id="rId71" Type="http://purl.oclc.org/ooxml/officeDocument/relationships/header" Target="header35.xml" /><Relationship Id="rId72" Type="http://purl.oclc.org/ooxml/officeDocument/relationships/footer" Target="footer34.xml" /><Relationship Id="rId73" Type="http://purl.oclc.org/ooxml/officeDocument/relationships/footer" Target="footer35.xml" /><Relationship Id="rId74" Type="http://purl.oclc.org/ooxml/officeDocument/relationships/header" Target="header36.xml" /><Relationship Id="rId75" Type="http://purl.oclc.org/ooxml/officeDocument/relationships/footer" Target="footer36.xml" /><Relationship Id="rId76" Type="http://purl.oclc.org/ooxml/officeDocument/relationships/header" Target="header37.xml" /><Relationship Id="rId77" Type="http://purl.oclc.org/ooxml/officeDocument/relationships/header" Target="header38.xml" /><Relationship Id="rId78" Type="http://purl.oclc.org/ooxml/officeDocument/relationships/footer" Target="footer37.xml" /><Relationship Id="rId79" Type="http://purl.oclc.org/ooxml/officeDocument/relationships/footer" Target="footer38.xml" /><Relationship Id="rId8" Type="http://purl.oclc.org/ooxml/officeDocument/relationships/header" Target="header3.xml" /><Relationship Id="rId80" Type="http://purl.oclc.org/ooxml/officeDocument/relationships/header" Target="header39.xml" /><Relationship Id="rId81" Type="http://purl.oclc.org/ooxml/officeDocument/relationships/footer" Target="footer39.xml" /><Relationship Id="rId82" Type="http://purl.oclc.org/ooxml/officeDocument/relationships/header" Target="header40.xml" /><Relationship Id="rId83" Type="http://purl.oclc.org/ooxml/officeDocument/relationships/header" Target="header41.xml" /><Relationship Id="rId84" Type="http://purl.oclc.org/ooxml/officeDocument/relationships/footer" Target="footer40.xml" /><Relationship Id="rId85" Type="http://purl.oclc.org/ooxml/officeDocument/relationships/footer" Target="footer41.xml" /><Relationship Id="rId86" Type="http://purl.oclc.org/ooxml/officeDocument/relationships/header" Target="header42.xml" /><Relationship Id="rId87" Type="http://purl.oclc.org/ooxml/officeDocument/relationships/footer" Target="footer42.xml" /><Relationship Id="rId88" Type="http://purl.oclc.org/ooxml/officeDocument/relationships/header" Target="header43.xml" /><Relationship Id="rId89" Type="http://purl.oclc.org/ooxml/officeDocument/relationships/header" Target="header44.xml" /><Relationship Id="rId9" Type="http://purl.oclc.org/ooxml/officeDocument/relationships/footer" Target="footer3.xml" /><Relationship Id="rId90" Type="http://purl.oclc.org/ooxml/officeDocument/relationships/footer" Target="footer43.xml" /><Relationship Id="rId91" Type="http://purl.oclc.org/ooxml/officeDocument/relationships/footer" Target="footer44.xml" /><Relationship Id="rId92" Type="http://purl.oclc.org/ooxml/officeDocument/relationships/header" Target="header45.xml" /><Relationship Id="rId93" Type="http://purl.oclc.org/ooxml/officeDocument/relationships/footer" Target="footer45.xml" /><Relationship Id="rId94" Type="http://purl.oclc.org/ooxml/officeDocument/relationships/header" Target="header46.xml" /><Relationship Id="rId95" Type="http://purl.oclc.org/ooxml/officeDocument/relationships/header" Target="header47.xml" /><Relationship Id="rId96" Type="http://purl.oclc.org/ooxml/officeDocument/relationships/footer" Target="footer46.xml" /><Relationship Id="rId97" Type="http://purl.oclc.org/ooxml/officeDocument/relationships/footer" Target="footer47.xml" /><Relationship Id="rId98" Type="http://purl.oclc.org/ooxml/officeDocument/relationships/header" Target="header48.xml" /><Relationship Id="rId99" Type="http://purl.oclc.org/ooxml/officeDocument/relationships/footer" Target="footer48.xml" /></Relationships>
</file>

<file path=word/theme/theme1.xml><?xml version="1.0" encoding="utf-8"?>
<a:theme xmlns:a="http://purl.oclc.org/ooxml/drawingml/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Tibt" typeface="Microsoft Himalaya"/>
        <a:font script="Khmr" typeface="MoolBoran"/>
        <a:font script="Beng" typeface="Vrinda"/>
        <a:font script="Taml" typeface="Latha"/>
        <a:font script="Hebr" typeface="Times New Roman"/>
        <a:font script="Syrc" typeface="Estrangelo Edessa"/>
        <a:font script="Laoo" typeface="DokChampa"/>
        <a:font script="Cher" typeface="Plantagenet Cherokee"/>
        <a:font script="Thaa" typeface="MV Boli"/>
        <a:font script="Sinh" typeface="Iskoola Pota"/>
        <a:font script="Thai" typeface="Angsana New"/>
        <a:font script="Cans" typeface="Euphemia"/>
        <a:font script="Mong" typeface="Mongolian Baiti"/>
        <a:font script="Knda" typeface="Tunga"/>
        <a:font script="Viet" typeface="Times New Roman"/>
        <a:font script="Deva" typeface="Mangal"/>
        <a:font script="Arab" typeface="Times New Roman"/>
        <a:font script="Orya" typeface="Kalinga"/>
        <a:font script="Jpan" typeface="ＭＳ ゴシック"/>
        <a:font script="Hang" typeface="맑은 고딕"/>
        <a:font script="Ethi" typeface="Nyala"/>
        <a:font script="Guru" typeface="Raavi"/>
        <a:font script="Gujr" typeface="Shruti"/>
        <a:font script="Mlym" typeface="Kartika"/>
        <a:font script="Yiii" typeface="Microsoft Yi Baiti"/>
        <a:font script="Hans" typeface="宋体"/>
        <a:font script="Hant" typeface="新細明體"/>
        <a:font script="Telu" typeface="Gautami"/>
        <a:font script="Uigh" typeface="Microsoft Uighur"/>
      </a:majorFont>
      <a:minorFont>
        <a:latin typeface="Calibri"/>
        <a:ea typeface=""/>
        <a:cs typeface=""/>
        <a:font script="Tibt" typeface="Microsoft Himalaya"/>
        <a:font script="Khmr" typeface="DaunPenh"/>
        <a:font script="Beng" typeface="Vrinda"/>
        <a:font script="Taml" typeface="Latha"/>
        <a:font script="Hebr" typeface="Arial"/>
        <a:font script="Syrc" typeface="Estrangelo Edessa"/>
        <a:font script="Laoo" typeface="DokChampa"/>
        <a:font script="Cher" typeface="Plantagenet Cherokee"/>
        <a:font script="Thaa" typeface="MV Boli"/>
        <a:font script="Sinh" typeface="Iskoola Pota"/>
        <a:font script="Thai" typeface="Cordia New"/>
        <a:font script="Cans" typeface="Euphemia"/>
        <a:font script="Mong" typeface="Mongolian Baiti"/>
        <a:font script="Knda" typeface="Tunga"/>
        <a:font script="Viet" typeface="Arial"/>
        <a:font script="Deva" typeface="Mangal"/>
        <a:font script="Arab" typeface="Arial"/>
        <a:font script="Orya" typeface="Kalinga"/>
        <a:font script="Jpan" typeface="ＭＳ 明朝"/>
        <a:font script="Hang" typeface="맑은 고딕"/>
        <a:font script="Ethi" typeface="Nyala"/>
        <a:font script="Guru" typeface="Raavi"/>
        <a:font script="Gujr" typeface="Shruti"/>
        <a:font script="Mlym" typeface="Kartika"/>
        <a:font script="Yiii" typeface="Microsoft Yi Baiti"/>
        <a:font script="Hans" typeface="宋体"/>
        <a:font script="Hant" typeface="新細明體"/>
        <a:font script="Telu" typeface="Gautami"/>
        <a:font script="Uigh" typeface="Microsoft Uighur"/>
      </a:minorFont>
    </a:fontScheme>
    <a:fmtScheme name="Office">
      <a:fillStyleLst>
        <a:solidFill>
          <a:schemeClr val="phClr"/>
        </a:solidFill>
        <a:gradFill rotWithShape="1">
          <a:gsLst>
            <a:gs pos="0%">
              <a:schemeClr val="phClr">
                <a:tint val="50%"/>
                <a:satMod val="300%"/>
              </a:schemeClr>
            </a:gs>
            <a:gs pos="35%">
              <a:schemeClr val="phClr">
                <a:tint val="37%"/>
                <a:satMod val="300%"/>
              </a:schemeClr>
            </a:gs>
            <a:gs pos="100%">
              <a:schemeClr val="phClr">
                <a:tint val="15%"/>
                <a:satMod val="350%"/>
              </a:schemeClr>
            </a:gs>
          </a:gsLst>
          <a:lin ang="16200000" scaled="1"/>
        </a:gradFill>
        <a:gradFill rotWithShape="1">
          <a:gsLst>
            <a:gs pos="0%">
              <a:schemeClr val="phClr">
                <a:shade val="51%"/>
                <a:satMod val="130%"/>
              </a:schemeClr>
            </a:gs>
            <a:gs pos="80%">
              <a:schemeClr val="phClr">
                <a:shade val="93%"/>
                <a:satMod val="130%"/>
              </a:schemeClr>
            </a:gs>
            <a:gs pos="100%">
              <a:schemeClr val="phClr">
                <a:shade val="94%"/>
                <a:satMod val="135%"/>
              </a:schemeClr>
            </a:gs>
          </a:gsLst>
          <a:lin ang="16200000" scaled="0"/>
        </a:gradFill>
      </a:fillStyleLst>
      <a:lnStyleLst>
        <a:ln w="9525">
          <a:solidFill>
            <a:schemeClr val="phClr">
              <a:shade val="95%"/>
              <a:satMod val="105%"/>
            </a:schemeClr>
          </a:solidFill>
          <a:prstDash val="solid"/>
        </a:ln>
        <a:ln w="25400">
          <a:solidFill>
            <a:schemeClr val="phClr"/>
          </a:solidFill>
          <a:prstDash val="solid"/>
        </a:ln>
        <a:ln w="38100">
          <a:solidFill>
            <a:schemeClr val="phClr"/>
          </a:solidFill>
          <a:prstDash val="solid"/>
        </a:ln>
      </a:lnStyleLst>
      <a:effectStyleLst>
        <a:effectStyle>
          <a:effectLst>
            <a:outerShdw blurRad="40000" dist="20000" dir="5400000" sx="100%" sy="100%" kx="0" ky="0" algn="b" rotWithShape="0">
              <a:srgbClr val="000000">
                <a:alpha val="38%"/>
              </a:srgbClr>
            </a:outerShdw>
          </a:effectLst>
        </a:effectStyle>
        <a:effectStyle>
          <a:effectLst>
            <a:outerShdw blurRad="40000" dist="23000" dir="5400000" sx="100%" sy="100%" kx="0" ky="0" algn="b" rotWithShape="0">
              <a:srgbClr val="000000">
                <a:alpha val="35%"/>
              </a:srgbClr>
            </a:outerShdw>
          </a:effectLst>
        </a:effectStyle>
        <a:effectStyle>
          <a:effectLst>
            <a:outerShdw blurRad="40000" dist="23000" dir="5400000" sx="100%" sy="100%" kx="0" ky="0" algn="b" rotWithShape="0">
              <a:srgbClr val="000000">
                <a:alpha val="35%"/>
              </a:srgbClr>
            </a:outerShdw>
          </a:effectLst>
          <a:scene3d>
            <a:camera prst="orthographicFront">
              <a:rot lat="0" lon="0" rev="0"/>
            </a:camera>
            <a:lightRig rig="threePt" dir="t">
              <a:rot lat="0" lon="0" rev="1200000"/>
            </a:lightRig>
          </a:scene3d>
          <a:sp3d>
            <a:bevelT w="63500" h="25400" prst="circle"/>
          </a:sp3d>
        </a:effectStyle>
      </a:effectStyleLst>
      <a:bgFillStyleLst>
        <a:solidFill>
          <a:schemeClr val="phClr"/>
        </a:solidFill>
        <a:gradFill rotWithShape="1">
          <a:gsLst>
            <a:gs pos="0%">
              <a:schemeClr val="phClr">
                <a:tint val="40%"/>
                <a:satMod val="350%"/>
              </a:schemeClr>
            </a:gs>
            <a:gs pos="40%">
              <a:schemeClr val="phClr">
                <a:tint val="45%"/>
                <a:shade val="99%"/>
                <a:satMod val="350%"/>
              </a:schemeClr>
            </a:gs>
            <a:gs pos="100%">
              <a:schemeClr val="phClr">
                <a:shade val="20%"/>
                <a:satMod val="255%"/>
              </a:schemeClr>
            </a:gs>
          </a:gsLst>
          <a:path path="circle">
            <a:fillToRect l="50%" t="-80%" r="50%" b="180%"/>
          </a:path>
        </a:gradFill>
        <a:gradFill rotWithShape="1">
          <a:gsLst>
            <a:gs pos="0%">
              <a:schemeClr val="phClr">
                <a:tint val="80%"/>
                <a:satMod val="300%"/>
              </a:schemeClr>
            </a:gs>
            <a:gs pos="100%">
              <a:schemeClr val="phClr">
                <a:shade val="30%"/>
                <a:satMod val="200%"/>
              </a:schemeClr>
            </a:gs>
          </a:gsLst>
          <a:path path="circle">
            <a:fillToRect l="50%" t="50%" r="50%" b="50%"/>
          </a:path>
        </a:gradFill>
      </a:bgFillStyleLst>
    </a:fmtScheme>
  </a:themeElements>
  <a:objectDefaults/>
  <a:extraClrSchemeLst xmlns:a="http://purl.oclc.org/ooxml/drawingml/main"/>
</a:theme>
</file>

<file path=docProps/app.xml><?xml version="1.0" encoding="utf-8"?>
<Properties xmlns="http://purl.oclc.org/ooxml/officeDocument/extendedProperties" xmlns:vt="http://purl.oclc.org/ooxml/officeDocument/docPropsVTypes">
  <Template>Normal.dot</Template>
  <TotalTime>0</TotalTime>
  <Pages>68</Pages>
  <Words>0</Words>
  <Characters>0</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1</cp:revision>
</cp:coreProperties>
</file>