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7216" w14:textId="03982B62" w:rsidR="00BA16C9" w:rsidRDefault="00BA06DC" w:rsidP="00A117BF">
      <w:pPr>
        <w:jc w:val="both"/>
      </w:pPr>
      <w:r>
        <w:rPr>
          <w:noProof/>
          <w:lang w:eastAsia="sl-SI"/>
        </w:rPr>
        <w:drawing>
          <wp:inline distT="0" distB="0" distL="0" distR="0" wp14:anchorId="205CE4E7" wp14:editId="157A7584">
            <wp:extent cx="3052131" cy="692150"/>
            <wp:effectExtent l="0" t="0" r="0" b="0"/>
            <wp:docPr id="1534092486"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92486" name="Slika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56144" cy="693060"/>
                    </a:xfrm>
                    <a:prstGeom prst="rect">
                      <a:avLst/>
                    </a:prstGeom>
                  </pic:spPr>
                </pic:pic>
              </a:graphicData>
            </a:graphic>
          </wp:inline>
        </w:drawing>
      </w:r>
      <w:r w:rsidR="003C22F1">
        <w:t xml:space="preserve">       </w:t>
      </w:r>
      <w:r w:rsidR="003C22F1" w:rsidRPr="003C22F1">
        <w:rPr>
          <w:noProof/>
        </w:rPr>
        <w:drawing>
          <wp:inline distT="0" distB="0" distL="0" distR="0" wp14:anchorId="3C2F65D2" wp14:editId="75D18B82">
            <wp:extent cx="807720" cy="397016"/>
            <wp:effectExtent l="0" t="0" r="0" b="3175"/>
            <wp:docPr id="1028" name="Picture 4" descr="Logo imag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Logo image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134" cy="401151"/>
                    </a:xfrm>
                    <a:prstGeom prst="rect">
                      <a:avLst/>
                    </a:prstGeom>
                    <a:noFill/>
                  </pic:spPr>
                </pic:pic>
              </a:graphicData>
            </a:graphic>
          </wp:inline>
        </w:drawing>
      </w:r>
      <w:r w:rsidR="003C22F1">
        <w:t xml:space="preserve">         </w:t>
      </w:r>
      <w:r w:rsidR="003C22F1" w:rsidRPr="003C22F1">
        <w:rPr>
          <w:noProof/>
        </w:rPr>
        <w:drawing>
          <wp:inline distT="0" distB="0" distL="0" distR="0" wp14:anchorId="1677614F" wp14:editId="7D73E368">
            <wp:extent cx="1473835" cy="309204"/>
            <wp:effectExtent l="0" t="0" r="0" b="0"/>
            <wp:docPr id="1543735330" name="Slik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35330" name="Slika 10">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5418" cy="324222"/>
                    </a:xfrm>
                    <a:prstGeom prst="rect">
                      <a:avLst/>
                    </a:prstGeom>
                  </pic:spPr>
                </pic:pic>
              </a:graphicData>
            </a:graphic>
          </wp:inline>
        </w:drawing>
      </w:r>
    </w:p>
    <w:p w14:paraId="36EAA470" w14:textId="32E8BC7E" w:rsidR="00DC74BD" w:rsidRDefault="00DC74BD" w:rsidP="00A117BF">
      <w:pPr>
        <w:jc w:val="both"/>
        <w:rPr>
          <w:b/>
          <w:sz w:val="72"/>
          <w:szCs w:val="72"/>
        </w:rPr>
      </w:pPr>
    </w:p>
    <w:p w14:paraId="3CA99A86" w14:textId="77777777" w:rsidR="003314D2" w:rsidRDefault="003314D2" w:rsidP="003314D2">
      <w:pPr>
        <w:rPr>
          <w:b/>
          <w:sz w:val="72"/>
          <w:szCs w:val="72"/>
        </w:rPr>
      </w:pPr>
    </w:p>
    <w:p w14:paraId="5199C911" w14:textId="10A64BB6" w:rsidR="00DC74BD" w:rsidRDefault="003314D2" w:rsidP="00A117BF">
      <w:pPr>
        <w:jc w:val="center"/>
        <w:rPr>
          <w:b/>
          <w:sz w:val="72"/>
          <w:szCs w:val="72"/>
        </w:rPr>
      </w:pPr>
      <w:r>
        <w:rPr>
          <w:b/>
          <w:sz w:val="72"/>
          <w:szCs w:val="72"/>
        </w:rPr>
        <w:t>NAČRT</w:t>
      </w:r>
      <w:r w:rsidRPr="003314D2">
        <w:rPr>
          <w:b/>
          <w:sz w:val="72"/>
          <w:szCs w:val="72"/>
        </w:rPr>
        <w:t xml:space="preserve"> ZA KREPITEV UPRAVNIH ZMOGLJIVOSTI</w:t>
      </w:r>
      <w:r>
        <w:rPr>
          <w:b/>
          <w:sz w:val="72"/>
          <w:szCs w:val="72"/>
        </w:rPr>
        <w:t xml:space="preserve"> V IZVAJANJU EVROPSKE KOHEZIJSKE POLITIKE</w:t>
      </w:r>
    </w:p>
    <w:p w14:paraId="13C36878" w14:textId="0711647E" w:rsidR="00DC74BD" w:rsidRPr="00DC74BD" w:rsidRDefault="003314D2" w:rsidP="00A117BF">
      <w:pPr>
        <w:jc w:val="center"/>
        <w:rPr>
          <w:b/>
          <w:sz w:val="72"/>
          <w:szCs w:val="72"/>
        </w:rPr>
      </w:pPr>
      <w:r>
        <w:rPr>
          <w:b/>
          <w:sz w:val="72"/>
          <w:szCs w:val="72"/>
        </w:rPr>
        <w:t>2021</w:t>
      </w:r>
      <w:r w:rsidR="008D09C8">
        <w:rPr>
          <w:b/>
          <w:sz w:val="72"/>
          <w:szCs w:val="72"/>
        </w:rPr>
        <w:t>–</w:t>
      </w:r>
      <w:r>
        <w:rPr>
          <w:b/>
          <w:sz w:val="72"/>
          <w:szCs w:val="72"/>
        </w:rPr>
        <w:t>2027</w:t>
      </w:r>
    </w:p>
    <w:p w14:paraId="66E776BB" w14:textId="77777777" w:rsidR="00DC74BD" w:rsidRDefault="00DC74BD" w:rsidP="00A117BF">
      <w:pPr>
        <w:jc w:val="center"/>
      </w:pPr>
    </w:p>
    <w:p w14:paraId="58C2CBC8" w14:textId="77777777" w:rsidR="00DC74BD" w:rsidRDefault="00DC74BD" w:rsidP="00A117BF">
      <w:pPr>
        <w:jc w:val="center"/>
      </w:pPr>
    </w:p>
    <w:p w14:paraId="512E3662" w14:textId="77777777" w:rsidR="003314D2" w:rsidRDefault="003314D2" w:rsidP="003314D2"/>
    <w:p w14:paraId="74E93958" w14:textId="77777777" w:rsidR="003314D2" w:rsidRDefault="003314D2" w:rsidP="003314D2"/>
    <w:p w14:paraId="2674098F" w14:textId="77777777" w:rsidR="004F10E8" w:rsidRDefault="004F10E8" w:rsidP="00642DE6">
      <w:pPr>
        <w:jc w:val="center"/>
      </w:pPr>
    </w:p>
    <w:p w14:paraId="54591EBD" w14:textId="77777777" w:rsidR="004F10E8" w:rsidRDefault="004F10E8" w:rsidP="00642DE6">
      <w:pPr>
        <w:jc w:val="center"/>
      </w:pPr>
    </w:p>
    <w:p w14:paraId="2CE807D9" w14:textId="77777777" w:rsidR="004F10E8" w:rsidRDefault="004F10E8" w:rsidP="00642DE6">
      <w:pPr>
        <w:jc w:val="center"/>
      </w:pPr>
    </w:p>
    <w:p w14:paraId="3AF83A5D" w14:textId="77777777" w:rsidR="004F10E8" w:rsidRDefault="004F10E8" w:rsidP="00642DE6">
      <w:pPr>
        <w:jc w:val="center"/>
      </w:pPr>
    </w:p>
    <w:p w14:paraId="5EE33D56" w14:textId="76AA0F65" w:rsidR="008D09C8" w:rsidRDefault="008D09C8" w:rsidP="00642DE6">
      <w:pPr>
        <w:jc w:val="center"/>
      </w:pPr>
      <w:r>
        <w:t>Verzija 2.0</w:t>
      </w:r>
    </w:p>
    <w:p w14:paraId="590ECD8A" w14:textId="39FBC2DB" w:rsidR="00642DE6" w:rsidRDefault="008D09C8" w:rsidP="00642DE6">
      <w:pPr>
        <w:jc w:val="center"/>
      </w:pPr>
      <w:r>
        <w:t>Marec</w:t>
      </w:r>
      <w:r w:rsidR="002705C5">
        <w:t xml:space="preserve"> </w:t>
      </w:r>
      <w:r w:rsidR="00C5296C">
        <w:t>202</w:t>
      </w:r>
      <w:r w:rsidR="00E22BAD">
        <w:t>5</w:t>
      </w:r>
      <w:r w:rsidR="00DC74BD">
        <w:br w:type="page"/>
      </w:r>
    </w:p>
    <w:sdt>
      <w:sdtPr>
        <w:rPr>
          <w:rFonts w:asciiTheme="minorHAnsi" w:eastAsiaTheme="minorHAnsi" w:hAnsiTheme="minorHAnsi" w:cstheme="minorBidi"/>
          <w:color w:val="auto"/>
          <w:sz w:val="22"/>
          <w:szCs w:val="22"/>
          <w:lang w:eastAsia="en-US"/>
        </w:rPr>
        <w:id w:val="-105348569"/>
        <w:docPartObj>
          <w:docPartGallery w:val="Table of Contents"/>
          <w:docPartUnique/>
        </w:docPartObj>
      </w:sdtPr>
      <w:sdtEndPr>
        <w:rPr>
          <w:b/>
          <w:bCs/>
        </w:rPr>
      </w:sdtEndPr>
      <w:sdtContent>
        <w:p w14:paraId="3E9B7408" w14:textId="77777777" w:rsidR="00A574CD" w:rsidRDefault="00A574CD">
          <w:pPr>
            <w:pStyle w:val="NaslovTOC"/>
          </w:pPr>
          <w:r>
            <w:t>Kazalo vsebine</w:t>
          </w:r>
        </w:p>
        <w:p w14:paraId="096AA020" w14:textId="6DCA2B20" w:rsidR="0032331B" w:rsidRDefault="00A574CD">
          <w:pPr>
            <w:pStyle w:val="Kazalovsebine1"/>
            <w:tabs>
              <w:tab w:val="left" w:pos="440"/>
              <w:tab w:val="right" w:leader="dot" w:pos="9062"/>
            </w:tabs>
            <w:rPr>
              <w:rFonts w:eastAsiaTheme="minorEastAsia"/>
              <w:noProof/>
              <w:kern w:val="2"/>
              <w:sz w:val="24"/>
              <w:szCs w:val="24"/>
              <w:lang w:eastAsia="sl-SI"/>
              <w14:ligatures w14:val="standardContextual"/>
            </w:rPr>
          </w:pPr>
          <w:r>
            <w:fldChar w:fldCharType="begin"/>
          </w:r>
          <w:r>
            <w:instrText xml:space="preserve"> TOC \o "1-3" \h \z \u </w:instrText>
          </w:r>
          <w:r>
            <w:fldChar w:fldCharType="separate"/>
          </w:r>
          <w:hyperlink w:anchor="_Toc192833946" w:history="1">
            <w:r w:rsidR="0032331B" w:rsidRPr="004A70AD">
              <w:rPr>
                <w:rStyle w:val="Hiperpovezava"/>
                <w:noProof/>
              </w:rPr>
              <w:t>1.</w:t>
            </w:r>
            <w:r w:rsidR="0032331B">
              <w:rPr>
                <w:rFonts w:eastAsiaTheme="minorEastAsia"/>
                <w:noProof/>
                <w:kern w:val="2"/>
                <w:sz w:val="24"/>
                <w:szCs w:val="24"/>
                <w:lang w:eastAsia="sl-SI"/>
                <w14:ligatures w14:val="standardContextual"/>
              </w:rPr>
              <w:tab/>
            </w:r>
            <w:r w:rsidR="0032331B" w:rsidRPr="004A70AD">
              <w:rPr>
                <w:rStyle w:val="Hiperpovezava"/>
                <w:noProof/>
              </w:rPr>
              <w:t>Uvod in cilji načrta</w:t>
            </w:r>
            <w:r w:rsidR="0032331B">
              <w:rPr>
                <w:noProof/>
                <w:webHidden/>
              </w:rPr>
              <w:tab/>
            </w:r>
            <w:r w:rsidR="0032331B">
              <w:rPr>
                <w:noProof/>
                <w:webHidden/>
              </w:rPr>
              <w:fldChar w:fldCharType="begin"/>
            </w:r>
            <w:r w:rsidR="0032331B">
              <w:rPr>
                <w:noProof/>
                <w:webHidden/>
              </w:rPr>
              <w:instrText xml:space="preserve"> PAGEREF _Toc192833946 \h </w:instrText>
            </w:r>
            <w:r w:rsidR="0032331B">
              <w:rPr>
                <w:noProof/>
                <w:webHidden/>
              </w:rPr>
            </w:r>
            <w:r w:rsidR="0032331B">
              <w:rPr>
                <w:noProof/>
                <w:webHidden/>
              </w:rPr>
              <w:fldChar w:fldCharType="separate"/>
            </w:r>
            <w:r w:rsidR="0032331B">
              <w:rPr>
                <w:noProof/>
                <w:webHidden/>
              </w:rPr>
              <w:t>3</w:t>
            </w:r>
            <w:r w:rsidR="0032331B">
              <w:rPr>
                <w:noProof/>
                <w:webHidden/>
              </w:rPr>
              <w:fldChar w:fldCharType="end"/>
            </w:r>
          </w:hyperlink>
        </w:p>
        <w:p w14:paraId="5A8DA8B1" w14:textId="7D2B10D9" w:rsidR="0032331B" w:rsidRDefault="00C342A2">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833947" w:history="1">
            <w:r w:rsidR="0032331B" w:rsidRPr="004A70AD">
              <w:rPr>
                <w:rStyle w:val="Hiperpovezava"/>
                <w:noProof/>
              </w:rPr>
              <w:t>2.</w:t>
            </w:r>
            <w:r w:rsidR="0032331B">
              <w:rPr>
                <w:rFonts w:eastAsiaTheme="minorEastAsia"/>
                <w:noProof/>
                <w:kern w:val="2"/>
                <w:sz w:val="24"/>
                <w:szCs w:val="24"/>
                <w:lang w:eastAsia="sl-SI"/>
                <w14:ligatures w14:val="standardContextual"/>
              </w:rPr>
              <w:tab/>
            </w:r>
            <w:r w:rsidR="0032331B" w:rsidRPr="004A70AD">
              <w:rPr>
                <w:rStyle w:val="Hiperpovezava"/>
                <w:noProof/>
              </w:rPr>
              <w:t>Uporabljena metodologija za pripravo načrta</w:t>
            </w:r>
            <w:r w:rsidR="0032331B">
              <w:rPr>
                <w:noProof/>
                <w:webHidden/>
              </w:rPr>
              <w:tab/>
            </w:r>
            <w:r w:rsidR="0032331B">
              <w:rPr>
                <w:noProof/>
                <w:webHidden/>
              </w:rPr>
              <w:fldChar w:fldCharType="begin"/>
            </w:r>
            <w:r w:rsidR="0032331B">
              <w:rPr>
                <w:noProof/>
                <w:webHidden/>
              </w:rPr>
              <w:instrText xml:space="preserve"> PAGEREF _Toc192833947 \h </w:instrText>
            </w:r>
            <w:r w:rsidR="0032331B">
              <w:rPr>
                <w:noProof/>
                <w:webHidden/>
              </w:rPr>
            </w:r>
            <w:r w:rsidR="0032331B">
              <w:rPr>
                <w:noProof/>
                <w:webHidden/>
              </w:rPr>
              <w:fldChar w:fldCharType="separate"/>
            </w:r>
            <w:r w:rsidR="0032331B">
              <w:rPr>
                <w:noProof/>
                <w:webHidden/>
              </w:rPr>
              <w:t>3</w:t>
            </w:r>
            <w:r w:rsidR="0032331B">
              <w:rPr>
                <w:noProof/>
                <w:webHidden/>
              </w:rPr>
              <w:fldChar w:fldCharType="end"/>
            </w:r>
          </w:hyperlink>
        </w:p>
        <w:p w14:paraId="078D6991" w14:textId="697B75CB" w:rsidR="0032331B" w:rsidRDefault="00C342A2">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833948" w:history="1">
            <w:r w:rsidR="0032331B" w:rsidRPr="004A70AD">
              <w:rPr>
                <w:rStyle w:val="Hiperpovezava"/>
                <w:noProof/>
              </w:rPr>
              <w:t>3.</w:t>
            </w:r>
            <w:r w:rsidR="0032331B">
              <w:rPr>
                <w:rFonts w:eastAsiaTheme="minorEastAsia"/>
                <w:noProof/>
                <w:kern w:val="2"/>
                <w:sz w:val="24"/>
                <w:szCs w:val="24"/>
                <w:lang w:eastAsia="sl-SI"/>
                <w14:ligatures w14:val="standardContextual"/>
              </w:rPr>
              <w:tab/>
            </w:r>
            <w:r w:rsidR="0032331B" w:rsidRPr="004A70AD">
              <w:rPr>
                <w:rStyle w:val="Hiperpovezava"/>
                <w:noProof/>
              </w:rPr>
              <w:t>Analiza stanja</w:t>
            </w:r>
            <w:r w:rsidR="0032331B">
              <w:rPr>
                <w:noProof/>
                <w:webHidden/>
              </w:rPr>
              <w:tab/>
            </w:r>
            <w:r w:rsidR="0032331B">
              <w:rPr>
                <w:noProof/>
                <w:webHidden/>
              </w:rPr>
              <w:fldChar w:fldCharType="begin"/>
            </w:r>
            <w:r w:rsidR="0032331B">
              <w:rPr>
                <w:noProof/>
                <w:webHidden/>
              </w:rPr>
              <w:instrText xml:space="preserve"> PAGEREF _Toc192833948 \h </w:instrText>
            </w:r>
            <w:r w:rsidR="0032331B">
              <w:rPr>
                <w:noProof/>
                <w:webHidden/>
              </w:rPr>
            </w:r>
            <w:r w:rsidR="0032331B">
              <w:rPr>
                <w:noProof/>
                <w:webHidden/>
              </w:rPr>
              <w:fldChar w:fldCharType="separate"/>
            </w:r>
            <w:r w:rsidR="0032331B">
              <w:rPr>
                <w:noProof/>
                <w:webHidden/>
              </w:rPr>
              <w:t>4</w:t>
            </w:r>
            <w:r w:rsidR="0032331B">
              <w:rPr>
                <w:noProof/>
                <w:webHidden/>
              </w:rPr>
              <w:fldChar w:fldCharType="end"/>
            </w:r>
          </w:hyperlink>
        </w:p>
        <w:p w14:paraId="57179C4B" w14:textId="162A29B8" w:rsidR="0032331B" w:rsidRDefault="00C342A2">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833949" w:history="1">
            <w:r w:rsidR="0032331B" w:rsidRPr="004A70AD">
              <w:rPr>
                <w:rStyle w:val="Hiperpovezava"/>
                <w:noProof/>
              </w:rPr>
              <w:t>3.1</w:t>
            </w:r>
            <w:r w:rsidR="0032331B">
              <w:rPr>
                <w:rFonts w:eastAsiaTheme="minorEastAsia"/>
                <w:noProof/>
                <w:kern w:val="2"/>
                <w:sz w:val="24"/>
                <w:szCs w:val="24"/>
                <w:lang w:eastAsia="sl-SI"/>
                <w14:ligatures w14:val="standardContextual"/>
              </w:rPr>
              <w:tab/>
            </w:r>
            <w:r w:rsidR="0032331B" w:rsidRPr="004A70AD">
              <w:rPr>
                <w:rStyle w:val="Hiperpovezava"/>
                <w:noProof/>
              </w:rPr>
              <w:t>Analiza razmer na podlagi vprašalnika OECD</w:t>
            </w:r>
            <w:r w:rsidR="0032331B">
              <w:rPr>
                <w:noProof/>
                <w:webHidden/>
              </w:rPr>
              <w:tab/>
            </w:r>
            <w:r w:rsidR="0032331B">
              <w:rPr>
                <w:noProof/>
                <w:webHidden/>
              </w:rPr>
              <w:fldChar w:fldCharType="begin"/>
            </w:r>
            <w:r w:rsidR="0032331B">
              <w:rPr>
                <w:noProof/>
                <w:webHidden/>
              </w:rPr>
              <w:instrText xml:space="preserve"> PAGEREF _Toc192833949 \h </w:instrText>
            </w:r>
            <w:r w:rsidR="0032331B">
              <w:rPr>
                <w:noProof/>
                <w:webHidden/>
              </w:rPr>
            </w:r>
            <w:r w:rsidR="0032331B">
              <w:rPr>
                <w:noProof/>
                <w:webHidden/>
              </w:rPr>
              <w:fldChar w:fldCharType="separate"/>
            </w:r>
            <w:r w:rsidR="0032331B">
              <w:rPr>
                <w:noProof/>
                <w:webHidden/>
              </w:rPr>
              <w:t>5</w:t>
            </w:r>
            <w:r w:rsidR="0032331B">
              <w:rPr>
                <w:noProof/>
                <w:webHidden/>
              </w:rPr>
              <w:fldChar w:fldCharType="end"/>
            </w:r>
          </w:hyperlink>
        </w:p>
        <w:p w14:paraId="3FD3C110" w14:textId="01E6D473" w:rsidR="0032331B" w:rsidRDefault="00C342A2">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833950" w:history="1">
            <w:r w:rsidR="0032331B" w:rsidRPr="004A70AD">
              <w:rPr>
                <w:rStyle w:val="Hiperpovezava"/>
                <w:noProof/>
              </w:rPr>
              <w:t>3.2</w:t>
            </w:r>
            <w:r w:rsidR="0032331B">
              <w:rPr>
                <w:rFonts w:eastAsiaTheme="minorEastAsia"/>
                <w:noProof/>
                <w:kern w:val="2"/>
                <w:sz w:val="24"/>
                <w:szCs w:val="24"/>
                <w:lang w:eastAsia="sl-SI"/>
                <w14:ligatures w14:val="standardContextual"/>
              </w:rPr>
              <w:tab/>
            </w:r>
            <w:r w:rsidR="0032331B" w:rsidRPr="004A70AD">
              <w:rPr>
                <w:rStyle w:val="Hiperpovezava"/>
                <w:noProof/>
              </w:rPr>
              <w:t>Analiza razmer na podlagi Poročila o državi - Slovenija 2019, Priloge D: Naložbene smernice za financiranje v okviru kohezijske politike v obdobju 2021–2027 za Slovenijo</w:t>
            </w:r>
            <w:r w:rsidR="0032331B">
              <w:rPr>
                <w:noProof/>
                <w:webHidden/>
              </w:rPr>
              <w:tab/>
            </w:r>
            <w:r w:rsidR="0032331B">
              <w:rPr>
                <w:noProof/>
                <w:webHidden/>
              </w:rPr>
              <w:fldChar w:fldCharType="begin"/>
            </w:r>
            <w:r w:rsidR="0032331B">
              <w:rPr>
                <w:noProof/>
                <w:webHidden/>
              </w:rPr>
              <w:instrText xml:space="preserve"> PAGEREF _Toc192833950 \h </w:instrText>
            </w:r>
            <w:r w:rsidR="0032331B">
              <w:rPr>
                <w:noProof/>
                <w:webHidden/>
              </w:rPr>
            </w:r>
            <w:r w:rsidR="0032331B">
              <w:rPr>
                <w:noProof/>
                <w:webHidden/>
              </w:rPr>
              <w:fldChar w:fldCharType="separate"/>
            </w:r>
            <w:r w:rsidR="0032331B">
              <w:rPr>
                <w:noProof/>
                <w:webHidden/>
              </w:rPr>
              <w:t>6</w:t>
            </w:r>
            <w:r w:rsidR="0032331B">
              <w:rPr>
                <w:noProof/>
                <w:webHidden/>
              </w:rPr>
              <w:fldChar w:fldCharType="end"/>
            </w:r>
          </w:hyperlink>
        </w:p>
        <w:p w14:paraId="39A25828" w14:textId="437624CB" w:rsidR="0032331B" w:rsidRDefault="00C342A2">
          <w:pPr>
            <w:pStyle w:val="Kazalovsebine2"/>
            <w:tabs>
              <w:tab w:val="right" w:leader="dot" w:pos="9062"/>
            </w:tabs>
            <w:rPr>
              <w:rFonts w:eastAsiaTheme="minorEastAsia"/>
              <w:noProof/>
              <w:kern w:val="2"/>
              <w:sz w:val="24"/>
              <w:szCs w:val="24"/>
              <w:lang w:eastAsia="sl-SI"/>
              <w14:ligatures w14:val="standardContextual"/>
            </w:rPr>
          </w:pPr>
          <w:hyperlink w:anchor="_Toc192833951" w:history="1">
            <w:r w:rsidR="0032331B" w:rsidRPr="004A70AD">
              <w:rPr>
                <w:rStyle w:val="Hiperpovezava"/>
                <w:noProof/>
              </w:rPr>
              <w:t>3.3 Analiza razmer na podlagi razprave z deležniki v pripravi predloga Sporazuma o partnerstvu 2021–2027 in Programa EKP 2021–2027</w:t>
            </w:r>
            <w:r w:rsidR="0032331B">
              <w:rPr>
                <w:noProof/>
                <w:webHidden/>
              </w:rPr>
              <w:tab/>
            </w:r>
            <w:r w:rsidR="0032331B">
              <w:rPr>
                <w:noProof/>
                <w:webHidden/>
              </w:rPr>
              <w:fldChar w:fldCharType="begin"/>
            </w:r>
            <w:r w:rsidR="0032331B">
              <w:rPr>
                <w:noProof/>
                <w:webHidden/>
              </w:rPr>
              <w:instrText xml:space="preserve"> PAGEREF _Toc192833951 \h </w:instrText>
            </w:r>
            <w:r w:rsidR="0032331B">
              <w:rPr>
                <w:noProof/>
                <w:webHidden/>
              </w:rPr>
            </w:r>
            <w:r w:rsidR="0032331B">
              <w:rPr>
                <w:noProof/>
                <w:webHidden/>
              </w:rPr>
              <w:fldChar w:fldCharType="separate"/>
            </w:r>
            <w:r w:rsidR="0032331B">
              <w:rPr>
                <w:noProof/>
                <w:webHidden/>
              </w:rPr>
              <w:t>6</w:t>
            </w:r>
            <w:r w:rsidR="0032331B">
              <w:rPr>
                <w:noProof/>
                <w:webHidden/>
              </w:rPr>
              <w:fldChar w:fldCharType="end"/>
            </w:r>
          </w:hyperlink>
        </w:p>
        <w:p w14:paraId="241CCC1A" w14:textId="37ACD72E" w:rsidR="0032331B" w:rsidRDefault="00C342A2">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833952" w:history="1">
            <w:r w:rsidR="0032331B" w:rsidRPr="004A70AD">
              <w:rPr>
                <w:rStyle w:val="Hiperpovezava"/>
                <w:noProof/>
              </w:rPr>
              <w:t>3.4</w:t>
            </w:r>
            <w:r w:rsidR="0032331B">
              <w:rPr>
                <w:rFonts w:eastAsiaTheme="minorEastAsia"/>
                <w:noProof/>
                <w:kern w:val="2"/>
                <w:sz w:val="24"/>
                <w:szCs w:val="24"/>
                <w:lang w:eastAsia="sl-SI"/>
                <w14:ligatures w14:val="standardContextual"/>
              </w:rPr>
              <w:tab/>
            </w:r>
            <w:r w:rsidR="0032331B" w:rsidRPr="004A70AD">
              <w:rPr>
                <w:rStyle w:val="Hiperpovezava"/>
                <w:noProof/>
              </w:rPr>
              <w:t>Analiza razmer na podlagi razprave z deležniki v okviru posveta in delavnice ob posodobitvi dokumenta</w:t>
            </w:r>
            <w:r w:rsidR="0032331B">
              <w:rPr>
                <w:noProof/>
                <w:webHidden/>
              </w:rPr>
              <w:tab/>
            </w:r>
            <w:r w:rsidR="0032331B">
              <w:rPr>
                <w:noProof/>
                <w:webHidden/>
              </w:rPr>
              <w:fldChar w:fldCharType="begin"/>
            </w:r>
            <w:r w:rsidR="0032331B">
              <w:rPr>
                <w:noProof/>
                <w:webHidden/>
              </w:rPr>
              <w:instrText xml:space="preserve"> PAGEREF _Toc192833952 \h </w:instrText>
            </w:r>
            <w:r w:rsidR="0032331B">
              <w:rPr>
                <w:noProof/>
                <w:webHidden/>
              </w:rPr>
            </w:r>
            <w:r w:rsidR="0032331B">
              <w:rPr>
                <w:noProof/>
                <w:webHidden/>
              </w:rPr>
              <w:fldChar w:fldCharType="separate"/>
            </w:r>
            <w:r w:rsidR="0032331B">
              <w:rPr>
                <w:noProof/>
                <w:webHidden/>
              </w:rPr>
              <w:t>7</w:t>
            </w:r>
            <w:r w:rsidR="0032331B">
              <w:rPr>
                <w:noProof/>
                <w:webHidden/>
              </w:rPr>
              <w:fldChar w:fldCharType="end"/>
            </w:r>
          </w:hyperlink>
        </w:p>
        <w:p w14:paraId="7FCEC58D" w14:textId="6DF1CE38" w:rsidR="0032331B" w:rsidRDefault="00C342A2">
          <w:pPr>
            <w:pStyle w:val="Kazalovsebine2"/>
            <w:tabs>
              <w:tab w:val="right" w:leader="dot" w:pos="9062"/>
            </w:tabs>
            <w:rPr>
              <w:rFonts w:eastAsiaTheme="minorEastAsia"/>
              <w:noProof/>
              <w:kern w:val="2"/>
              <w:sz w:val="24"/>
              <w:szCs w:val="24"/>
              <w:lang w:eastAsia="sl-SI"/>
              <w14:ligatures w14:val="standardContextual"/>
            </w:rPr>
          </w:pPr>
          <w:hyperlink w:anchor="_Toc192833953" w:history="1">
            <w:r w:rsidR="0032331B" w:rsidRPr="004A70AD">
              <w:rPr>
                <w:rStyle w:val="Hiperpovezava"/>
                <w:noProof/>
              </w:rPr>
              <w:t>3.5. Analiza razmer na podlagi rezultatov ankete med deležniki o željah in potrebah na področju krepitve administrativne usposobljenosti</w:t>
            </w:r>
            <w:r w:rsidR="0032331B">
              <w:rPr>
                <w:noProof/>
                <w:webHidden/>
              </w:rPr>
              <w:tab/>
            </w:r>
            <w:r w:rsidR="0032331B">
              <w:rPr>
                <w:noProof/>
                <w:webHidden/>
              </w:rPr>
              <w:fldChar w:fldCharType="begin"/>
            </w:r>
            <w:r w:rsidR="0032331B">
              <w:rPr>
                <w:noProof/>
                <w:webHidden/>
              </w:rPr>
              <w:instrText xml:space="preserve"> PAGEREF _Toc192833953 \h </w:instrText>
            </w:r>
            <w:r w:rsidR="0032331B">
              <w:rPr>
                <w:noProof/>
                <w:webHidden/>
              </w:rPr>
            </w:r>
            <w:r w:rsidR="0032331B">
              <w:rPr>
                <w:noProof/>
                <w:webHidden/>
              </w:rPr>
              <w:fldChar w:fldCharType="separate"/>
            </w:r>
            <w:r w:rsidR="0032331B">
              <w:rPr>
                <w:noProof/>
                <w:webHidden/>
              </w:rPr>
              <w:t>8</w:t>
            </w:r>
            <w:r w:rsidR="0032331B">
              <w:rPr>
                <w:noProof/>
                <w:webHidden/>
              </w:rPr>
              <w:fldChar w:fldCharType="end"/>
            </w:r>
          </w:hyperlink>
        </w:p>
        <w:p w14:paraId="3A7DB6B2" w14:textId="7E1DBDB7" w:rsidR="0032331B" w:rsidRDefault="00C342A2">
          <w:pPr>
            <w:pStyle w:val="Kazalovsebine1"/>
            <w:tabs>
              <w:tab w:val="left" w:pos="440"/>
              <w:tab w:val="right" w:leader="dot" w:pos="9062"/>
            </w:tabs>
            <w:rPr>
              <w:rFonts w:eastAsiaTheme="minorEastAsia"/>
              <w:noProof/>
              <w:kern w:val="2"/>
              <w:sz w:val="24"/>
              <w:szCs w:val="24"/>
              <w:lang w:eastAsia="sl-SI"/>
              <w14:ligatures w14:val="standardContextual"/>
            </w:rPr>
          </w:pPr>
          <w:hyperlink w:anchor="_Toc192833954" w:history="1">
            <w:r w:rsidR="0032331B" w:rsidRPr="004A70AD">
              <w:rPr>
                <w:rStyle w:val="Hiperpovezava"/>
                <w:noProof/>
              </w:rPr>
              <w:t>4.</w:t>
            </w:r>
            <w:r w:rsidR="0032331B">
              <w:rPr>
                <w:rFonts w:eastAsiaTheme="minorEastAsia"/>
                <w:noProof/>
                <w:kern w:val="2"/>
                <w:sz w:val="24"/>
                <w:szCs w:val="24"/>
                <w:lang w:eastAsia="sl-SI"/>
                <w14:ligatures w14:val="standardContextual"/>
              </w:rPr>
              <w:tab/>
            </w:r>
            <w:r w:rsidR="0032331B" w:rsidRPr="004A70AD">
              <w:rPr>
                <w:rStyle w:val="Hiperpovezava"/>
                <w:noProof/>
              </w:rPr>
              <w:t>Opredelitev ukrepov in kazalnikov</w:t>
            </w:r>
            <w:r w:rsidR="0032331B">
              <w:rPr>
                <w:noProof/>
                <w:webHidden/>
              </w:rPr>
              <w:tab/>
            </w:r>
            <w:r w:rsidR="0032331B">
              <w:rPr>
                <w:noProof/>
                <w:webHidden/>
              </w:rPr>
              <w:fldChar w:fldCharType="begin"/>
            </w:r>
            <w:r w:rsidR="0032331B">
              <w:rPr>
                <w:noProof/>
                <w:webHidden/>
              </w:rPr>
              <w:instrText xml:space="preserve"> PAGEREF _Toc192833954 \h </w:instrText>
            </w:r>
            <w:r w:rsidR="0032331B">
              <w:rPr>
                <w:noProof/>
                <w:webHidden/>
              </w:rPr>
            </w:r>
            <w:r w:rsidR="0032331B">
              <w:rPr>
                <w:noProof/>
                <w:webHidden/>
              </w:rPr>
              <w:fldChar w:fldCharType="separate"/>
            </w:r>
            <w:r w:rsidR="0032331B">
              <w:rPr>
                <w:noProof/>
                <w:webHidden/>
              </w:rPr>
              <w:t>9</w:t>
            </w:r>
            <w:r w:rsidR="0032331B">
              <w:rPr>
                <w:noProof/>
                <w:webHidden/>
              </w:rPr>
              <w:fldChar w:fldCharType="end"/>
            </w:r>
          </w:hyperlink>
        </w:p>
        <w:p w14:paraId="03D6A9E7" w14:textId="71C2BA60" w:rsidR="0032331B" w:rsidRDefault="00C342A2">
          <w:pPr>
            <w:pStyle w:val="Kazalovsebine2"/>
            <w:tabs>
              <w:tab w:val="right" w:leader="dot" w:pos="9062"/>
            </w:tabs>
            <w:rPr>
              <w:rFonts w:eastAsiaTheme="minorEastAsia"/>
              <w:noProof/>
              <w:kern w:val="2"/>
              <w:sz w:val="24"/>
              <w:szCs w:val="24"/>
              <w:lang w:eastAsia="sl-SI"/>
              <w14:ligatures w14:val="standardContextual"/>
            </w:rPr>
          </w:pPr>
          <w:hyperlink w:anchor="_Toc192833955" w:history="1">
            <w:r w:rsidR="0032331B" w:rsidRPr="004A70AD">
              <w:rPr>
                <w:rStyle w:val="Hiperpovezava"/>
                <w:noProof/>
              </w:rPr>
              <w:t>4.1 Ukrepi in aktivnosti za krepitev upravnih zmogljivosti</w:t>
            </w:r>
            <w:r w:rsidR="0032331B">
              <w:rPr>
                <w:noProof/>
                <w:webHidden/>
              </w:rPr>
              <w:tab/>
            </w:r>
            <w:r w:rsidR="0032331B">
              <w:rPr>
                <w:noProof/>
                <w:webHidden/>
              </w:rPr>
              <w:fldChar w:fldCharType="begin"/>
            </w:r>
            <w:r w:rsidR="0032331B">
              <w:rPr>
                <w:noProof/>
                <w:webHidden/>
              </w:rPr>
              <w:instrText xml:space="preserve"> PAGEREF _Toc192833955 \h </w:instrText>
            </w:r>
            <w:r w:rsidR="0032331B">
              <w:rPr>
                <w:noProof/>
                <w:webHidden/>
              </w:rPr>
            </w:r>
            <w:r w:rsidR="0032331B">
              <w:rPr>
                <w:noProof/>
                <w:webHidden/>
              </w:rPr>
              <w:fldChar w:fldCharType="separate"/>
            </w:r>
            <w:r w:rsidR="0032331B">
              <w:rPr>
                <w:noProof/>
                <w:webHidden/>
              </w:rPr>
              <w:t>9</w:t>
            </w:r>
            <w:r w:rsidR="0032331B">
              <w:rPr>
                <w:noProof/>
                <w:webHidden/>
              </w:rPr>
              <w:fldChar w:fldCharType="end"/>
            </w:r>
          </w:hyperlink>
        </w:p>
        <w:p w14:paraId="5D40B139" w14:textId="52D1DA01" w:rsidR="0032331B" w:rsidRDefault="00C342A2">
          <w:pPr>
            <w:pStyle w:val="Kazalovsebine3"/>
            <w:tabs>
              <w:tab w:val="left" w:pos="1200"/>
              <w:tab w:val="right" w:leader="dot" w:pos="9062"/>
            </w:tabs>
            <w:rPr>
              <w:rFonts w:eastAsiaTheme="minorEastAsia"/>
              <w:noProof/>
              <w:kern w:val="2"/>
              <w:sz w:val="24"/>
              <w:szCs w:val="24"/>
              <w:lang w:eastAsia="sl-SI"/>
              <w14:ligatures w14:val="standardContextual"/>
            </w:rPr>
          </w:pPr>
          <w:hyperlink w:anchor="_Toc192833956" w:history="1">
            <w:r w:rsidR="0032331B" w:rsidRPr="004A70AD">
              <w:rPr>
                <w:rStyle w:val="Hiperpovezava"/>
                <w:noProof/>
              </w:rPr>
              <w:t>4.1.1</w:t>
            </w:r>
            <w:r w:rsidR="0032331B">
              <w:rPr>
                <w:rFonts w:eastAsiaTheme="minorEastAsia"/>
                <w:noProof/>
                <w:kern w:val="2"/>
                <w:sz w:val="24"/>
                <w:szCs w:val="24"/>
                <w:lang w:eastAsia="sl-SI"/>
                <w14:ligatures w14:val="standardContextual"/>
              </w:rPr>
              <w:tab/>
            </w:r>
            <w:r w:rsidR="0032331B" w:rsidRPr="004A70AD">
              <w:rPr>
                <w:rStyle w:val="Hiperpovezava"/>
                <w:noProof/>
              </w:rPr>
              <w:t>Ukrepi prvega stebra</w:t>
            </w:r>
            <w:r w:rsidR="0032331B">
              <w:rPr>
                <w:noProof/>
                <w:webHidden/>
              </w:rPr>
              <w:tab/>
            </w:r>
            <w:r w:rsidR="0032331B">
              <w:rPr>
                <w:noProof/>
                <w:webHidden/>
              </w:rPr>
              <w:fldChar w:fldCharType="begin"/>
            </w:r>
            <w:r w:rsidR="0032331B">
              <w:rPr>
                <w:noProof/>
                <w:webHidden/>
              </w:rPr>
              <w:instrText xml:space="preserve"> PAGEREF _Toc192833956 \h </w:instrText>
            </w:r>
            <w:r w:rsidR="0032331B">
              <w:rPr>
                <w:noProof/>
                <w:webHidden/>
              </w:rPr>
            </w:r>
            <w:r w:rsidR="0032331B">
              <w:rPr>
                <w:noProof/>
                <w:webHidden/>
              </w:rPr>
              <w:fldChar w:fldCharType="separate"/>
            </w:r>
            <w:r w:rsidR="0032331B">
              <w:rPr>
                <w:noProof/>
                <w:webHidden/>
              </w:rPr>
              <w:t>10</w:t>
            </w:r>
            <w:r w:rsidR="0032331B">
              <w:rPr>
                <w:noProof/>
                <w:webHidden/>
              </w:rPr>
              <w:fldChar w:fldCharType="end"/>
            </w:r>
          </w:hyperlink>
        </w:p>
        <w:p w14:paraId="15DBBB4A" w14:textId="4EBD3D7A" w:rsidR="0032331B" w:rsidRDefault="00C342A2">
          <w:pPr>
            <w:pStyle w:val="Kazalovsebine3"/>
            <w:tabs>
              <w:tab w:val="right" w:leader="dot" w:pos="9062"/>
            </w:tabs>
            <w:rPr>
              <w:rFonts w:eastAsiaTheme="minorEastAsia"/>
              <w:noProof/>
              <w:kern w:val="2"/>
              <w:sz w:val="24"/>
              <w:szCs w:val="24"/>
              <w:lang w:eastAsia="sl-SI"/>
              <w14:ligatures w14:val="standardContextual"/>
            </w:rPr>
          </w:pPr>
          <w:hyperlink w:anchor="_Toc192833957" w:history="1">
            <w:r w:rsidR="0032331B" w:rsidRPr="004A70AD">
              <w:rPr>
                <w:rStyle w:val="Hiperpovezava"/>
                <w:noProof/>
              </w:rPr>
              <w:t>4.1.2    Ukrepi drugega stebra</w:t>
            </w:r>
            <w:r w:rsidR="0032331B">
              <w:rPr>
                <w:noProof/>
                <w:webHidden/>
              </w:rPr>
              <w:tab/>
            </w:r>
            <w:r w:rsidR="0032331B">
              <w:rPr>
                <w:noProof/>
                <w:webHidden/>
              </w:rPr>
              <w:fldChar w:fldCharType="begin"/>
            </w:r>
            <w:r w:rsidR="0032331B">
              <w:rPr>
                <w:noProof/>
                <w:webHidden/>
              </w:rPr>
              <w:instrText xml:space="preserve"> PAGEREF _Toc192833957 \h </w:instrText>
            </w:r>
            <w:r w:rsidR="0032331B">
              <w:rPr>
                <w:noProof/>
                <w:webHidden/>
              </w:rPr>
            </w:r>
            <w:r w:rsidR="0032331B">
              <w:rPr>
                <w:noProof/>
                <w:webHidden/>
              </w:rPr>
              <w:fldChar w:fldCharType="separate"/>
            </w:r>
            <w:r w:rsidR="0032331B">
              <w:rPr>
                <w:noProof/>
                <w:webHidden/>
              </w:rPr>
              <w:t>10</w:t>
            </w:r>
            <w:r w:rsidR="0032331B">
              <w:rPr>
                <w:noProof/>
                <w:webHidden/>
              </w:rPr>
              <w:fldChar w:fldCharType="end"/>
            </w:r>
          </w:hyperlink>
        </w:p>
        <w:p w14:paraId="29ACC8B8" w14:textId="71731AD2" w:rsidR="0032331B" w:rsidRDefault="00C342A2">
          <w:pPr>
            <w:pStyle w:val="Kazalovsebine3"/>
            <w:tabs>
              <w:tab w:val="right" w:leader="dot" w:pos="9062"/>
            </w:tabs>
            <w:rPr>
              <w:rFonts w:eastAsiaTheme="minorEastAsia"/>
              <w:noProof/>
              <w:kern w:val="2"/>
              <w:sz w:val="24"/>
              <w:szCs w:val="24"/>
              <w:lang w:eastAsia="sl-SI"/>
              <w14:ligatures w14:val="standardContextual"/>
            </w:rPr>
          </w:pPr>
          <w:hyperlink w:anchor="_Toc192833958" w:history="1">
            <w:r w:rsidR="0032331B" w:rsidRPr="004A70AD">
              <w:rPr>
                <w:rStyle w:val="Hiperpovezava"/>
                <w:noProof/>
              </w:rPr>
              <w:t>4.1.3    Ukrepi tretjega stebra</w:t>
            </w:r>
            <w:r w:rsidR="0032331B">
              <w:rPr>
                <w:noProof/>
                <w:webHidden/>
              </w:rPr>
              <w:tab/>
            </w:r>
            <w:r w:rsidR="0032331B">
              <w:rPr>
                <w:noProof/>
                <w:webHidden/>
              </w:rPr>
              <w:fldChar w:fldCharType="begin"/>
            </w:r>
            <w:r w:rsidR="0032331B">
              <w:rPr>
                <w:noProof/>
                <w:webHidden/>
              </w:rPr>
              <w:instrText xml:space="preserve"> PAGEREF _Toc192833958 \h </w:instrText>
            </w:r>
            <w:r w:rsidR="0032331B">
              <w:rPr>
                <w:noProof/>
                <w:webHidden/>
              </w:rPr>
            </w:r>
            <w:r w:rsidR="0032331B">
              <w:rPr>
                <w:noProof/>
                <w:webHidden/>
              </w:rPr>
              <w:fldChar w:fldCharType="separate"/>
            </w:r>
            <w:r w:rsidR="0032331B">
              <w:rPr>
                <w:noProof/>
                <w:webHidden/>
              </w:rPr>
              <w:t>10</w:t>
            </w:r>
            <w:r w:rsidR="0032331B">
              <w:rPr>
                <w:noProof/>
                <w:webHidden/>
              </w:rPr>
              <w:fldChar w:fldCharType="end"/>
            </w:r>
          </w:hyperlink>
        </w:p>
        <w:p w14:paraId="649D1594" w14:textId="7A0C5F81" w:rsidR="0032331B" w:rsidRDefault="00C342A2">
          <w:pPr>
            <w:pStyle w:val="Kazalovsebine2"/>
            <w:tabs>
              <w:tab w:val="left" w:pos="960"/>
              <w:tab w:val="right" w:leader="dot" w:pos="9062"/>
            </w:tabs>
            <w:rPr>
              <w:rFonts w:eastAsiaTheme="minorEastAsia"/>
              <w:noProof/>
              <w:kern w:val="2"/>
              <w:sz w:val="24"/>
              <w:szCs w:val="24"/>
              <w:lang w:eastAsia="sl-SI"/>
              <w14:ligatures w14:val="standardContextual"/>
            </w:rPr>
          </w:pPr>
          <w:hyperlink w:anchor="_Toc192833959" w:history="1">
            <w:r w:rsidR="0032331B" w:rsidRPr="004A70AD">
              <w:rPr>
                <w:rStyle w:val="Hiperpovezava"/>
                <w:noProof/>
              </w:rPr>
              <w:t>4.2</w:t>
            </w:r>
            <w:r w:rsidR="0032331B">
              <w:rPr>
                <w:rFonts w:eastAsiaTheme="minorEastAsia"/>
                <w:noProof/>
                <w:kern w:val="2"/>
                <w:sz w:val="24"/>
                <w:szCs w:val="24"/>
                <w:lang w:eastAsia="sl-SI"/>
                <w14:ligatures w14:val="standardContextual"/>
              </w:rPr>
              <w:tab/>
            </w:r>
            <w:r w:rsidR="0032331B" w:rsidRPr="004A70AD">
              <w:rPr>
                <w:rStyle w:val="Hiperpovezava"/>
                <w:noProof/>
              </w:rPr>
              <w:t>Kazalniki v povezavi z ukrepi</w:t>
            </w:r>
            <w:r w:rsidR="0032331B">
              <w:rPr>
                <w:noProof/>
                <w:webHidden/>
              </w:rPr>
              <w:tab/>
            </w:r>
            <w:r w:rsidR="0032331B">
              <w:rPr>
                <w:noProof/>
                <w:webHidden/>
              </w:rPr>
              <w:fldChar w:fldCharType="begin"/>
            </w:r>
            <w:r w:rsidR="0032331B">
              <w:rPr>
                <w:noProof/>
                <w:webHidden/>
              </w:rPr>
              <w:instrText xml:space="preserve"> PAGEREF _Toc192833959 \h </w:instrText>
            </w:r>
            <w:r w:rsidR="0032331B">
              <w:rPr>
                <w:noProof/>
                <w:webHidden/>
              </w:rPr>
            </w:r>
            <w:r w:rsidR="0032331B">
              <w:rPr>
                <w:noProof/>
                <w:webHidden/>
              </w:rPr>
              <w:fldChar w:fldCharType="separate"/>
            </w:r>
            <w:r w:rsidR="0032331B">
              <w:rPr>
                <w:noProof/>
                <w:webHidden/>
              </w:rPr>
              <w:t>11</w:t>
            </w:r>
            <w:r w:rsidR="0032331B">
              <w:rPr>
                <w:noProof/>
                <w:webHidden/>
              </w:rPr>
              <w:fldChar w:fldCharType="end"/>
            </w:r>
          </w:hyperlink>
        </w:p>
        <w:p w14:paraId="7951CDB1" w14:textId="1D6BF090" w:rsidR="0032331B" w:rsidRDefault="00C342A2">
          <w:pPr>
            <w:pStyle w:val="Kazalovsebine1"/>
            <w:tabs>
              <w:tab w:val="right" w:leader="dot" w:pos="9062"/>
            </w:tabs>
            <w:rPr>
              <w:rFonts w:eastAsiaTheme="minorEastAsia"/>
              <w:noProof/>
              <w:kern w:val="2"/>
              <w:sz w:val="24"/>
              <w:szCs w:val="24"/>
              <w:lang w:eastAsia="sl-SI"/>
              <w14:ligatures w14:val="standardContextual"/>
            </w:rPr>
          </w:pPr>
          <w:hyperlink w:anchor="_Toc192833960" w:history="1">
            <w:r w:rsidR="0032331B" w:rsidRPr="004A70AD">
              <w:rPr>
                <w:rStyle w:val="Hiperpovezava"/>
                <w:noProof/>
              </w:rPr>
              <w:t>5. Financiranje ukrepov</w:t>
            </w:r>
            <w:r w:rsidR="0032331B">
              <w:rPr>
                <w:noProof/>
                <w:webHidden/>
              </w:rPr>
              <w:tab/>
            </w:r>
            <w:r w:rsidR="0032331B">
              <w:rPr>
                <w:noProof/>
                <w:webHidden/>
              </w:rPr>
              <w:fldChar w:fldCharType="begin"/>
            </w:r>
            <w:r w:rsidR="0032331B">
              <w:rPr>
                <w:noProof/>
                <w:webHidden/>
              </w:rPr>
              <w:instrText xml:space="preserve"> PAGEREF _Toc192833960 \h </w:instrText>
            </w:r>
            <w:r w:rsidR="0032331B">
              <w:rPr>
                <w:noProof/>
                <w:webHidden/>
              </w:rPr>
            </w:r>
            <w:r w:rsidR="0032331B">
              <w:rPr>
                <w:noProof/>
                <w:webHidden/>
              </w:rPr>
              <w:fldChar w:fldCharType="separate"/>
            </w:r>
            <w:r w:rsidR="0032331B">
              <w:rPr>
                <w:noProof/>
                <w:webHidden/>
              </w:rPr>
              <w:t>15</w:t>
            </w:r>
            <w:r w:rsidR="0032331B">
              <w:rPr>
                <w:noProof/>
                <w:webHidden/>
              </w:rPr>
              <w:fldChar w:fldCharType="end"/>
            </w:r>
          </w:hyperlink>
        </w:p>
        <w:p w14:paraId="524CF3F7" w14:textId="115E3ECB" w:rsidR="0032331B" w:rsidRDefault="00C342A2">
          <w:pPr>
            <w:pStyle w:val="Kazalovsebine1"/>
            <w:tabs>
              <w:tab w:val="right" w:leader="dot" w:pos="9062"/>
            </w:tabs>
            <w:rPr>
              <w:rFonts w:eastAsiaTheme="minorEastAsia"/>
              <w:noProof/>
              <w:kern w:val="2"/>
              <w:sz w:val="24"/>
              <w:szCs w:val="24"/>
              <w:lang w:eastAsia="sl-SI"/>
              <w14:ligatures w14:val="standardContextual"/>
            </w:rPr>
          </w:pPr>
          <w:hyperlink w:anchor="_Toc192833961" w:history="1">
            <w:r w:rsidR="0032331B" w:rsidRPr="004A70AD">
              <w:rPr>
                <w:rStyle w:val="Hiperpovezava"/>
                <w:noProof/>
              </w:rPr>
              <w:t>6. Izvajanje načrta</w:t>
            </w:r>
            <w:r w:rsidR="0032331B">
              <w:rPr>
                <w:noProof/>
                <w:webHidden/>
              </w:rPr>
              <w:tab/>
            </w:r>
            <w:r w:rsidR="0032331B">
              <w:rPr>
                <w:noProof/>
                <w:webHidden/>
              </w:rPr>
              <w:fldChar w:fldCharType="begin"/>
            </w:r>
            <w:r w:rsidR="0032331B">
              <w:rPr>
                <w:noProof/>
                <w:webHidden/>
              </w:rPr>
              <w:instrText xml:space="preserve"> PAGEREF _Toc192833961 \h </w:instrText>
            </w:r>
            <w:r w:rsidR="0032331B">
              <w:rPr>
                <w:noProof/>
                <w:webHidden/>
              </w:rPr>
            </w:r>
            <w:r w:rsidR="0032331B">
              <w:rPr>
                <w:noProof/>
                <w:webHidden/>
              </w:rPr>
              <w:fldChar w:fldCharType="separate"/>
            </w:r>
            <w:r w:rsidR="0032331B">
              <w:rPr>
                <w:noProof/>
                <w:webHidden/>
              </w:rPr>
              <w:t>15</w:t>
            </w:r>
            <w:r w:rsidR="0032331B">
              <w:rPr>
                <w:noProof/>
                <w:webHidden/>
              </w:rPr>
              <w:fldChar w:fldCharType="end"/>
            </w:r>
          </w:hyperlink>
        </w:p>
        <w:p w14:paraId="6D381D86" w14:textId="356CCA26" w:rsidR="0032331B" w:rsidRDefault="00C342A2">
          <w:pPr>
            <w:pStyle w:val="Kazalovsebine1"/>
            <w:tabs>
              <w:tab w:val="right" w:leader="dot" w:pos="9062"/>
            </w:tabs>
            <w:rPr>
              <w:rFonts w:eastAsiaTheme="minorEastAsia"/>
              <w:noProof/>
              <w:kern w:val="2"/>
              <w:sz w:val="24"/>
              <w:szCs w:val="24"/>
              <w:lang w:eastAsia="sl-SI"/>
              <w14:ligatures w14:val="standardContextual"/>
            </w:rPr>
          </w:pPr>
          <w:hyperlink w:anchor="_Toc192833962" w:history="1">
            <w:r w:rsidR="0032331B" w:rsidRPr="004A70AD">
              <w:rPr>
                <w:rStyle w:val="Hiperpovezava"/>
                <w:noProof/>
              </w:rPr>
              <w:t>Priloga A. Analiza na podlagi vprašalnika OECD</w:t>
            </w:r>
            <w:r w:rsidR="0032331B">
              <w:rPr>
                <w:noProof/>
                <w:webHidden/>
              </w:rPr>
              <w:tab/>
            </w:r>
            <w:r w:rsidR="0032331B">
              <w:rPr>
                <w:noProof/>
                <w:webHidden/>
              </w:rPr>
              <w:fldChar w:fldCharType="begin"/>
            </w:r>
            <w:r w:rsidR="0032331B">
              <w:rPr>
                <w:noProof/>
                <w:webHidden/>
              </w:rPr>
              <w:instrText xml:space="preserve"> PAGEREF _Toc192833962 \h </w:instrText>
            </w:r>
            <w:r w:rsidR="0032331B">
              <w:rPr>
                <w:noProof/>
                <w:webHidden/>
              </w:rPr>
            </w:r>
            <w:r w:rsidR="0032331B">
              <w:rPr>
                <w:noProof/>
                <w:webHidden/>
              </w:rPr>
              <w:fldChar w:fldCharType="separate"/>
            </w:r>
            <w:r w:rsidR="0032331B">
              <w:rPr>
                <w:noProof/>
                <w:webHidden/>
              </w:rPr>
              <w:t>16</w:t>
            </w:r>
            <w:r w:rsidR="0032331B">
              <w:rPr>
                <w:noProof/>
                <w:webHidden/>
              </w:rPr>
              <w:fldChar w:fldCharType="end"/>
            </w:r>
          </w:hyperlink>
        </w:p>
        <w:p w14:paraId="255AE2BA" w14:textId="1CD192DF" w:rsidR="00A574CD" w:rsidRDefault="00A574CD">
          <w:r>
            <w:rPr>
              <w:b/>
              <w:bCs/>
            </w:rPr>
            <w:fldChar w:fldCharType="end"/>
          </w:r>
        </w:p>
      </w:sdtContent>
    </w:sdt>
    <w:p w14:paraId="0E4E636F" w14:textId="306A9DD7" w:rsidR="00642DE6" w:rsidRDefault="00642DE6">
      <w:r>
        <w:br w:type="page"/>
      </w:r>
    </w:p>
    <w:p w14:paraId="47CEFDBD" w14:textId="6BD3E9C3" w:rsidR="00B7404F" w:rsidRDefault="00E111CD" w:rsidP="00A117BF">
      <w:pPr>
        <w:pStyle w:val="Naslov1"/>
        <w:numPr>
          <w:ilvl w:val="0"/>
          <w:numId w:val="38"/>
        </w:numPr>
        <w:jc w:val="both"/>
      </w:pPr>
      <w:bookmarkStart w:id="0" w:name="_Toc192833946"/>
      <w:r>
        <w:lastRenderedPageBreak/>
        <w:t>Uvod in cilji</w:t>
      </w:r>
      <w:r w:rsidR="00D95EC6" w:rsidRPr="00D95EC6">
        <w:t xml:space="preserve"> načrta</w:t>
      </w:r>
      <w:bookmarkEnd w:id="0"/>
      <w:r w:rsidR="00E22BAD">
        <w:t xml:space="preserve"> </w:t>
      </w:r>
    </w:p>
    <w:p w14:paraId="59EC1FEA" w14:textId="75AAEFCB" w:rsidR="001F66C7" w:rsidRDefault="001F66C7" w:rsidP="001F66C7">
      <w:pPr>
        <w:jc w:val="both"/>
      </w:pPr>
      <w:r>
        <w:t>Dobro upravljanje je ključni element gospodarskega razvoja in kohezijske politike, saj povečuje učinkovitost naložb in njihov učinek ter izboljšuje delovanje javne uprave na vseh ravneh. Upravna zmogljivost pomeni sposobnost javne uprave, da učinkovito upravlja in uporablja sredstva EU v celotnem naložbenem ciklu, kar prispeva k uspešnemu izvajanju kohezijske politike. Močan institucionalni okvir in kakovostne prakse prinašajo dodano vrednost naložbam, zato je nujno vlagati v dobro upravljanje ter krepiti zmogljivosti za učinkovito upravljanje skladov EU in oblikovanje naložbenih strategij.</w:t>
      </w:r>
    </w:p>
    <w:p w14:paraId="46AB85AA" w14:textId="436B5F4D" w:rsidR="007610C9" w:rsidRDefault="007610C9" w:rsidP="007610C9">
      <w:pPr>
        <w:jc w:val="both"/>
      </w:pPr>
      <w:r>
        <w:t>Z Načrtom za krepitev upravnih zmogljivosti v okviru izvajanja Programa evropske kohezijske politike 2021–2027 (v nadaljevanju: Načrt) želimo nasloviti naslednj</w:t>
      </w:r>
      <w:r w:rsidR="001F66C7">
        <w:t>e cilje</w:t>
      </w:r>
      <w:r>
        <w:t>:</w:t>
      </w:r>
    </w:p>
    <w:p w14:paraId="47E45455" w14:textId="56EB58F2" w:rsidR="00637442" w:rsidRPr="00E22BAD" w:rsidRDefault="00637442" w:rsidP="00E22BAD">
      <w:pPr>
        <w:pStyle w:val="Odstavekseznama"/>
        <w:numPr>
          <w:ilvl w:val="0"/>
          <w:numId w:val="24"/>
        </w:numPr>
        <w:jc w:val="both"/>
      </w:pPr>
      <w:r w:rsidRPr="00E22BAD">
        <w:t>Izboljšanje zmogljivosti strateškega in operativnega upravljanja</w:t>
      </w:r>
      <w:r w:rsidR="004F10E8">
        <w:t>,</w:t>
      </w:r>
    </w:p>
    <w:p w14:paraId="6F3E5F4F" w14:textId="72257338" w:rsidR="00637442" w:rsidRPr="00E22BAD" w:rsidRDefault="00637442" w:rsidP="00E22BAD">
      <w:pPr>
        <w:pStyle w:val="Odstavekseznama"/>
        <w:numPr>
          <w:ilvl w:val="0"/>
          <w:numId w:val="24"/>
        </w:numPr>
        <w:jc w:val="both"/>
      </w:pPr>
      <w:r w:rsidRPr="00E22BAD">
        <w:t>Povečanje usposobljenosti upravičencev</w:t>
      </w:r>
      <w:r w:rsidR="004F10E8">
        <w:t>,</w:t>
      </w:r>
      <w:r w:rsidRPr="00E22BAD">
        <w:t xml:space="preserve"> </w:t>
      </w:r>
    </w:p>
    <w:p w14:paraId="5BF00227" w14:textId="5926125D" w:rsidR="00637442" w:rsidRPr="00E22BAD" w:rsidRDefault="00637442" w:rsidP="00E22BAD">
      <w:pPr>
        <w:pStyle w:val="Odstavekseznama"/>
        <w:numPr>
          <w:ilvl w:val="0"/>
          <w:numId w:val="24"/>
        </w:numPr>
        <w:jc w:val="both"/>
      </w:pPr>
      <w:r w:rsidRPr="00E22BAD">
        <w:t>Ustvarjanje podpornih pogojev za učinkovito izvajanje z dodano vrednostjo</w:t>
      </w:r>
      <w:r w:rsidR="004F10E8">
        <w:t>.</w:t>
      </w:r>
    </w:p>
    <w:p w14:paraId="129F5500" w14:textId="5B32417A" w:rsidR="00E111CD" w:rsidRDefault="001F66C7" w:rsidP="00573EEE">
      <w:pPr>
        <w:jc w:val="both"/>
      </w:pPr>
      <w:r>
        <w:t>Navedene cilje</w:t>
      </w:r>
      <w:r w:rsidR="00B52303">
        <w:t xml:space="preserve"> bomo</w:t>
      </w:r>
      <w:r w:rsidR="007610C9">
        <w:t xml:space="preserve"> dosegli preko treh stebrov, </w:t>
      </w:r>
      <w:r w:rsidR="0034198E">
        <w:t xml:space="preserve">ki </w:t>
      </w:r>
      <w:r w:rsidR="00E111CD">
        <w:t>slonijo na metodologiji</w:t>
      </w:r>
      <w:r w:rsidR="0034198E">
        <w:t xml:space="preserve"> Evropske komisije in OECD. </w:t>
      </w:r>
      <w:r w:rsidR="00FE342E">
        <w:t>Preko njih</w:t>
      </w:r>
      <w:r w:rsidR="007610C9">
        <w:t xml:space="preserve"> bomo zagotovili razpoložljivost izkušenega, usposobljenega in motiviranega osebja, učinkovitost </w:t>
      </w:r>
      <w:r w:rsidR="00FE342E">
        <w:t>in</w:t>
      </w:r>
      <w:r w:rsidR="007610C9">
        <w:t xml:space="preserve"> strateško naravnanost sistema izvajanja ter</w:t>
      </w:r>
      <w:r w:rsidR="00FE342E" w:rsidRPr="00FE342E">
        <w:t xml:space="preserve"> sisteme in orodja za zmanjšanje tveganj ter povečanje učinkovitosti upravičencev in deležnikov.</w:t>
      </w:r>
      <w:r w:rsidR="007610C9">
        <w:t xml:space="preserve"> </w:t>
      </w:r>
    </w:p>
    <w:p w14:paraId="5C994D25" w14:textId="0A65204F" w:rsidR="002215DF" w:rsidRDefault="00573EEE" w:rsidP="00FA71AA">
      <w:pPr>
        <w:jc w:val="both"/>
      </w:pPr>
      <w:r>
        <w:t>V nadaljevanju je predstavljena uporabljena metodologija in analiza ter pregled ukrepov</w:t>
      </w:r>
      <w:r w:rsidRPr="00C30B7E">
        <w:t xml:space="preserve"> za krepitev dobrega upravljanja in upravne zmoglji</w:t>
      </w:r>
      <w:r>
        <w:t>vosti za kohezijsko politiko EU. Načrt vsebuje še predstavitev ključnih izvedbenih mehanizmov izvajanja ukrepov in njihovega spremljanja.</w:t>
      </w:r>
      <w:r w:rsidR="00E22BAD">
        <w:rPr>
          <w:rStyle w:val="Sprotnaopomba-sklic"/>
        </w:rPr>
        <w:footnoteReference w:id="1"/>
      </w:r>
    </w:p>
    <w:p w14:paraId="0267D168" w14:textId="2C90B0D1" w:rsidR="00D95EC6" w:rsidRDefault="00D95EC6" w:rsidP="00D95EC6">
      <w:pPr>
        <w:pStyle w:val="Naslov1"/>
        <w:numPr>
          <w:ilvl w:val="0"/>
          <w:numId w:val="38"/>
        </w:numPr>
        <w:jc w:val="both"/>
      </w:pPr>
      <w:bookmarkStart w:id="1" w:name="_Toc192833947"/>
      <w:r w:rsidRPr="00D95EC6">
        <w:t>Uporabljena metodologija za pripravo načrta</w:t>
      </w:r>
      <w:bookmarkEnd w:id="1"/>
    </w:p>
    <w:p w14:paraId="21002B22" w14:textId="14B4B6AF" w:rsidR="00D95EC6" w:rsidRDefault="00413330" w:rsidP="00D95EC6">
      <w:pPr>
        <w:jc w:val="both"/>
      </w:pPr>
      <w:r>
        <w:t>Metodološka izhodišča so smiselno utemeljena na praktični zbirki orodij, ki jih je izdala Evropska komisija</w:t>
      </w:r>
      <w:r>
        <w:rPr>
          <w:rStyle w:val="Sprotnaopomba-sklic"/>
        </w:rPr>
        <w:footnoteReference w:id="2"/>
      </w:r>
      <w:r w:rsidR="00264DBF">
        <w:t>.</w:t>
      </w:r>
      <w:r w:rsidR="00FE342E">
        <w:t xml:space="preserve"> </w:t>
      </w:r>
      <w:r w:rsidR="00A1588F">
        <w:t>I</w:t>
      </w:r>
      <w:r w:rsidR="00D95EC6">
        <w:t>zhaja</w:t>
      </w:r>
      <w:r w:rsidR="00A1588F">
        <w:t>mo</w:t>
      </w:r>
      <w:r w:rsidR="00D95EC6">
        <w:t xml:space="preserve"> iz </w:t>
      </w:r>
      <w:r w:rsidR="00D95EC6" w:rsidRPr="002D722D">
        <w:t>opredeli</w:t>
      </w:r>
      <w:r w:rsidR="00D95EC6">
        <w:t>tve</w:t>
      </w:r>
      <w:r w:rsidR="00D95EC6" w:rsidRPr="002D722D">
        <w:t xml:space="preserve"> </w:t>
      </w:r>
      <w:r w:rsidR="00D95EC6">
        <w:t xml:space="preserve">prednosti in </w:t>
      </w:r>
      <w:r w:rsidR="00D95EC6" w:rsidRPr="002D722D">
        <w:t xml:space="preserve">pomanjkljivosti ter s tem </w:t>
      </w:r>
      <w:r w:rsidR="00A1588F" w:rsidRPr="002D722D">
        <w:t>povezan</w:t>
      </w:r>
      <w:r w:rsidR="00A1588F">
        <w:t>ih</w:t>
      </w:r>
      <w:r w:rsidR="00A1588F" w:rsidRPr="002D722D">
        <w:t xml:space="preserve"> ukrep</w:t>
      </w:r>
      <w:r w:rsidR="00A1588F">
        <w:t>ov</w:t>
      </w:r>
      <w:r w:rsidR="00A1588F" w:rsidRPr="002D722D">
        <w:t xml:space="preserve"> </w:t>
      </w:r>
      <w:r w:rsidR="00D95EC6" w:rsidRPr="002D722D">
        <w:t xml:space="preserve">za krepitev dobrega upravljanja in upravne zmogljivosti za kohezijsko politiko EU </w:t>
      </w:r>
      <w:r w:rsidR="00D95EC6">
        <w:t>glede na ključna področja</w:t>
      </w:r>
      <w:r w:rsidR="00264DBF">
        <w:t xml:space="preserve"> izzivov</w:t>
      </w:r>
      <w:r w:rsidR="009F3406">
        <w:t xml:space="preserve">, </w:t>
      </w:r>
      <w:r w:rsidR="009C05EF">
        <w:t>ki smo jih smiselno prilagodili v tri stebre</w:t>
      </w:r>
      <w:r w:rsidR="00FE342E">
        <w:t>.</w:t>
      </w:r>
    </w:p>
    <w:p w14:paraId="666FCB6B" w14:textId="329CE4CF" w:rsidR="00E22BAD" w:rsidRPr="0045760A" w:rsidRDefault="00E22BAD" w:rsidP="00E22BAD">
      <w:pPr>
        <w:jc w:val="both"/>
        <w:rPr>
          <w:b/>
        </w:rPr>
      </w:pPr>
      <w:r w:rsidRPr="0045760A">
        <w:rPr>
          <w:b/>
        </w:rPr>
        <w:t>Steber 1</w:t>
      </w:r>
      <w:r w:rsidR="00DE4D13">
        <w:rPr>
          <w:b/>
        </w:rPr>
        <w:t>:</w:t>
      </w:r>
      <w:r w:rsidRPr="0045760A">
        <w:rPr>
          <w:b/>
        </w:rPr>
        <w:t xml:space="preserve"> Upravljanje ljudi v organizacijski strukturi</w:t>
      </w:r>
    </w:p>
    <w:p w14:paraId="2B9DC05B" w14:textId="28E2A1E0" w:rsidR="00E22BAD" w:rsidRPr="0045760A" w:rsidRDefault="00E22BAD" w:rsidP="00E22BAD">
      <w:pPr>
        <w:pStyle w:val="Odstavekseznama"/>
        <w:numPr>
          <w:ilvl w:val="0"/>
          <w:numId w:val="4"/>
        </w:numPr>
        <w:jc w:val="both"/>
      </w:pPr>
      <w:r w:rsidRPr="0045760A">
        <w:t>strateški pristop za kadrovsko usposabljanje in razvoj</w:t>
      </w:r>
      <w:r w:rsidR="00EA4A1D">
        <w:t xml:space="preserve"> zaposlenih v </w:t>
      </w:r>
      <w:r w:rsidR="008A39B1">
        <w:t>institucijah</w:t>
      </w:r>
      <w:r w:rsidR="00EA4A1D">
        <w:t>, vključenih v izvajanje</w:t>
      </w:r>
    </w:p>
    <w:p w14:paraId="57E91431" w14:textId="1968D290" w:rsidR="00E22BAD" w:rsidRPr="0045760A" w:rsidRDefault="00E22BAD" w:rsidP="00E22BAD">
      <w:pPr>
        <w:pStyle w:val="Odstavekseznama"/>
        <w:numPr>
          <w:ilvl w:val="0"/>
          <w:numId w:val="4"/>
        </w:numPr>
        <w:jc w:val="both"/>
      </w:pPr>
      <w:r w:rsidRPr="0045760A">
        <w:t xml:space="preserve">izboljšanje upravljanja s kompetencami </w:t>
      </w:r>
    </w:p>
    <w:p w14:paraId="23B87A96" w14:textId="77777777" w:rsidR="00E22BAD" w:rsidRPr="0045760A" w:rsidRDefault="00E22BAD" w:rsidP="00E22BAD">
      <w:pPr>
        <w:pStyle w:val="Odstavekseznama"/>
        <w:numPr>
          <w:ilvl w:val="0"/>
          <w:numId w:val="4"/>
        </w:numPr>
        <w:jc w:val="both"/>
      </w:pPr>
      <w:r w:rsidRPr="0045760A">
        <w:t>prožnost zaposlenih z boljšim upravljanjem in mobilnostjo</w:t>
      </w:r>
    </w:p>
    <w:p w14:paraId="78064B6C" w14:textId="13609F1E" w:rsidR="00E22BAD" w:rsidRPr="0045760A" w:rsidRDefault="00E22BAD" w:rsidP="00E22BAD">
      <w:pPr>
        <w:jc w:val="both"/>
        <w:rPr>
          <w:b/>
        </w:rPr>
      </w:pPr>
      <w:r w:rsidRPr="0045760A">
        <w:rPr>
          <w:b/>
        </w:rPr>
        <w:t>Steber 2</w:t>
      </w:r>
      <w:r w:rsidR="00DE4D13">
        <w:rPr>
          <w:b/>
        </w:rPr>
        <w:t>:</w:t>
      </w:r>
      <w:r w:rsidRPr="0045760A">
        <w:rPr>
          <w:b/>
        </w:rPr>
        <w:t xml:space="preserve"> Organizacija, strateško načrtovanje, koordinacija in izvajanje</w:t>
      </w:r>
    </w:p>
    <w:p w14:paraId="1D3BBBE4" w14:textId="17C9AEAE" w:rsidR="00E22BAD" w:rsidRPr="0045760A" w:rsidRDefault="00E22BAD" w:rsidP="00E22BAD">
      <w:pPr>
        <w:pStyle w:val="Odstavekseznama"/>
        <w:numPr>
          <w:ilvl w:val="0"/>
          <w:numId w:val="4"/>
        </w:numPr>
        <w:jc w:val="both"/>
      </w:pPr>
      <w:r w:rsidRPr="0045760A">
        <w:t>strateški</w:t>
      </w:r>
      <w:r w:rsidR="00CB4006">
        <w:t xml:space="preserve"> in vključujoči </w:t>
      </w:r>
      <w:r w:rsidRPr="0045760A">
        <w:t xml:space="preserve">pristop </w:t>
      </w:r>
      <w:r w:rsidR="00CB4006">
        <w:t>pri</w:t>
      </w:r>
      <w:r w:rsidRPr="0045760A">
        <w:t xml:space="preserve"> programiranju</w:t>
      </w:r>
    </w:p>
    <w:p w14:paraId="17A3D76C" w14:textId="77777777" w:rsidR="00E22BAD" w:rsidRPr="0045760A" w:rsidRDefault="00E22BAD" w:rsidP="00E22BAD">
      <w:pPr>
        <w:pStyle w:val="Odstavekseznama"/>
        <w:numPr>
          <w:ilvl w:val="0"/>
          <w:numId w:val="4"/>
        </w:numPr>
        <w:jc w:val="both"/>
      </w:pPr>
      <w:r w:rsidRPr="0045760A">
        <w:t>zagotavljanje ustrezne organizacijske strukture</w:t>
      </w:r>
    </w:p>
    <w:p w14:paraId="038C098E" w14:textId="77777777" w:rsidR="00E22BAD" w:rsidRPr="0045760A" w:rsidRDefault="00E22BAD" w:rsidP="00E22BAD">
      <w:pPr>
        <w:pStyle w:val="Odstavekseznama"/>
        <w:numPr>
          <w:ilvl w:val="0"/>
          <w:numId w:val="4"/>
        </w:numPr>
        <w:jc w:val="both"/>
      </w:pPr>
      <w:r w:rsidRPr="0045760A">
        <w:t xml:space="preserve">strateško upravljanje izvajanja </w:t>
      </w:r>
    </w:p>
    <w:p w14:paraId="215CC36F" w14:textId="51EDFF92" w:rsidR="00CB4006" w:rsidRPr="00CB4006" w:rsidRDefault="00E22BAD" w:rsidP="00F906C6">
      <w:pPr>
        <w:pStyle w:val="Odstavekseznama"/>
        <w:numPr>
          <w:ilvl w:val="0"/>
          <w:numId w:val="4"/>
        </w:numPr>
        <w:jc w:val="both"/>
        <w:rPr>
          <w:b/>
        </w:rPr>
      </w:pPr>
      <w:r w:rsidRPr="0045760A">
        <w:lastRenderedPageBreak/>
        <w:t xml:space="preserve">optimizacija koordinacije in komunikacije </w:t>
      </w:r>
    </w:p>
    <w:p w14:paraId="743AE030" w14:textId="762D810A" w:rsidR="00E22BAD" w:rsidRPr="00CB4006" w:rsidRDefault="00E22BAD" w:rsidP="00CB4006">
      <w:pPr>
        <w:jc w:val="both"/>
        <w:rPr>
          <w:b/>
        </w:rPr>
      </w:pPr>
      <w:r w:rsidRPr="00CB4006">
        <w:rPr>
          <w:b/>
        </w:rPr>
        <w:t>Steber 3</w:t>
      </w:r>
      <w:r w:rsidR="00DE4D13">
        <w:rPr>
          <w:b/>
        </w:rPr>
        <w:t>:</w:t>
      </w:r>
      <w:r w:rsidRPr="00CB4006">
        <w:rPr>
          <w:b/>
        </w:rPr>
        <w:t xml:space="preserve"> </w:t>
      </w:r>
      <w:r w:rsidR="00837797" w:rsidRPr="00CB4006">
        <w:rPr>
          <w:b/>
          <w:bCs/>
        </w:rPr>
        <w:t>Podpora upravičencem in drugim deležnikom</w:t>
      </w:r>
      <w:r w:rsidR="00837797" w:rsidRPr="00CB4006">
        <w:rPr>
          <w:b/>
        </w:rPr>
        <w:t xml:space="preserve"> </w:t>
      </w:r>
    </w:p>
    <w:p w14:paraId="297520B6" w14:textId="67CC3785" w:rsidR="00CB4006" w:rsidRPr="0045760A" w:rsidRDefault="00CB4006" w:rsidP="00CB4006">
      <w:pPr>
        <w:pStyle w:val="Odstavekseznama"/>
        <w:numPr>
          <w:ilvl w:val="0"/>
          <w:numId w:val="4"/>
        </w:numPr>
        <w:jc w:val="both"/>
      </w:pPr>
      <w:r w:rsidRPr="0045760A">
        <w:t xml:space="preserve">aktivno vključevanje </w:t>
      </w:r>
      <w:r>
        <w:t xml:space="preserve">upravičencev in </w:t>
      </w:r>
      <w:r w:rsidRPr="0045760A">
        <w:t>drugih deležnikov</w:t>
      </w:r>
      <w:r w:rsidR="00EA4A1D">
        <w:t xml:space="preserve"> v procese programiranja in izvajanja</w:t>
      </w:r>
    </w:p>
    <w:p w14:paraId="11B79697" w14:textId="422E609C" w:rsidR="00E22BAD" w:rsidRPr="0045760A" w:rsidRDefault="00B20A0B" w:rsidP="00E22BAD">
      <w:pPr>
        <w:pStyle w:val="Odstavekseznama"/>
        <w:numPr>
          <w:ilvl w:val="0"/>
          <w:numId w:val="4"/>
        </w:numPr>
        <w:jc w:val="both"/>
      </w:pPr>
      <w:r>
        <w:t xml:space="preserve">dvig </w:t>
      </w:r>
      <w:r w:rsidR="00E22BAD" w:rsidRPr="0045760A">
        <w:t>kompetenc upravičencev</w:t>
      </w:r>
    </w:p>
    <w:p w14:paraId="1102274C" w14:textId="2CB26E52" w:rsidR="00E22BAD" w:rsidRDefault="00E22BAD" w:rsidP="00E22BAD">
      <w:pPr>
        <w:jc w:val="both"/>
      </w:pPr>
      <w:r>
        <w:t xml:space="preserve">Ljudje so hrbtenica vsake organizacije. Prvi steber se nanaša na </w:t>
      </w:r>
      <w:r w:rsidR="00EA4A1D">
        <w:t>učinkovito upravljanje in</w:t>
      </w:r>
      <w:r>
        <w:t xml:space="preserve"> s tem povezane izzive. Ključni dejavnik uspeha pri upravljanju sredstev je zagotavljanje pravočasne razpoložljivosti izkušenega, usposobljenega in motiviranega osebja. </w:t>
      </w:r>
    </w:p>
    <w:p w14:paraId="1AAA4B14" w14:textId="4758D4F4" w:rsidR="00E22BAD" w:rsidRDefault="00E22BAD" w:rsidP="00E22BAD">
      <w:pPr>
        <w:jc w:val="both"/>
      </w:pPr>
      <w:r w:rsidRPr="001933A6">
        <w:t xml:space="preserve">Organizacijski steber obravnava sisteme, orodja, procese in kulturo, ki morajo biti usklajeni s strateškimi cilji </w:t>
      </w:r>
      <w:r w:rsidR="00B20A0B">
        <w:t>ter</w:t>
      </w:r>
      <w:r w:rsidRPr="001933A6">
        <w:t xml:space="preserve"> podprti z agilnim upravljanjem za učinkovito odločanje. Jasno dodeljene odgovornosti in opredeljeni odnosi med ključnimi organi povečujejo učinkovitost izvajanja programov. Sistemi in orodja, kot so smernice in postopki, prispevajo k boljšemu delovanju in zmanjšujejo tveganja. Prav tako zajema celoten naložbeni cikel, od strate</w:t>
      </w:r>
      <w:r w:rsidR="00EA4A1D">
        <w:t>škega</w:t>
      </w:r>
      <w:r w:rsidRPr="001933A6">
        <w:t xml:space="preserve"> načrtovanja do izvedbe, vključevanja deležnikov ter </w:t>
      </w:r>
      <w:r>
        <w:t xml:space="preserve">spremljanja in </w:t>
      </w:r>
      <w:r w:rsidRPr="001933A6">
        <w:t>vrednotenja.</w:t>
      </w:r>
    </w:p>
    <w:p w14:paraId="120F0826" w14:textId="442530E6" w:rsidR="00E22BAD" w:rsidRDefault="00E22BAD" w:rsidP="00E22BAD">
      <w:pPr>
        <w:jc w:val="both"/>
      </w:pPr>
      <w:r>
        <w:t xml:space="preserve">Tretji steber </w:t>
      </w:r>
      <w:r w:rsidR="00EA4A1D">
        <w:t xml:space="preserve">posebej obravnava upravičence in druge deležnike za </w:t>
      </w:r>
      <w:r>
        <w:t xml:space="preserve"> učinkovito izvajanje kohezijske politike.</w:t>
      </w:r>
    </w:p>
    <w:p w14:paraId="4EBF339B" w14:textId="532C6C5E" w:rsidR="002215DF" w:rsidRDefault="00A1588F" w:rsidP="00724B0E">
      <w:pPr>
        <w:jc w:val="both"/>
      </w:pPr>
      <w:r>
        <w:t>Z</w:t>
      </w:r>
      <w:r w:rsidR="006C2F87">
        <w:t>a opredelitev ukrepov, s katerimi je mogoče odpraviti pomanjkljivosti</w:t>
      </w:r>
      <w:r>
        <w:t>,</w:t>
      </w:r>
      <w:r w:rsidR="006C2F87">
        <w:t xml:space="preserve"> </w:t>
      </w:r>
      <w:r w:rsidR="00925688">
        <w:t xml:space="preserve">smo ob pripravi dokumenta izhajali </w:t>
      </w:r>
      <w:r w:rsidR="006C2F87">
        <w:t>iz treh različnih virov informacij</w:t>
      </w:r>
      <w:r w:rsidR="00925688">
        <w:t xml:space="preserve">, ob njegovi </w:t>
      </w:r>
      <w:r w:rsidR="00B20A0B">
        <w:t>posodobitvi</w:t>
      </w:r>
      <w:r w:rsidR="00925688">
        <w:t xml:space="preserve"> pa </w:t>
      </w:r>
      <w:r w:rsidR="00AB7039">
        <w:t xml:space="preserve">smo uporabili še dodatne vire, ki so </w:t>
      </w:r>
      <w:r w:rsidR="00B20A0B">
        <w:t>navedeni</w:t>
      </w:r>
      <w:r w:rsidR="00AB7039">
        <w:t xml:space="preserve"> v tretjem poglavju. </w:t>
      </w:r>
    </w:p>
    <w:p w14:paraId="182B9D79" w14:textId="39F14CBA" w:rsidR="00D95EC6" w:rsidRPr="00D95EC6" w:rsidRDefault="00830430" w:rsidP="00621ECF">
      <w:pPr>
        <w:pStyle w:val="Naslov1"/>
        <w:numPr>
          <w:ilvl w:val="0"/>
          <w:numId w:val="38"/>
        </w:numPr>
        <w:jc w:val="both"/>
      </w:pPr>
      <w:bookmarkStart w:id="2" w:name="_Toc192833948"/>
      <w:r>
        <w:t xml:space="preserve">Analiza </w:t>
      </w:r>
      <w:r w:rsidR="00D95EC6">
        <w:t>stanj</w:t>
      </w:r>
      <w:r>
        <w:t>a</w:t>
      </w:r>
      <w:bookmarkEnd w:id="2"/>
      <w:r w:rsidR="00D95EC6" w:rsidRPr="00D95EC6">
        <w:t xml:space="preserve"> </w:t>
      </w:r>
    </w:p>
    <w:p w14:paraId="5B7D3E52" w14:textId="30DE3918" w:rsidR="00DB6118" w:rsidRDefault="00DB6118" w:rsidP="00DB6118">
      <w:pPr>
        <w:jc w:val="both"/>
      </w:pPr>
      <w:r>
        <w:t xml:space="preserve">Pred opredelitvijo rešitev in ukrepov je </w:t>
      </w:r>
      <w:r w:rsidR="00947F58">
        <w:t>ključna analiza stanja</w:t>
      </w:r>
      <w:r>
        <w:t xml:space="preserve">. </w:t>
      </w:r>
      <w:r w:rsidR="00947F58">
        <w:t>O</w:t>
      </w:r>
      <w:r w:rsidR="00555395">
        <w:t xml:space="preserve">b pripravi dokumenta </w:t>
      </w:r>
      <w:r>
        <w:t xml:space="preserve">so bile analizirane </w:t>
      </w:r>
      <w:r w:rsidR="004255CE">
        <w:t xml:space="preserve">tri </w:t>
      </w:r>
      <w:r>
        <w:t>različne vrste informacij in podatkov</w:t>
      </w:r>
      <w:r w:rsidR="004255CE">
        <w:t xml:space="preserve"> na podlagi</w:t>
      </w:r>
      <w:r>
        <w:t>:</w:t>
      </w:r>
    </w:p>
    <w:p w14:paraId="6ECCA9A0" w14:textId="77777777" w:rsidR="00DB6118" w:rsidRDefault="00DB6118" w:rsidP="00DB6118">
      <w:pPr>
        <w:pStyle w:val="Odstavekseznama"/>
        <w:numPr>
          <w:ilvl w:val="0"/>
          <w:numId w:val="4"/>
        </w:numPr>
        <w:jc w:val="both"/>
      </w:pPr>
      <w:r>
        <w:t>posebnega v naprej prip</w:t>
      </w:r>
      <w:r w:rsidR="004255CE">
        <w:t>ravljenega vprašalnika OECD</w:t>
      </w:r>
      <w:r w:rsidR="00264DBF">
        <w:rPr>
          <w:rStyle w:val="Sprotnaopomba-sklic"/>
        </w:rPr>
        <w:footnoteReference w:id="3"/>
      </w:r>
      <w:r w:rsidR="004255CE">
        <w:t>,</w:t>
      </w:r>
    </w:p>
    <w:p w14:paraId="3C945729" w14:textId="51684EAC" w:rsidR="00DB6118" w:rsidRDefault="00DB6118" w:rsidP="00DB6118">
      <w:pPr>
        <w:pStyle w:val="Odstavekseznama"/>
        <w:numPr>
          <w:ilvl w:val="0"/>
          <w:numId w:val="4"/>
        </w:numPr>
        <w:jc w:val="both"/>
      </w:pPr>
      <w:r>
        <w:t xml:space="preserve">Poročila o državi - Slovenija 2019, </w:t>
      </w:r>
      <w:r w:rsidR="00541924">
        <w:t>p</w:t>
      </w:r>
      <w:r>
        <w:t>riloge D: Naložbene smernice za financiranje v okviru kohezijske politike v obdobju 2021–2027 za Slovenijo in</w:t>
      </w:r>
    </w:p>
    <w:p w14:paraId="21E09970" w14:textId="0BB6E1FF" w:rsidR="00DB6118" w:rsidRDefault="00DB6118" w:rsidP="00DB6118">
      <w:pPr>
        <w:pStyle w:val="Odstavekseznama"/>
        <w:numPr>
          <w:ilvl w:val="0"/>
          <w:numId w:val="4"/>
        </w:numPr>
        <w:jc w:val="both"/>
      </w:pPr>
      <w:r>
        <w:t>razprav</w:t>
      </w:r>
      <w:r w:rsidR="00EC7338">
        <w:t>e</w:t>
      </w:r>
      <w:r>
        <w:t xml:space="preserve"> z deležniki v pripravi predloga Sporazuma o partnerstvu </w:t>
      </w:r>
      <w:r w:rsidR="00A1588F">
        <w:t xml:space="preserve">med Slovenijo in Evropsko komisijo </w:t>
      </w:r>
      <w:r>
        <w:t>2021</w:t>
      </w:r>
      <w:r w:rsidR="00555395">
        <w:t>–</w:t>
      </w:r>
      <w:r>
        <w:t xml:space="preserve">2027 </w:t>
      </w:r>
      <w:r w:rsidR="004262B4">
        <w:t>ter</w:t>
      </w:r>
      <w:r>
        <w:t xml:space="preserve"> Programa</w:t>
      </w:r>
      <w:r w:rsidR="00A1588F">
        <w:t xml:space="preserve"> </w:t>
      </w:r>
      <w:r w:rsidR="00264DBF">
        <w:t>evropske kohezijske politike</w:t>
      </w:r>
      <w:r>
        <w:t xml:space="preserve"> 2021</w:t>
      </w:r>
      <w:r w:rsidR="00555395">
        <w:t>–</w:t>
      </w:r>
      <w:r>
        <w:t>2027</w:t>
      </w:r>
      <w:r w:rsidR="006C2F87">
        <w:t xml:space="preserve"> (v nadaljevanju: Program)</w:t>
      </w:r>
      <w:r>
        <w:t>.</w:t>
      </w:r>
    </w:p>
    <w:p w14:paraId="6A1D5D33" w14:textId="1DFDA88D" w:rsidR="00947F58" w:rsidRDefault="002D610E" w:rsidP="001E2468">
      <w:pPr>
        <w:jc w:val="both"/>
      </w:pPr>
      <w:r>
        <w:t xml:space="preserve">Poleg </w:t>
      </w:r>
      <w:r w:rsidR="004262B4">
        <w:t>omenjenega</w:t>
      </w:r>
      <w:r>
        <w:t xml:space="preserve"> je </w:t>
      </w:r>
      <w:r w:rsidR="00947F58">
        <w:t xml:space="preserve">bila </w:t>
      </w:r>
      <w:r>
        <w:t xml:space="preserve">analiza stanja in </w:t>
      </w:r>
      <w:r w:rsidR="00947F58">
        <w:t>ukrepov</w:t>
      </w:r>
      <w:r>
        <w:t xml:space="preserve"> oblikovana na podlagi preteklih izkušenj ter priporočil posameznih revizij, vrednotenj</w:t>
      </w:r>
      <w:r w:rsidR="004262B4">
        <w:t xml:space="preserve"> in</w:t>
      </w:r>
      <w:r>
        <w:t xml:space="preserve"> priporočil uporabnikov v preteklih obdobjih.</w:t>
      </w:r>
      <w:r w:rsidR="00555395">
        <w:t xml:space="preserve"> </w:t>
      </w:r>
    </w:p>
    <w:p w14:paraId="406B137C" w14:textId="0C3C19F0" w:rsidR="002D610E" w:rsidRDefault="00555395" w:rsidP="001E2468">
      <w:pPr>
        <w:jc w:val="both"/>
      </w:pPr>
      <w:bookmarkStart w:id="3" w:name="_Hlk193699047"/>
      <w:r>
        <w:t>Ob posodobitvi dokumenta</w:t>
      </w:r>
      <w:r w:rsidR="000A7459">
        <w:t xml:space="preserve"> je organ upravljanja izvedel posvet na temo administrativne usposobljenosti, na katerega so bili vabljeni različni deležniki (med njimi posredniška telesa, razvojne agencije, občine, združenja, člani odbora za spremljanje idr.) ter posebno delavnico na temo priprave kazalnikov. </w:t>
      </w:r>
      <w:r w:rsidR="00133892">
        <w:t>Organ upravljanja je s</w:t>
      </w:r>
      <w:r w:rsidR="006E1DFD">
        <w:t xml:space="preserve">odeloval tudi pri nekaterih aktivnostih v okviru TSI projekta </w:t>
      </w:r>
      <w:proofErr w:type="spellStart"/>
      <w:r w:rsidR="006E1DFD" w:rsidRPr="006E1DFD">
        <w:t>Improve</w:t>
      </w:r>
      <w:proofErr w:type="spellEnd"/>
      <w:r w:rsidR="006E1DFD" w:rsidRPr="006E1DFD">
        <w:t xml:space="preserve"> </w:t>
      </w:r>
      <w:proofErr w:type="spellStart"/>
      <w:r w:rsidR="006E1DFD" w:rsidRPr="006E1DFD">
        <w:t>Efficiency</w:t>
      </w:r>
      <w:proofErr w:type="spellEnd"/>
      <w:r w:rsidR="006E1DFD" w:rsidRPr="006E1DFD">
        <w:t xml:space="preserve"> </w:t>
      </w:r>
      <w:proofErr w:type="spellStart"/>
      <w:r w:rsidR="006E1DFD" w:rsidRPr="006E1DFD">
        <w:t>of</w:t>
      </w:r>
      <w:proofErr w:type="spellEnd"/>
      <w:r w:rsidR="006E1DFD" w:rsidRPr="006E1DFD">
        <w:t xml:space="preserve"> </w:t>
      </w:r>
      <w:proofErr w:type="spellStart"/>
      <w:r w:rsidR="006E1DFD" w:rsidRPr="006E1DFD">
        <w:t>the</w:t>
      </w:r>
      <w:proofErr w:type="spellEnd"/>
      <w:r w:rsidR="006E1DFD" w:rsidRPr="006E1DFD">
        <w:t xml:space="preserve"> ESI </w:t>
      </w:r>
      <w:proofErr w:type="spellStart"/>
      <w:r w:rsidR="006E1DFD" w:rsidRPr="006E1DFD">
        <w:t>Funds</w:t>
      </w:r>
      <w:proofErr w:type="spellEnd"/>
      <w:r w:rsidR="006E1DFD" w:rsidRPr="006E1DFD">
        <w:t xml:space="preserve"> </w:t>
      </w:r>
      <w:proofErr w:type="spellStart"/>
      <w:r w:rsidR="006E1DFD" w:rsidRPr="006E1DFD">
        <w:t>Absorption</w:t>
      </w:r>
      <w:proofErr w:type="spellEnd"/>
      <w:r w:rsidR="006E1DFD" w:rsidRPr="006E1DFD">
        <w:t xml:space="preserve"> </w:t>
      </w:r>
      <w:proofErr w:type="spellStart"/>
      <w:r w:rsidR="006E1DFD" w:rsidRPr="006E1DFD">
        <w:t>Processes</w:t>
      </w:r>
      <w:proofErr w:type="spellEnd"/>
      <w:r w:rsidR="006E1DFD" w:rsidRPr="006E1DFD">
        <w:t xml:space="preserve"> in </w:t>
      </w:r>
      <w:proofErr w:type="spellStart"/>
      <w:r w:rsidR="006E1DFD" w:rsidRPr="006E1DFD">
        <w:t>Slovenia</w:t>
      </w:r>
      <w:proofErr w:type="spellEnd"/>
      <w:r w:rsidR="006E1DFD">
        <w:t>.</w:t>
      </w:r>
      <w:r w:rsidR="006E1DFD" w:rsidRPr="006E1DFD">
        <w:t xml:space="preserve"> </w:t>
      </w:r>
      <w:r w:rsidR="000A7459">
        <w:t xml:space="preserve">Med deležniki je bila </w:t>
      </w:r>
      <w:r>
        <w:t xml:space="preserve">opravljena </w:t>
      </w:r>
      <w:r w:rsidR="000A7459">
        <w:t xml:space="preserve">tudi </w:t>
      </w:r>
      <w:r>
        <w:t xml:space="preserve">anketa o potrebah in željah, </w:t>
      </w:r>
      <w:r w:rsidR="000A7459">
        <w:t xml:space="preserve">posredniška telesa pa so bila dodatno zaprošena za analizo stanja. Vse te aktivnosti so služile </w:t>
      </w:r>
      <w:r>
        <w:t xml:space="preserve">kot vir informacij za </w:t>
      </w:r>
      <w:r w:rsidR="000A7459">
        <w:t>posodobitev dokumenta</w:t>
      </w:r>
      <w:r>
        <w:t xml:space="preserve"> </w:t>
      </w:r>
      <w:r w:rsidR="00947F58">
        <w:t>skupaj z</w:t>
      </w:r>
      <w:r>
        <w:t xml:space="preserve"> ukrep</w:t>
      </w:r>
      <w:r w:rsidR="00947F58">
        <w:t>i</w:t>
      </w:r>
      <w:r w:rsidR="000A7459">
        <w:t xml:space="preserve"> </w:t>
      </w:r>
      <w:r w:rsidR="00947F58">
        <w:t>in</w:t>
      </w:r>
      <w:r w:rsidR="000A7459">
        <w:t xml:space="preserve"> kazalnik</w:t>
      </w:r>
      <w:r w:rsidR="00947F58">
        <w:t>i</w:t>
      </w:r>
      <w:r w:rsidR="000A7459">
        <w:t xml:space="preserve">. </w:t>
      </w:r>
    </w:p>
    <w:p w14:paraId="706DDB75" w14:textId="353F4F38" w:rsidR="003B675C" w:rsidRDefault="003B675C" w:rsidP="00621ECF">
      <w:pPr>
        <w:pStyle w:val="Naslov2"/>
        <w:numPr>
          <w:ilvl w:val="1"/>
          <w:numId w:val="39"/>
        </w:numPr>
        <w:jc w:val="both"/>
      </w:pPr>
      <w:bookmarkStart w:id="4" w:name="_Toc192833949"/>
      <w:bookmarkEnd w:id="3"/>
      <w:r>
        <w:lastRenderedPageBreak/>
        <w:t>Analiza razmer na podlagi vprašalnika OECD</w:t>
      </w:r>
      <w:bookmarkEnd w:id="4"/>
    </w:p>
    <w:p w14:paraId="5FE32B9A" w14:textId="5FF8CE42" w:rsidR="00CD1D22" w:rsidRDefault="002D1CBC" w:rsidP="0045760A">
      <w:pPr>
        <w:jc w:val="both"/>
      </w:pPr>
      <w:r w:rsidRPr="002D1CBC">
        <w:t xml:space="preserve">V prilogi A je na podlagi posebnega vprašalnika OECD za analizo razmer predstavljen opis glavnih izzivov in možnih izboljšav glede na štiri stebre/cilje, ki jih predlaga OECD. Opis vključuje le tiste prakse, pri katerih so bile zaznane pomanjkljivosti ali delna učinkovitost na obravnavanem področju. </w:t>
      </w:r>
      <w:r w:rsidR="003D5BB0">
        <w:t xml:space="preserve">Povzemamo glavne ugotovitve, celotna analiza </w:t>
      </w:r>
      <w:r w:rsidR="004B1F10">
        <w:t xml:space="preserve">pa </w:t>
      </w:r>
      <w:r w:rsidR="003D5BB0">
        <w:t xml:space="preserve">je dostopna v prilogi A. </w:t>
      </w:r>
    </w:p>
    <w:p w14:paraId="25D60059" w14:textId="0671A3F8" w:rsidR="003D5BB0" w:rsidRDefault="003D5BB0" w:rsidP="003D5BB0">
      <w:pPr>
        <w:jc w:val="both"/>
      </w:pPr>
      <w:r>
        <w:t xml:space="preserve">Cilj prvega stebra je pritegniti in zaposliti ustrezne kandidate za učinkovito delovanje organa upravljanja. Z različnimi metodami je </w:t>
      </w:r>
      <w:r w:rsidR="00DE4D13">
        <w:t>treba</w:t>
      </w:r>
      <w:r>
        <w:t xml:space="preserve"> razviti </w:t>
      </w:r>
      <w:r w:rsidR="00737B1E">
        <w:t xml:space="preserve">in kasneje tudi nadgrajevati model tehničnih in vodstvenih kompetenc, pomembnih za upravljanje evropskih sredstev. </w:t>
      </w:r>
      <w:r>
        <w:t xml:space="preserve">Vzpostaviti je treba strateški pristop k učenju in razvoju, ki omogoča učinkovito upravljanje evropskih sredstev ter omogoča zaposlenim, da so opremljeni s potrebnimi </w:t>
      </w:r>
      <w:r w:rsidR="00737B1E">
        <w:t xml:space="preserve">znanji, </w:t>
      </w:r>
      <w:r>
        <w:t xml:space="preserve">spretnostmi in </w:t>
      </w:r>
      <w:r w:rsidR="00737B1E">
        <w:t xml:space="preserve">vedenji </w:t>
      </w:r>
      <w:r>
        <w:t xml:space="preserve">za dosego ciljev. Na ta način se vzpostavlja tudi stalno izboljševanje zmogljivosti organizacije. Poleg omenjenega je treba vzpostaviti sistem, ki zaposlene motivira. Uspešni zaposleni so nagrajeni (npr. s posebnimi usposabljanji ali finančnimi spodbudami), hkrati pa so možni tudi </w:t>
      </w:r>
      <w:r w:rsidR="00737B1E">
        <w:t xml:space="preserve">drugi </w:t>
      </w:r>
      <w:r>
        <w:t>ukrepi  kot npr. mentorstvo</w:t>
      </w:r>
      <w:r w:rsidR="00737B1E">
        <w:t xml:space="preserve"> ali</w:t>
      </w:r>
      <w:r>
        <w:t xml:space="preserve"> </w:t>
      </w:r>
      <w:r w:rsidR="00737B1E">
        <w:t xml:space="preserve">dodatno </w:t>
      </w:r>
      <w:r>
        <w:t>usposabljanje</w:t>
      </w:r>
      <w:r w:rsidR="00737B1E">
        <w:t>, v skrajnem primeru pa</w:t>
      </w:r>
      <w:r>
        <w:t xml:space="preserve"> celo odpoved. </w:t>
      </w:r>
    </w:p>
    <w:p w14:paraId="1DD81C18" w14:textId="50AC19F7" w:rsidR="003D5BB0" w:rsidRDefault="003D5BB0" w:rsidP="003D5BB0">
      <w:pPr>
        <w:jc w:val="both"/>
      </w:pPr>
      <w:r>
        <w:t xml:space="preserve">V okviru drugega in tretjega stebra je ugotovljeno, da upravljavski organi delujejo v kompleksnem in večplastnem okolju, zato morajo organizacijske strukture zagotavljati jasno </w:t>
      </w:r>
      <w:r w:rsidR="00623BB0">
        <w:t>podajanje navodil</w:t>
      </w:r>
      <w:r>
        <w:t xml:space="preserve"> in </w:t>
      </w:r>
      <w:r w:rsidR="00623BB0">
        <w:t xml:space="preserve">zagotavljanje </w:t>
      </w:r>
      <w:r>
        <w:t xml:space="preserve">odgovornosti pri sprejemanju odločitev. Organizacija mora biti dovolj fleksibilna, da omogoča ponovno dodeljevanje virov, kadar je to potrebno, in upošteva mnenja različnih notranjih in zunanjih deležnikov. Organizacijsko strukturo je treba redno (npr. pred začetkom vsakega programskega obdobja) pregledati in ustrezno prilagoditi oz. posodobiti. Sistemi, protokoli in procesi, podprti z IT sistemi, lahko pomagajo zaposlenim pri boljšem sodelovanju in sprejemanju ključnih odločitev. Organizacija mora zagotavljati tudi ustrezne kanale za proaktivno in ažurno izmenjavo izkušenj, informacij, dobrih praks, ipd., ne samo med zaposlenimi znotraj organizacije, pač pa tudi med različnimi deležniki oz. organizacijami, ki sodelujejo v procesih izvajanja in </w:t>
      </w:r>
      <w:r w:rsidR="009539DC">
        <w:t>koriščenja</w:t>
      </w:r>
      <w:r>
        <w:t xml:space="preserve"> evropskih sredstev. Take informacije so npr. zakonodajne spremembe, pravilniki, navodila, primeri dobrih praks, ipd. </w:t>
      </w:r>
    </w:p>
    <w:p w14:paraId="06BA7C52" w14:textId="77777777" w:rsidR="003D5BB0" w:rsidRDefault="003D5BB0" w:rsidP="003D5BB0">
      <w:pPr>
        <w:jc w:val="both"/>
      </w:pPr>
      <w:r>
        <w:t xml:space="preserve">Zagotoviti je torej treba učinkovito koordinacijo med notranjimi in zunanjimi deležniki v vseh fazah izvajanja programov. Poudarek je na uporabi formalnih in neformalnih mehanizmov in ukrepov za koordinacijo ter redna in pravočasna izmenjava informacij med različnimi deležniki. Poleg tega je pomembno tudi zbiranje povratnih informacij od deležnikov za izboljšanje učinkovitosti koordinacijskih mehanizmov in vzpostavitev formalnih mehanizmov dialoga, kot so npr. tematske mreže in delovne skupine, za povezovanje različnih deležnikov. </w:t>
      </w:r>
    </w:p>
    <w:p w14:paraId="7CCB7F0D" w14:textId="1F49F3A1" w:rsidR="003D5BB0" w:rsidRDefault="003D5BB0" w:rsidP="0045760A">
      <w:pPr>
        <w:jc w:val="both"/>
      </w:pPr>
      <w:r>
        <w:t>Pri četrtem stebru je ugotovljeno, da je pomembna uporaba različnih orodij in platform za izmenjavo informacij za prejemnike sredstev, vključno z fizičnimi omrežji in spletnimi platformami. Redno je treba deliti informacije o izvajanju programa s prejemniki (npr. četrtletno) ter aktivno spodbujati izmenjavo informacij med prejemniki sredstev o skupnih izzivih in dobrih praksah pri izvajanju programa (npr. z organizacijo mehanizmov, kot so redne delavnice</w:t>
      </w:r>
      <w:r w:rsidR="004B1F10">
        <w:t>, medresorske delovne skupine, srečanja med različnimi deležniki itd.</w:t>
      </w:r>
      <w:r>
        <w:t xml:space="preserve">). Eden od elementov je tudi aktivno posvetovanje z različnimi strokovnimi organizacijami (npr. svetovalci, gospodarskimi zbornicami itd.) za podporo dejavnostim krepitve kapacitet prejemnikov sredstev. Priporoča se redno zbiranje potreb različnih zunanjih deležnikov (poleg prejemnikov programa) npr. preko anket, raziskav, fokusnih skupin itd., ki lahko pripomorejo k organiziranju </w:t>
      </w:r>
      <w:r w:rsidRPr="009C69DE">
        <w:t>ustreznih</w:t>
      </w:r>
      <w:r>
        <w:t xml:space="preserve"> izobraževanj oz. sprejemanju ustreznih ukrepov, ne samo</w:t>
      </w:r>
      <w:r w:rsidR="00DE4D13">
        <w:t xml:space="preserve"> </w:t>
      </w:r>
      <w:r>
        <w:t>za krepitev kompetenc</w:t>
      </w:r>
      <w:r w:rsidRPr="00541924">
        <w:t xml:space="preserve">, </w:t>
      </w:r>
      <w:r w:rsidR="009C69DE" w:rsidRPr="00541924">
        <w:t>temveč</w:t>
      </w:r>
      <w:r w:rsidRPr="00541924">
        <w:t xml:space="preserve"> </w:t>
      </w:r>
      <w:r>
        <w:t xml:space="preserve"> tudi</w:t>
      </w:r>
      <w:r w:rsidR="00DE4D13">
        <w:t xml:space="preserve"> za boljše</w:t>
      </w:r>
      <w:r>
        <w:t xml:space="preserve"> izvajanj</w:t>
      </w:r>
      <w:r w:rsidR="00DE4D13">
        <w:t>e</w:t>
      </w:r>
      <w:r>
        <w:t xml:space="preserve"> procesa evropske kohezijske politike. </w:t>
      </w:r>
    </w:p>
    <w:p w14:paraId="290C8C56" w14:textId="4BCBE8EE" w:rsidR="004255CE" w:rsidRPr="004255CE" w:rsidRDefault="004255CE" w:rsidP="00621ECF">
      <w:pPr>
        <w:pStyle w:val="Naslov2"/>
        <w:numPr>
          <w:ilvl w:val="1"/>
          <w:numId w:val="39"/>
        </w:numPr>
        <w:jc w:val="both"/>
      </w:pPr>
      <w:bookmarkStart w:id="5" w:name="_Toc192833950"/>
      <w:r>
        <w:lastRenderedPageBreak/>
        <w:t xml:space="preserve">Analiza razmer na podlagi </w:t>
      </w:r>
      <w:r w:rsidRPr="004255CE">
        <w:t>Poročila o državi - Slovenija 2019, Priloge D: Naložbene smernice za financiranje v okviru kohezijske politike v obdobju 2021–2027 za Slovenijo</w:t>
      </w:r>
      <w:bookmarkEnd w:id="5"/>
    </w:p>
    <w:p w14:paraId="35F00059" w14:textId="7102DE04" w:rsidR="004255CE" w:rsidRDefault="004255CE" w:rsidP="004255CE">
      <w:pPr>
        <w:jc w:val="both"/>
      </w:pPr>
      <w:r>
        <w:t xml:space="preserve">V prilogi D </w:t>
      </w:r>
      <w:r w:rsidRPr="004255CE">
        <w:t>Poročila o državi - Slovenija 2019</w:t>
      </w:r>
      <w:r>
        <w:t xml:space="preserve"> so predstavljena predhodna stališča služb EK o prednostnih področjih za naložbe in okvirni pogoji za učinkovito izvajanje kohezijske politike za obdobje 2021–2027. Ta priloga je </w:t>
      </w:r>
      <w:r w:rsidR="00D619F9">
        <w:t xml:space="preserve">bila </w:t>
      </w:r>
      <w:r>
        <w:t xml:space="preserve">podlaga za dialog med Slovenijo in službami EK glede načrtovanja </w:t>
      </w:r>
      <w:r w:rsidR="003B1479">
        <w:t>P</w:t>
      </w:r>
      <w:r>
        <w:t>rograma v zvezi s sredstvi kohezijske politike (ESRR, KS in ESS+).</w:t>
      </w:r>
    </w:p>
    <w:p w14:paraId="534A224F" w14:textId="2CB7A51D" w:rsidR="004255CE" w:rsidRDefault="004255CE" w:rsidP="004255CE">
      <w:pPr>
        <w:jc w:val="both"/>
      </w:pPr>
      <w:r>
        <w:t>E</w:t>
      </w:r>
      <w:r w:rsidR="00AB4737">
        <w:t>vropska komisija</w:t>
      </w:r>
      <w:r>
        <w:t xml:space="preserve"> </w:t>
      </w:r>
      <w:r w:rsidR="00AB4737">
        <w:t xml:space="preserve">je </w:t>
      </w:r>
      <w:r>
        <w:t>izposta</w:t>
      </w:r>
      <w:r w:rsidR="00AB4737">
        <w:t xml:space="preserve">vila </w:t>
      </w:r>
      <w:r>
        <w:t>naslednje dejavnike</w:t>
      </w:r>
      <w:r w:rsidRPr="004255CE">
        <w:t xml:space="preserve"> za učinkovito izvajanje kohezijske politike</w:t>
      </w:r>
      <w:r w:rsidR="00EC7338">
        <w:t>, kjer so</w:t>
      </w:r>
      <w:r w:rsidRPr="004255CE">
        <w:t xml:space="preserve"> </w:t>
      </w:r>
      <w:r w:rsidR="00EC7338">
        <w:t>potrebna</w:t>
      </w:r>
      <w:r>
        <w:t xml:space="preserve"> dodatna prizadevanja za povečanje upravne zmogljivos</w:t>
      </w:r>
      <w:r w:rsidR="00EC7338">
        <w:t xml:space="preserve">ti, ki je ključna za učinkovito </w:t>
      </w:r>
      <w:r>
        <w:t>upravljanje in izvajanje skladov</w:t>
      </w:r>
      <w:r w:rsidR="00EC7338">
        <w:t>:</w:t>
      </w:r>
    </w:p>
    <w:p w14:paraId="5E131194" w14:textId="77777777" w:rsidR="00EC7338" w:rsidRDefault="001F4C96" w:rsidP="00EC7338">
      <w:pPr>
        <w:pStyle w:val="Odstavekseznama"/>
        <w:numPr>
          <w:ilvl w:val="0"/>
          <w:numId w:val="9"/>
        </w:numPr>
        <w:jc w:val="both"/>
      </w:pPr>
      <w:r>
        <w:t xml:space="preserve">Močna </w:t>
      </w:r>
      <w:r w:rsidR="00EC7338">
        <w:t>podpora in udeležba socialnih partnerjev, lokalnih organov in drugih javnih organov ter deležnikov, ki so bistveni za učinkovito izvajanje.</w:t>
      </w:r>
    </w:p>
    <w:p w14:paraId="1C9655A7" w14:textId="3B85418D" w:rsidR="00EC7338" w:rsidRDefault="001F4C96" w:rsidP="00EC7338">
      <w:pPr>
        <w:pStyle w:val="Odstavekseznama"/>
        <w:numPr>
          <w:ilvl w:val="0"/>
          <w:numId w:val="9"/>
        </w:numPr>
        <w:jc w:val="both"/>
      </w:pPr>
      <w:r>
        <w:t>O</w:t>
      </w:r>
      <w:r w:rsidR="00EC7338">
        <w:t xml:space="preserve">krepljen dialog in večje zmogljivosti posredniških </w:t>
      </w:r>
      <w:r w:rsidR="00623BB0">
        <w:t xml:space="preserve">teles </w:t>
      </w:r>
      <w:r w:rsidR="00EC7338">
        <w:t xml:space="preserve">in končnih upravičencev za pripravo in izvajanje projektov; osredotočanje na nadaljnje povečevanje upravne zmogljivosti posredniškega </w:t>
      </w:r>
      <w:r w:rsidR="00623BB0">
        <w:t xml:space="preserve"> telesa</w:t>
      </w:r>
      <w:r w:rsidR="00EC7338">
        <w:t>, pristojnega za celostne teritorialne naložbe.</w:t>
      </w:r>
    </w:p>
    <w:p w14:paraId="4E6096F2" w14:textId="77777777" w:rsidR="00EC7338" w:rsidRDefault="001F4C96" w:rsidP="00EC7338">
      <w:pPr>
        <w:pStyle w:val="Odstavekseznama"/>
        <w:numPr>
          <w:ilvl w:val="0"/>
          <w:numId w:val="9"/>
        </w:numPr>
        <w:jc w:val="both"/>
      </w:pPr>
      <w:r>
        <w:t>Z</w:t>
      </w:r>
      <w:r w:rsidR="00EC7338">
        <w:t>manjšanje upravnega bremena, izboljšani in poenostavljeni postopki ter odprava pretiranih zahtev glede dokumentacije in birokracije za predloge projektov.</w:t>
      </w:r>
    </w:p>
    <w:p w14:paraId="6A8BB35A" w14:textId="77777777" w:rsidR="00EC7338" w:rsidRDefault="001F4C96" w:rsidP="00EC7338">
      <w:pPr>
        <w:pStyle w:val="Odstavekseznama"/>
        <w:numPr>
          <w:ilvl w:val="0"/>
          <w:numId w:val="9"/>
        </w:numPr>
        <w:jc w:val="both"/>
      </w:pPr>
      <w:r>
        <w:t>D</w:t>
      </w:r>
      <w:r w:rsidR="00EC7338">
        <w:t>elovanje informacijskih sistemov, da se omogoči ustrezno spremljanje in izvajanje sredstev EU.</w:t>
      </w:r>
    </w:p>
    <w:p w14:paraId="0C6C840D" w14:textId="77777777" w:rsidR="00AD59AB" w:rsidRDefault="00AD59AB" w:rsidP="00EC7338">
      <w:pPr>
        <w:pStyle w:val="Odstavekseznama"/>
        <w:numPr>
          <w:ilvl w:val="0"/>
          <w:numId w:val="9"/>
        </w:numPr>
        <w:jc w:val="both"/>
      </w:pPr>
      <w:r w:rsidRPr="00AD59AB">
        <w:t xml:space="preserve">Večja učinkovitost sistema javnega naročanja z zagotavljanjem vsebinske in informacijske podpore deležnikom, rezultat česar bo izboljšana konkurenca na področju javnega naročanja, zlasti zmanjšanje števila </w:t>
      </w:r>
      <w:proofErr w:type="spellStart"/>
      <w:r w:rsidRPr="00AD59AB">
        <w:t>netransparentnih</w:t>
      </w:r>
      <w:proofErr w:type="spellEnd"/>
      <w:r w:rsidRPr="00AD59AB">
        <w:t xml:space="preserve"> postopkov in deleža postopkov z eno ponudbo</w:t>
      </w:r>
      <w:r>
        <w:t>.</w:t>
      </w:r>
    </w:p>
    <w:p w14:paraId="778FBE3D" w14:textId="77777777" w:rsidR="00EC7338" w:rsidRDefault="001F4C96" w:rsidP="00EC7338">
      <w:pPr>
        <w:pStyle w:val="Odstavekseznama"/>
        <w:numPr>
          <w:ilvl w:val="0"/>
          <w:numId w:val="9"/>
        </w:numPr>
        <w:jc w:val="both"/>
      </w:pPr>
      <w:r>
        <w:t>P</w:t>
      </w:r>
      <w:r w:rsidR="00EC7338">
        <w:t>riprava in izvajanje načrta za krepitev upravne zmogljivosti za učinkovito upravljanje in uporabo sredstev EU.</w:t>
      </w:r>
    </w:p>
    <w:p w14:paraId="60821F7F" w14:textId="77777777" w:rsidR="00EC7338" w:rsidRDefault="001F4C96" w:rsidP="00EC7338">
      <w:pPr>
        <w:pStyle w:val="Odstavekseznama"/>
        <w:numPr>
          <w:ilvl w:val="0"/>
          <w:numId w:val="9"/>
        </w:numPr>
        <w:jc w:val="both"/>
      </w:pPr>
      <w:r>
        <w:t>I</w:t>
      </w:r>
      <w:r w:rsidR="00EC7338">
        <w:t>zboljšani in učinkovitejši ukrepi za preprečevanje in odpravljanje nasprotij interesov, goljufij in korupcije.</w:t>
      </w:r>
    </w:p>
    <w:p w14:paraId="7AFF365B" w14:textId="77777777" w:rsidR="00EC7338" w:rsidRDefault="001F4C96" w:rsidP="00EC7338">
      <w:pPr>
        <w:pStyle w:val="Odstavekseznama"/>
        <w:numPr>
          <w:ilvl w:val="0"/>
          <w:numId w:val="9"/>
        </w:numPr>
        <w:jc w:val="both"/>
      </w:pPr>
      <w:r>
        <w:t>Š</w:t>
      </w:r>
      <w:r w:rsidR="00EC7338">
        <w:t xml:space="preserve">irša uporaba finančnih instrumentov in/ali prispevkov za slovenski razdelek pri skladu </w:t>
      </w:r>
      <w:proofErr w:type="spellStart"/>
      <w:r w:rsidR="00EC7338">
        <w:t>InvestEU</w:t>
      </w:r>
      <w:proofErr w:type="spellEnd"/>
      <w:r w:rsidR="00EC7338">
        <w:t xml:space="preserve"> za dejavnosti, ki ustvarjajo prihodke ali prihranke, tudi z zagotavljanjem sinergij z drugimi skladi EU.</w:t>
      </w:r>
    </w:p>
    <w:p w14:paraId="059D21CE" w14:textId="33F7B057" w:rsidR="009E60E6" w:rsidRDefault="001F4C96" w:rsidP="00EC7338">
      <w:pPr>
        <w:pStyle w:val="Odstavekseznama"/>
        <w:numPr>
          <w:ilvl w:val="0"/>
          <w:numId w:val="9"/>
        </w:numPr>
        <w:jc w:val="both"/>
      </w:pPr>
      <w:r>
        <w:t>U</w:t>
      </w:r>
      <w:r w:rsidR="00EC7338">
        <w:t>poštevanje izkušenj, pridobljenih v okviru različnih pobud, kot sta na primer pobuda za premogovniške regije v tranziciji ali pilotni projekt za regije v industrijski tranziciji, zlasti glede vpliva novih tehnologij, razogljičenja in spodbujanja vključujoče rasti</w:t>
      </w:r>
      <w:r w:rsidR="009E60E6">
        <w:t>.</w:t>
      </w:r>
    </w:p>
    <w:p w14:paraId="2BD53E7D" w14:textId="0E23543B" w:rsidR="00EC7338" w:rsidRDefault="009E60E6" w:rsidP="00FA71AA">
      <w:pPr>
        <w:pStyle w:val="Odstavekseznama"/>
        <w:numPr>
          <w:ilvl w:val="0"/>
          <w:numId w:val="9"/>
        </w:numPr>
        <w:spacing w:after="0"/>
        <w:jc w:val="both"/>
      </w:pPr>
      <w:r>
        <w:t xml:space="preserve">Krepitev usposobljenosti organa upravljanja, posredniških </w:t>
      </w:r>
      <w:r w:rsidR="00623BB0">
        <w:t xml:space="preserve">teles </w:t>
      </w:r>
      <w:r>
        <w:t>in po potrebi drugih deležnikov za izvajanje Listine o temeljnih pravicah in Konvencije Združenih narodov o pravicah invalidov</w:t>
      </w:r>
      <w:r w:rsidR="00EC7338">
        <w:t>.</w:t>
      </w:r>
    </w:p>
    <w:p w14:paraId="6B5B0B29" w14:textId="77777777" w:rsidR="003B1479" w:rsidRDefault="003B1479" w:rsidP="00FA71AA">
      <w:pPr>
        <w:pStyle w:val="Odstavekseznama"/>
        <w:spacing w:after="0"/>
        <w:jc w:val="both"/>
      </w:pPr>
    </w:p>
    <w:p w14:paraId="4148B344" w14:textId="2E04EA97" w:rsidR="00EC7338" w:rsidRDefault="00621ECF" w:rsidP="00B54B20">
      <w:pPr>
        <w:pStyle w:val="Naslov2"/>
        <w:jc w:val="both"/>
      </w:pPr>
      <w:bookmarkStart w:id="6" w:name="_Toc192833951"/>
      <w:r>
        <w:t xml:space="preserve">3.3 </w:t>
      </w:r>
      <w:r w:rsidR="00EC7338">
        <w:t>Analiza razmer na podlagi</w:t>
      </w:r>
      <w:r w:rsidR="00EC7338" w:rsidRPr="00EC7338">
        <w:t xml:space="preserve"> razprave z deležniki v pripravi predloga Sporazuma o partnerstvu 2021</w:t>
      </w:r>
      <w:r w:rsidR="00D619F9">
        <w:t>–</w:t>
      </w:r>
      <w:r w:rsidR="00EC7338" w:rsidRPr="00EC7338">
        <w:t xml:space="preserve">2027 in Programa </w:t>
      </w:r>
      <w:r w:rsidR="00B22886">
        <w:t xml:space="preserve">EKP </w:t>
      </w:r>
      <w:r w:rsidR="00EC7338" w:rsidRPr="00EC7338">
        <w:t>2021</w:t>
      </w:r>
      <w:r w:rsidR="00D619F9">
        <w:t>–</w:t>
      </w:r>
      <w:r w:rsidR="00EC7338" w:rsidRPr="00EC7338">
        <w:t>2027</w:t>
      </w:r>
      <w:bookmarkEnd w:id="6"/>
    </w:p>
    <w:p w14:paraId="59EA0B26" w14:textId="765603EC" w:rsidR="003314D2" w:rsidRPr="003314D2" w:rsidRDefault="00D619F9" w:rsidP="003314D2">
      <w:pPr>
        <w:jc w:val="both"/>
      </w:pPr>
      <w:r>
        <w:t xml:space="preserve"> </w:t>
      </w:r>
      <w:r w:rsidR="003314D2" w:rsidRPr="003314D2">
        <w:t xml:space="preserve">Slovenija namenja veliko pozornosti izvajanju načela partnerstva tako v procesu priprave programskih dokumentov kot v procesu izvajanja. Partnerji so </w:t>
      </w:r>
      <w:r>
        <w:t xml:space="preserve">bili </w:t>
      </w:r>
      <w:r w:rsidR="003314D2" w:rsidRPr="003314D2">
        <w:t xml:space="preserve">v procesu priprave Sporazuma o partnerstvu in </w:t>
      </w:r>
      <w:r w:rsidR="003314D2">
        <w:t>Programa</w:t>
      </w:r>
      <w:r w:rsidR="003314D2" w:rsidRPr="003314D2">
        <w:t xml:space="preserve"> vključeni predvsem v analizo in opredelitev potreb, prednostnih nalog, razporeditev razpoložljivih sredstev in določitev načina izvajanja. Z vključenostjo partnerjev v načrtovanje, izvajanje, nadziranje in ocenjevanje projektov, ki prejemajo sredstva EU, dosegamo, da se sredstva porabljajo tam, kjer so najbolj potrebna in na najboljši možen način, saj so pri snovanju in izvajanju najučinkovitejših investicijskih strategij upoštevani vsi relevantni vidiki.</w:t>
      </w:r>
    </w:p>
    <w:p w14:paraId="02BA973C" w14:textId="73142FF1" w:rsidR="003314D2" w:rsidRPr="00EA2A47" w:rsidRDefault="00310CD6" w:rsidP="004644CD">
      <w:pPr>
        <w:jc w:val="both"/>
      </w:pPr>
      <w:r w:rsidRPr="00EA2A47">
        <w:lastRenderedPageBreak/>
        <w:t xml:space="preserve">V razpravi s partnerji v obdobju od avgusta 2020 do </w:t>
      </w:r>
      <w:r w:rsidR="00D84322">
        <w:t>-konca</w:t>
      </w:r>
      <w:r w:rsidRPr="00EA2A47">
        <w:t xml:space="preserve"> januarja 2022 </w:t>
      </w:r>
      <w:r w:rsidR="001F4C96" w:rsidRPr="00EA2A47">
        <w:t>so bile izpostavljene naslednje pobude za</w:t>
      </w:r>
      <w:r w:rsidR="006E2D06" w:rsidRPr="00EA2A47">
        <w:t xml:space="preserve"> dodatna prizadevanja za povečanje upravne zmogljivosti</w:t>
      </w:r>
      <w:r w:rsidRPr="00EA2A47">
        <w:t xml:space="preserve"> </w:t>
      </w:r>
      <w:r w:rsidR="001F4C96" w:rsidRPr="00EA2A47">
        <w:t xml:space="preserve">(pobude so predstavljene </w:t>
      </w:r>
      <w:r w:rsidR="00D8308B" w:rsidRPr="00EA2A47">
        <w:t>posplošeno in strnjeno</w:t>
      </w:r>
      <w:r w:rsidR="001F4C96" w:rsidRPr="00EA2A47">
        <w:t>)</w:t>
      </w:r>
      <w:r w:rsidR="006E2D06" w:rsidRPr="00EA2A47">
        <w:t>:</w:t>
      </w:r>
    </w:p>
    <w:p w14:paraId="4B4897E3" w14:textId="77777777" w:rsidR="006E2D06" w:rsidRDefault="006E2D06" w:rsidP="006E2D06">
      <w:pPr>
        <w:pStyle w:val="Odstavekseznama"/>
        <w:numPr>
          <w:ilvl w:val="0"/>
          <w:numId w:val="9"/>
        </w:numPr>
        <w:jc w:val="both"/>
      </w:pPr>
      <w:r>
        <w:t xml:space="preserve">krepitev usposobljenosti in zmogljivosti socialnih partnerjev </w:t>
      </w:r>
      <w:r w:rsidR="00D8308B">
        <w:t xml:space="preserve">in nevladnega sektorja </w:t>
      </w:r>
      <w:r>
        <w:t xml:space="preserve">za izvajanje različnih storitev in dejavnosti, </w:t>
      </w:r>
    </w:p>
    <w:p w14:paraId="3AF7B70F" w14:textId="2877DC6C" w:rsidR="00856F8D" w:rsidRDefault="00856F8D" w:rsidP="006E2D06">
      <w:pPr>
        <w:pStyle w:val="Odstavekseznama"/>
        <w:numPr>
          <w:ilvl w:val="0"/>
          <w:numId w:val="9"/>
        </w:numPr>
        <w:jc w:val="both"/>
      </w:pPr>
      <w:r>
        <w:t xml:space="preserve">krepitev usposobljenosti in zmogljivosti </w:t>
      </w:r>
      <w:r w:rsidR="002961AB">
        <w:t xml:space="preserve">mestnih, lokalnih in regionalnih </w:t>
      </w:r>
      <w:r>
        <w:t>organov v izvajan</w:t>
      </w:r>
      <w:r w:rsidR="002961AB">
        <w:t xml:space="preserve">ju </w:t>
      </w:r>
      <w:proofErr w:type="spellStart"/>
      <w:r w:rsidR="002961AB">
        <w:t>t</w:t>
      </w:r>
      <w:r w:rsidR="001F4C96">
        <w:t>.</w:t>
      </w:r>
      <w:r w:rsidR="002961AB">
        <w:t>i</w:t>
      </w:r>
      <w:proofErr w:type="spellEnd"/>
      <w:r w:rsidR="002961AB">
        <w:t>. teritorialnih mehanizmov,</w:t>
      </w:r>
    </w:p>
    <w:p w14:paraId="7DC3716A" w14:textId="574A1199" w:rsidR="00122A54" w:rsidRDefault="00122A54" w:rsidP="00122A54">
      <w:pPr>
        <w:pStyle w:val="Odstavekseznama"/>
        <w:numPr>
          <w:ilvl w:val="0"/>
          <w:numId w:val="9"/>
        </w:numPr>
        <w:jc w:val="both"/>
      </w:pPr>
      <w:r>
        <w:t>krepitev usposobljenosti in zmogljivosti regionalne razvojne agencije oziroma razvojne agencije, ki sodelujeta pri upravljanju in spodbujanju  pravičnega prehoda premogovnih regij,</w:t>
      </w:r>
    </w:p>
    <w:p w14:paraId="4DE2EB10" w14:textId="77777777" w:rsidR="00122A54" w:rsidRPr="0089121B" w:rsidRDefault="00122A54" w:rsidP="00122A54">
      <w:pPr>
        <w:pStyle w:val="Odstavekseznama"/>
        <w:numPr>
          <w:ilvl w:val="0"/>
          <w:numId w:val="9"/>
        </w:numPr>
        <w:jc w:val="both"/>
      </w:pPr>
      <w:r>
        <w:t>krepitev usposobljenosti in zmogljivosti deležnikov, vključenih v pravični prehod premogovnih regij,</w:t>
      </w:r>
    </w:p>
    <w:p w14:paraId="4C3691E4" w14:textId="77777777" w:rsidR="00B85685" w:rsidRDefault="00856F8D" w:rsidP="00B85685">
      <w:pPr>
        <w:pStyle w:val="Odstavekseznama"/>
        <w:numPr>
          <w:ilvl w:val="0"/>
          <w:numId w:val="9"/>
        </w:numPr>
        <w:jc w:val="both"/>
      </w:pPr>
      <w:r>
        <w:t>krepitev faze projektnega načrtovanja, da se prepreči drobitev</w:t>
      </w:r>
      <w:r w:rsidR="00B85685">
        <w:t xml:space="preserve"> sredstev in </w:t>
      </w:r>
      <w:r>
        <w:t>za opredelitev</w:t>
      </w:r>
      <w:r w:rsidR="00B85685">
        <w:t xml:space="preserve"> </w:t>
      </w:r>
      <w:proofErr w:type="spellStart"/>
      <w:r>
        <w:t>t</w:t>
      </w:r>
      <w:r w:rsidR="001F4C96">
        <w:t>.</w:t>
      </w:r>
      <w:r>
        <w:t>i</w:t>
      </w:r>
      <w:proofErr w:type="spellEnd"/>
      <w:r>
        <w:t>. celostnega ukrepanja</w:t>
      </w:r>
      <w:r w:rsidR="00B85685">
        <w:t xml:space="preserve"> pri </w:t>
      </w:r>
      <w:r w:rsidR="002961AB">
        <w:t xml:space="preserve">npr. </w:t>
      </w:r>
      <w:r w:rsidR="00B85685">
        <w:t xml:space="preserve">izvajanju </w:t>
      </w:r>
      <w:r>
        <w:t>teritorialnih pristopov</w:t>
      </w:r>
      <w:r w:rsidR="002961AB">
        <w:t xml:space="preserve"> ali drugih vsebinsko heterogenih področij</w:t>
      </w:r>
      <w:r w:rsidR="00B85685">
        <w:t xml:space="preserve">, ko se vsebina </w:t>
      </w:r>
      <w:r>
        <w:t xml:space="preserve">upravičenosti </w:t>
      </w:r>
      <w:r w:rsidR="00B85685">
        <w:t xml:space="preserve">širi </w:t>
      </w:r>
      <w:r w:rsidR="002961AB">
        <w:t xml:space="preserve">in se </w:t>
      </w:r>
      <w:r w:rsidR="001F4C96">
        <w:t xml:space="preserve">lahko </w:t>
      </w:r>
      <w:r w:rsidR="002961AB">
        <w:t xml:space="preserve">v ukrepanje vključuje </w:t>
      </w:r>
      <w:r>
        <w:t>bistve</w:t>
      </w:r>
      <w:r w:rsidR="002961AB">
        <w:t>no širši krog upravičencev,</w:t>
      </w:r>
    </w:p>
    <w:p w14:paraId="6487B0B1" w14:textId="77777777" w:rsidR="00D8308B" w:rsidRDefault="00D8308B" w:rsidP="00AD59AB">
      <w:pPr>
        <w:pStyle w:val="Odstavekseznama"/>
        <w:numPr>
          <w:ilvl w:val="0"/>
          <w:numId w:val="9"/>
        </w:numPr>
        <w:jc w:val="both"/>
      </w:pPr>
      <w:r>
        <w:t>krepitev kompetenc upravičencev in drugih deležnikov na področju razumevanja specifik izvajanja kohez</w:t>
      </w:r>
      <w:r w:rsidR="00FF2405">
        <w:t>ijske politike (npr. kazalniki)</w:t>
      </w:r>
      <w:r w:rsidR="00AD59AB" w:rsidRPr="00AD59AB">
        <w:t xml:space="preserve"> ter na področju uporabe in izvajanja postopkov javnega naročanja</w:t>
      </w:r>
      <w:r w:rsidR="00FF2405">
        <w:t>,</w:t>
      </w:r>
    </w:p>
    <w:p w14:paraId="619758CF" w14:textId="62F9A974" w:rsidR="00D619F9" w:rsidRDefault="002961AB" w:rsidP="00D619F9">
      <w:pPr>
        <w:pStyle w:val="Odstavekseznama"/>
        <w:numPr>
          <w:ilvl w:val="0"/>
          <w:numId w:val="9"/>
        </w:numPr>
        <w:jc w:val="both"/>
      </w:pPr>
      <w:r>
        <w:t xml:space="preserve">prilagoditev zahtev za upravičence </w:t>
      </w:r>
      <w:r w:rsidRPr="002961AB">
        <w:t xml:space="preserve">v </w:t>
      </w:r>
      <w:r>
        <w:t xml:space="preserve">primeru spremljanja, poročanja in drugih izvedbenih projektnih fazah, ko je lahko </w:t>
      </w:r>
      <w:r w:rsidRPr="002961AB">
        <w:t xml:space="preserve">administrativno breme </w:t>
      </w:r>
      <w:r>
        <w:t>nesorazmerno in mnogokrat</w:t>
      </w:r>
      <w:r w:rsidRPr="002961AB">
        <w:t xml:space="preserve"> preveliko </w:t>
      </w:r>
      <w:r w:rsidR="001F4C96">
        <w:t>glede na</w:t>
      </w:r>
      <w:r>
        <w:t xml:space="preserve"> stopnj</w:t>
      </w:r>
      <w:r w:rsidR="001F4C96">
        <w:t>o</w:t>
      </w:r>
      <w:r>
        <w:t xml:space="preserve"> sofinanciranja z</w:t>
      </w:r>
      <w:r w:rsidRPr="002961AB">
        <w:t>a posamezen projekt</w:t>
      </w:r>
      <w:r w:rsidR="00FF2405">
        <w:t>.</w:t>
      </w:r>
    </w:p>
    <w:p w14:paraId="309E3A00" w14:textId="77777777" w:rsidR="002D1CBC" w:rsidRDefault="002D1CBC" w:rsidP="002D1CBC">
      <w:pPr>
        <w:pStyle w:val="Odstavekseznama"/>
        <w:jc w:val="both"/>
      </w:pPr>
    </w:p>
    <w:p w14:paraId="189CF8F2" w14:textId="1EC812A4" w:rsidR="00D619F9" w:rsidRDefault="00D619F9" w:rsidP="00621ECF">
      <w:pPr>
        <w:pStyle w:val="Naslov2"/>
        <w:numPr>
          <w:ilvl w:val="1"/>
          <w:numId w:val="40"/>
        </w:numPr>
      </w:pPr>
      <w:bookmarkStart w:id="7" w:name="_Toc192833952"/>
      <w:r>
        <w:t xml:space="preserve">Analiza </w:t>
      </w:r>
      <w:r w:rsidR="006E1C79">
        <w:t>razmer na podlagi razprave z deležniki v okviru posveta in delavnice ob posodobitvi dokumenta</w:t>
      </w:r>
      <w:bookmarkEnd w:id="7"/>
      <w:r w:rsidR="003B1479">
        <w:t xml:space="preserve"> </w:t>
      </w:r>
    </w:p>
    <w:p w14:paraId="14FC4CC7" w14:textId="77777777" w:rsidR="003B1479" w:rsidRDefault="006E1C79" w:rsidP="00682C63">
      <w:pPr>
        <w:spacing w:before="240" w:line="240" w:lineRule="atLeast"/>
        <w:jc w:val="both"/>
      </w:pPr>
      <w:r w:rsidRPr="003314D2">
        <w:t xml:space="preserve">Slovenija </w:t>
      </w:r>
      <w:r>
        <w:t>je nadaljevala z izvajanjem</w:t>
      </w:r>
      <w:r w:rsidRPr="003314D2">
        <w:t xml:space="preserve"> načela partnerstva</w:t>
      </w:r>
      <w:r>
        <w:t xml:space="preserve"> tudi ob načrtovani posodobitvi Načrta. </w:t>
      </w:r>
      <w:r w:rsidRPr="00EA2A47">
        <w:t xml:space="preserve">V razpravi s partnerji v obdobju od </w:t>
      </w:r>
      <w:r w:rsidR="000A2EFE">
        <w:t>septembra do konca decembra 2024</w:t>
      </w:r>
      <w:r w:rsidRPr="00EA2A47">
        <w:t xml:space="preserve"> so bile </w:t>
      </w:r>
      <w:r w:rsidR="000A2EFE">
        <w:t xml:space="preserve">predvsem v okviru posveta na temo krepitve administrativne usposobljenosti in delavnice namenjene posodobitvi kazalnikov </w:t>
      </w:r>
      <w:r w:rsidRPr="00EA2A47">
        <w:t>izpostavljene naslednje pobude</w:t>
      </w:r>
      <w:r w:rsidR="000A2EFE">
        <w:t xml:space="preserve">: </w:t>
      </w:r>
    </w:p>
    <w:p w14:paraId="06225979" w14:textId="5135B8B8" w:rsidR="00682C63" w:rsidRPr="00470786" w:rsidRDefault="00682C63" w:rsidP="00682C63">
      <w:pPr>
        <w:spacing w:before="240" w:line="240" w:lineRule="atLeast"/>
        <w:jc w:val="both"/>
      </w:pPr>
      <w:r w:rsidRPr="00470786">
        <w:t>Pomanjkanje osebja in usposabljanje:</w:t>
      </w:r>
    </w:p>
    <w:p w14:paraId="1AF24924" w14:textId="35B821EA" w:rsidR="00682C63" w:rsidRPr="00470786" w:rsidRDefault="00682C63" w:rsidP="00800674">
      <w:pPr>
        <w:pStyle w:val="Odstavekseznama"/>
        <w:numPr>
          <w:ilvl w:val="0"/>
          <w:numId w:val="18"/>
        </w:numPr>
        <w:spacing w:before="240" w:line="240" w:lineRule="atLeast"/>
        <w:jc w:val="both"/>
      </w:pPr>
      <w:r w:rsidRPr="00470786">
        <w:t>Udeleženci opozarjajo na veliko fluktuacijo kadrov in posledično na pomanjkanje usposobljenega in izkušenega osebja, kar ovira vsakodnevno delo in izvajanje ukrepov.</w:t>
      </w:r>
    </w:p>
    <w:p w14:paraId="5BEC995B" w14:textId="77777777" w:rsidR="00682C63" w:rsidRPr="00470786" w:rsidRDefault="00682C63" w:rsidP="00800674">
      <w:pPr>
        <w:pStyle w:val="Odstavekseznama"/>
        <w:numPr>
          <w:ilvl w:val="0"/>
          <w:numId w:val="18"/>
        </w:numPr>
        <w:spacing w:before="240" w:line="240" w:lineRule="atLeast"/>
        <w:jc w:val="both"/>
      </w:pPr>
      <w:r w:rsidRPr="00470786">
        <w:t>Potrebna je sistematična uvedba usposabljanj, ki vključujejo celosten vpogled v kohezijsko politiko, specifična znanja in prilagojene programe za nove zaposlene.</w:t>
      </w:r>
    </w:p>
    <w:p w14:paraId="1EC42981" w14:textId="77777777" w:rsidR="00682C63" w:rsidRPr="00470786" w:rsidRDefault="00682C63" w:rsidP="00800674">
      <w:pPr>
        <w:pStyle w:val="Odstavekseznama"/>
        <w:numPr>
          <w:ilvl w:val="0"/>
          <w:numId w:val="18"/>
        </w:numPr>
        <w:spacing w:before="240" w:line="240" w:lineRule="atLeast"/>
        <w:jc w:val="both"/>
      </w:pPr>
      <w:r w:rsidRPr="00470786">
        <w:t>Usposabljanja morajo zajeti tudi vodstva ministrstev, da bodo bolje razumela procese in odgovornosti.</w:t>
      </w:r>
    </w:p>
    <w:p w14:paraId="6678ED7D" w14:textId="77777777" w:rsidR="00682C63" w:rsidRPr="00470786" w:rsidRDefault="00682C63" w:rsidP="00682C63">
      <w:pPr>
        <w:spacing w:before="240" w:line="240" w:lineRule="atLeast"/>
        <w:jc w:val="both"/>
      </w:pPr>
      <w:r w:rsidRPr="00470786">
        <w:t>Pomanjkanje motivacije in sistema spodbud:</w:t>
      </w:r>
    </w:p>
    <w:p w14:paraId="61DBB279" w14:textId="68802330" w:rsidR="003B1479" w:rsidRPr="00470786" w:rsidRDefault="003B1479" w:rsidP="003B1479">
      <w:pPr>
        <w:pStyle w:val="Odstavekseznama"/>
        <w:numPr>
          <w:ilvl w:val="0"/>
          <w:numId w:val="19"/>
        </w:numPr>
        <w:spacing w:before="240" w:line="240" w:lineRule="atLeast"/>
        <w:jc w:val="both"/>
      </w:pPr>
      <w:r w:rsidRPr="00470786">
        <w:t>Izziv je pomanjkanje sistema spodbud, da bi se ljudje prijavili na delovna mesta v javni upravi.</w:t>
      </w:r>
    </w:p>
    <w:p w14:paraId="3575F4F7" w14:textId="77777777" w:rsidR="00682C63" w:rsidRPr="00470786" w:rsidRDefault="00682C63" w:rsidP="00800674">
      <w:pPr>
        <w:pStyle w:val="Odstavekseznama"/>
        <w:numPr>
          <w:ilvl w:val="0"/>
          <w:numId w:val="19"/>
        </w:numPr>
        <w:spacing w:before="240" w:line="240" w:lineRule="atLeast"/>
        <w:jc w:val="both"/>
      </w:pPr>
      <w:r w:rsidRPr="00470786">
        <w:t>Zaposleni v javni upravi se soočajo z nezadostnimi finančnimi spodbudami, kljub zahtevnejšim nalogam in odgovornostim na področju kohezijske politike.</w:t>
      </w:r>
    </w:p>
    <w:p w14:paraId="094376B5" w14:textId="3ACB5EC4" w:rsidR="00682C63" w:rsidRPr="00470786" w:rsidRDefault="00682C63" w:rsidP="00C067EC">
      <w:pPr>
        <w:pStyle w:val="Odstavekseznama"/>
        <w:numPr>
          <w:ilvl w:val="0"/>
          <w:numId w:val="19"/>
        </w:numPr>
        <w:spacing w:before="240" w:line="240" w:lineRule="atLeast"/>
        <w:jc w:val="both"/>
      </w:pPr>
      <w:r w:rsidRPr="00470786">
        <w:t xml:space="preserve">Udeleženci </w:t>
      </w:r>
      <w:r w:rsidR="006E1C79" w:rsidRPr="00470786">
        <w:t xml:space="preserve">opozarjajo na omejene možnosti nagrajevanja in napredovanja ter </w:t>
      </w:r>
      <w:r w:rsidRPr="00470786">
        <w:t>predlagajo razvoj sistema nagrajevanja, ki bi izboljšal motivacijo in pripomogel k zadržanju obstoječega kadra.</w:t>
      </w:r>
    </w:p>
    <w:p w14:paraId="3A1A95A2" w14:textId="1E2D1F0E" w:rsidR="00C067EC" w:rsidRPr="00470786" w:rsidRDefault="00C067EC" w:rsidP="00800674">
      <w:pPr>
        <w:pStyle w:val="Odstavekseznama"/>
        <w:numPr>
          <w:ilvl w:val="0"/>
          <w:numId w:val="19"/>
        </w:numPr>
        <w:spacing w:before="240" w:line="240" w:lineRule="atLeast"/>
        <w:jc w:val="both"/>
      </w:pPr>
      <w:r w:rsidRPr="00470786">
        <w:t>Izpostavljen je boljši stik z rezultati dela in osredotočenost na učinke projektov, kar bi prispevalo k večji motivaciji zaposlenih ter jim pomagalo bolj jasno prepoznati smisel in vrednost svojega dela.</w:t>
      </w:r>
    </w:p>
    <w:p w14:paraId="7C2DC276" w14:textId="77777777" w:rsidR="00682C63" w:rsidRPr="00470786" w:rsidRDefault="00682C63" w:rsidP="00682C63">
      <w:pPr>
        <w:spacing w:before="240" w:line="240" w:lineRule="atLeast"/>
        <w:jc w:val="both"/>
      </w:pPr>
      <w:r w:rsidRPr="00470786">
        <w:lastRenderedPageBreak/>
        <w:t>Sistematičnost in usklajenost aktivnosti:</w:t>
      </w:r>
    </w:p>
    <w:p w14:paraId="06D5660E" w14:textId="77777777" w:rsidR="00682C63" w:rsidRPr="00470786" w:rsidRDefault="00682C63" w:rsidP="00800674">
      <w:pPr>
        <w:pStyle w:val="Odstavekseznama"/>
        <w:numPr>
          <w:ilvl w:val="0"/>
          <w:numId w:val="20"/>
        </w:numPr>
        <w:spacing w:before="240" w:line="240" w:lineRule="atLeast"/>
        <w:jc w:val="both"/>
      </w:pPr>
      <w:r w:rsidRPr="00470786">
        <w:t>Aktivnosti za krepitev zmogljivosti niso strukturirane, usklajene med ministrstvi in centralno spremljane.</w:t>
      </w:r>
    </w:p>
    <w:p w14:paraId="43B8D864" w14:textId="77777777" w:rsidR="00682C63" w:rsidRPr="00470786" w:rsidRDefault="00682C63" w:rsidP="00800674">
      <w:pPr>
        <w:pStyle w:val="Odstavekseznama"/>
        <w:numPr>
          <w:ilvl w:val="0"/>
          <w:numId w:val="20"/>
        </w:numPr>
        <w:spacing w:before="240" w:line="240" w:lineRule="atLeast"/>
        <w:jc w:val="both"/>
      </w:pPr>
      <w:r w:rsidRPr="00470786">
        <w:t>Potrebno je vzpostaviti sistem spremljanja in vrednotenja z jasnimi orodji za zbiranje podatkov o učinkovitosti in relevantnosti ukrepov.</w:t>
      </w:r>
    </w:p>
    <w:p w14:paraId="1EB68514" w14:textId="77777777" w:rsidR="00682C63" w:rsidRPr="00470786" w:rsidRDefault="00682C63" w:rsidP="00682C63">
      <w:pPr>
        <w:spacing w:before="240" w:line="240" w:lineRule="atLeast"/>
        <w:jc w:val="both"/>
      </w:pPr>
      <w:r w:rsidRPr="00470786">
        <w:t>Jasne usmeritve in kompetenčni modeli:</w:t>
      </w:r>
    </w:p>
    <w:p w14:paraId="5D04BEFA" w14:textId="7E46AAEE" w:rsidR="00682C63" w:rsidRPr="00470786" w:rsidRDefault="00682C63" w:rsidP="00800674">
      <w:pPr>
        <w:pStyle w:val="Odstavekseznama"/>
        <w:numPr>
          <w:ilvl w:val="0"/>
          <w:numId w:val="22"/>
        </w:numPr>
        <w:spacing w:before="240" w:line="240" w:lineRule="atLeast"/>
        <w:jc w:val="both"/>
      </w:pPr>
      <w:r w:rsidRPr="00470786">
        <w:t>Udeleženci si želijo jasnih navodil, poenotenja postopkov in delitve nalog med organi (npr. organ upravljanja, posrednišk</w:t>
      </w:r>
      <w:r w:rsidR="007B7881" w:rsidRPr="00470786">
        <w:t>a telesa</w:t>
      </w:r>
      <w:r w:rsidRPr="00470786">
        <w:t>, Upravn</w:t>
      </w:r>
      <w:r w:rsidR="00FF28E2" w:rsidRPr="00470786">
        <w:t>a</w:t>
      </w:r>
      <w:r w:rsidRPr="00470786">
        <w:t xml:space="preserve"> akademij</w:t>
      </w:r>
      <w:r w:rsidR="00FF28E2" w:rsidRPr="00470786">
        <w:t>a</w:t>
      </w:r>
      <w:r w:rsidRPr="00470786">
        <w:t>).</w:t>
      </w:r>
    </w:p>
    <w:p w14:paraId="76D6DE80" w14:textId="77777777" w:rsidR="002B3CAD" w:rsidRPr="00470786" w:rsidRDefault="00682C63" w:rsidP="002B3CAD">
      <w:pPr>
        <w:pStyle w:val="Odstavekseznama"/>
        <w:numPr>
          <w:ilvl w:val="0"/>
          <w:numId w:val="21"/>
        </w:numPr>
        <w:spacing w:before="240" w:line="240" w:lineRule="atLeast"/>
        <w:jc w:val="both"/>
      </w:pPr>
      <w:r w:rsidRPr="00470786">
        <w:t>Predlagana je izdelava kompetenčnih modelov za specifične naloge (npr. kontrolorji), ki bi omogočili boljši izbor kadrov in usmerjeno usposabljanje.</w:t>
      </w:r>
      <w:r w:rsidR="002B3CAD" w:rsidRPr="00470786">
        <w:t xml:space="preserve"> </w:t>
      </w:r>
    </w:p>
    <w:p w14:paraId="1A1F72C3" w14:textId="6C01653E" w:rsidR="00682C63" w:rsidRPr="00470786" w:rsidRDefault="002B3CAD" w:rsidP="00800674">
      <w:pPr>
        <w:pStyle w:val="Odstavekseznama"/>
        <w:numPr>
          <w:ilvl w:val="0"/>
          <w:numId w:val="21"/>
        </w:numPr>
        <w:spacing w:before="240" w:line="240" w:lineRule="atLeast"/>
        <w:jc w:val="both"/>
      </w:pPr>
      <w:r w:rsidRPr="00470786">
        <w:t xml:space="preserve">Predlagana je ustanovitev Akademije Kohezije, ki bi zagotavljala izobraževanja in služila kot </w:t>
      </w:r>
      <w:proofErr w:type="spellStart"/>
      <w:r w:rsidRPr="00470786">
        <w:t>repozitorij</w:t>
      </w:r>
      <w:proofErr w:type="spellEnd"/>
      <w:r w:rsidRPr="00470786">
        <w:t xml:space="preserve"> informacij ter znanj za strokovnjake.</w:t>
      </w:r>
    </w:p>
    <w:p w14:paraId="79A67990" w14:textId="67725CC2" w:rsidR="00682C63" w:rsidRPr="00470786" w:rsidRDefault="00682C63" w:rsidP="00682C63">
      <w:pPr>
        <w:spacing w:before="240" w:line="240" w:lineRule="atLeast"/>
        <w:jc w:val="both"/>
      </w:pPr>
      <w:r w:rsidRPr="00470786">
        <w:t>Kazalniki in orodja za zbiranje podatkov:</w:t>
      </w:r>
    </w:p>
    <w:p w14:paraId="6E06ECF7" w14:textId="77777777" w:rsidR="00314D8F" w:rsidRPr="00470786" w:rsidRDefault="002B3CAD" w:rsidP="00314D8F">
      <w:pPr>
        <w:pStyle w:val="Odstavekseznama"/>
        <w:numPr>
          <w:ilvl w:val="0"/>
          <w:numId w:val="23"/>
        </w:numPr>
        <w:spacing w:before="240" w:line="240" w:lineRule="atLeast"/>
        <w:jc w:val="both"/>
      </w:pPr>
      <w:r w:rsidRPr="00470786">
        <w:t xml:space="preserve">Razviti predlogi kazalnikov predstavljajo trdno osnovo za nadaljnje delo, vendar pogosto zahtevajo še jasnejšo kvantifikacijo (kriterije uspešnosti), ki bo določena glede na celostno oceno stanja ob zaključku priprave dokumenta. </w:t>
      </w:r>
    </w:p>
    <w:p w14:paraId="74F544A9" w14:textId="199B187B" w:rsidR="000A2EFE" w:rsidRPr="00470786" w:rsidRDefault="00682C63" w:rsidP="00314D8F">
      <w:pPr>
        <w:pStyle w:val="Odstavekseznama"/>
        <w:numPr>
          <w:ilvl w:val="0"/>
          <w:numId w:val="23"/>
        </w:numPr>
        <w:spacing w:before="240" w:line="240" w:lineRule="atLeast"/>
        <w:jc w:val="both"/>
      </w:pPr>
      <w:r w:rsidRPr="00470786">
        <w:t>Smiselno je uporabiti obstoječa orodja za zbiranje podatkov, dopolnjena z novimi rešitvami za merjenje učinkovitosti izvedenih ukrepov.</w:t>
      </w:r>
    </w:p>
    <w:p w14:paraId="7AF6D912" w14:textId="77777777" w:rsidR="00FF28E2" w:rsidRPr="00314D8F" w:rsidRDefault="00FF28E2" w:rsidP="00630565">
      <w:pPr>
        <w:pStyle w:val="Odstavekseznama"/>
        <w:spacing w:after="0" w:line="240" w:lineRule="atLeast"/>
        <w:jc w:val="both"/>
        <w:rPr>
          <w:rFonts w:eastAsiaTheme="majorEastAsia" w:cstheme="minorHAnsi"/>
          <w:spacing w:val="-10"/>
          <w:kern w:val="28"/>
        </w:rPr>
      </w:pPr>
    </w:p>
    <w:p w14:paraId="7751DF56" w14:textId="7D2DCBC6" w:rsidR="000A2EFE" w:rsidRDefault="000A2EFE" w:rsidP="000A2EFE">
      <w:pPr>
        <w:jc w:val="both"/>
      </w:pPr>
      <w:bookmarkStart w:id="8" w:name="_Toc192833953"/>
      <w:r w:rsidRPr="00800674">
        <w:rPr>
          <w:rStyle w:val="Naslov2Znak"/>
        </w:rPr>
        <w:t>3</w:t>
      </w:r>
      <w:r w:rsidR="009B11C4">
        <w:rPr>
          <w:rStyle w:val="Naslov2Znak"/>
        </w:rPr>
        <w:t>.</w:t>
      </w:r>
      <w:r w:rsidR="00AA3814" w:rsidRPr="00800674">
        <w:rPr>
          <w:rStyle w:val="Naslov2Znak"/>
        </w:rPr>
        <w:t xml:space="preserve">5. </w:t>
      </w:r>
      <w:r w:rsidRPr="00800674">
        <w:rPr>
          <w:rStyle w:val="Naslov2Znak"/>
        </w:rPr>
        <w:t>Analiza razmer na podlagi rezultatov ankete med deležniki o željah in potrebah na področju krepitve administrativne usposobljenosti</w:t>
      </w:r>
      <w:bookmarkEnd w:id="8"/>
      <w:r>
        <w:t xml:space="preserve"> </w:t>
      </w:r>
    </w:p>
    <w:p w14:paraId="66019DC2" w14:textId="533CD5BC" w:rsidR="0045760A" w:rsidRPr="004B34A0" w:rsidRDefault="0045760A" w:rsidP="0045760A">
      <w:pPr>
        <w:jc w:val="both"/>
      </w:pPr>
      <w:r>
        <w:t xml:space="preserve">Organ upravljanja je v novembru 2024 izvedel anketo o željah in potrebah na področju administrativne usposobljenosti z namenom, da dobi vpogled, kaj deležniki, ki sodelujejo v procesu </w:t>
      </w:r>
      <w:r w:rsidR="007B7881">
        <w:t xml:space="preserve">izvajanja </w:t>
      </w:r>
      <w:r>
        <w:t>EKP</w:t>
      </w:r>
      <w:r w:rsidR="007B7881">
        <w:t>,</w:t>
      </w:r>
      <w:r>
        <w:t xml:space="preserve"> najbolj potrebujejo. Anketa je bila posredovana sodelavcem znotraj OU, posredniškim </w:t>
      </w:r>
      <w:r w:rsidR="00623BB0">
        <w:t xml:space="preserve">telesom </w:t>
      </w:r>
      <w:r>
        <w:t xml:space="preserve">s prošnjo za deljenje, kohezijskima regijama in ZMOS-u z enako prošnjo, SPP regijama, članom </w:t>
      </w:r>
      <w:proofErr w:type="spellStart"/>
      <w:r>
        <w:t>OzS</w:t>
      </w:r>
      <w:proofErr w:type="spellEnd"/>
      <w:r>
        <w:t xml:space="preserve"> in vodstvu Direktorata za kakovost na MJU. Anketa je bila objavljena tudi v Viziji koheziji. Z</w:t>
      </w:r>
      <w:r w:rsidRPr="004B34A0">
        <w:t xml:space="preserve">ajemala </w:t>
      </w:r>
      <w:r>
        <w:t xml:space="preserve">je </w:t>
      </w:r>
      <w:r w:rsidRPr="004B34A0">
        <w:t>11 vsebinskih vprašanj in 2 demografski vprašanji, v katerih smo spraševali, kje v strukturi izvajanja so anketirani zaposleni in koliko časa delajo na področju EKP</w:t>
      </w:r>
      <w:r>
        <w:t xml:space="preserve">. </w:t>
      </w:r>
    </w:p>
    <w:p w14:paraId="10160678" w14:textId="77777777" w:rsidR="0045760A" w:rsidRDefault="0045760A" w:rsidP="0045760A">
      <w:pPr>
        <w:jc w:val="both"/>
      </w:pPr>
      <w:r>
        <w:t xml:space="preserve">Če upoštevamo odgovore pri različnih vprašanjih, lahko strnemo nekaj ugotovitev: </w:t>
      </w:r>
    </w:p>
    <w:p w14:paraId="3802DE45" w14:textId="2F974F03" w:rsidR="0045760A" w:rsidRDefault="0045760A" w:rsidP="0045760A">
      <w:pPr>
        <w:pStyle w:val="Odstavekseznama"/>
        <w:numPr>
          <w:ilvl w:val="0"/>
          <w:numId w:val="29"/>
        </w:numPr>
        <w:jc w:val="both"/>
      </w:pPr>
      <w:r>
        <w:t xml:space="preserve">Manjka jasnih navodil, kako uporabljati DNSH, zato si anketiranci želijo poglobiti znanja iz tega področja. </w:t>
      </w:r>
      <w:r w:rsidR="00FF28E2">
        <w:t>Razmišljajo o možnosti</w:t>
      </w:r>
      <w:r>
        <w:t xml:space="preserve">, da se na temo DNSH ustanovi delovno skupino </w:t>
      </w:r>
      <w:r w:rsidR="00FF28E2">
        <w:t>oz.</w:t>
      </w:r>
      <w:r>
        <w:t xml:space="preserve"> koordinacijo. </w:t>
      </w:r>
    </w:p>
    <w:p w14:paraId="6115CB24" w14:textId="5ABEF2D1" w:rsidR="0045760A" w:rsidRDefault="0045760A" w:rsidP="0045760A">
      <w:pPr>
        <w:pStyle w:val="Odstavekseznama"/>
        <w:numPr>
          <w:ilvl w:val="0"/>
          <w:numId w:val="29"/>
        </w:numPr>
        <w:jc w:val="both"/>
      </w:pPr>
      <w:r>
        <w:t>Drugo področje, kjer je zaznati pomanjkanje znanja/izkušenj in se pojavlja želja po dodatnih izobraževanjih/delovnih skupinah/koordinacijah</w:t>
      </w:r>
      <w:r w:rsidR="00FF28E2">
        <w:t>,</w:t>
      </w:r>
      <w:r>
        <w:t xml:space="preserve"> je področje poenostavljenih oblik stroškov. </w:t>
      </w:r>
    </w:p>
    <w:p w14:paraId="1C1F0843" w14:textId="77777777" w:rsidR="0045760A" w:rsidRDefault="0045760A" w:rsidP="0045760A">
      <w:pPr>
        <w:pStyle w:val="Odstavekseznama"/>
        <w:numPr>
          <w:ilvl w:val="0"/>
          <w:numId w:val="29"/>
        </w:numPr>
        <w:jc w:val="both"/>
      </w:pPr>
      <w:r>
        <w:t xml:space="preserve">Glede zakonodaje in predpisov lahko razberemo, da je potreba po bolj poenotenih pravilih/predpisih, ki so med seboj kompatibilni oz. prilagojeni. Npr. usklajenost nacionalne zakonodaje s predpisi EU. </w:t>
      </w:r>
    </w:p>
    <w:p w14:paraId="6D8CA032" w14:textId="7054058D" w:rsidR="0045760A" w:rsidRDefault="0045760A" w:rsidP="0045760A">
      <w:pPr>
        <w:pStyle w:val="Odstavekseznama"/>
        <w:numPr>
          <w:ilvl w:val="0"/>
          <w:numId w:val="29"/>
        </w:numPr>
        <w:jc w:val="both"/>
      </w:pPr>
      <w:r>
        <w:t xml:space="preserve">Iz različnih odgovorov sledi ugotovitev, da je </w:t>
      </w:r>
      <w:r w:rsidR="00FF28E2">
        <w:t xml:space="preserve">treba </w:t>
      </w:r>
      <w:r>
        <w:t xml:space="preserve">poenostaviti postopke na različnih področjih, </w:t>
      </w:r>
      <w:r w:rsidR="00FF28E2">
        <w:t xml:space="preserve">zato da bi ti </w:t>
      </w:r>
      <w:r>
        <w:t>lahko hitreje tekli</w:t>
      </w:r>
      <w:r w:rsidR="00FF28E2">
        <w:t xml:space="preserve"> in</w:t>
      </w:r>
      <w:r>
        <w:t xml:space="preserve"> bi se zmanjšalo administrativno breme. </w:t>
      </w:r>
    </w:p>
    <w:p w14:paraId="46EA7E4C" w14:textId="1B8BC5AD" w:rsidR="0045760A" w:rsidRDefault="0045760A" w:rsidP="0045760A">
      <w:pPr>
        <w:pStyle w:val="Odstavekseznama"/>
        <w:numPr>
          <w:ilvl w:val="0"/>
          <w:numId w:val="29"/>
        </w:numPr>
        <w:jc w:val="both"/>
      </w:pPr>
      <w:r>
        <w:t>Razberemo lahko tudi, da si anketiranci želijo bolj odločne in jasne vloge OU (predvsem v podajanju jasnih navodil, ažurnih informacij, koordinacij</w:t>
      </w:r>
      <w:r w:rsidR="00FF28E2">
        <w:t>i</w:t>
      </w:r>
      <w:r>
        <w:t xml:space="preserve"> med deležniki ipd.) ter tudi </w:t>
      </w:r>
      <w:r w:rsidR="007C5205">
        <w:t xml:space="preserve">več </w:t>
      </w:r>
      <w:r>
        <w:t>usposabljanj s strani OU.</w:t>
      </w:r>
    </w:p>
    <w:p w14:paraId="483B9616" w14:textId="77777777" w:rsidR="00FF28E2" w:rsidRDefault="0045760A" w:rsidP="00FF28E2">
      <w:pPr>
        <w:pStyle w:val="Odstavekseznama"/>
        <w:numPr>
          <w:ilvl w:val="0"/>
          <w:numId w:val="29"/>
        </w:numPr>
        <w:jc w:val="both"/>
      </w:pPr>
      <w:r>
        <w:t xml:space="preserve">Znanja in programi, ki </w:t>
      </w:r>
      <w:r w:rsidR="00FF28E2">
        <w:t xml:space="preserve">bi </w:t>
      </w:r>
      <w:r>
        <w:t>vprašanim lahko olajšali delo</w:t>
      </w:r>
      <w:r w:rsidR="00FF28E2">
        <w:t>,</w:t>
      </w:r>
      <w:r>
        <w:t xml:space="preserve"> se nanašajo predvsem na uporabo programov in aplikacij povezanih z umetno inteligenco. </w:t>
      </w:r>
    </w:p>
    <w:p w14:paraId="2AD1123B" w14:textId="70D27EC0" w:rsidR="009572EF" w:rsidRDefault="0045760A" w:rsidP="00630565">
      <w:pPr>
        <w:pStyle w:val="Odstavekseznama"/>
        <w:numPr>
          <w:ilvl w:val="0"/>
          <w:numId w:val="29"/>
        </w:numPr>
        <w:jc w:val="both"/>
      </w:pPr>
      <w:r>
        <w:lastRenderedPageBreak/>
        <w:t>Anketiranci se zanimajo tudi za izobraževanja v smislu »</w:t>
      </w:r>
      <w:proofErr w:type="spellStart"/>
      <w:r>
        <w:t>train</w:t>
      </w:r>
      <w:proofErr w:type="spellEnd"/>
      <w:r>
        <w:t xml:space="preserve"> </w:t>
      </w:r>
      <w:proofErr w:type="spellStart"/>
      <w:r>
        <w:t>the</w:t>
      </w:r>
      <w:proofErr w:type="spellEnd"/>
      <w:r>
        <w:t xml:space="preserve"> </w:t>
      </w:r>
      <w:proofErr w:type="spellStart"/>
      <w:r>
        <w:t>trainer</w:t>
      </w:r>
      <w:proofErr w:type="spellEnd"/>
      <w:r>
        <w:t xml:space="preserve">«, </w:t>
      </w:r>
      <w:proofErr w:type="spellStart"/>
      <w:r>
        <w:t>teambuildinge</w:t>
      </w:r>
      <w:proofErr w:type="spellEnd"/>
      <w:r>
        <w:t xml:space="preserve"> med organizacijami, izmenjave dobrih praks in oglede projektov (v smislu </w:t>
      </w:r>
      <w:r w:rsidR="007B7881">
        <w:t xml:space="preserve">boljše </w:t>
      </w:r>
      <w:r>
        <w:t xml:space="preserve">povezave z rezultati dela) ter izmenjave med organizacijami. </w:t>
      </w:r>
    </w:p>
    <w:p w14:paraId="6ED31F8D" w14:textId="77777777" w:rsidR="001769FE" w:rsidRDefault="001769FE" w:rsidP="001769FE">
      <w:pPr>
        <w:pStyle w:val="Odstavekseznama"/>
        <w:jc w:val="both"/>
      </w:pPr>
    </w:p>
    <w:p w14:paraId="18B2394F" w14:textId="5E70883A" w:rsidR="00D95EC6" w:rsidRPr="00BA6C46" w:rsidRDefault="00D95EC6" w:rsidP="00B22886">
      <w:pPr>
        <w:pStyle w:val="Naslov1"/>
        <w:numPr>
          <w:ilvl w:val="0"/>
          <w:numId w:val="34"/>
        </w:numPr>
      </w:pPr>
      <w:bookmarkStart w:id="9" w:name="_Toc192833954"/>
      <w:r w:rsidRPr="00BA6C46">
        <w:t>Opredelitev ukrepov</w:t>
      </w:r>
      <w:r w:rsidR="008D09C8">
        <w:t xml:space="preserve"> in kazalnikov</w:t>
      </w:r>
      <w:bookmarkEnd w:id="9"/>
    </w:p>
    <w:p w14:paraId="2A653792" w14:textId="3E2B0A16" w:rsidR="00AC0509" w:rsidRDefault="001129E7" w:rsidP="001129E7">
      <w:pPr>
        <w:jc w:val="both"/>
        <w:rPr>
          <w:bCs/>
        </w:rPr>
      </w:pPr>
      <w:r>
        <w:t xml:space="preserve">Na podlagi </w:t>
      </w:r>
      <w:r w:rsidR="00652BC6">
        <w:t xml:space="preserve">opravljene </w:t>
      </w:r>
      <w:r w:rsidR="00285101">
        <w:t xml:space="preserve">dodatne </w:t>
      </w:r>
      <w:r w:rsidR="00652BC6">
        <w:t xml:space="preserve">analize </w:t>
      </w:r>
      <w:r w:rsidR="00CD1D22">
        <w:t xml:space="preserve">je </w:t>
      </w:r>
      <w:r w:rsidR="00652BC6">
        <w:t xml:space="preserve">posodobljen </w:t>
      </w:r>
      <w:r w:rsidR="00CD1D22">
        <w:t xml:space="preserve">nabor različnih možnosti za podpiranje </w:t>
      </w:r>
      <w:r>
        <w:t>krepitve upravnih zmogljivosti.</w:t>
      </w:r>
      <w:r w:rsidR="00CD1D22">
        <w:t xml:space="preserve"> </w:t>
      </w:r>
      <w:r w:rsidR="000C6BFD">
        <w:rPr>
          <w:bCs/>
        </w:rPr>
        <w:t>K</w:t>
      </w:r>
      <w:r w:rsidR="000C6BFD" w:rsidRPr="00B22B59">
        <w:rPr>
          <w:bCs/>
        </w:rPr>
        <w:t>ljučni ukrepi, ki vključujejo razvoj ustreznih struktur, sistemov in človeških virov</w:t>
      </w:r>
      <w:r w:rsidR="00285101">
        <w:rPr>
          <w:bCs/>
        </w:rPr>
        <w:t>,</w:t>
      </w:r>
      <w:r w:rsidR="000C6BFD">
        <w:rPr>
          <w:bCs/>
        </w:rPr>
        <w:t xml:space="preserve"> so</w:t>
      </w:r>
      <w:r w:rsidR="000C6BFD" w:rsidRPr="00B22B59">
        <w:rPr>
          <w:bCs/>
        </w:rPr>
        <w:t xml:space="preserve"> zasnovani za izboljšanje učinkovitosti, preglednosti in usklajenosti pri izvajanju politik in programov povezanih z evropskimi s</w:t>
      </w:r>
      <w:r w:rsidR="00285101">
        <w:rPr>
          <w:bCs/>
        </w:rPr>
        <w:t>redstvi</w:t>
      </w:r>
      <w:r w:rsidR="000C6BFD" w:rsidRPr="00B22B59">
        <w:rPr>
          <w:bCs/>
        </w:rPr>
        <w:t>.</w:t>
      </w:r>
    </w:p>
    <w:p w14:paraId="7270440E" w14:textId="38D5FD24" w:rsidR="00AC0509" w:rsidRPr="00314D8F" w:rsidRDefault="00B54B20" w:rsidP="00B54B20">
      <w:pPr>
        <w:pStyle w:val="Naslov2"/>
      </w:pPr>
      <w:bookmarkStart w:id="10" w:name="_Toc192833955"/>
      <w:r>
        <w:t xml:space="preserve">4.1 </w:t>
      </w:r>
      <w:r w:rsidR="00AC0509" w:rsidRPr="00314D8F">
        <w:t>Ukrepi</w:t>
      </w:r>
      <w:r w:rsidR="00AC0509">
        <w:t xml:space="preserve"> in aktivnosti za krepitev upravnih zmogljivosti</w:t>
      </w:r>
      <w:bookmarkEnd w:id="10"/>
    </w:p>
    <w:p w14:paraId="62051D98" w14:textId="0811B8A7" w:rsidR="00D61EF8" w:rsidRDefault="00AC0509" w:rsidP="00465EFC">
      <w:pPr>
        <w:jc w:val="both"/>
      </w:pPr>
      <w:r>
        <w:t xml:space="preserve">Ukrepi so razdeljeni na tri stebre, ki so opisani v 2. poglavju in jih še enkrat povzemamo: </w:t>
      </w:r>
    </w:p>
    <w:tbl>
      <w:tblPr>
        <w:tblStyle w:val="Tabelamrea"/>
        <w:tblW w:w="0" w:type="auto"/>
        <w:tblLook w:val="04A0" w:firstRow="1" w:lastRow="0" w:firstColumn="1" w:lastColumn="0" w:noHBand="0" w:noVBand="1"/>
      </w:tblPr>
      <w:tblGrid>
        <w:gridCol w:w="4531"/>
        <w:gridCol w:w="4531"/>
      </w:tblGrid>
      <w:tr w:rsidR="00D61EF8" w:rsidRPr="00D61EF8" w14:paraId="11D220F2" w14:textId="77777777" w:rsidTr="00D61EF8">
        <w:tc>
          <w:tcPr>
            <w:tcW w:w="4531" w:type="dxa"/>
          </w:tcPr>
          <w:p w14:paraId="794D3AFD" w14:textId="77777777" w:rsidR="00D61EF8" w:rsidRPr="00D61EF8" w:rsidRDefault="00D61EF8" w:rsidP="00D61EF8">
            <w:pPr>
              <w:jc w:val="center"/>
              <w:rPr>
                <w:rFonts w:eastAsia="Times New Roman" w:cstheme="minorHAnsi"/>
                <w:b/>
                <w:bCs/>
                <w:color w:val="000000"/>
                <w:lang w:eastAsia="sl-SI"/>
              </w:rPr>
            </w:pPr>
            <w:r w:rsidRPr="00D61EF8">
              <w:rPr>
                <w:rFonts w:eastAsia="Times New Roman" w:cstheme="minorHAnsi"/>
                <w:b/>
                <w:bCs/>
                <w:color w:val="000000"/>
                <w:lang w:eastAsia="sl-SI"/>
              </w:rPr>
              <w:t>Steber</w:t>
            </w:r>
          </w:p>
        </w:tc>
        <w:tc>
          <w:tcPr>
            <w:tcW w:w="4531" w:type="dxa"/>
          </w:tcPr>
          <w:p w14:paraId="22DCF5E5" w14:textId="77777777" w:rsidR="00D61EF8" w:rsidRPr="00D61EF8" w:rsidRDefault="00D61EF8" w:rsidP="00D61EF8">
            <w:pPr>
              <w:jc w:val="center"/>
              <w:rPr>
                <w:rFonts w:eastAsia="Times New Roman" w:cstheme="minorHAnsi"/>
                <w:b/>
                <w:bCs/>
                <w:color w:val="000000"/>
                <w:lang w:eastAsia="sl-SI"/>
              </w:rPr>
            </w:pPr>
            <w:r w:rsidRPr="00D61EF8">
              <w:rPr>
                <w:rFonts w:eastAsia="Times New Roman" w:cstheme="minorHAnsi"/>
                <w:b/>
                <w:bCs/>
                <w:color w:val="000000"/>
                <w:lang w:eastAsia="sl-SI"/>
              </w:rPr>
              <w:t>Cilj</w:t>
            </w:r>
          </w:p>
        </w:tc>
      </w:tr>
      <w:tr w:rsidR="00D61EF8" w14:paraId="2427F9C0" w14:textId="77777777" w:rsidTr="00D61EF8">
        <w:tc>
          <w:tcPr>
            <w:tcW w:w="4531" w:type="dxa"/>
          </w:tcPr>
          <w:p w14:paraId="454693B8" w14:textId="7633A713" w:rsidR="00D61EF8" w:rsidRDefault="00D61EF8" w:rsidP="00465EFC">
            <w:pPr>
              <w:jc w:val="both"/>
            </w:pPr>
            <w:r w:rsidRPr="00D61EF8">
              <w:t xml:space="preserve">Upravljanje ljudi </w:t>
            </w:r>
            <w:r w:rsidR="00F92535">
              <w:t>v organizacijski strukturi</w:t>
            </w:r>
          </w:p>
        </w:tc>
        <w:tc>
          <w:tcPr>
            <w:tcW w:w="4531" w:type="dxa"/>
          </w:tcPr>
          <w:p w14:paraId="3F9DCF56" w14:textId="470FC57D" w:rsidR="00D61EF8" w:rsidRDefault="00D61EF8" w:rsidP="00465EFC">
            <w:pPr>
              <w:jc w:val="both"/>
            </w:pPr>
            <w:r>
              <w:t>Zagotovitev izkušenega, usposobljenega in motiviranega osebja</w:t>
            </w:r>
            <w:r w:rsidR="00652BC6">
              <w:t>.</w:t>
            </w:r>
          </w:p>
        </w:tc>
      </w:tr>
      <w:tr w:rsidR="00D61EF8" w14:paraId="23285E39" w14:textId="77777777" w:rsidTr="00D61EF8">
        <w:tc>
          <w:tcPr>
            <w:tcW w:w="4531" w:type="dxa"/>
          </w:tcPr>
          <w:p w14:paraId="12B44972" w14:textId="369D7F63" w:rsidR="00D61EF8" w:rsidRDefault="00F92535" w:rsidP="00465EFC">
            <w:pPr>
              <w:jc w:val="both"/>
            </w:pPr>
            <w:r>
              <w:t>Organizacija, s</w:t>
            </w:r>
            <w:r w:rsidR="00D61EF8" w:rsidRPr="00D61EF8">
              <w:t>trateško načrtovanje, koordinacija in izvajanje</w:t>
            </w:r>
          </w:p>
        </w:tc>
        <w:tc>
          <w:tcPr>
            <w:tcW w:w="4531" w:type="dxa"/>
          </w:tcPr>
          <w:p w14:paraId="29725B61" w14:textId="10D6730C" w:rsidR="00D61EF8" w:rsidRDefault="00D61EF8" w:rsidP="0021798D">
            <w:pPr>
              <w:jc w:val="both"/>
            </w:pPr>
            <w:r>
              <w:t>Strateška naravnanost</w:t>
            </w:r>
            <w:r w:rsidR="00652BC6">
              <w:t xml:space="preserve"> in učinkovit</w:t>
            </w:r>
            <w:r w:rsidRPr="00FA22B8">
              <w:t xml:space="preserve"> </w:t>
            </w:r>
            <w:r w:rsidR="0003655D">
              <w:t>sistem</w:t>
            </w:r>
            <w:r w:rsidR="0003655D" w:rsidRPr="00FA22B8">
              <w:t xml:space="preserve"> </w:t>
            </w:r>
            <w:r w:rsidRPr="00FA22B8">
              <w:t>izvajanja</w:t>
            </w:r>
            <w:r w:rsidR="00AC0509">
              <w:t xml:space="preserve">. </w:t>
            </w:r>
          </w:p>
        </w:tc>
      </w:tr>
      <w:tr w:rsidR="00D61EF8" w14:paraId="2B941042" w14:textId="77777777" w:rsidTr="00D61EF8">
        <w:tc>
          <w:tcPr>
            <w:tcW w:w="4531" w:type="dxa"/>
          </w:tcPr>
          <w:p w14:paraId="5EB37D35" w14:textId="77777777" w:rsidR="00D61EF8" w:rsidRDefault="00E47BF7" w:rsidP="00E47BF7">
            <w:pPr>
              <w:jc w:val="both"/>
            </w:pPr>
            <w:r>
              <w:t>Podpora u</w:t>
            </w:r>
            <w:r w:rsidR="00D61EF8" w:rsidRPr="00D61EF8">
              <w:t>pravičenc</w:t>
            </w:r>
            <w:r>
              <w:t>em</w:t>
            </w:r>
            <w:r w:rsidR="00D61EF8" w:rsidRPr="00D61EF8">
              <w:t xml:space="preserve"> in drugi</w:t>
            </w:r>
            <w:r>
              <w:t>m</w:t>
            </w:r>
            <w:r w:rsidR="00D61EF8" w:rsidRPr="00D61EF8">
              <w:t xml:space="preserve"> deležnik</w:t>
            </w:r>
            <w:r>
              <w:t>om</w:t>
            </w:r>
          </w:p>
        </w:tc>
        <w:tc>
          <w:tcPr>
            <w:tcW w:w="4531" w:type="dxa"/>
          </w:tcPr>
          <w:p w14:paraId="26D7458E" w14:textId="6CDAB509" w:rsidR="00D61EF8" w:rsidRDefault="00AC0509" w:rsidP="00541924">
            <w:pPr>
              <w:jc w:val="both"/>
            </w:pPr>
            <w:r w:rsidRPr="00AC0509">
              <w:t>Zagotavljanje sistemov in orodij, ki pomagajo zmanjšati izpostavljenost tveganjem</w:t>
            </w:r>
            <w:r>
              <w:t xml:space="preserve"> upravičencev</w:t>
            </w:r>
            <w:r w:rsidRPr="00AC0509">
              <w:t xml:space="preserve"> in drug</w:t>
            </w:r>
            <w:r>
              <w:t>ih</w:t>
            </w:r>
            <w:r w:rsidRPr="00AC0509">
              <w:t xml:space="preserve"> deležnik</w:t>
            </w:r>
            <w:r>
              <w:t xml:space="preserve">ov ter izboljšati njihovo </w:t>
            </w:r>
            <w:r w:rsidRPr="00AC0509">
              <w:t>učinkovitost.</w:t>
            </w:r>
          </w:p>
        </w:tc>
      </w:tr>
    </w:tbl>
    <w:p w14:paraId="06A0A180" w14:textId="0F225D5C" w:rsidR="00CD6C9F" w:rsidRDefault="00CD6C9F" w:rsidP="00CD6C9F">
      <w:pPr>
        <w:jc w:val="both"/>
        <w:rPr>
          <w:bCs/>
        </w:rPr>
      </w:pPr>
    </w:p>
    <w:p w14:paraId="0B4FE31C" w14:textId="70D8DD9A" w:rsidR="00285101" w:rsidRDefault="00285101" w:rsidP="00285101">
      <w:pPr>
        <w:jc w:val="both"/>
        <w:rPr>
          <w:b/>
        </w:rPr>
      </w:pPr>
      <w:r>
        <w:rPr>
          <w:bCs/>
        </w:rPr>
        <w:t xml:space="preserve">V okviru prvega in tretjega stebra, ki se nanašata na človeške vire, bomo zagotovili </w:t>
      </w:r>
      <w:r w:rsidRPr="00800674">
        <w:rPr>
          <w:bCs/>
        </w:rPr>
        <w:t xml:space="preserve">pravočasno razpoložljivost usposobljenega in motiviranega osebja, kar je ključnega pomena za uspešno upravljanje skladov. </w:t>
      </w:r>
      <w:r w:rsidR="004B0502" w:rsidRPr="00800674">
        <w:rPr>
          <w:bCs/>
        </w:rPr>
        <w:t xml:space="preserve">Ključni organi za upravljanje sredstev </w:t>
      </w:r>
      <w:r w:rsidRPr="00800674">
        <w:rPr>
          <w:bCs/>
        </w:rPr>
        <w:t>bodo imeli jasno in celovito kadrovsko strategijo</w:t>
      </w:r>
      <w:r>
        <w:rPr>
          <w:bCs/>
        </w:rPr>
        <w:t xml:space="preserve">. </w:t>
      </w:r>
      <w:r w:rsidRPr="00800674">
        <w:rPr>
          <w:bCs/>
        </w:rPr>
        <w:t xml:space="preserve">Poleg tega bomo izvajali </w:t>
      </w:r>
      <w:r>
        <w:rPr>
          <w:bCs/>
        </w:rPr>
        <w:t>ukrepe</w:t>
      </w:r>
      <w:r w:rsidRPr="00800674">
        <w:rPr>
          <w:bCs/>
        </w:rPr>
        <w:t xml:space="preserve"> za odpravljanje vrzeli v usposobljenosti, omogočili mobilnost in prožnost </w:t>
      </w:r>
      <w:r>
        <w:rPr>
          <w:bCs/>
        </w:rPr>
        <w:t xml:space="preserve">kadrov </w:t>
      </w:r>
      <w:r w:rsidRPr="00800674">
        <w:rPr>
          <w:bCs/>
        </w:rPr>
        <w:t>ter zagotavljali ustrezno strokovno usposabljanje in razvoj kompetenc.</w:t>
      </w:r>
      <w:r>
        <w:rPr>
          <w:bCs/>
        </w:rPr>
        <w:t xml:space="preserve"> </w:t>
      </w:r>
    </w:p>
    <w:p w14:paraId="1C0D0531" w14:textId="6AEE7B52" w:rsidR="00B22B59" w:rsidRPr="00800674" w:rsidRDefault="00F92535" w:rsidP="00B22B59">
      <w:pPr>
        <w:jc w:val="both"/>
        <w:rPr>
          <w:bCs/>
        </w:rPr>
      </w:pPr>
      <w:r>
        <w:rPr>
          <w:bCs/>
        </w:rPr>
        <w:t xml:space="preserve">V okviru organizacije in strateškega načrtovanja </w:t>
      </w:r>
      <w:r w:rsidR="006A0186">
        <w:rPr>
          <w:bCs/>
        </w:rPr>
        <w:t xml:space="preserve">bomo razvili </w:t>
      </w:r>
      <w:r w:rsidR="00B22B59" w:rsidRPr="00800674">
        <w:rPr>
          <w:bCs/>
        </w:rPr>
        <w:t>dobro zasnovano organizacijsko strukturo, ki bo podpirala oblikovanje in izvajanje politik ter omogočala uspešno delovanje javnih institucij. Ključni organi za upravljanje sredstev bodo imeli jasno opredeljene institucionalne in regulativne okvire, odgovornosti in naloge. Zagotovili bomo preprosto, pregledno in usklajeno organizacijsko strukturo, ki bo omogočala učinkovito izvajanje nalog in prilagodljivost na spreminjajoče se okoliščine. Vzpostavili bomo učinkovite mehanizme usklajevanja in komunikacije med različnimi strukturami.</w:t>
      </w:r>
    </w:p>
    <w:p w14:paraId="49447D75" w14:textId="15FFFD41" w:rsidR="00B22B59" w:rsidRPr="00800674" w:rsidRDefault="00B22B59" w:rsidP="00B22B59">
      <w:pPr>
        <w:jc w:val="both"/>
        <w:rPr>
          <w:bCs/>
        </w:rPr>
      </w:pPr>
      <w:r w:rsidRPr="00800674">
        <w:rPr>
          <w:bCs/>
        </w:rPr>
        <w:t xml:space="preserve">Za zagotavljanje preglednega in učinkovitega dela bomo </w:t>
      </w:r>
      <w:r w:rsidR="006A0186">
        <w:rPr>
          <w:bCs/>
        </w:rPr>
        <w:t>z</w:t>
      </w:r>
      <w:r w:rsidRPr="00800674">
        <w:rPr>
          <w:bCs/>
        </w:rPr>
        <w:t>asnovali jasne</w:t>
      </w:r>
      <w:r w:rsidR="006A0186">
        <w:rPr>
          <w:bCs/>
        </w:rPr>
        <w:t xml:space="preserve"> in</w:t>
      </w:r>
      <w:r w:rsidRPr="00800674">
        <w:rPr>
          <w:bCs/>
        </w:rPr>
        <w:t xml:space="preserve"> usklajene postopke, smernice, priročnike</w:t>
      </w:r>
      <w:r w:rsidR="00BC7870">
        <w:rPr>
          <w:bCs/>
        </w:rPr>
        <w:t>, navodila</w:t>
      </w:r>
      <w:r w:rsidRPr="00800674">
        <w:rPr>
          <w:bCs/>
        </w:rPr>
        <w:t xml:space="preserve"> </w:t>
      </w:r>
      <w:r w:rsidR="006A0186">
        <w:rPr>
          <w:bCs/>
        </w:rPr>
        <w:t>ter</w:t>
      </w:r>
      <w:r w:rsidRPr="00800674">
        <w:rPr>
          <w:bCs/>
        </w:rPr>
        <w:t xml:space="preserve"> obrazce</w:t>
      </w:r>
      <w:r w:rsidR="006A0186">
        <w:rPr>
          <w:bCs/>
        </w:rPr>
        <w:t>.</w:t>
      </w:r>
      <w:r w:rsidRPr="00800674">
        <w:rPr>
          <w:bCs/>
        </w:rPr>
        <w:t xml:space="preserve"> Razvili bomo sisteme za upravljanje </w:t>
      </w:r>
      <w:r w:rsidR="00BC7870">
        <w:rPr>
          <w:bCs/>
        </w:rPr>
        <w:t xml:space="preserve">ažurnih </w:t>
      </w:r>
      <w:r w:rsidRPr="00800674">
        <w:rPr>
          <w:bCs/>
        </w:rPr>
        <w:t xml:space="preserve">informacij, ki bodo zagotavljali podatke za spremljanje, izboljšanje kakovosti in preglednosti odločanja. Uporabljali bomo </w:t>
      </w:r>
      <w:r w:rsidR="00BC7870">
        <w:rPr>
          <w:bCs/>
        </w:rPr>
        <w:t xml:space="preserve">IKT </w:t>
      </w:r>
      <w:r w:rsidRPr="00800674">
        <w:rPr>
          <w:bCs/>
        </w:rPr>
        <w:t xml:space="preserve">sisteme </w:t>
      </w:r>
      <w:r w:rsidR="00BC7870">
        <w:rPr>
          <w:bCs/>
        </w:rPr>
        <w:t xml:space="preserve">in </w:t>
      </w:r>
      <w:r w:rsidR="00797C41">
        <w:rPr>
          <w:bCs/>
        </w:rPr>
        <w:t>kanale</w:t>
      </w:r>
      <w:r w:rsidR="00797C41" w:rsidRPr="00800674">
        <w:rPr>
          <w:bCs/>
        </w:rPr>
        <w:t xml:space="preserve"> za</w:t>
      </w:r>
      <w:r w:rsidRPr="00800674">
        <w:rPr>
          <w:bCs/>
        </w:rPr>
        <w:t xml:space="preserve"> učinkovito notranje in zunanje komuniciranje.</w:t>
      </w:r>
    </w:p>
    <w:p w14:paraId="3A2A44D5" w14:textId="30CCD6BD" w:rsidR="00A11126" w:rsidRDefault="00CD6C9F" w:rsidP="00D95EC6">
      <w:pPr>
        <w:jc w:val="both"/>
        <w:rPr>
          <w:b/>
        </w:rPr>
      </w:pPr>
      <w:r>
        <w:rPr>
          <w:b/>
        </w:rPr>
        <w:t>Sledijo t</w:t>
      </w:r>
      <w:r w:rsidR="00797C41">
        <w:rPr>
          <w:b/>
        </w:rPr>
        <w:t>emelj</w:t>
      </w:r>
      <w:r w:rsidR="00737B1E">
        <w:rPr>
          <w:b/>
        </w:rPr>
        <w:t>n</w:t>
      </w:r>
      <w:r w:rsidR="00797C41">
        <w:rPr>
          <w:b/>
        </w:rPr>
        <w:t>i ukrepi, za kater</w:t>
      </w:r>
      <w:r w:rsidR="00737B1E">
        <w:rPr>
          <w:b/>
        </w:rPr>
        <w:t>e</w:t>
      </w:r>
      <w:r w:rsidR="00797C41">
        <w:rPr>
          <w:b/>
        </w:rPr>
        <w:t xml:space="preserve"> si bomo prizadevali v različnih fazah izvajanja kohezijske politike v Sloveniji. </w:t>
      </w:r>
      <w:r w:rsidRPr="00CD6C9F">
        <w:rPr>
          <w:bCs/>
        </w:rPr>
        <w:t>Razdelitev na stebre je v določenih primerih umetna, s</w:t>
      </w:r>
      <w:r w:rsidR="00737B1E">
        <w:rPr>
          <w:bCs/>
        </w:rPr>
        <w:t>a</w:t>
      </w:r>
      <w:r w:rsidRPr="00CD6C9F">
        <w:rPr>
          <w:bCs/>
        </w:rPr>
        <w:t>j se ukrepi prelivajo med stebri</w:t>
      </w:r>
      <w:r>
        <w:rPr>
          <w:bCs/>
        </w:rPr>
        <w:t xml:space="preserve"> </w:t>
      </w:r>
      <w:r>
        <w:rPr>
          <w:bCs/>
        </w:rPr>
        <w:lastRenderedPageBreak/>
        <w:t>oziroma se nanašajo na več stebrov hkrati</w:t>
      </w:r>
      <w:r w:rsidR="00DA0BEF">
        <w:rPr>
          <w:bCs/>
        </w:rPr>
        <w:t>, vendar so omenjeni samo enkrat.</w:t>
      </w:r>
      <w:r>
        <w:rPr>
          <w:bCs/>
        </w:rPr>
        <w:t xml:space="preserve"> </w:t>
      </w:r>
      <w:r w:rsidR="00154359">
        <w:rPr>
          <w:bCs/>
        </w:rPr>
        <w:t xml:space="preserve">Razdelitev ohranjamo zaradi večje preglednosti ukrepov. </w:t>
      </w:r>
      <w:r>
        <w:rPr>
          <w:b/>
        </w:rPr>
        <w:t xml:space="preserve"> </w:t>
      </w:r>
    </w:p>
    <w:p w14:paraId="6A613003" w14:textId="350BF525" w:rsidR="00CD6C9F" w:rsidRDefault="00CD6C9F" w:rsidP="00E30832">
      <w:pPr>
        <w:pStyle w:val="Naslov3"/>
        <w:numPr>
          <w:ilvl w:val="2"/>
          <w:numId w:val="44"/>
        </w:numPr>
      </w:pPr>
      <w:bookmarkStart w:id="11" w:name="_Toc192833956"/>
      <w:r>
        <w:t>Ukrepi prvega stebra</w:t>
      </w:r>
      <w:bookmarkEnd w:id="11"/>
    </w:p>
    <w:p w14:paraId="6AD1EE55" w14:textId="15026E18" w:rsidR="00AB38A4" w:rsidRPr="00363392" w:rsidDel="004B0502" w:rsidRDefault="00AB38A4" w:rsidP="00363392">
      <w:pPr>
        <w:pStyle w:val="Odstavekseznama"/>
        <w:numPr>
          <w:ilvl w:val="0"/>
          <w:numId w:val="43"/>
        </w:numPr>
        <w:jc w:val="both"/>
        <w:rPr>
          <w:rFonts w:cstheme="minorHAnsi"/>
          <w:bCs/>
        </w:rPr>
      </w:pPr>
      <w:r w:rsidRPr="00363392" w:rsidDel="004B0502">
        <w:rPr>
          <w:rFonts w:cstheme="minorHAnsi"/>
          <w:bCs/>
        </w:rPr>
        <w:t xml:space="preserve">Priprava </w:t>
      </w:r>
      <w:r w:rsidR="00363392" w:rsidRPr="00363392">
        <w:rPr>
          <w:rFonts w:cstheme="minorHAnsi"/>
          <w:bCs/>
        </w:rPr>
        <w:t>posebnega dokumenta namenjenega razvoju zaposlenih na organih, ki predstavljajo OU in PT (npr. a</w:t>
      </w:r>
      <w:r w:rsidRPr="00363392" w:rsidDel="004B0502">
        <w:rPr>
          <w:rFonts w:cstheme="minorHAnsi"/>
          <w:bCs/>
        </w:rPr>
        <w:t>kcijskega načrta za razvoj zaposlenih</w:t>
      </w:r>
      <w:r w:rsidR="00363392" w:rsidRPr="00363392">
        <w:rPr>
          <w:rFonts w:cstheme="minorHAnsi"/>
          <w:bCs/>
        </w:rPr>
        <w:t>, strategije posameznega ministrstva, načrta izobraževanj</w:t>
      </w:r>
      <w:r w:rsidR="00363392">
        <w:rPr>
          <w:rFonts w:cstheme="minorHAnsi"/>
          <w:bCs/>
        </w:rPr>
        <w:t>, n</w:t>
      </w:r>
      <w:r w:rsidR="00363392" w:rsidRPr="00363392">
        <w:rPr>
          <w:rFonts w:cstheme="minorHAnsi"/>
          <w:bCs/>
        </w:rPr>
        <w:t xml:space="preserve">ačrta izvajanja promocije zdravja na delovnem mestu ipd.), znotraj katerih so tudi zaposleni na področju </w:t>
      </w:r>
      <w:r w:rsidR="00363392" w:rsidRPr="00363392">
        <w:rPr>
          <w:rFonts w:eastAsia="Times New Roman" w:cstheme="minorHAnsi"/>
          <w:color w:val="000000"/>
          <w:lang w:eastAsia="sl-SI"/>
        </w:rPr>
        <w:t>evropske kohezijske politike</w:t>
      </w:r>
      <w:r w:rsidR="00363392" w:rsidRPr="00363392">
        <w:rPr>
          <w:rFonts w:cstheme="minorHAnsi"/>
          <w:bCs/>
        </w:rPr>
        <w:t xml:space="preserve">. </w:t>
      </w:r>
    </w:p>
    <w:p w14:paraId="12BBD5BB" w14:textId="263EA872" w:rsidR="00DA0BEF" w:rsidRPr="00363392" w:rsidRDefault="00DA0BEF" w:rsidP="00363392">
      <w:pPr>
        <w:pStyle w:val="Odstavekseznama"/>
        <w:numPr>
          <w:ilvl w:val="0"/>
          <w:numId w:val="43"/>
        </w:numPr>
        <w:jc w:val="both"/>
        <w:rPr>
          <w:rFonts w:cstheme="minorHAnsi"/>
          <w:bCs/>
        </w:rPr>
      </w:pPr>
      <w:r w:rsidRPr="00363392">
        <w:rPr>
          <w:rFonts w:eastAsia="Times New Roman" w:cstheme="minorHAnsi"/>
          <w:color w:val="000000"/>
          <w:lang w:eastAsia="sl-SI"/>
        </w:rPr>
        <w:t>Strokovna usposabljanja za OU in PT za učinkovito izvajanje evropske kohezijske politike</w:t>
      </w:r>
      <w:r w:rsidR="005E7C19" w:rsidRPr="00363392">
        <w:rPr>
          <w:rFonts w:eastAsia="Times New Roman" w:cstheme="minorHAnsi"/>
          <w:color w:val="000000"/>
          <w:lang w:eastAsia="sl-SI"/>
        </w:rPr>
        <w:t>.</w:t>
      </w:r>
    </w:p>
    <w:p w14:paraId="76240143" w14:textId="5210D784" w:rsidR="00C44E5D" w:rsidRPr="00363392" w:rsidRDefault="00C44E5D" w:rsidP="00363392">
      <w:pPr>
        <w:pStyle w:val="Odstavekseznama"/>
        <w:numPr>
          <w:ilvl w:val="0"/>
          <w:numId w:val="43"/>
        </w:numPr>
        <w:jc w:val="both"/>
        <w:rPr>
          <w:rFonts w:cstheme="minorHAnsi"/>
          <w:bCs/>
        </w:rPr>
      </w:pPr>
      <w:r w:rsidRPr="00363392">
        <w:rPr>
          <w:rFonts w:cstheme="minorHAnsi"/>
          <w:bCs/>
        </w:rPr>
        <w:t xml:space="preserve">Oblikovanje </w:t>
      </w:r>
      <w:r w:rsidR="00363392">
        <w:rPr>
          <w:rFonts w:cstheme="minorHAnsi"/>
          <w:bCs/>
        </w:rPr>
        <w:t xml:space="preserve">programa </w:t>
      </w:r>
      <w:r w:rsidRPr="00363392">
        <w:rPr>
          <w:rFonts w:cstheme="minorHAnsi"/>
          <w:bCs/>
        </w:rPr>
        <w:t xml:space="preserve">uvajanja novo zaposlenih </w:t>
      </w:r>
      <w:r w:rsidR="00363392" w:rsidRPr="00363392">
        <w:rPr>
          <w:rFonts w:cstheme="minorHAnsi"/>
          <w:bCs/>
        </w:rPr>
        <w:t xml:space="preserve">s strani OU </w:t>
      </w:r>
      <w:r w:rsidRPr="00363392">
        <w:rPr>
          <w:rFonts w:cstheme="minorHAnsi"/>
          <w:bCs/>
        </w:rPr>
        <w:t xml:space="preserve">tako </w:t>
      </w:r>
      <w:r w:rsidR="00363392" w:rsidRPr="00363392">
        <w:rPr>
          <w:rFonts w:cstheme="minorHAnsi"/>
          <w:bCs/>
        </w:rPr>
        <w:t>za</w:t>
      </w:r>
      <w:r w:rsidRPr="00363392">
        <w:rPr>
          <w:rFonts w:cstheme="minorHAnsi"/>
          <w:bCs/>
        </w:rPr>
        <w:t xml:space="preserve"> OU kot PT, ki med drugim vključuje uvodni izobraževalni paket ter možnost vzpostavitve sistema mentorstva. </w:t>
      </w:r>
    </w:p>
    <w:p w14:paraId="7B35AE9D" w14:textId="01363EBD" w:rsidR="00C44E5D" w:rsidRPr="00363392" w:rsidRDefault="004B0502" w:rsidP="00363392">
      <w:pPr>
        <w:pStyle w:val="Odstavekseznama"/>
        <w:numPr>
          <w:ilvl w:val="0"/>
          <w:numId w:val="43"/>
        </w:numPr>
        <w:jc w:val="both"/>
        <w:rPr>
          <w:rFonts w:cstheme="minorHAnsi"/>
          <w:bCs/>
        </w:rPr>
      </w:pPr>
      <w:r w:rsidRPr="00363392">
        <w:rPr>
          <w:rFonts w:cstheme="minorHAnsi"/>
          <w:bCs/>
        </w:rPr>
        <w:t>Pripravljena sistematizacija ključnih delovnih mest v sistemu izvajanja evropske kohezijske politike z določitvijo minimalnih obveznih znanj in pripadajočih usposabljanj.</w:t>
      </w:r>
    </w:p>
    <w:p w14:paraId="41179A15" w14:textId="375558D4" w:rsidR="00C44E5D" w:rsidRPr="00363392" w:rsidRDefault="007B7881" w:rsidP="00363392">
      <w:pPr>
        <w:pStyle w:val="Odstavekseznama"/>
        <w:numPr>
          <w:ilvl w:val="0"/>
          <w:numId w:val="43"/>
        </w:numPr>
        <w:jc w:val="both"/>
        <w:rPr>
          <w:rFonts w:cstheme="minorHAnsi"/>
          <w:bCs/>
        </w:rPr>
      </w:pPr>
      <w:r w:rsidRPr="00363392">
        <w:rPr>
          <w:rFonts w:cstheme="minorHAnsi"/>
          <w:bCs/>
        </w:rPr>
        <w:t xml:space="preserve">Vzpostavitev spletnega učnega centra </w:t>
      </w:r>
      <w:r w:rsidR="00C44E5D" w:rsidRPr="00363392">
        <w:rPr>
          <w:rFonts w:cstheme="minorHAnsi"/>
          <w:bCs/>
        </w:rPr>
        <w:t xml:space="preserve">Akademija Kohezija, kjer so na voljo že izvedena izobraževanja, tematska izobraževanja, različna gradiva, posnetki ipd. </w:t>
      </w:r>
    </w:p>
    <w:p w14:paraId="61855BEB" w14:textId="69D03338" w:rsidR="001D455E" w:rsidRPr="00363392" w:rsidRDefault="001D455E" w:rsidP="00363392">
      <w:pPr>
        <w:pStyle w:val="Odstavekseznama"/>
        <w:numPr>
          <w:ilvl w:val="0"/>
          <w:numId w:val="43"/>
        </w:numPr>
        <w:jc w:val="both"/>
        <w:rPr>
          <w:rFonts w:cstheme="minorHAnsi"/>
          <w:bCs/>
        </w:rPr>
      </w:pPr>
      <w:r w:rsidRPr="00363392">
        <w:rPr>
          <w:rFonts w:cstheme="minorHAnsi"/>
          <w:bCs/>
        </w:rPr>
        <w:t xml:space="preserve">Omogočitev izmenjave dobrih praks in ogledov projektov med različnimi deležniki znotraj </w:t>
      </w:r>
      <w:r w:rsidR="006A1186" w:rsidRPr="00363392">
        <w:rPr>
          <w:rFonts w:eastAsia="Times New Roman" w:cstheme="minorHAnsi"/>
          <w:color w:val="000000"/>
          <w:lang w:eastAsia="sl-SI"/>
        </w:rPr>
        <w:t>evropske kohezijske politike</w:t>
      </w:r>
      <w:r w:rsidRPr="00363392">
        <w:rPr>
          <w:rFonts w:cstheme="minorHAnsi"/>
          <w:bCs/>
        </w:rPr>
        <w:t>, da se zaposleni na tem področju lažje povežejo z rezultati</w:t>
      </w:r>
      <w:r w:rsidR="003B1479" w:rsidRPr="00363392">
        <w:rPr>
          <w:rFonts w:cstheme="minorHAnsi"/>
          <w:bCs/>
        </w:rPr>
        <w:t xml:space="preserve"> dela</w:t>
      </w:r>
      <w:r w:rsidRPr="00363392">
        <w:rPr>
          <w:rFonts w:cstheme="minorHAnsi"/>
          <w:bCs/>
        </w:rPr>
        <w:t xml:space="preserve"> in ohranijo motiviranost za delo. </w:t>
      </w:r>
      <w:r w:rsidR="00897169">
        <w:rPr>
          <w:rFonts w:cstheme="minorHAnsi"/>
          <w:bCs/>
        </w:rPr>
        <w:t>Vzpostavljen</w:t>
      </w:r>
      <w:r w:rsidRPr="00363392">
        <w:rPr>
          <w:rFonts w:cstheme="minorHAnsi"/>
          <w:bCs/>
        </w:rPr>
        <w:t xml:space="preserve"> sistem zbiranja in deljenja povratnih informacij o dobrih učinkih sodelovanja na projektih, seminarjih, izobraževanjih. </w:t>
      </w:r>
    </w:p>
    <w:p w14:paraId="6474D1BA" w14:textId="71B3F460" w:rsidR="001D455E" w:rsidRPr="00363392" w:rsidRDefault="005F427A" w:rsidP="00363392">
      <w:pPr>
        <w:pStyle w:val="Odstavekseznama"/>
        <w:numPr>
          <w:ilvl w:val="0"/>
          <w:numId w:val="43"/>
        </w:numPr>
        <w:jc w:val="both"/>
        <w:rPr>
          <w:rFonts w:cstheme="minorHAnsi"/>
        </w:rPr>
      </w:pPr>
      <w:r w:rsidRPr="00363392">
        <w:rPr>
          <w:rFonts w:cstheme="minorHAnsi"/>
        </w:rPr>
        <w:t>Oblikovanje</w:t>
      </w:r>
      <w:r w:rsidR="001D455E" w:rsidRPr="00363392">
        <w:rPr>
          <w:rFonts w:cstheme="minorHAnsi"/>
        </w:rPr>
        <w:t xml:space="preserve"> pilotnega programa notranje mobilnosti na OU. </w:t>
      </w:r>
    </w:p>
    <w:p w14:paraId="0516428F" w14:textId="1FB30AAD" w:rsidR="00CD6C9F" w:rsidRDefault="005F427A" w:rsidP="00363392">
      <w:pPr>
        <w:pStyle w:val="Odstavekseznama"/>
        <w:numPr>
          <w:ilvl w:val="0"/>
          <w:numId w:val="43"/>
        </w:numPr>
        <w:jc w:val="both"/>
        <w:rPr>
          <w:rFonts w:cstheme="minorHAnsi"/>
          <w:bCs/>
        </w:rPr>
      </w:pPr>
      <w:r w:rsidRPr="00363392">
        <w:rPr>
          <w:rFonts w:cstheme="minorHAnsi"/>
          <w:bCs/>
        </w:rPr>
        <w:t>Oblikovanje predloga</w:t>
      </w:r>
      <w:r w:rsidR="001D455E" w:rsidRPr="00363392">
        <w:rPr>
          <w:rFonts w:cstheme="minorHAnsi"/>
          <w:bCs/>
        </w:rPr>
        <w:t xml:space="preserve"> izmenjav v delovnem procesu/na delovnem mestu in študijskih obiskih med različnimi deležniki znotraj </w:t>
      </w:r>
      <w:r w:rsidR="006A1186" w:rsidRPr="00363392">
        <w:rPr>
          <w:rFonts w:eastAsia="Times New Roman" w:cstheme="minorHAnsi"/>
          <w:color w:val="000000"/>
          <w:lang w:eastAsia="sl-SI"/>
        </w:rPr>
        <w:t>evropske kohezijske politike</w:t>
      </w:r>
      <w:r w:rsidR="001D455E" w:rsidRPr="00363392">
        <w:rPr>
          <w:rFonts w:cstheme="minorHAnsi"/>
          <w:bCs/>
        </w:rPr>
        <w:t xml:space="preserve">. </w:t>
      </w:r>
    </w:p>
    <w:p w14:paraId="06DAABCD" w14:textId="77777777" w:rsidR="00372BFA" w:rsidRPr="00363392" w:rsidRDefault="00372BFA" w:rsidP="00372BFA">
      <w:pPr>
        <w:pStyle w:val="Odstavekseznama"/>
        <w:jc w:val="both"/>
        <w:rPr>
          <w:rFonts w:cstheme="minorHAnsi"/>
          <w:bCs/>
        </w:rPr>
      </w:pPr>
    </w:p>
    <w:p w14:paraId="2CE0C33A" w14:textId="1781E28C" w:rsidR="00CD6C9F" w:rsidRDefault="00541924" w:rsidP="00E30832">
      <w:pPr>
        <w:pStyle w:val="Naslov3"/>
      </w:pPr>
      <w:bookmarkStart w:id="12" w:name="_Toc192833957"/>
      <w:r>
        <w:t xml:space="preserve">4.1.2    </w:t>
      </w:r>
      <w:r w:rsidR="00CD6C9F">
        <w:t>Ukrepi drugega stebra</w:t>
      </w:r>
      <w:bookmarkEnd w:id="12"/>
      <w:r w:rsidR="00CD6C9F">
        <w:t xml:space="preserve"> </w:t>
      </w:r>
    </w:p>
    <w:p w14:paraId="37475B73" w14:textId="7BCF6E63" w:rsidR="00621ECF" w:rsidRPr="005F091D" w:rsidRDefault="006039CE" w:rsidP="005F091D">
      <w:pPr>
        <w:pStyle w:val="Odstavekseznama"/>
        <w:numPr>
          <w:ilvl w:val="0"/>
          <w:numId w:val="41"/>
        </w:numPr>
        <w:rPr>
          <w:rFonts w:cstheme="minorHAnsi"/>
        </w:rPr>
      </w:pPr>
      <w:r w:rsidRPr="005F091D">
        <w:rPr>
          <w:rFonts w:eastAsia="Times New Roman" w:cstheme="minorHAnsi"/>
          <w:color w:val="000000"/>
          <w:lang w:eastAsia="sl-SI"/>
        </w:rPr>
        <w:t xml:space="preserve">Vzpostavitev </w:t>
      </w:r>
      <w:r w:rsidR="006A1186">
        <w:rPr>
          <w:rFonts w:eastAsia="Times New Roman" w:cstheme="minorHAnsi"/>
          <w:color w:val="000000"/>
          <w:lang w:eastAsia="sl-SI"/>
        </w:rPr>
        <w:t xml:space="preserve">delujočega </w:t>
      </w:r>
      <w:r w:rsidRPr="005F091D">
        <w:rPr>
          <w:rFonts w:eastAsia="Times New Roman" w:cstheme="minorHAnsi"/>
          <w:color w:val="000000"/>
          <w:lang w:eastAsia="sl-SI"/>
        </w:rPr>
        <w:t>sistema izvajanja evropske kohezijske politike</w:t>
      </w:r>
      <w:r w:rsidR="006A1186">
        <w:rPr>
          <w:rFonts w:eastAsia="Times New Roman" w:cstheme="minorHAnsi"/>
          <w:color w:val="000000"/>
          <w:lang w:eastAsia="sl-SI"/>
        </w:rPr>
        <w:t>.</w:t>
      </w:r>
    </w:p>
    <w:p w14:paraId="135CE56B" w14:textId="35727459" w:rsidR="00CA79FF" w:rsidRDefault="00CA79FF" w:rsidP="00317FBE">
      <w:pPr>
        <w:pStyle w:val="Odstavekseznama"/>
        <w:numPr>
          <w:ilvl w:val="0"/>
          <w:numId w:val="36"/>
        </w:numPr>
        <w:spacing w:after="0"/>
        <w:jc w:val="both"/>
        <w:rPr>
          <w:rFonts w:eastAsia="Times New Roman" w:cstheme="minorHAnsi"/>
          <w:color w:val="000000"/>
          <w:lang w:eastAsia="sl-SI"/>
        </w:rPr>
      </w:pPr>
      <w:r w:rsidRPr="00CA79FF">
        <w:rPr>
          <w:rFonts w:eastAsia="Times New Roman" w:cstheme="minorHAnsi"/>
          <w:color w:val="000000"/>
          <w:lang w:eastAsia="sl-SI"/>
        </w:rPr>
        <w:t xml:space="preserve">Redno pregledovanje organizacijske strukture (npr. ob spremembi OSUN) zaradi zagotavljanja ustreznosti zahtevam </w:t>
      </w:r>
      <w:r w:rsidR="006A1186">
        <w:rPr>
          <w:rFonts w:eastAsia="Times New Roman" w:cstheme="minorHAnsi"/>
          <w:color w:val="000000"/>
          <w:lang w:eastAsia="sl-SI"/>
        </w:rPr>
        <w:t>P</w:t>
      </w:r>
      <w:r w:rsidRPr="00CA79FF">
        <w:rPr>
          <w:rFonts w:eastAsia="Times New Roman" w:cstheme="minorHAnsi"/>
          <w:color w:val="000000"/>
          <w:lang w:eastAsia="sl-SI"/>
        </w:rPr>
        <w:t>rograma.</w:t>
      </w:r>
    </w:p>
    <w:p w14:paraId="5A57F7A8" w14:textId="617C42EC" w:rsidR="00DA0BEF" w:rsidRPr="00EE201F" w:rsidRDefault="00DA0BEF" w:rsidP="00317FBE">
      <w:pPr>
        <w:pStyle w:val="Odstavekseznama"/>
        <w:numPr>
          <w:ilvl w:val="0"/>
          <w:numId w:val="36"/>
        </w:numPr>
        <w:spacing w:after="0"/>
        <w:jc w:val="both"/>
        <w:rPr>
          <w:rFonts w:eastAsia="Times New Roman" w:cstheme="minorHAnsi"/>
          <w:color w:val="000000"/>
          <w:lang w:eastAsia="sl-SI"/>
        </w:rPr>
      </w:pPr>
      <w:r w:rsidRPr="00EE201F">
        <w:rPr>
          <w:rFonts w:eastAsia="Times New Roman" w:cstheme="minorHAnsi"/>
          <w:color w:val="000000"/>
          <w:lang w:eastAsia="sl-SI"/>
        </w:rPr>
        <w:t>Spodbujanje aktivnega sodelovanja z deležniki, vključenimi v sistem upravljanja in nadzora</w:t>
      </w:r>
      <w:r w:rsidR="005F091D" w:rsidRPr="00EE201F">
        <w:rPr>
          <w:rFonts w:eastAsia="Times New Roman" w:cstheme="minorHAnsi"/>
          <w:color w:val="000000"/>
          <w:lang w:eastAsia="sl-SI"/>
        </w:rPr>
        <w:t>.</w:t>
      </w:r>
    </w:p>
    <w:p w14:paraId="2ED5D364" w14:textId="21462CBF" w:rsidR="00C44E5D" w:rsidRPr="00305798" w:rsidRDefault="00C44E5D" w:rsidP="00305798">
      <w:pPr>
        <w:pStyle w:val="Odstavekseznama"/>
        <w:numPr>
          <w:ilvl w:val="0"/>
          <w:numId w:val="36"/>
        </w:numPr>
        <w:jc w:val="both"/>
        <w:rPr>
          <w:rFonts w:cstheme="minorHAnsi"/>
          <w:bCs/>
        </w:rPr>
      </w:pPr>
      <w:r w:rsidRPr="005F091D">
        <w:rPr>
          <w:rFonts w:cstheme="minorHAnsi"/>
          <w:bCs/>
        </w:rPr>
        <w:t>Vzpostavitev intranetne strani in oglasne deske za objavo obvestil, internih aktov in dokumentov ter vzpostavitev hitrejšega komunikacijskega kanala za pretok informacij</w:t>
      </w:r>
      <w:r w:rsidR="006A1186">
        <w:rPr>
          <w:rFonts w:cstheme="minorHAnsi"/>
          <w:bCs/>
        </w:rPr>
        <w:t xml:space="preserve"> znotraj OU in</w:t>
      </w:r>
      <w:r w:rsidRPr="005F091D">
        <w:rPr>
          <w:rFonts w:cstheme="minorHAnsi"/>
          <w:bCs/>
        </w:rPr>
        <w:t xml:space="preserve"> med OU </w:t>
      </w:r>
      <w:r w:rsidR="006A1186">
        <w:rPr>
          <w:rFonts w:cstheme="minorHAnsi"/>
          <w:bCs/>
        </w:rPr>
        <w:t>ter</w:t>
      </w:r>
      <w:r w:rsidRPr="005F091D">
        <w:rPr>
          <w:rFonts w:cstheme="minorHAnsi"/>
          <w:bCs/>
        </w:rPr>
        <w:t xml:space="preserve"> PT. </w:t>
      </w:r>
      <w:r w:rsidR="00305798" w:rsidRPr="005F091D">
        <w:rPr>
          <w:rFonts w:cstheme="minorHAnsi"/>
          <w:bCs/>
        </w:rPr>
        <w:t xml:space="preserve">Določitev sistema za zbiranje vseh informacij OU na enem mestu. </w:t>
      </w:r>
    </w:p>
    <w:p w14:paraId="76B819FE" w14:textId="792CAC11" w:rsidR="001D455E" w:rsidRPr="005F091D" w:rsidRDefault="001D455E" w:rsidP="001D455E">
      <w:pPr>
        <w:pStyle w:val="Odstavekseznama"/>
        <w:numPr>
          <w:ilvl w:val="0"/>
          <w:numId w:val="36"/>
        </w:numPr>
        <w:jc w:val="both"/>
        <w:rPr>
          <w:rFonts w:cstheme="minorHAnsi"/>
        </w:rPr>
      </w:pPr>
      <w:r w:rsidRPr="005F091D">
        <w:rPr>
          <w:rFonts w:cstheme="minorHAnsi"/>
        </w:rPr>
        <w:t xml:space="preserve">Vzpostavitev tematskih mrež in delovnih skupin za povezovanje različnih deležnikov, če se med njimi pokaže potreba in želja.  </w:t>
      </w:r>
    </w:p>
    <w:p w14:paraId="096AE758" w14:textId="77777777" w:rsidR="00DA0BEF" w:rsidRPr="005F091D" w:rsidRDefault="00DA0BEF" w:rsidP="00DA0BEF">
      <w:pPr>
        <w:pStyle w:val="Odstavekseznama"/>
        <w:numPr>
          <w:ilvl w:val="0"/>
          <w:numId w:val="36"/>
        </w:numPr>
        <w:jc w:val="both"/>
        <w:rPr>
          <w:rFonts w:cstheme="minorHAnsi"/>
          <w:bCs/>
        </w:rPr>
      </w:pPr>
      <w:r w:rsidRPr="005F091D">
        <w:rPr>
          <w:rFonts w:eastAsia="Times New Roman" w:cstheme="minorHAnsi"/>
          <w:color w:val="000000"/>
          <w:lang w:eastAsia="sl-SI"/>
        </w:rPr>
        <w:t>Vzpostavitev e-MA2.</w:t>
      </w:r>
    </w:p>
    <w:p w14:paraId="6539DD81" w14:textId="122D9C5E" w:rsidR="00DA0BEF" w:rsidRPr="005F091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 xml:space="preserve">Vzpostavitev nove spletne strani </w:t>
      </w:r>
      <w:hyperlink r:id="rId11" w:history="1">
        <w:r w:rsidRPr="005F091D">
          <w:rPr>
            <w:rStyle w:val="Hiperpovezava"/>
            <w:rFonts w:eastAsia="Times New Roman" w:cstheme="minorHAnsi"/>
            <w:lang w:eastAsia="sl-SI"/>
          </w:rPr>
          <w:t>www.evropskasredstva.si</w:t>
        </w:r>
      </w:hyperlink>
      <w:r w:rsidRPr="005F091D">
        <w:rPr>
          <w:rFonts w:eastAsia="Times New Roman" w:cstheme="minorHAnsi"/>
          <w:color w:val="000000"/>
          <w:lang w:eastAsia="sl-SI"/>
        </w:rPr>
        <w:t xml:space="preserve">. </w:t>
      </w:r>
    </w:p>
    <w:p w14:paraId="43BFAC26" w14:textId="29A665CE" w:rsidR="00DA0BEF" w:rsidRPr="005F091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Boljše načrtovanje in upravljanje sredstev na podlagi podatkov, tudi s pomočjo zunanjih izvajalcev (</w:t>
      </w:r>
      <w:r w:rsidR="00305798">
        <w:rPr>
          <w:rFonts w:eastAsia="Times New Roman" w:cstheme="minorHAnsi"/>
          <w:color w:val="000000"/>
          <w:lang w:eastAsia="sl-SI"/>
        </w:rPr>
        <w:t xml:space="preserve">izvedba </w:t>
      </w:r>
      <w:r w:rsidRPr="005F091D">
        <w:rPr>
          <w:rFonts w:eastAsia="Times New Roman" w:cstheme="minorHAnsi"/>
          <w:color w:val="000000"/>
          <w:lang w:eastAsia="sl-SI"/>
        </w:rPr>
        <w:t>analiz, študi</w:t>
      </w:r>
      <w:r w:rsidR="00305798">
        <w:rPr>
          <w:rFonts w:eastAsia="Times New Roman" w:cstheme="minorHAnsi"/>
          <w:color w:val="000000"/>
          <w:lang w:eastAsia="sl-SI"/>
        </w:rPr>
        <w:t>j</w:t>
      </w:r>
      <w:r w:rsidRPr="005F091D">
        <w:rPr>
          <w:rFonts w:eastAsia="Times New Roman" w:cstheme="minorHAnsi"/>
          <w:color w:val="000000"/>
          <w:lang w:eastAsia="sl-SI"/>
        </w:rPr>
        <w:t xml:space="preserve"> in vrednotenj).</w:t>
      </w:r>
    </w:p>
    <w:p w14:paraId="304E22B4" w14:textId="77777777" w:rsidR="00897169" w:rsidRPr="005F091D" w:rsidRDefault="00897169" w:rsidP="00541924">
      <w:pPr>
        <w:pStyle w:val="Odstavekseznama"/>
        <w:numPr>
          <w:ilvl w:val="0"/>
          <w:numId w:val="36"/>
        </w:numPr>
        <w:spacing w:after="0"/>
        <w:jc w:val="both"/>
        <w:rPr>
          <w:rFonts w:cstheme="minorHAnsi"/>
        </w:rPr>
      </w:pPr>
      <w:r w:rsidRPr="005F091D">
        <w:rPr>
          <w:rFonts w:eastAsia="Times New Roman" w:cstheme="minorHAnsi"/>
          <w:color w:val="000000"/>
          <w:lang w:eastAsia="sl-SI"/>
        </w:rPr>
        <w:t>Izboljšanje uporabe vrednotenj kot orodja za odločevalce (</w:t>
      </w:r>
      <w:r>
        <w:rPr>
          <w:rFonts w:eastAsia="Times New Roman" w:cstheme="minorHAnsi"/>
          <w:color w:val="000000"/>
          <w:lang w:eastAsia="sl-SI"/>
        </w:rPr>
        <w:t>u</w:t>
      </w:r>
      <w:r w:rsidRPr="005F091D">
        <w:rPr>
          <w:rFonts w:eastAsia="Times New Roman" w:cstheme="minorHAnsi"/>
          <w:color w:val="000000"/>
          <w:lang w:eastAsia="sl-SI"/>
        </w:rPr>
        <w:t>krepi za krepitev zmogljivosti osebja OU, P</w:t>
      </w:r>
      <w:r>
        <w:rPr>
          <w:rFonts w:eastAsia="Times New Roman" w:cstheme="minorHAnsi"/>
          <w:color w:val="000000"/>
          <w:lang w:eastAsia="sl-SI"/>
        </w:rPr>
        <w:t>T</w:t>
      </w:r>
      <w:r w:rsidRPr="005F091D">
        <w:rPr>
          <w:rFonts w:eastAsia="Times New Roman" w:cstheme="minorHAnsi"/>
          <w:color w:val="000000"/>
          <w:lang w:eastAsia="sl-SI"/>
        </w:rPr>
        <w:t xml:space="preserve"> in ostalih deležnikov </w:t>
      </w:r>
      <w:r>
        <w:rPr>
          <w:rFonts w:eastAsia="Times New Roman" w:cstheme="minorHAnsi"/>
          <w:color w:val="000000"/>
          <w:lang w:eastAsia="sl-SI"/>
        </w:rPr>
        <w:t>v smislu</w:t>
      </w:r>
      <w:r w:rsidRPr="005F091D">
        <w:rPr>
          <w:rFonts w:eastAsia="Times New Roman" w:cstheme="minorHAnsi"/>
          <w:color w:val="000000"/>
          <w:lang w:eastAsia="sl-SI"/>
        </w:rPr>
        <w:t xml:space="preserve"> kako oblikovati in izvajati vrednotenja</w:t>
      </w:r>
      <w:r w:rsidRPr="005F091D">
        <w:rPr>
          <w:rFonts w:cstheme="minorHAnsi"/>
        </w:rPr>
        <w:t>)</w:t>
      </w:r>
      <w:r>
        <w:rPr>
          <w:rFonts w:cstheme="minorHAnsi"/>
        </w:rPr>
        <w:t>.</w:t>
      </w:r>
    </w:p>
    <w:p w14:paraId="7F4969DB" w14:textId="7B53C0AE" w:rsidR="00DA0BEF" w:rsidRPr="00470CCD" w:rsidRDefault="00DA0BEF" w:rsidP="00DA0BEF">
      <w:pPr>
        <w:pStyle w:val="Odstavekseznama"/>
        <w:numPr>
          <w:ilvl w:val="0"/>
          <w:numId w:val="36"/>
        </w:numPr>
        <w:jc w:val="both"/>
        <w:rPr>
          <w:rFonts w:cstheme="minorHAnsi"/>
        </w:rPr>
      </w:pPr>
      <w:r w:rsidRPr="005F091D">
        <w:rPr>
          <w:rFonts w:eastAsia="Times New Roman" w:cstheme="minorHAnsi"/>
          <w:color w:val="000000"/>
          <w:lang w:eastAsia="sl-SI"/>
        </w:rPr>
        <w:t>Redno zbiranje povratnih informacij o delovanja sistema izvajanja in nadzora od vseh vključenih v sistem (vključno s področjem preprečevanja goljufij in korupcije</w:t>
      </w:r>
      <w:r w:rsidR="000E6323">
        <w:rPr>
          <w:rFonts w:eastAsia="Times New Roman" w:cstheme="minorHAnsi"/>
          <w:color w:val="000000"/>
          <w:lang w:eastAsia="sl-SI"/>
        </w:rPr>
        <w:t xml:space="preserve"> ter uporabe </w:t>
      </w:r>
      <w:r w:rsidR="00507696" w:rsidRPr="00507696">
        <w:rPr>
          <w:rFonts w:eastAsia="Times New Roman" w:cstheme="minorHAnsi"/>
          <w:color w:val="000000"/>
          <w:lang w:eastAsia="sl-SI"/>
        </w:rPr>
        <w:t>Listine o temeljnih pravicah in Konvencije Združenih narodov o pravicah invalidov</w:t>
      </w:r>
      <w:r w:rsidRPr="005F091D">
        <w:rPr>
          <w:rFonts w:eastAsia="Times New Roman" w:cstheme="minorHAnsi"/>
          <w:color w:val="000000"/>
          <w:lang w:eastAsia="sl-SI"/>
        </w:rPr>
        <w:t>)</w:t>
      </w:r>
      <w:r w:rsidR="006039CE" w:rsidRPr="005F091D">
        <w:rPr>
          <w:rFonts w:eastAsia="Times New Roman" w:cstheme="minorHAnsi"/>
          <w:color w:val="000000"/>
          <w:lang w:eastAsia="sl-SI"/>
        </w:rPr>
        <w:t>.</w:t>
      </w:r>
    </w:p>
    <w:p w14:paraId="26083142" w14:textId="3B55BCB1" w:rsidR="00B20FAD" w:rsidRPr="00CD6C9F" w:rsidRDefault="00470CCD" w:rsidP="00B20FAD">
      <w:pPr>
        <w:pStyle w:val="Odstavekseznama"/>
        <w:numPr>
          <w:ilvl w:val="0"/>
          <w:numId w:val="36"/>
        </w:numPr>
        <w:jc w:val="both"/>
      </w:pPr>
      <w:r w:rsidRPr="00372BFA">
        <w:rPr>
          <w:rFonts w:cstheme="minorHAnsi"/>
        </w:rPr>
        <w:t>Pripravljena Strategija organa upravljanja za boj proti goljufijam v okviru Programa evropske kohezijske politike v obdobju 2021–2027 in vsakoletni akcijski načrti</w:t>
      </w:r>
      <w:r w:rsidR="00372BFA" w:rsidRPr="00372BFA">
        <w:rPr>
          <w:rFonts w:cstheme="minorHAnsi"/>
        </w:rPr>
        <w:t>.</w:t>
      </w:r>
    </w:p>
    <w:p w14:paraId="7A474492" w14:textId="46605012" w:rsidR="00CD6C9F" w:rsidRDefault="00541924" w:rsidP="00E30832">
      <w:pPr>
        <w:pStyle w:val="Naslov3"/>
      </w:pPr>
      <w:bookmarkStart w:id="13" w:name="_Toc192833958"/>
      <w:r>
        <w:t xml:space="preserve">4.1.3    </w:t>
      </w:r>
      <w:r w:rsidR="00CD6C9F">
        <w:t>Ukrepi tretjega stebra</w:t>
      </w:r>
      <w:bookmarkEnd w:id="13"/>
    </w:p>
    <w:p w14:paraId="5387633E" w14:textId="294DB54D" w:rsidR="00C44E5D" w:rsidRDefault="00C44E5D" w:rsidP="00305798">
      <w:pPr>
        <w:pStyle w:val="Odstavekseznama"/>
        <w:numPr>
          <w:ilvl w:val="0"/>
          <w:numId w:val="37"/>
        </w:numPr>
        <w:jc w:val="both"/>
      </w:pPr>
      <w:r>
        <w:t>Razv</w:t>
      </w:r>
      <w:r w:rsidR="00305798">
        <w:t>oj</w:t>
      </w:r>
      <w:r>
        <w:t xml:space="preserve"> </w:t>
      </w:r>
      <w:r w:rsidR="00897169">
        <w:t xml:space="preserve">modularne </w:t>
      </w:r>
      <w:r>
        <w:t>serij</w:t>
      </w:r>
      <w:r w:rsidR="00305798">
        <w:t>e</w:t>
      </w:r>
      <w:r>
        <w:t xml:space="preserve"> izobraževalnih seminarjev</w:t>
      </w:r>
      <w:r w:rsidR="00305798">
        <w:t>/</w:t>
      </w:r>
      <w:r>
        <w:t xml:space="preserve">praktičnih delavnic za upravičence in druge zainteresirane (npr. na naslednjih področjih: </w:t>
      </w:r>
      <w:r w:rsidR="00D346FD">
        <w:t xml:space="preserve">osnove kohezijske politike, </w:t>
      </w:r>
      <w:r>
        <w:t>mehanizmi financiranja EU, oblikovanje proračuna za naložbe, oblikovanje projektov in zahteve za prijavo</w:t>
      </w:r>
      <w:r w:rsidR="001D455E">
        <w:t>,</w:t>
      </w:r>
      <w:r w:rsidR="001D455E" w:rsidRPr="001D455E">
        <w:t xml:space="preserve"> </w:t>
      </w:r>
      <w:r w:rsidR="001D455E">
        <w:t>teritorialno sodelovanje, Strategija pametne specializacije, komuniciranje</w:t>
      </w:r>
      <w:r>
        <w:t xml:space="preserve">). </w:t>
      </w:r>
    </w:p>
    <w:p w14:paraId="5371E20C" w14:textId="15A745DC" w:rsidR="00C44E5D" w:rsidRDefault="00C44E5D" w:rsidP="001D455E">
      <w:pPr>
        <w:pStyle w:val="Odstavekseznama"/>
        <w:numPr>
          <w:ilvl w:val="0"/>
          <w:numId w:val="37"/>
        </w:numPr>
        <w:jc w:val="both"/>
      </w:pPr>
      <w:r>
        <w:lastRenderedPageBreak/>
        <w:t>Razv</w:t>
      </w:r>
      <w:r w:rsidR="00B465AF">
        <w:t>oj</w:t>
      </w:r>
      <w:r>
        <w:t xml:space="preserve"> brezplačn</w:t>
      </w:r>
      <w:r w:rsidR="00B465AF">
        <w:t>ih</w:t>
      </w:r>
      <w:r>
        <w:t xml:space="preserve"> spletn</w:t>
      </w:r>
      <w:r w:rsidR="00B465AF">
        <w:t>ih</w:t>
      </w:r>
      <w:r>
        <w:t xml:space="preserve"> video vaj za upravičence o tem, kako zaprositi za </w:t>
      </w:r>
      <w:r w:rsidR="00305798">
        <w:t xml:space="preserve">evropska </w:t>
      </w:r>
      <w:r>
        <w:t>sredstva in jih upravljati, vključno z vprašanjem upravičenosti.</w:t>
      </w:r>
    </w:p>
    <w:p w14:paraId="13F00431" w14:textId="7CBA3D16" w:rsidR="00305798" w:rsidRPr="005F091D" w:rsidRDefault="005F427A" w:rsidP="00305798">
      <w:pPr>
        <w:pStyle w:val="Odstavekseznama"/>
        <w:numPr>
          <w:ilvl w:val="0"/>
          <w:numId w:val="37"/>
        </w:numPr>
        <w:jc w:val="both"/>
        <w:rPr>
          <w:rFonts w:cstheme="minorHAnsi"/>
        </w:rPr>
      </w:pPr>
      <w:r>
        <w:rPr>
          <w:rFonts w:eastAsia="Times New Roman" w:cstheme="minorHAnsi"/>
          <w:color w:val="000000"/>
          <w:lang w:eastAsia="sl-SI"/>
        </w:rPr>
        <w:t>V</w:t>
      </w:r>
      <w:r w:rsidRPr="005F427A">
        <w:rPr>
          <w:rFonts w:eastAsia="Times New Roman" w:cstheme="minorHAnsi"/>
          <w:color w:val="000000"/>
          <w:lang w:eastAsia="sl-SI"/>
        </w:rPr>
        <w:t>zpostavitev participativnega procesa oblikovanja programskih dokumentov</w:t>
      </w:r>
      <w:r>
        <w:rPr>
          <w:rFonts w:eastAsia="Times New Roman" w:cstheme="minorHAnsi"/>
          <w:color w:val="000000"/>
          <w:lang w:eastAsia="sl-SI"/>
        </w:rPr>
        <w:t xml:space="preserve"> (med drugim preko dogodkov, spletne strani in Vizije kohezije)</w:t>
      </w:r>
      <w:r w:rsidR="00305798" w:rsidRPr="005F091D">
        <w:rPr>
          <w:rFonts w:eastAsia="Times New Roman" w:cstheme="minorHAnsi"/>
          <w:color w:val="000000"/>
          <w:lang w:eastAsia="sl-SI"/>
        </w:rPr>
        <w:t>.</w:t>
      </w:r>
    </w:p>
    <w:p w14:paraId="3972370F" w14:textId="77777777" w:rsidR="00DA0BEF" w:rsidRPr="005F091D" w:rsidRDefault="00DA0BEF" w:rsidP="00DA0BEF">
      <w:pPr>
        <w:pStyle w:val="Odstavekseznama"/>
        <w:numPr>
          <w:ilvl w:val="0"/>
          <w:numId w:val="37"/>
        </w:numPr>
        <w:rPr>
          <w:rFonts w:cstheme="minorHAnsi"/>
        </w:rPr>
      </w:pPr>
      <w:r w:rsidRPr="005F091D">
        <w:rPr>
          <w:rFonts w:eastAsia="Times New Roman" w:cstheme="minorHAnsi"/>
          <w:color w:val="000000"/>
          <w:lang w:eastAsia="sl-SI"/>
        </w:rPr>
        <w:t>Razširitev kanalov, kjer se objavljajo javni razpisi.</w:t>
      </w:r>
    </w:p>
    <w:p w14:paraId="13A87BF3" w14:textId="263D2E12" w:rsidR="00CD6C9F" w:rsidRPr="005F091D" w:rsidRDefault="006039CE" w:rsidP="00541924">
      <w:pPr>
        <w:pStyle w:val="Odstavekseznama"/>
        <w:numPr>
          <w:ilvl w:val="0"/>
          <w:numId w:val="37"/>
        </w:numPr>
        <w:jc w:val="both"/>
        <w:rPr>
          <w:rFonts w:cstheme="minorHAnsi"/>
        </w:rPr>
      </w:pPr>
      <w:r w:rsidRPr="005F091D">
        <w:rPr>
          <w:rFonts w:eastAsia="Times New Roman" w:cstheme="minorHAnsi"/>
          <w:color w:val="000000"/>
          <w:lang w:eastAsia="sl-SI"/>
        </w:rPr>
        <w:t>Zagotavljanje strokovne pomoči deležnikom preko dogodkov in mehanizmov za p</w:t>
      </w:r>
      <w:r w:rsidR="001D455E" w:rsidRPr="005F091D">
        <w:rPr>
          <w:rFonts w:cstheme="minorHAnsi"/>
        </w:rPr>
        <w:t>omoč uporabnikom, k</w:t>
      </w:r>
      <w:r w:rsidR="00305798">
        <w:rPr>
          <w:rFonts w:cstheme="minorHAnsi"/>
        </w:rPr>
        <w:t>jer</w:t>
      </w:r>
      <w:r w:rsidR="001D455E" w:rsidRPr="005F091D">
        <w:rPr>
          <w:rFonts w:cstheme="minorHAnsi"/>
        </w:rPr>
        <w:t xml:space="preserve"> na enem mestu </w:t>
      </w:r>
      <w:r w:rsidR="00305798">
        <w:rPr>
          <w:rFonts w:cstheme="minorHAnsi"/>
        </w:rPr>
        <w:t xml:space="preserve">dobijo </w:t>
      </w:r>
      <w:r w:rsidR="001D455E" w:rsidRPr="005F091D">
        <w:rPr>
          <w:rFonts w:cstheme="minorHAnsi"/>
        </w:rPr>
        <w:t xml:space="preserve">odgovore ali usmeritve za svoja vprašanja. </w:t>
      </w:r>
    </w:p>
    <w:p w14:paraId="57137080" w14:textId="0337AEDB" w:rsidR="006039CE" w:rsidRPr="0032331B" w:rsidRDefault="006039CE" w:rsidP="00473A7F">
      <w:pPr>
        <w:pStyle w:val="Odstavekseznama"/>
        <w:numPr>
          <w:ilvl w:val="0"/>
          <w:numId w:val="37"/>
        </w:numPr>
        <w:rPr>
          <w:rFonts w:cstheme="minorHAnsi"/>
        </w:rPr>
      </w:pPr>
      <w:r w:rsidRPr="005F091D">
        <w:rPr>
          <w:rFonts w:eastAsia="Times New Roman" w:cstheme="minorHAnsi"/>
          <w:color w:val="000000"/>
          <w:lang w:eastAsia="sl-SI"/>
        </w:rPr>
        <w:t xml:space="preserve">Vzpostavljen sistem identifikacije potreb. </w:t>
      </w:r>
    </w:p>
    <w:p w14:paraId="4E18978B" w14:textId="77777777" w:rsidR="0032331B" w:rsidRPr="005F091D" w:rsidRDefault="0032331B" w:rsidP="0032331B">
      <w:pPr>
        <w:pStyle w:val="Odstavekseznama"/>
        <w:rPr>
          <w:rFonts w:cstheme="minorHAnsi"/>
        </w:rPr>
      </w:pPr>
    </w:p>
    <w:p w14:paraId="5D062B3D" w14:textId="193EE06D" w:rsidR="000A2EFE" w:rsidRDefault="000A2EFE" w:rsidP="00B54B20">
      <w:pPr>
        <w:pStyle w:val="Naslov2"/>
        <w:numPr>
          <w:ilvl w:val="1"/>
          <w:numId w:val="42"/>
        </w:numPr>
      </w:pPr>
      <w:bookmarkStart w:id="14" w:name="_Toc192833959"/>
      <w:r w:rsidRPr="00724B0E">
        <w:t xml:space="preserve">Kazalniki </w:t>
      </w:r>
      <w:r w:rsidR="005E7C19">
        <w:t xml:space="preserve">v povezavi </w:t>
      </w:r>
      <w:r w:rsidR="004A5157">
        <w:t xml:space="preserve">z </w:t>
      </w:r>
      <w:r w:rsidR="005E7C19">
        <w:t>ukrepi</w:t>
      </w:r>
      <w:bookmarkEnd w:id="14"/>
    </w:p>
    <w:p w14:paraId="3540BFF0" w14:textId="764E421C" w:rsidR="00AB5592" w:rsidRDefault="004425C3" w:rsidP="000A2EFE">
      <w:pPr>
        <w:jc w:val="both"/>
      </w:pPr>
      <w:r w:rsidRPr="00CC3768">
        <w:t xml:space="preserve">Osnovni </w:t>
      </w:r>
      <w:r>
        <w:t xml:space="preserve">namen kazalnikov je spremljanje, vrednotenje in izboljšanje učinkovitosti, uspešnosti ter doseganje ciljev </w:t>
      </w:r>
      <w:r w:rsidR="005F427A">
        <w:t>Načrta</w:t>
      </w:r>
      <w:r>
        <w:t xml:space="preserve">. </w:t>
      </w:r>
      <w:r w:rsidR="005F427A">
        <w:t xml:space="preserve">Z njimi </w:t>
      </w:r>
      <w:r>
        <w:t>merimo napredek pri doseganju ciljev</w:t>
      </w:r>
      <w:r w:rsidR="005F427A">
        <w:t xml:space="preserve"> in dobimo</w:t>
      </w:r>
      <w:r>
        <w:t xml:space="preserve"> vpogled v to, katere ukrepe bi bilo </w:t>
      </w:r>
      <w:r w:rsidR="00CC3768">
        <w:t xml:space="preserve">treba </w:t>
      </w:r>
      <w:r>
        <w:t>izboljšati, prilagoditi, spremeniti</w:t>
      </w:r>
      <w:r w:rsidR="005F427A">
        <w:t xml:space="preserve"> ali dodati</w:t>
      </w:r>
      <w:r w:rsidR="00897169">
        <w:t>.</w:t>
      </w:r>
      <w:r w:rsidR="005F427A">
        <w:t xml:space="preserve"> Prispevajo k</w:t>
      </w:r>
      <w:r w:rsidR="00764F9A">
        <w:t xml:space="preserve"> </w:t>
      </w:r>
      <w:r w:rsidR="005F427A" w:rsidRPr="004425C3">
        <w:t>večj</w:t>
      </w:r>
      <w:r w:rsidR="005F427A">
        <w:t>i</w:t>
      </w:r>
      <w:r w:rsidR="005F427A" w:rsidRPr="004425C3">
        <w:t xml:space="preserve"> osredotočenost</w:t>
      </w:r>
      <w:r w:rsidR="005F427A">
        <w:t>i</w:t>
      </w:r>
      <w:r w:rsidR="005F427A" w:rsidRPr="004425C3">
        <w:t xml:space="preserve"> na rezultate</w:t>
      </w:r>
      <w:r w:rsidR="005F427A">
        <w:t xml:space="preserve"> in do</w:t>
      </w:r>
      <w:r w:rsidR="00CC3768">
        <w:t xml:space="preserve"> določene mere</w:t>
      </w:r>
      <w:r>
        <w:t xml:space="preserve"> </w:t>
      </w:r>
      <w:r w:rsidR="00CC3768">
        <w:t>m</w:t>
      </w:r>
      <w:r>
        <w:t xml:space="preserve">erijo napredek pri </w:t>
      </w:r>
      <w:r w:rsidR="005F427A">
        <w:t>dobrem upravljanju ter krepiti zmogljivosti za učinkovito upravljanje skladov EU</w:t>
      </w:r>
      <w:r w:rsidR="00AB38A4">
        <w:t>.</w:t>
      </w:r>
    </w:p>
    <w:p w14:paraId="251E64FA" w14:textId="77777777" w:rsidR="00AB5592" w:rsidRDefault="00AB5592" w:rsidP="001D7C5E">
      <w:pPr>
        <w:spacing w:after="0"/>
        <w:jc w:val="center"/>
        <w:rPr>
          <w:rFonts w:eastAsia="Times New Roman" w:cstheme="minorHAnsi"/>
          <w:b/>
          <w:bCs/>
          <w:color w:val="000000"/>
          <w:lang w:eastAsia="sl-SI"/>
        </w:rPr>
        <w:sectPr w:rsidR="00AB5592" w:rsidSect="00AB5592">
          <w:footerReference w:type="default" r:id="rId12"/>
          <w:pgSz w:w="11906" w:h="16838"/>
          <w:pgMar w:top="1417" w:right="1417" w:bottom="1417" w:left="1417" w:header="708" w:footer="708" w:gutter="0"/>
          <w:cols w:space="708"/>
          <w:docGrid w:linePitch="360"/>
        </w:sectPr>
      </w:pPr>
    </w:p>
    <w:tbl>
      <w:tblP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2027"/>
        <w:gridCol w:w="3395"/>
        <w:gridCol w:w="856"/>
        <w:gridCol w:w="850"/>
        <w:gridCol w:w="992"/>
        <w:gridCol w:w="1985"/>
        <w:gridCol w:w="992"/>
        <w:gridCol w:w="2547"/>
      </w:tblGrid>
      <w:tr w:rsidR="00837797" w:rsidRPr="00BA16C9" w14:paraId="1001D694" w14:textId="77777777" w:rsidTr="00541924">
        <w:trPr>
          <w:trHeight w:val="518"/>
        </w:trPr>
        <w:tc>
          <w:tcPr>
            <w:tcW w:w="14024" w:type="dxa"/>
            <w:gridSpan w:val="9"/>
            <w:shd w:val="clear" w:color="000000" w:fill="00B0F0"/>
            <w:vAlign w:val="center"/>
            <w:hideMark/>
          </w:tcPr>
          <w:p w14:paraId="3CCFEE9D" w14:textId="3AFE6A53" w:rsidR="00837797" w:rsidRPr="00A56BDD" w:rsidRDefault="00837797" w:rsidP="001D7C5E">
            <w:pPr>
              <w:spacing w:after="0"/>
              <w:jc w:val="center"/>
              <w:rPr>
                <w:rFonts w:eastAsia="Times New Roman" w:cstheme="minorHAnsi"/>
                <w:b/>
                <w:bCs/>
                <w:color w:val="000000"/>
                <w:lang w:eastAsia="sl-SI"/>
              </w:rPr>
            </w:pPr>
            <w:r w:rsidRPr="00A56BDD">
              <w:rPr>
                <w:rFonts w:eastAsia="Times New Roman" w:cstheme="minorHAnsi"/>
                <w:b/>
                <w:bCs/>
                <w:color w:val="000000"/>
                <w:lang w:eastAsia="sl-SI"/>
              </w:rPr>
              <w:lastRenderedPageBreak/>
              <w:t xml:space="preserve">Steber 1. </w:t>
            </w:r>
            <w:r w:rsidRPr="00837797">
              <w:rPr>
                <w:rFonts w:eastAsia="Times New Roman" w:cstheme="minorHAnsi"/>
                <w:b/>
                <w:bCs/>
                <w:color w:val="000000"/>
                <w:lang w:eastAsia="sl-SI"/>
              </w:rPr>
              <w:t>Upravljanje ljudi v organizacijski strukturi</w:t>
            </w:r>
          </w:p>
        </w:tc>
      </w:tr>
      <w:tr w:rsidR="00CC3768" w:rsidRPr="00BA16C9" w14:paraId="0992FC34" w14:textId="77777777" w:rsidTr="000B080A">
        <w:trPr>
          <w:trHeight w:val="437"/>
        </w:trPr>
        <w:tc>
          <w:tcPr>
            <w:tcW w:w="380" w:type="dxa"/>
            <w:shd w:val="clear" w:color="auto" w:fill="auto"/>
            <w:vAlign w:val="center"/>
            <w:hideMark/>
          </w:tcPr>
          <w:p w14:paraId="3191A191"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 </w:t>
            </w:r>
          </w:p>
        </w:tc>
        <w:tc>
          <w:tcPr>
            <w:tcW w:w="2027" w:type="dxa"/>
            <w:shd w:val="clear" w:color="auto" w:fill="auto"/>
            <w:vAlign w:val="center"/>
            <w:hideMark/>
          </w:tcPr>
          <w:p w14:paraId="3AEFFB30"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Ukrep</w:t>
            </w:r>
          </w:p>
        </w:tc>
        <w:tc>
          <w:tcPr>
            <w:tcW w:w="3395" w:type="dxa"/>
            <w:shd w:val="clear" w:color="auto" w:fill="auto"/>
            <w:vAlign w:val="center"/>
            <w:hideMark/>
          </w:tcPr>
          <w:p w14:paraId="20C57E19" w14:textId="5DE2E37A" w:rsidR="00CC3768" w:rsidRPr="00BA16C9" w:rsidRDefault="00CC3768" w:rsidP="00CC3768">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Aktivnost</w:t>
            </w:r>
          </w:p>
        </w:tc>
        <w:tc>
          <w:tcPr>
            <w:tcW w:w="856" w:type="dxa"/>
            <w:shd w:val="clear" w:color="auto" w:fill="auto"/>
            <w:vAlign w:val="center"/>
            <w:hideMark/>
          </w:tcPr>
          <w:p w14:paraId="538356C1"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Odgovornost za izvedbo</w:t>
            </w:r>
          </w:p>
        </w:tc>
        <w:tc>
          <w:tcPr>
            <w:tcW w:w="850" w:type="dxa"/>
            <w:shd w:val="clear" w:color="auto" w:fill="auto"/>
            <w:vAlign w:val="center"/>
            <w:hideMark/>
          </w:tcPr>
          <w:p w14:paraId="70A40380"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Sodelujoči deležniki</w:t>
            </w:r>
          </w:p>
        </w:tc>
        <w:tc>
          <w:tcPr>
            <w:tcW w:w="992" w:type="dxa"/>
            <w:shd w:val="clear" w:color="auto" w:fill="auto"/>
            <w:vAlign w:val="center"/>
            <w:hideMark/>
          </w:tcPr>
          <w:p w14:paraId="5F273A16" w14:textId="77777777" w:rsidR="00CC3768" w:rsidRPr="00BA16C9" w:rsidRDefault="00CC3768" w:rsidP="001D7C5E">
            <w:pPr>
              <w:spacing w:after="0"/>
              <w:jc w:val="center"/>
              <w:rPr>
                <w:rFonts w:eastAsia="Times New Roman" w:cstheme="minorHAnsi"/>
                <w:b/>
                <w:bCs/>
                <w:color w:val="000000"/>
                <w:sz w:val="12"/>
                <w:szCs w:val="12"/>
                <w:lang w:eastAsia="sl-SI"/>
              </w:rPr>
            </w:pPr>
            <w:proofErr w:type="spellStart"/>
            <w:r w:rsidRPr="00BA16C9">
              <w:rPr>
                <w:rFonts w:eastAsia="Times New Roman" w:cstheme="minorHAnsi"/>
                <w:b/>
                <w:bCs/>
                <w:color w:val="000000"/>
                <w:sz w:val="12"/>
                <w:szCs w:val="12"/>
                <w:lang w:eastAsia="sl-SI"/>
              </w:rPr>
              <w:t>Časovnica</w:t>
            </w:r>
            <w:proofErr w:type="spellEnd"/>
          </w:p>
        </w:tc>
        <w:tc>
          <w:tcPr>
            <w:tcW w:w="1985" w:type="dxa"/>
            <w:shd w:val="clear" w:color="auto" w:fill="auto"/>
            <w:vAlign w:val="center"/>
            <w:hideMark/>
          </w:tcPr>
          <w:p w14:paraId="7EEC501B"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992" w:type="dxa"/>
            <w:shd w:val="clear" w:color="auto" w:fill="auto"/>
            <w:vAlign w:val="center"/>
            <w:hideMark/>
          </w:tcPr>
          <w:p w14:paraId="4ACA0E26" w14:textId="77777777" w:rsidR="00CC3768" w:rsidRPr="00BA16C9"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Vir financiranja (če relevantno)</w:t>
            </w:r>
          </w:p>
        </w:tc>
        <w:tc>
          <w:tcPr>
            <w:tcW w:w="2547" w:type="dxa"/>
            <w:shd w:val="clear" w:color="auto" w:fill="auto"/>
            <w:vAlign w:val="center"/>
            <w:hideMark/>
          </w:tcPr>
          <w:p w14:paraId="448DA8D6" w14:textId="77777777" w:rsidR="00CC3768" w:rsidRPr="00BA16C9" w:rsidRDefault="00CC3768" w:rsidP="001D7C5E">
            <w:pPr>
              <w:spacing w:after="0"/>
              <w:jc w:val="center"/>
              <w:rPr>
                <w:rFonts w:eastAsia="Times New Roman" w:cstheme="minorHAnsi"/>
                <w:b/>
                <w:bCs/>
                <w:color w:val="000000"/>
                <w:sz w:val="12"/>
                <w:szCs w:val="12"/>
                <w:lang w:eastAsia="sl-SI"/>
              </w:rPr>
            </w:pPr>
            <w:r>
              <w:rPr>
                <w:rFonts w:eastAsia="Times New Roman" w:cstheme="minorHAnsi"/>
                <w:b/>
                <w:bCs/>
                <w:color w:val="000000"/>
                <w:sz w:val="12"/>
                <w:szCs w:val="12"/>
                <w:lang w:eastAsia="sl-SI"/>
              </w:rPr>
              <w:t xml:space="preserve">Kazalnik </w:t>
            </w:r>
            <w:r w:rsidRPr="00C67A2C">
              <w:rPr>
                <w:rFonts w:eastAsia="Times New Roman" w:cstheme="minorHAnsi"/>
                <w:b/>
                <w:bCs/>
                <w:color w:val="000000"/>
                <w:sz w:val="12"/>
                <w:szCs w:val="12"/>
                <w:lang w:eastAsia="sl-SI"/>
              </w:rPr>
              <w:t>(če relevantno)</w:t>
            </w:r>
          </w:p>
        </w:tc>
      </w:tr>
      <w:tr w:rsidR="00541924" w:rsidRPr="00BA16C9" w14:paraId="0DA5E91A" w14:textId="77777777" w:rsidTr="000B080A">
        <w:trPr>
          <w:trHeight w:val="437"/>
        </w:trPr>
        <w:tc>
          <w:tcPr>
            <w:tcW w:w="380" w:type="dxa"/>
            <w:shd w:val="clear" w:color="auto" w:fill="auto"/>
            <w:vAlign w:val="center"/>
          </w:tcPr>
          <w:p w14:paraId="60D7D23F"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2027" w:type="dxa"/>
            <w:shd w:val="clear" w:color="auto" w:fill="auto"/>
            <w:vAlign w:val="center"/>
          </w:tcPr>
          <w:p w14:paraId="52A99F37"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3395" w:type="dxa"/>
            <w:shd w:val="clear" w:color="auto" w:fill="auto"/>
            <w:vAlign w:val="center"/>
          </w:tcPr>
          <w:p w14:paraId="504DE323" w14:textId="77777777" w:rsidR="00541924" w:rsidRPr="00BA16C9" w:rsidRDefault="00541924" w:rsidP="00CC3768">
            <w:pPr>
              <w:spacing w:after="0"/>
              <w:jc w:val="center"/>
              <w:rPr>
                <w:rFonts w:eastAsia="Times New Roman" w:cstheme="minorHAnsi"/>
                <w:b/>
                <w:bCs/>
                <w:color w:val="000000"/>
                <w:sz w:val="12"/>
                <w:szCs w:val="12"/>
                <w:lang w:eastAsia="sl-SI"/>
              </w:rPr>
            </w:pPr>
          </w:p>
        </w:tc>
        <w:tc>
          <w:tcPr>
            <w:tcW w:w="856" w:type="dxa"/>
            <w:shd w:val="clear" w:color="auto" w:fill="auto"/>
            <w:vAlign w:val="center"/>
          </w:tcPr>
          <w:p w14:paraId="570F8D9B"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850" w:type="dxa"/>
            <w:shd w:val="clear" w:color="auto" w:fill="auto"/>
            <w:vAlign w:val="center"/>
          </w:tcPr>
          <w:p w14:paraId="0AB84FA0"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992" w:type="dxa"/>
            <w:shd w:val="clear" w:color="auto" w:fill="auto"/>
            <w:vAlign w:val="center"/>
          </w:tcPr>
          <w:p w14:paraId="5BD35835"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1985" w:type="dxa"/>
            <w:shd w:val="clear" w:color="auto" w:fill="auto"/>
            <w:vAlign w:val="center"/>
          </w:tcPr>
          <w:p w14:paraId="55EBD41A"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992" w:type="dxa"/>
            <w:shd w:val="clear" w:color="auto" w:fill="auto"/>
            <w:vAlign w:val="center"/>
          </w:tcPr>
          <w:p w14:paraId="5334C408" w14:textId="77777777" w:rsidR="00541924" w:rsidRPr="00BA16C9" w:rsidRDefault="00541924" w:rsidP="001D7C5E">
            <w:pPr>
              <w:spacing w:after="0"/>
              <w:jc w:val="center"/>
              <w:rPr>
                <w:rFonts w:eastAsia="Times New Roman" w:cstheme="minorHAnsi"/>
                <w:b/>
                <w:bCs/>
                <w:color w:val="000000"/>
                <w:sz w:val="12"/>
                <w:szCs w:val="12"/>
                <w:lang w:eastAsia="sl-SI"/>
              </w:rPr>
            </w:pPr>
          </w:p>
        </w:tc>
        <w:tc>
          <w:tcPr>
            <w:tcW w:w="2547" w:type="dxa"/>
            <w:shd w:val="clear" w:color="auto" w:fill="auto"/>
            <w:vAlign w:val="center"/>
          </w:tcPr>
          <w:p w14:paraId="2A5157E6" w14:textId="77777777" w:rsidR="00541924" w:rsidRDefault="00541924" w:rsidP="001D7C5E">
            <w:pPr>
              <w:spacing w:after="0"/>
              <w:jc w:val="center"/>
              <w:rPr>
                <w:rFonts w:eastAsia="Times New Roman" w:cstheme="minorHAnsi"/>
                <w:b/>
                <w:bCs/>
                <w:color w:val="000000"/>
                <w:sz w:val="12"/>
                <w:szCs w:val="12"/>
                <w:lang w:eastAsia="sl-SI"/>
              </w:rPr>
            </w:pPr>
          </w:p>
        </w:tc>
      </w:tr>
      <w:tr w:rsidR="0055130F" w:rsidRPr="00BA16C9" w14:paraId="0DB50E60" w14:textId="77777777" w:rsidTr="000B080A">
        <w:trPr>
          <w:trHeight w:val="1764"/>
        </w:trPr>
        <w:tc>
          <w:tcPr>
            <w:tcW w:w="380" w:type="dxa"/>
            <w:shd w:val="clear" w:color="auto" w:fill="auto"/>
            <w:vAlign w:val="center"/>
            <w:hideMark/>
          </w:tcPr>
          <w:p w14:paraId="66E1FDED"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1.1.</w:t>
            </w:r>
          </w:p>
        </w:tc>
        <w:tc>
          <w:tcPr>
            <w:tcW w:w="2027" w:type="dxa"/>
            <w:shd w:val="clear" w:color="auto" w:fill="auto"/>
            <w:vAlign w:val="center"/>
            <w:hideMark/>
          </w:tcPr>
          <w:p w14:paraId="06D75F4B" w14:textId="45CF2CA9"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U</w:t>
            </w:r>
            <w:r w:rsidRPr="00BA16C9">
              <w:rPr>
                <w:rFonts w:eastAsia="Times New Roman" w:cstheme="minorHAnsi"/>
                <w:color w:val="000000"/>
                <w:sz w:val="12"/>
                <w:szCs w:val="12"/>
                <w:lang w:eastAsia="sl-SI"/>
              </w:rPr>
              <w:t>vajanje novo zaposlenih</w:t>
            </w:r>
            <w:r w:rsidR="005738F9">
              <w:rPr>
                <w:rFonts w:eastAsia="Times New Roman" w:cstheme="minorHAnsi"/>
                <w:color w:val="000000"/>
                <w:sz w:val="12"/>
                <w:szCs w:val="12"/>
                <w:lang w:eastAsia="sl-SI"/>
              </w:rPr>
              <w:t>.</w:t>
            </w:r>
          </w:p>
        </w:tc>
        <w:tc>
          <w:tcPr>
            <w:tcW w:w="3395" w:type="dxa"/>
            <w:shd w:val="clear" w:color="auto" w:fill="auto"/>
            <w:vAlign w:val="center"/>
            <w:hideMark/>
          </w:tcPr>
          <w:p w14:paraId="40AEDDC7" w14:textId="090398E7"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w:t>
            </w:r>
            <w:r w:rsidRPr="00BA16C9">
              <w:rPr>
                <w:rFonts w:eastAsia="Times New Roman" w:cstheme="minorHAnsi"/>
                <w:color w:val="000000"/>
                <w:sz w:val="12"/>
                <w:szCs w:val="12"/>
                <w:lang w:eastAsia="sl-SI"/>
              </w:rPr>
              <w:t xml:space="preserve">riprava programa </w:t>
            </w:r>
            <w:r>
              <w:rPr>
                <w:rFonts w:eastAsia="Times New Roman" w:cstheme="minorHAnsi"/>
                <w:color w:val="000000"/>
                <w:sz w:val="12"/>
                <w:szCs w:val="12"/>
                <w:lang w:eastAsia="sl-SI"/>
              </w:rPr>
              <w:t>uvajanja in gradiv</w:t>
            </w:r>
            <w:r w:rsidRPr="00BA16C9">
              <w:rPr>
                <w:rFonts w:eastAsia="Times New Roman" w:cstheme="minorHAnsi"/>
                <w:color w:val="000000"/>
                <w:sz w:val="12"/>
                <w:szCs w:val="12"/>
                <w:lang w:eastAsia="sl-SI"/>
              </w:rPr>
              <w:t xml:space="preserve"> za pripravnike oz. novo zaposlen</w:t>
            </w:r>
            <w:r>
              <w:rPr>
                <w:rFonts w:eastAsia="Times New Roman" w:cstheme="minorHAnsi"/>
                <w:color w:val="000000"/>
                <w:sz w:val="12"/>
                <w:szCs w:val="12"/>
                <w:lang w:eastAsia="sl-SI"/>
              </w:rPr>
              <w:t>e.</w:t>
            </w:r>
          </w:p>
        </w:tc>
        <w:tc>
          <w:tcPr>
            <w:tcW w:w="856" w:type="dxa"/>
            <w:shd w:val="clear" w:color="auto" w:fill="auto"/>
            <w:vAlign w:val="center"/>
            <w:hideMark/>
          </w:tcPr>
          <w:p w14:paraId="0F7EF031"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0" w:type="dxa"/>
            <w:shd w:val="clear" w:color="auto" w:fill="auto"/>
            <w:vAlign w:val="center"/>
            <w:hideMark/>
          </w:tcPr>
          <w:p w14:paraId="13D13390" w14:textId="329D31A6"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OU, PT</w:t>
            </w:r>
          </w:p>
        </w:tc>
        <w:tc>
          <w:tcPr>
            <w:tcW w:w="992" w:type="dxa"/>
            <w:shd w:val="clear" w:color="auto" w:fill="auto"/>
            <w:vAlign w:val="center"/>
            <w:hideMark/>
          </w:tcPr>
          <w:p w14:paraId="5BB3D1C9" w14:textId="50A3DFEC"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1985" w:type="dxa"/>
            <w:shd w:val="clear" w:color="auto" w:fill="auto"/>
            <w:vAlign w:val="center"/>
            <w:hideMark/>
          </w:tcPr>
          <w:p w14:paraId="1C83E7E2" w14:textId="432F907A"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 xml:space="preserve">Zagotovitev strokovno usposobljenega kadra za izvajanje nalog </w:t>
            </w:r>
            <w:r w:rsidR="000E6323">
              <w:rPr>
                <w:rFonts w:eastAsia="Times New Roman" w:cstheme="minorHAnsi"/>
                <w:color w:val="000000"/>
                <w:sz w:val="12"/>
                <w:szCs w:val="12"/>
                <w:lang w:eastAsia="sl-SI"/>
              </w:rPr>
              <w:t>OU in PT.</w:t>
            </w:r>
          </w:p>
        </w:tc>
        <w:tc>
          <w:tcPr>
            <w:tcW w:w="992" w:type="dxa"/>
            <w:shd w:val="clear" w:color="auto" w:fill="auto"/>
            <w:vAlign w:val="center"/>
            <w:hideMark/>
          </w:tcPr>
          <w:p w14:paraId="0B63971B"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hideMark/>
          </w:tcPr>
          <w:p w14:paraId="06A89DA9" w14:textId="4803E013"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 program usposabljanja za pripravnike/novo</w:t>
            </w:r>
            <w:r w:rsidR="000E632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zaposlene</w:t>
            </w:r>
            <w:r w:rsidR="00363392">
              <w:rPr>
                <w:rFonts w:eastAsia="Times New Roman" w:cstheme="minorHAnsi"/>
                <w:color w:val="000000"/>
                <w:sz w:val="12"/>
                <w:szCs w:val="12"/>
                <w:lang w:eastAsia="sl-SI"/>
              </w:rPr>
              <w:t>.</w:t>
            </w:r>
            <w:r w:rsidRPr="00BA16C9">
              <w:rPr>
                <w:rFonts w:eastAsia="Times New Roman" w:cstheme="minorHAnsi"/>
                <w:color w:val="000000"/>
                <w:sz w:val="12"/>
                <w:szCs w:val="12"/>
                <w:lang w:eastAsia="sl-SI"/>
              </w:rPr>
              <w:t> </w:t>
            </w:r>
          </w:p>
        </w:tc>
      </w:tr>
      <w:tr w:rsidR="0055130F" w:rsidRPr="00BA16C9" w14:paraId="22F02A59" w14:textId="77777777" w:rsidTr="000B080A">
        <w:trPr>
          <w:trHeight w:val="1841"/>
        </w:trPr>
        <w:tc>
          <w:tcPr>
            <w:tcW w:w="380" w:type="dxa"/>
            <w:shd w:val="clear" w:color="auto" w:fill="auto"/>
            <w:vAlign w:val="center"/>
            <w:hideMark/>
          </w:tcPr>
          <w:p w14:paraId="75F53244"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1.2.</w:t>
            </w:r>
          </w:p>
        </w:tc>
        <w:tc>
          <w:tcPr>
            <w:tcW w:w="2027" w:type="dxa"/>
            <w:shd w:val="clear" w:color="auto" w:fill="auto"/>
            <w:vAlign w:val="center"/>
            <w:hideMark/>
          </w:tcPr>
          <w:p w14:paraId="5A966026" w14:textId="682D6769"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Strokovna usposabljanja</w:t>
            </w:r>
            <w:r>
              <w:rPr>
                <w:rFonts w:eastAsia="Times New Roman" w:cstheme="minorHAnsi"/>
                <w:color w:val="000000"/>
                <w:sz w:val="12"/>
                <w:szCs w:val="12"/>
                <w:lang w:eastAsia="sl-SI"/>
              </w:rPr>
              <w:t xml:space="preserve"> za zaposlene na OU in PT za učinkovito </w:t>
            </w:r>
            <w:r w:rsidRPr="00EE3362">
              <w:rPr>
                <w:rFonts w:eastAsia="Times New Roman" w:cstheme="minorHAnsi"/>
                <w:color w:val="000000"/>
                <w:sz w:val="12"/>
                <w:szCs w:val="12"/>
                <w:lang w:eastAsia="sl-SI"/>
              </w:rPr>
              <w:t>izvajanje evropske kohezijske politike</w:t>
            </w:r>
            <w:r w:rsidR="005738F9">
              <w:rPr>
                <w:rFonts w:eastAsia="Times New Roman" w:cstheme="minorHAnsi"/>
                <w:color w:val="000000"/>
                <w:sz w:val="12"/>
                <w:szCs w:val="12"/>
                <w:lang w:eastAsia="sl-SI"/>
              </w:rPr>
              <w:t>.</w:t>
            </w:r>
          </w:p>
        </w:tc>
        <w:tc>
          <w:tcPr>
            <w:tcW w:w="3395" w:type="dxa"/>
            <w:shd w:val="clear" w:color="auto" w:fill="auto"/>
            <w:vAlign w:val="center"/>
            <w:hideMark/>
          </w:tcPr>
          <w:p w14:paraId="795B093E" w14:textId="461FA90B"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Omogočiti zaposlenim k</w:t>
            </w:r>
            <w:r>
              <w:rPr>
                <w:rFonts w:eastAsia="Times New Roman" w:cstheme="minorHAnsi"/>
                <w:color w:val="000000"/>
                <w:sz w:val="12"/>
                <w:szCs w:val="12"/>
                <w:lang w:eastAsia="sl-SI"/>
              </w:rPr>
              <w:t>akovostna</w:t>
            </w:r>
            <w:r w:rsidRPr="00BA16C9">
              <w:rPr>
                <w:rFonts w:eastAsia="Times New Roman" w:cstheme="minorHAnsi"/>
                <w:color w:val="000000"/>
                <w:sz w:val="12"/>
                <w:szCs w:val="12"/>
                <w:lang w:eastAsia="sl-SI"/>
              </w:rPr>
              <w:t xml:space="preserve"> strokovna usposabljanja in izobraževanja</w:t>
            </w:r>
            <w:r>
              <w:rPr>
                <w:rFonts w:eastAsia="Times New Roman" w:cstheme="minorHAnsi"/>
                <w:color w:val="000000"/>
                <w:sz w:val="12"/>
                <w:szCs w:val="12"/>
                <w:lang w:eastAsia="sl-SI"/>
              </w:rPr>
              <w:t xml:space="preserve"> tako na področjih, kjer so bila zaznana tveganja, kot na novih področjih, </w:t>
            </w:r>
            <w:r w:rsidRPr="00BA16C9">
              <w:rPr>
                <w:rFonts w:eastAsia="Times New Roman" w:cstheme="minorHAnsi"/>
                <w:color w:val="000000"/>
                <w:sz w:val="12"/>
                <w:szCs w:val="12"/>
                <w:lang w:eastAsia="sl-SI"/>
              </w:rPr>
              <w:t>ter razvijanje spretnosti, izkušenj, tehničnih, upravlja</w:t>
            </w:r>
            <w:r>
              <w:rPr>
                <w:rFonts w:eastAsia="Times New Roman" w:cstheme="minorHAnsi"/>
                <w:color w:val="000000"/>
                <w:sz w:val="12"/>
                <w:szCs w:val="12"/>
                <w:lang w:eastAsia="sl-SI"/>
              </w:rPr>
              <w:t>v</w:t>
            </w:r>
            <w:r w:rsidRPr="00BA16C9">
              <w:rPr>
                <w:rFonts w:eastAsia="Times New Roman" w:cstheme="minorHAnsi"/>
                <w:color w:val="000000"/>
                <w:sz w:val="12"/>
                <w:szCs w:val="12"/>
                <w:lang w:eastAsia="sl-SI"/>
              </w:rPr>
              <w:t>skih in strateških zmogljivosti.</w:t>
            </w:r>
          </w:p>
        </w:tc>
        <w:tc>
          <w:tcPr>
            <w:tcW w:w="856" w:type="dxa"/>
            <w:shd w:val="clear" w:color="auto" w:fill="auto"/>
            <w:vAlign w:val="center"/>
            <w:hideMark/>
          </w:tcPr>
          <w:p w14:paraId="347E9A37" w14:textId="475C2ADE"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r w:rsidR="005A0783">
              <w:rPr>
                <w:rFonts w:eastAsia="Times New Roman" w:cstheme="minorHAnsi"/>
                <w:color w:val="000000"/>
                <w:sz w:val="12"/>
                <w:szCs w:val="12"/>
                <w:lang w:eastAsia="sl-SI"/>
              </w:rPr>
              <w:t>, PT</w:t>
            </w:r>
          </w:p>
        </w:tc>
        <w:tc>
          <w:tcPr>
            <w:tcW w:w="850" w:type="dxa"/>
            <w:shd w:val="clear" w:color="auto" w:fill="auto"/>
            <w:vAlign w:val="center"/>
            <w:hideMark/>
          </w:tcPr>
          <w:p w14:paraId="77EF1235" w14:textId="1FCF0C9B"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shd w:val="clear" w:color="auto" w:fill="auto"/>
            <w:vAlign w:val="center"/>
            <w:hideMark/>
          </w:tcPr>
          <w:p w14:paraId="299A807A" w14:textId="20FEB079"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hideMark/>
          </w:tcPr>
          <w:p w14:paraId="273FA0AA" w14:textId="12C67D1A"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 xml:space="preserve">Zagotovitev strokovno usposobljenega kadra za izvajanje nalog </w:t>
            </w:r>
            <w:r>
              <w:rPr>
                <w:rFonts w:eastAsia="Times New Roman" w:cstheme="minorHAnsi"/>
                <w:color w:val="000000"/>
                <w:sz w:val="12"/>
                <w:szCs w:val="12"/>
                <w:lang w:eastAsia="sl-SI"/>
              </w:rPr>
              <w:t>OU in PT</w:t>
            </w:r>
            <w:r w:rsidR="000E6323">
              <w:rPr>
                <w:rFonts w:eastAsia="Times New Roman" w:cstheme="minorHAnsi"/>
                <w:color w:val="000000"/>
                <w:sz w:val="12"/>
                <w:szCs w:val="12"/>
                <w:lang w:eastAsia="sl-SI"/>
              </w:rPr>
              <w:t>.</w:t>
            </w:r>
          </w:p>
        </w:tc>
        <w:tc>
          <w:tcPr>
            <w:tcW w:w="992" w:type="dxa"/>
            <w:shd w:val="clear" w:color="auto" w:fill="auto"/>
            <w:vAlign w:val="center"/>
            <w:hideMark/>
          </w:tcPr>
          <w:p w14:paraId="4F035327"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hideMark/>
          </w:tcPr>
          <w:p w14:paraId="25568735" w14:textId="0BD0783D" w:rsidR="0055130F" w:rsidRPr="00647E53" w:rsidRDefault="0055130F" w:rsidP="001D7C5E">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Število organiziranih usposabljanj</w:t>
            </w:r>
            <w:r w:rsidR="005738F9">
              <w:rPr>
                <w:rFonts w:eastAsia="Times New Roman" w:cstheme="minorHAnsi"/>
                <w:color w:val="000000"/>
                <w:sz w:val="12"/>
                <w:szCs w:val="12"/>
                <w:lang w:eastAsia="sl-SI"/>
              </w:rPr>
              <w:t>.</w:t>
            </w:r>
          </w:p>
          <w:p w14:paraId="5CED259D" w14:textId="77777777" w:rsidR="0055130F" w:rsidRDefault="0055130F" w:rsidP="00647E53">
            <w:pPr>
              <w:spacing w:after="0"/>
              <w:rPr>
                <w:rFonts w:eastAsia="Times New Roman" w:cstheme="minorHAnsi"/>
                <w:color w:val="000000"/>
                <w:sz w:val="12"/>
                <w:szCs w:val="12"/>
                <w:lang w:eastAsia="sl-SI"/>
              </w:rPr>
            </w:pPr>
          </w:p>
          <w:p w14:paraId="4D99DE40" w14:textId="696827C0" w:rsidR="0055130F" w:rsidRPr="00BA16C9" w:rsidRDefault="0055130F" w:rsidP="001D7C5E">
            <w:pPr>
              <w:spacing w:after="0"/>
              <w:jc w:val="center"/>
              <w:rPr>
                <w:rFonts w:eastAsia="Times New Roman" w:cstheme="minorHAnsi"/>
                <w:color w:val="000000"/>
                <w:sz w:val="12"/>
                <w:szCs w:val="12"/>
                <w:lang w:eastAsia="sl-SI"/>
              </w:rPr>
            </w:pPr>
          </w:p>
        </w:tc>
      </w:tr>
      <w:tr w:rsidR="0055130F" w:rsidRPr="00BA16C9" w14:paraId="4082C2FA" w14:textId="77777777" w:rsidTr="000B080A">
        <w:trPr>
          <w:trHeight w:val="408"/>
        </w:trPr>
        <w:tc>
          <w:tcPr>
            <w:tcW w:w="380" w:type="dxa"/>
            <w:shd w:val="clear" w:color="auto" w:fill="auto"/>
            <w:vAlign w:val="center"/>
            <w:hideMark/>
          </w:tcPr>
          <w:p w14:paraId="72955DCA" w14:textId="7777777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1.3.</w:t>
            </w:r>
          </w:p>
        </w:tc>
        <w:tc>
          <w:tcPr>
            <w:tcW w:w="2027" w:type="dxa"/>
            <w:shd w:val="clear" w:color="auto" w:fill="auto"/>
            <w:vAlign w:val="center"/>
            <w:hideMark/>
          </w:tcPr>
          <w:p w14:paraId="673BF6D5" w14:textId="30E50C00"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Profesionalni razvoj zaposlenih </w:t>
            </w:r>
            <w:r w:rsidRPr="00647E53">
              <w:rPr>
                <w:rFonts w:eastAsia="Times New Roman" w:cstheme="minorHAnsi"/>
                <w:sz w:val="12"/>
                <w:szCs w:val="12"/>
                <w:lang w:eastAsia="sl-SI"/>
              </w:rPr>
              <w:t xml:space="preserve">OU in PT za učinkovito izvajanje evropske </w:t>
            </w:r>
            <w:r w:rsidRPr="00EE3362">
              <w:rPr>
                <w:rFonts w:eastAsia="Times New Roman" w:cstheme="minorHAnsi"/>
                <w:color w:val="000000"/>
                <w:sz w:val="12"/>
                <w:szCs w:val="12"/>
                <w:lang w:eastAsia="sl-SI"/>
              </w:rPr>
              <w:t>kohezijske politike</w:t>
            </w:r>
            <w:r w:rsidR="005738F9">
              <w:rPr>
                <w:rFonts w:eastAsia="Times New Roman" w:cstheme="minorHAnsi"/>
                <w:color w:val="000000"/>
                <w:sz w:val="12"/>
                <w:szCs w:val="12"/>
                <w:lang w:eastAsia="sl-SI"/>
              </w:rPr>
              <w:t>.</w:t>
            </w:r>
          </w:p>
        </w:tc>
        <w:tc>
          <w:tcPr>
            <w:tcW w:w="3395" w:type="dxa"/>
            <w:shd w:val="clear" w:color="auto" w:fill="auto"/>
            <w:vAlign w:val="center"/>
            <w:hideMark/>
          </w:tcPr>
          <w:p w14:paraId="7D7F5F0C" w14:textId="561C9393" w:rsidR="00363392" w:rsidRPr="00BA16C9" w:rsidRDefault="00363392" w:rsidP="001D7C5E">
            <w:pPr>
              <w:spacing w:after="0"/>
              <w:jc w:val="center"/>
              <w:rPr>
                <w:rFonts w:eastAsia="Times New Roman" w:cstheme="minorHAnsi"/>
                <w:color w:val="000000"/>
                <w:sz w:val="12"/>
                <w:szCs w:val="12"/>
                <w:lang w:eastAsia="sl-SI"/>
              </w:rPr>
            </w:pPr>
            <w:r w:rsidRPr="00363392">
              <w:rPr>
                <w:rFonts w:eastAsia="Times New Roman" w:cstheme="minorHAnsi"/>
                <w:color w:val="000000"/>
                <w:sz w:val="12"/>
                <w:szCs w:val="12"/>
                <w:lang w:eastAsia="sl-SI"/>
              </w:rPr>
              <w:t>Priprava posebnega dokumenta namenjenega razvoju zaposlenih na organih, ki predstavljajo OU in PT (npr. akcijskega načrta za razvoj zaposlenih, strategije posameznega ministrstva, načrta izobraževanj, načrta izvajanja promocije zdravja na delovnem mestu ipd.), znotraj katerih so tudi zaposleni na področju evropske kohezijske politike.</w:t>
            </w:r>
          </w:p>
        </w:tc>
        <w:tc>
          <w:tcPr>
            <w:tcW w:w="856" w:type="dxa"/>
            <w:shd w:val="clear" w:color="auto" w:fill="auto"/>
            <w:vAlign w:val="center"/>
            <w:hideMark/>
          </w:tcPr>
          <w:p w14:paraId="1A6E380A" w14:textId="00F94ACA"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850" w:type="dxa"/>
            <w:shd w:val="clear" w:color="auto" w:fill="auto"/>
            <w:vAlign w:val="center"/>
            <w:hideMark/>
          </w:tcPr>
          <w:p w14:paraId="11689899" w14:textId="76B6E7E5"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shd w:val="clear" w:color="auto" w:fill="auto"/>
            <w:vAlign w:val="center"/>
            <w:hideMark/>
          </w:tcPr>
          <w:p w14:paraId="74B2EB90" w14:textId="2FE59A1B"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hideMark/>
          </w:tcPr>
          <w:p w14:paraId="0F03E62E" w14:textId="63BA0DAF"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w:t>
            </w:r>
            <w:r>
              <w:rPr>
                <w:rFonts w:eastAsia="Times New Roman" w:cstheme="minorHAnsi"/>
                <w:color w:val="000000"/>
                <w:sz w:val="12"/>
                <w:szCs w:val="12"/>
                <w:lang w:eastAsia="sl-SI"/>
              </w:rPr>
              <w:t xml:space="preserve"> in motiviranega </w:t>
            </w:r>
            <w:r w:rsidRPr="00BA16C9">
              <w:rPr>
                <w:rFonts w:eastAsia="Times New Roman" w:cstheme="minorHAnsi"/>
                <w:color w:val="000000"/>
                <w:sz w:val="12"/>
                <w:szCs w:val="12"/>
                <w:lang w:eastAsia="sl-SI"/>
              </w:rPr>
              <w:t xml:space="preserve">kadra za izvajanje nalog </w:t>
            </w:r>
            <w:r>
              <w:rPr>
                <w:rFonts w:eastAsia="Times New Roman" w:cstheme="minorHAnsi"/>
                <w:color w:val="000000"/>
                <w:sz w:val="12"/>
                <w:szCs w:val="12"/>
                <w:lang w:eastAsia="sl-SI"/>
              </w:rPr>
              <w:t>OU in PT</w:t>
            </w:r>
            <w:r w:rsidR="000E6323">
              <w:rPr>
                <w:rFonts w:eastAsia="Times New Roman" w:cstheme="minorHAnsi"/>
                <w:color w:val="000000"/>
                <w:sz w:val="12"/>
                <w:szCs w:val="12"/>
                <w:lang w:eastAsia="sl-SI"/>
              </w:rPr>
              <w:t>.</w:t>
            </w:r>
          </w:p>
        </w:tc>
        <w:tc>
          <w:tcPr>
            <w:tcW w:w="992" w:type="dxa"/>
            <w:shd w:val="clear" w:color="auto" w:fill="auto"/>
            <w:vAlign w:val="center"/>
            <w:hideMark/>
          </w:tcPr>
          <w:p w14:paraId="23A237B9" w14:textId="7A0B124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hideMark/>
          </w:tcPr>
          <w:p w14:paraId="214072D9" w14:textId="57A175B4"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Pripravljen </w:t>
            </w:r>
            <w:r w:rsidR="00363392">
              <w:rPr>
                <w:rFonts w:eastAsia="Times New Roman" w:cstheme="minorHAnsi"/>
                <w:color w:val="000000"/>
                <w:sz w:val="12"/>
                <w:szCs w:val="12"/>
                <w:lang w:eastAsia="sl-SI"/>
              </w:rPr>
              <w:t>dokument namenjen razvoju zaposlenih tako na OU kot PT</w:t>
            </w:r>
            <w:r w:rsidR="005738F9">
              <w:rPr>
                <w:rFonts w:eastAsia="Times New Roman" w:cstheme="minorHAnsi"/>
                <w:color w:val="000000"/>
                <w:sz w:val="12"/>
                <w:szCs w:val="12"/>
                <w:lang w:eastAsia="sl-SI"/>
              </w:rPr>
              <w:t>.</w:t>
            </w:r>
          </w:p>
        </w:tc>
      </w:tr>
      <w:tr w:rsidR="0055130F" w:rsidRPr="00BA16C9" w14:paraId="4EEABAB3" w14:textId="77777777" w:rsidTr="000B080A">
        <w:trPr>
          <w:trHeight w:val="408"/>
        </w:trPr>
        <w:tc>
          <w:tcPr>
            <w:tcW w:w="380" w:type="dxa"/>
            <w:shd w:val="clear" w:color="auto" w:fill="auto"/>
            <w:vAlign w:val="center"/>
          </w:tcPr>
          <w:p w14:paraId="2B477416" w14:textId="1E702FA6"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1.4.</w:t>
            </w:r>
          </w:p>
        </w:tc>
        <w:tc>
          <w:tcPr>
            <w:tcW w:w="2027" w:type="dxa"/>
            <w:shd w:val="clear" w:color="auto" w:fill="auto"/>
            <w:vAlign w:val="center"/>
          </w:tcPr>
          <w:p w14:paraId="6F3D2A82" w14:textId="5E0A2235" w:rsidR="0055130F" w:rsidRDefault="0060591D"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 predlog</w:t>
            </w:r>
            <w:r w:rsidR="0055130F" w:rsidRPr="00930030">
              <w:rPr>
                <w:rFonts w:eastAsia="Times New Roman" w:cstheme="minorHAnsi"/>
                <w:color w:val="000000"/>
                <w:sz w:val="12"/>
                <w:szCs w:val="12"/>
                <w:lang w:eastAsia="sl-SI"/>
              </w:rPr>
              <w:t xml:space="preserve"> vzpostavitve sistema mentorstva</w:t>
            </w:r>
            <w:r w:rsidR="005738F9">
              <w:rPr>
                <w:rFonts w:eastAsia="Times New Roman" w:cstheme="minorHAnsi"/>
                <w:color w:val="000000"/>
                <w:sz w:val="12"/>
                <w:szCs w:val="12"/>
                <w:lang w:eastAsia="sl-SI"/>
              </w:rPr>
              <w:t>.</w:t>
            </w:r>
          </w:p>
        </w:tc>
        <w:tc>
          <w:tcPr>
            <w:tcW w:w="3395" w:type="dxa"/>
            <w:shd w:val="clear" w:color="auto" w:fill="auto"/>
            <w:vAlign w:val="center"/>
          </w:tcPr>
          <w:p w14:paraId="1C67DFD1" w14:textId="70C8061D"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Preveriti pravne podlage in izvedbene možnosti za vzpostavitev sistema mentorstva znotraj OU za novo zaposlene</w:t>
            </w:r>
            <w:r w:rsidR="00897169">
              <w:rPr>
                <w:rFonts w:eastAsia="Times New Roman" w:cstheme="minorHAnsi"/>
                <w:color w:val="000000"/>
                <w:sz w:val="12"/>
                <w:szCs w:val="12"/>
                <w:lang w:eastAsia="sl-SI"/>
              </w:rPr>
              <w:t>.</w:t>
            </w:r>
          </w:p>
        </w:tc>
        <w:tc>
          <w:tcPr>
            <w:tcW w:w="856" w:type="dxa"/>
            <w:shd w:val="clear" w:color="auto" w:fill="auto"/>
            <w:vAlign w:val="center"/>
          </w:tcPr>
          <w:p w14:paraId="58022001" w14:textId="5821AEBD" w:rsidR="0055130F"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0" w:type="dxa"/>
            <w:shd w:val="clear" w:color="auto" w:fill="auto"/>
            <w:vAlign w:val="center"/>
          </w:tcPr>
          <w:p w14:paraId="6492A05A" w14:textId="1F397DA0" w:rsidR="0055130F"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992" w:type="dxa"/>
            <w:shd w:val="clear" w:color="auto" w:fill="auto"/>
            <w:vAlign w:val="center"/>
          </w:tcPr>
          <w:p w14:paraId="681E7C4D" w14:textId="20A99194"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74938D7B" w14:textId="73ABD819"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shd w:val="clear" w:color="auto" w:fill="auto"/>
            <w:vAlign w:val="center"/>
          </w:tcPr>
          <w:p w14:paraId="5BA79D05" w14:textId="4B03516E"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tcPr>
          <w:p w14:paraId="483FB40A" w14:textId="089F1F9B"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Pripravljena analiza potrebnih pravnih sprememb in izvedbenih možnosti za vzpostavitev sistema mentorstva.</w:t>
            </w:r>
          </w:p>
        </w:tc>
      </w:tr>
      <w:tr w:rsidR="0055130F" w:rsidRPr="00BA16C9" w14:paraId="394FDCCD" w14:textId="77777777" w:rsidTr="000B080A">
        <w:trPr>
          <w:trHeight w:val="408"/>
        </w:trPr>
        <w:tc>
          <w:tcPr>
            <w:tcW w:w="380" w:type="dxa"/>
            <w:shd w:val="clear" w:color="auto" w:fill="auto"/>
            <w:vAlign w:val="center"/>
          </w:tcPr>
          <w:p w14:paraId="737EC9FB" w14:textId="03573997"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1.5.</w:t>
            </w:r>
          </w:p>
        </w:tc>
        <w:tc>
          <w:tcPr>
            <w:tcW w:w="2027" w:type="dxa"/>
            <w:shd w:val="clear" w:color="auto" w:fill="auto"/>
            <w:vAlign w:val="center"/>
          </w:tcPr>
          <w:p w14:paraId="6217A83B" w14:textId="40EB84B8"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Profiliranje vlog v sitemu izvajanja evropske kohezijske politike.</w:t>
            </w:r>
          </w:p>
        </w:tc>
        <w:tc>
          <w:tcPr>
            <w:tcW w:w="3395" w:type="dxa"/>
            <w:shd w:val="clear" w:color="auto" w:fill="auto"/>
            <w:vAlign w:val="center"/>
          </w:tcPr>
          <w:p w14:paraId="7D9A46F1" w14:textId="5E3B9362" w:rsidR="0055130F" w:rsidRPr="00BA16C9" w:rsidRDefault="0055130F" w:rsidP="001D7C5E">
            <w:pPr>
              <w:spacing w:after="0"/>
              <w:jc w:val="center"/>
              <w:rPr>
                <w:rFonts w:eastAsia="Times New Roman" w:cstheme="minorHAnsi"/>
                <w:color w:val="000000"/>
                <w:sz w:val="12"/>
                <w:szCs w:val="12"/>
                <w:lang w:eastAsia="sl-SI"/>
              </w:rPr>
            </w:pPr>
            <w:r w:rsidRPr="00930030">
              <w:rPr>
                <w:rFonts w:eastAsia="Times New Roman" w:cstheme="minorHAnsi"/>
                <w:color w:val="000000"/>
                <w:sz w:val="12"/>
                <w:szCs w:val="12"/>
                <w:lang w:eastAsia="sl-SI"/>
              </w:rPr>
              <w:t xml:space="preserve">Opis posameznih </w:t>
            </w:r>
            <w:r>
              <w:rPr>
                <w:rFonts w:eastAsia="Times New Roman" w:cstheme="minorHAnsi"/>
                <w:color w:val="000000"/>
                <w:sz w:val="12"/>
                <w:szCs w:val="12"/>
                <w:lang w:eastAsia="sl-SI"/>
              </w:rPr>
              <w:t xml:space="preserve">ključnih </w:t>
            </w:r>
            <w:r w:rsidRPr="00930030">
              <w:rPr>
                <w:rFonts w:eastAsia="Times New Roman" w:cstheme="minorHAnsi"/>
                <w:color w:val="000000"/>
                <w:sz w:val="12"/>
                <w:szCs w:val="12"/>
                <w:lang w:eastAsia="sl-SI"/>
              </w:rPr>
              <w:t>profilov v sistemu</w:t>
            </w:r>
            <w:r>
              <w:rPr>
                <w:rFonts w:eastAsia="Times New Roman" w:cstheme="minorHAnsi"/>
                <w:color w:val="000000"/>
                <w:sz w:val="12"/>
                <w:szCs w:val="12"/>
                <w:lang w:eastAsia="sl-SI"/>
              </w:rPr>
              <w:t xml:space="preserve"> izvajanja evropske kohezijske politike</w:t>
            </w:r>
            <w:r w:rsidRPr="00930030">
              <w:rPr>
                <w:rFonts w:eastAsia="Times New Roman" w:cstheme="minorHAnsi"/>
                <w:color w:val="000000"/>
                <w:sz w:val="12"/>
                <w:szCs w:val="12"/>
                <w:lang w:eastAsia="sl-SI"/>
              </w:rPr>
              <w:t xml:space="preserve"> (npr. kontrolorji, potrjevalci vlog idr.) ter določitev obveznih usposabljanj za določen profil.</w:t>
            </w:r>
          </w:p>
        </w:tc>
        <w:tc>
          <w:tcPr>
            <w:tcW w:w="856" w:type="dxa"/>
            <w:shd w:val="clear" w:color="auto" w:fill="auto"/>
            <w:vAlign w:val="center"/>
          </w:tcPr>
          <w:p w14:paraId="22A0993E" w14:textId="48DB1BC7"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0" w:type="dxa"/>
            <w:shd w:val="clear" w:color="auto" w:fill="auto"/>
            <w:vAlign w:val="center"/>
          </w:tcPr>
          <w:p w14:paraId="0623A596" w14:textId="4A4B30D5"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shd w:val="clear" w:color="auto" w:fill="auto"/>
            <w:vAlign w:val="center"/>
          </w:tcPr>
          <w:p w14:paraId="2094189A" w14:textId="54D5F3A8"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1985" w:type="dxa"/>
            <w:shd w:val="clear" w:color="auto" w:fill="auto"/>
            <w:vAlign w:val="center"/>
          </w:tcPr>
          <w:p w14:paraId="6C808CC2" w14:textId="228E3C02"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shd w:val="clear" w:color="auto" w:fill="auto"/>
            <w:vAlign w:val="center"/>
          </w:tcPr>
          <w:p w14:paraId="1AA4CCE4" w14:textId="63174461"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tcPr>
          <w:p w14:paraId="3F54F536" w14:textId="30C349B8"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Pripravljena sistematizacija</w:t>
            </w:r>
            <w:r w:rsidRPr="00930030">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ključnih delovnih mest</w:t>
            </w:r>
            <w:r w:rsidRPr="00930030">
              <w:rPr>
                <w:rFonts w:eastAsia="Times New Roman" w:cstheme="minorHAnsi"/>
                <w:color w:val="000000"/>
                <w:sz w:val="12"/>
                <w:szCs w:val="12"/>
                <w:lang w:eastAsia="sl-SI"/>
              </w:rPr>
              <w:t xml:space="preserve"> v sistemu</w:t>
            </w:r>
            <w:r>
              <w:rPr>
                <w:rFonts w:eastAsia="Times New Roman" w:cstheme="minorHAnsi"/>
                <w:color w:val="000000"/>
                <w:sz w:val="12"/>
                <w:szCs w:val="12"/>
                <w:lang w:eastAsia="sl-SI"/>
              </w:rPr>
              <w:t xml:space="preserve"> izvajanja evropske kohezijske politike</w:t>
            </w:r>
            <w:r w:rsidRPr="00930030">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z določitvijo minimalnih</w:t>
            </w:r>
            <w:r w:rsidRPr="00930030">
              <w:rPr>
                <w:rFonts w:eastAsia="Times New Roman" w:cstheme="minorHAnsi"/>
                <w:color w:val="000000"/>
                <w:sz w:val="12"/>
                <w:szCs w:val="12"/>
                <w:lang w:eastAsia="sl-SI"/>
              </w:rPr>
              <w:t xml:space="preserve"> obveznih </w:t>
            </w:r>
            <w:r w:rsidR="00647E53">
              <w:rPr>
                <w:rFonts w:eastAsia="Times New Roman" w:cstheme="minorHAnsi"/>
                <w:color w:val="000000"/>
                <w:sz w:val="12"/>
                <w:szCs w:val="12"/>
                <w:lang w:eastAsia="sl-SI"/>
              </w:rPr>
              <w:t xml:space="preserve">znanj in pripadajočih </w:t>
            </w:r>
            <w:r w:rsidRPr="00930030">
              <w:rPr>
                <w:rFonts w:eastAsia="Times New Roman" w:cstheme="minorHAnsi"/>
                <w:color w:val="000000"/>
                <w:sz w:val="12"/>
                <w:szCs w:val="12"/>
                <w:lang w:eastAsia="sl-SI"/>
              </w:rPr>
              <w:t>usposabljanj.</w:t>
            </w:r>
          </w:p>
        </w:tc>
      </w:tr>
      <w:tr w:rsidR="0055130F" w:rsidRPr="00BA16C9" w14:paraId="45DB377B" w14:textId="77777777" w:rsidTr="000B080A">
        <w:trPr>
          <w:trHeight w:val="408"/>
        </w:trPr>
        <w:tc>
          <w:tcPr>
            <w:tcW w:w="380" w:type="dxa"/>
            <w:shd w:val="clear" w:color="auto" w:fill="auto"/>
            <w:vAlign w:val="center"/>
          </w:tcPr>
          <w:p w14:paraId="288953D6" w14:textId="3EAE1AE0"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1.6.</w:t>
            </w:r>
          </w:p>
        </w:tc>
        <w:tc>
          <w:tcPr>
            <w:tcW w:w="2027" w:type="dxa"/>
            <w:shd w:val="clear" w:color="auto" w:fill="auto"/>
            <w:vAlign w:val="center"/>
          </w:tcPr>
          <w:p w14:paraId="3761F270" w14:textId="3591F556" w:rsidR="0055130F" w:rsidRDefault="0055130F" w:rsidP="001D7C5E">
            <w:pPr>
              <w:spacing w:after="0"/>
              <w:jc w:val="center"/>
              <w:rPr>
                <w:rFonts w:eastAsia="Times New Roman" w:cstheme="minorHAnsi"/>
                <w:color w:val="000000"/>
                <w:sz w:val="12"/>
                <w:szCs w:val="12"/>
                <w:lang w:eastAsia="sl-SI"/>
              </w:rPr>
            </w:pPr>
            <w:r w:rsidRPr="004A5157">
              <w:rPr>
                <w:rFonts w:eastAsia="Times New Roman" w:cstheme="minorHAnsi"/>
                <w:color w:val="000000"/>
                <w:sz w:val="12"/>
                <w:szCs w:val="12"/>
                <w:lang w:eastAsia="sl-SI"/>
              </w:rPr>
              <w:t>Akademija Kohezija</w:t>
            </w:r>
            <w:r>
              <w:rPr>
                <w:rFonts w:eastAsia="Times New Roman" w:cstheme="minorHAnsi"/>
                <w:color w:val="000000"/>
                <w:sz w:val="12"/>
                <w:szCs w:val="12"/>
                <w:lang w:eastAsia="sl-SI"/>
              </w:rPr>
              <w:t xml:space="preserve">: </w:t>
            </w:r>
            <w:r w:rsidR="00CF33E8">
              <w:rPr>
                <w:rFonts w:eastAsia="Times New Roman" w:cstheme="minorHAnsi"/>
                <w:color w:val="000000"/>
                <w:sz w:val="12"/>
                <w:szCs w:val="12"/>
                <w:lang w:eastAsia="sl-SI"/>
              </w:rPr>
              <w:t>spletni</w:t>
            </w:r>
            <w:r w:rsidR="00647E5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sistem izobraževanja.</w:t>
            </w:r>
          </w:p>
        </w:tc>
        <w:tc>
          <w:tcPr>
            <w:tcW w:w="3395" w:type="dxa"/>
            <w:shd w:val="clear" w:color="auto" w:fill="auto"/>
            <w:vAlign w:val="center"/>
          </w:tcPr>
          <w:p w14:paraId="33B8B1C5" w14:textId="5A042A25" w:rsidR="0055130F" w:rsidRPr="00BA16C9"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S</w:t>
            </w:r>
            <w:r w:rsidRPr="004A5157">
              <w:rPr>
                <w:rFonts w:eastAsia="Times New Roman" w:cstheme="minorHAnsi"/>
                <w:color w:val="000000"/>
                <w:sz w:val="12"/>
                <w:szCs w:val="12"/>
                <w:lang w:eastAsia="sl-SI"/>
              </w:rPr>
              <w:t>pletni učni center, kjer so na voljo že izvedena izobraževanja, tematska izobraževanja, različna gradiva, posnetki</w:t>
            </w:r>
            <w:r>
              <w:rPr>
                <w:rFonts w:eastAsia="Times New Roman" w:cstheme="minorHAnsi"/>
                <w:color w:val="000000"/>
                <w:sz w:val="12"/>
                <w:szCs w:val="12"/>
                <w:lang w:eastAsia="sl-SI"/>
              </w:rPr>
              <w:t>, uvajalni paket</w:t>
            </w:r>
            <w:r w:rsidRPr="004A5157">
              <w:rPr>
                <w:rFonts w:eastAsia="Times New Roman" w:cstheme="minorHAnsi"/>
                <w:color w:val="000000"/>
                <w:sz w:val="12"/>
                <w:szCs w:val="12"/>
                <w:lang w:eastAsia="sl-SI"/>
              </w:rPr>
              <w:t xml:space="preserve"> ipd.</w:t>
            </w:r>
          </w:p>
        </w:tc>
        <w:tc>
          <w:tcPr>
            <w:tcW w:w="856" w:type="dxa"/>
            <w:shd w:val="clear" w:color="auto" w:fill="auto"/>
            <w:vAlign w:val="center"/>
          </w:tcPr>
          <w:p w14:paraId="4F889986" w14:textId="042FC7EB"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OU</w:t>
            </w:r>
          </w:p>
        </w:tc>
        <w:tc>
          <w:tcPr>
            <w:tcW w:w="850" w:type="dxa"/>
            <w:shd w:val="clear" w:color="auto" w:fill="auto"/>
            <w:vAlign w:val="center"/>
          </w:tcPr>
          <w:p w14:paraId="4676840B" w14:textId="6C5F03BF"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BA16C9">
              <w:rPr>
                <w:rFonts w:eastAsia="Times New Roman" w:cstheme="minorHAnsi"/>
                <w:color w:val="000000"/>
                <w:sz w:val="12"/>
                <w:szCs w:val="12"/>
                <w:lang w:eastAsia="sl-SI"/>
              </w:rPr>
              <w:t>P</w:t>
            </w:r>
            <w:r>
              <w:rPr>
                <w:rFonts w:eastAsia="Times New Roman" w:cstheme="minorHAnsi"/>
                <w:color w:val="000000"/>
                <w:sz w:val="12"/>
                <w:szCs w:val="12"/>
                <w:lang w:eastAsia="sl-SI"/>
              </w:rPr>
              <w:t>T</w:t>
            </w:r>
          </w:p>
        </w:tc>
        <w:tc>
          <w:tcPr>
            <w:tcW w:w="992" w:type="dxa"/>
            <w:shd w:val="clear" w:color="auto" w:fill="auto"/>
            <w:vAlign w:val="center"/>
          </w:tcPr>
          <w:p w14:paraId="4BB47615" w14:textId="6027063F"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6522E688" w14:textId="45A0D532"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Zagotovitev strokovno usposobljenega kadra za izvajanje nalog organa</w:t>
            </w:r>
            <w:r w:rsidR="000E6323">
              <w:rPr>
                <w:rFonts w:eastAsia="Times New Roman" w:cstheme="minorHAnsi"/>
                <w:color w:val="000000"/>
                <w:sz w:val="12"/>
                <w:szCs w:val="12"/>
                <w:lang w:eastAsia="sl-SI"/>
              </w:rPr>
              <w:t>.</w:t>
            </w:r>
          </w:p>
        </w:tc>
        <w:tc>
          <w:tcPr>
            <w:tcW w:w="992" w:type="dxa"/>
            <w:shd w:val="clear" w:color="auto" w:fill="auto"/>
            <w:vAlign w:val="center"/>
          </w:tcPr>
          <w:p w14:paraId="06F2E69F" w14:textId="69F789F6" w:rsidR="0055130F" w:rsidRPr="00BA16C9" w:rsidRDefault="0055130F" w:rsidP="001D7C5E">
            <w:pPr>
              <w:spacing w:after="0"/>
              <w:jc w:val="center"/>
              <w:rPr>
                <w:rFonts w:eastAsia="Times New Roman" w:cstheme="minorHAnsi"/>
                <w:color w:val="000000"/>
                <w:sz w:val="12"/>
                <w:szCs w:val="12"/>
                <w:lang w:eastAsia="sl-SI"/>
              </w:rPr>
            </w:pPr>
            <w:r w:rsidRPr="00BA16C9">
              <w:rPr>
                <w:rFonts w:eastAsia="Times New Roman" w:cstheme="minorHAnsi"/>
                <w:color w:val="000000"/>
                <w:sz w:val="12"/>
                <w:szCs w:val="12"/>
                <w:lang w:eastAsia="sl-SI"/>
              </w:rPr>
              <w:t>TP/nacionalno</w:t>
            </w:r>
          </w:p>
        </w:tc>
        <w:tc>
          <w:tcPr>
            <w:tcW w:w="2547" w:type="dxa"/>
            <w:shd w:val="clear" w:color="auto" w:fill="auto"/>
            <w:vAlign w:val="center"/>
          </w:tcPr>
          <w:p w14:paraId="2F8614DD" w14:textId="1392804D" w:rsidR="0055130F"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Vzpostavljen osnovni </w:t>
            </w:r>
            <w:r w:rsidR="00CF33E8">
              <w:rPr>
                <w:rFonts w:eastAsia="Times New Roman" w:cstheme="minorHAnsi"/>
                <w:color w:val="000000"/>
                <w:sz w:val="12"/>
                <w:szCs w:val="12"/>
                <w:lang w:eastAsia="sl-SI"/>
              </w:rPr>
              <w:t>spletni</w:t>
            </w:r>
            <w:r>
              <w:rPr>
                <w:rFonts w:eastAsia="Times New Roman" w:cstheme="minorHAnsi"/>
                <w:color w:val="000000"/>
                <w:sz w:val="12"/>
                <w:szCs w:val="12"/>
                <w:lang w:eastAsia="sl-SI"/>
              </w:rPr>
              <w:t xml:space="preserve"> sistem izobraževanja z možnostjo nadgradnje in dopolnjevanja. </w:t>
            </w:r>
          </w:p>
        </w:tc>
      </w:tr>
    </w:tbl>
    <w:p w14:paraId="1A14905B" w14:textId="77777777" w:rsidR="00AB5592" w:rsidRDefault="00AB5592" w:rsidP="00DB07BC">
      <w:pPr>
        <w:rPr>
          <w:b/>
        </w:rPr>
        <w:sectPr w:rsidR="00AB5592" w:rsidSect="00AB5592">
          <w:pgSz w:w="16838" w:h="11906" w:orient="landscape"/>
          <w:pgMar w:top="1418" w:right="1418" w:bottom="1418" w:left="1418" w:header="709" w:footer="709" w:gutter="0"/>
          <w:cols w:space="708"/>
          <w:docGrid w:linePitch="360"/>
        </w:sectPr>
      </w:pPr>
    </w:p>
    <w:p w14:paraId="43623C6A" w14:textId="77777777" w:rsidR="0070482A" w:rsidRDefault="0070482A" w:rsidP="00DB07BC">
      <w:pPr>
        <w:rPr>
          <w:b/>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0"/>
        <w:gridCol w:w="2117"/>
        <w:gridCol w:w="3402"/>
        <w:gridCol w:w="850"/>
        <w:gridCol w:w="851"/>
        <w:gridCol w:w="992"/>
        <w:gridCol w:w="1985"/>
        <w:gridCol w:w="992"/>
        <w:gridCol w:w="2698"/>
      </w:tblGrid>
      <w:tr w:rsidR="00837797" w:rsidRPr="00A56BDD" w14:paraId="60F8077D" w14:textId="77777777" w:rsidTr="00541924">
        <w:trPr>
          <w:trHeight w:val="379"/>
          <w:jc w:val="center"/>
        </w:trPr>
        <w:tc>
          <w:tcPr>
            <w:tcW w:w="14317" w:type="dxa"/>
            <w:gridSpan w:val="9"/>
            <w:shd w:val="clear" w:color="000000" w:fill="00B0F0"/>
            <w:vAlign w:val="center"/>
            <w:hideMark/>
          </w:tcPr>
          <w:p w14:paraId="28B27324" w14:textId="33710520" w:rsidR="00837797" w:rsidRPr="00A56BDD" w:rsidRDefault="00837797" w:rsidP="001D7C5E">
            <w:pPr>
              <w:spacing w:after="0"/>
              <w:jc w:val="center"/>
              <w:rPr>
                <w:rFonts w:eastAsia="Times New Roman" w:cstheme="minorHAnsi"/>
                <w:b/>
                <w:bCs/>
                <w:color w:val="000000"/>
                <w:lang w:eastAsia="sl-SI"/>
              </w:rPr>
            </w:pPr>
            <w:r w:rsidRPr="00A56BDD">
              <w:rPr>
                <w:rFonts w:eastAsia="Times New Roman" w:cstheme="minorHAnsi"/>
                <w:b/>
                <w:bCs/>
                <w:color w:val="000000"/>
                <w:lang w:eastAsia="sl-SI"/>
              </w:rPr>
              <w:t xml:space="preserve">Steber 2: </w:t>
            </w:r>
            <w:r w:rsidRPr="00837797">
              <w:rPr>
                <w:rFonts w:eastAsia="Times New Roman" w:cstheme="minorHAnsi"/>
                <w:b/>
                <w:bCs/>
                <w:color w:val="000000"/>
                <w:lang w:eastAsia="sl-SI"/>
              </w:rPr>
              <w:t>Organizacija, strateško načrtovanje, koordinacija in izvajanje</w:t>
            </w:r>
          </w:p>
        </w:tc>
      </w:tr>
      <w:tr w:rsidR="00CC3768" w:rsidRPr="00A56BDD" w14:paraId="48F85AFA" w14:textId="77777777" w:rsidTr="000B080A">
        <w:trPr>
          <w:trHeight w:val="541"/>
          <w:jc w:val="center"/>
        </w:trPr>
        <w:tc>
          <w:tcPr>
            <w:tcW w:w="430" w:type="dxa"/>
            <w:shd w:val="clear" w:color="auto" w:fill="auto"/>
            <w:vAlign w:val="center"/>
            <w:hideMark/>
          </w:tcPr>
          <w:p w14:paraId="26443754" w14:textId="77777777" w:rsidR="00CC3768" w:rsidRPr="00A56BDD" w:rsidRDefault="00CC3768" w:rsidP="001D7C5E">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 </w:t>
            </w:r>
          </w:p>
        </w:tc>
        <w:tc>
          <w:tcPr>
            <w:tcW w:w="2117" w:type="dxa"/>
            <w:shd w:val="clear" w:color="auto" w:fill="auto"/>
            <w:vAlign w:val="center"/>
            <w:hideMark/>
          </w:tcPr>
          <w:p w14:paraId="220B6117" w14:textId="77777777" w:rsidR="00CC3768" w:rsidRPr="00A56BDD" w:rsidRDefault="00CC3768" w:rsidP="001D7C5E">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Ukrep</w:t>
            </w:r>
          </w:p>
        </w:tc>
        <w:tc>
          <w:tcPr>
            <w:tcW w:w="3402" w:type="dxa"/>
            <w:shd w:val="clear" w:color="auto" w:fill="auto"/>
            <w:vAlign w:val="center"/>
            <w:hideMark/>
          </w:tcPr>
          <w:p w14:paraId="5B445B4D" w14:textId="1611FA20" w:rsidR="00CC3768" w:rsidRPr="00A56BDD" w:rsidRDefault="00CC3768" w:rsidP="00CC3768">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Aktivnost</w:t>
            </w:r>
          </w:p>
        </w:tc>
        <w:tc>
          <w:tcPr>
            <w:tcW w:w="850" w:type="dxa"/>
            <w:shd w:val="clear" w:color="auto" w:fill="auto"/>
            <w:vAlign w:val="center"/>
            <w:hideMark/>
          </w:tcPr>
          <w:p w14:paraId="686F8099" w14:textId="77777777" w:rsidR="00CC3768" w:rsidRPr="00A56BDD" w:rsidRDefault="00CC3768" w:rsidP="001D7C5E">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Odgovornost za izvedbo</w:t>
            </w:r>
          </w:p>
        </w:tc>
        <w:tc>
          <w:tcPr>
            <w:tcW w:w="851" w:type="dxa"/>
            <w:shd w:val="clear" w:color="auto" w:fill="auto"/>
            <w:vAlign w:val="center"/>
            <w:hideMark/>
          </w:tcPr>
          <w:p w14:paraId="18A54F71" w14:textId="77777777" w:rsidR="00CC3768" w:rsidRPr="00A56BDD" w:rsidRDefault="00CC3768" w:rsidP="001D7C5E">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Sodelujoči deležniki</w:t>
            </w:r>
          </w:p>
        </w:tc>
        <w:tc>
          <w:tcPr>
            <w:tcW w:w="992" w:type="dxa"/>
            <w:shd w:val="clear" w:color="auto" w:fill="auto"/>
            <w:vAlign w:val="center"/>
            <w:hideMark/>
          </w:tcPr>
          <w:p w14:paraId="18E55E12" w14:textId="77777777" w:rsidR="00CC3768" w:rsidRPr="00A56BDD" w:rsidRDefault="00CC3768" w:rsidP="001D7C5E">
            <w:pPr>
              <w:spacing w:after="0"/>
              <w:jc w:val="center"/>
              <w:rPr>
                <w:rFonts w:eastAsia="Times New Roman" w:cstheme="minorHAnsi"/>
                <w:b/>
                <w:bCs/>
                <w:color w:val="000000"/>
                <w:sz w:val="12"/>
                <w:szCs w:val="12"/>
                <w:lang w:eastAsia="sl-SI"/>
              </w:rPr>
            </w:pPr>
            <w:proofErr w:type="spellStart"/>
            <w:r w:rsidRPr="00A56BDD">
              <w:rPr>
                <w:rFonts w:eastAsia="Times New Roman" w:cstheme="minorHAnsi"/>
                <w:b/>
                <w:bCs/>
                <w:color w:val="000000"/>
                <w:sz w:val="12"/>
                <w:szCs w:val="12"/>
                <w:lang w:eastAsia="sl-SI"/>
              </w:rPr>
              <w:t>Časovnica</w:t>
            </w:r>
            <w:proofErr w:type="spellEnd"/>
          </w:p>
        </w:tc>
        <w:tc>
          <w:tcPr>
            <w:tcW w:w="1985" w:type="dxa"/>
            <w:shd w:val="clear" w:color="auto" w:fill="auto"/>
            <w:vAlign w:val="center"/>
            <w:hideMark/>
          </w:tcPr>
          <w:p w14:paraId="32569EF9" w14:textId="77777777" w:rsidR="00CC3768" w:rsidRPr="00A56BDD" w:rsidRDefault="00CC3768"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992" w:type="dxa"/>
            <w:shd w:val="clear" w:color="auto" w:fill="auto"/>
            <w:vAlign w:val="center"/>
            <w:hideMark/>
          </w:tcPr>
          <w:p w14:paraId="401D8668" w14:textId="77777777" w:rsidR="00CC3768" w:rsidRPr="00A56BDD" w:rsidRDefault="00CC3768" w:rsidP="001D7C5E">
            <w:pPr>
              <w:spacing w:after="0"/>
              <w:jc w:val="center"/>
              <w:rPr>
                <w:rFonts w:eastAsia="Times New Roman" w:cstheme="minorHAnsi"/>
                <w:b/>
                <w:bCs/>
                <w:color w:val="000000"/>
                <w:sz w:val="12"/>
                <w:szCs w:val="12"/>
                <w:lang w:eastAsia="sl-SI"/>
              </w:rPr>
            </w:pPr>
            <w:r w:rsidRPr="00A56BDD">
              <w:rPr>
                <w:rFonts w:eastAsia="Times New Roman" w:cstheme="minorHAnsi"/>
                <w:b/>
                <w:bCs/>
                <w:color w:val="000000"/>
                <w:sz w:val="12"/>
                <w:szCs w:val="12"/>
                <w:lang w:eastAsia="sl-SI"/>
              </w:rPr>
              <w:t>Vir financiranja (če relevantno)</w:t>
            </w:r>
          </w:p>
        </w:tc>
        <w:tc>
          <w:tcPr>
            <w:tcW w:w="2698" w:type="dxa"/>
            <w:shd w:val="clear" w:color="auto" w:fill="auto"/>
            <w:vAlign w:val="center"/>
            <w:hideMark/>
          </w:tcPr>
          <w:p w14:paraId="47BA165A" w14:textId="77777777" w:rsidR="00CC3768" w:rsidRPr="00A56BDD" w:rsidRDefault="00CC3768" w:rsidP="001D7C5E">
            <w:pPr>
              <w:spacing w:after="0"/>
              <w:jc w:val="center"/>
              <w:rPr>
                <w:rFonts w:eastAsia="Times New Roman" w:cstheme="minorHAnsi"/>
                <w:b/>
                <w:bCs/>
                <w:color w:val="000000"/>
                <w:sz w:val="12"/>
                <w:szCs w:val="12"/>
                <w:lang w:eastAsia="sl-SI"/>
              </w:rPr>
            </w:pPr>
            <w:r>
              <w:rPr>
                <w:rFonts w:eastAsia="Times New Roman" w:cstheme="minorHAnsi"/>
                <w:b/>
                <w:bCs/>
                <w:color w:val="000000"/>
                <w:sz w:val="12"/>
                <w:szCs w:val="12"/>
                <w:lang w:eastAsia="sl-SI"/>
              </w:rPr>
              <w:t xml:space="preserve">Kazalnik </w:t>
            </w:r>
            <w:r w:rsidRPr="00A56BDD">
              <w:rPr>
                <w:rFonts w:eastAsia="Times New Roman" w:cstheme="minorHAnsi"/>
                <w:b/>
                <w:bCs/>
                <w:color w:val="000000"/>
                <w:sz w:val="12"/>
                <w:szCs w:val="12"/>
                <w:lang w:eastAsia="sl-SI"/>
              </w:rPr>
              <w:t>(če relevantno)</w:t>
            </w:r>
          </w:p>
        </w:tc>
      </w:tr>
      <w:tr w:rsidR="0055130F" w:rsidRPr="00A56BDD" w14:paraId="2D4C08F3" w14:textId="77777777" w:rsidTr="000B080A">
        <w:trPr>
          <w:trHeight w:val="541"/>
          <w:jc w:val="center"/>
        </w:trPr>
        <w:tc>
          <w:tcPr>
            <w:tcW w:w="430" w:type="dxa"/>
            <w:shd w:val="clear" w:color="auto" w:fill="auto"/>
            <w:vAlign w:val="center"/>
          </w:tcPr>
          <w:p w14:paraId="20E658C9" w14:textId="04183DBF" w:rsidR="0055130F" w:rsidRPr="00EE201F" w:rsidRDefault="0055130F" w:rsidP="003B3AB5">
            <w:pPr>
              <w:spacing w:after="0"/>
              <w:jc w:val="center"/>
              <w:rPr>
                <w:rFonts w:eastAsia="Times New Roman" w:cstheme="minorHAnsi"/>
                <w:color w:val="000000"/>
                <w:sz w:val="12"/>
                <w:szCs w:val="12"/>
                <w:lang w:eastAsia="sl-SI"/>
              </w:rPr>
            </w:pPr>
            <w:r w:rsidRPr="00EE201F">
              <w:rPr>
                <w:rFonts w:eastAsia="Times New Roman" w:cstheme="minorHAnsi"/>
                <w:color w:val="000000"/>
                <w:sz w:val="12"/>
                <w:szCs w:val="12"/>
                <w:lang w:eastAsia="sl-SI"/>
              </w:rPr>
              <w:t>2.1</w:t>
            </w:r>
          </w:p>
        </w:tc>
        <w:tc>
          <w:tcPr>
            <w:tcW w:w="2117" w:type="dxa"/>
            <w:shd w:val="clear" w:color="auto" w:fill="auto"/>
            <w:vAlign w:val="center"/>
          </w:tcPr>
          <w:p w14:paraId="59486470" w14:textId="77777777" w:rsidR="0055130F" w:rsidRDefault="0055130F" w:rsidP="003B3AB5">
            <w:pPr>
              <w:spacing w:after="0"/>
              <w:jc w:val="center"/>
              <w:rPr>
                <w:rFonts w:eastAsia="Times New Roman" w:cstheme="minorHAnsi"/>
                <w:color w:val="000000"/>
                <w:sz w:val="12"/>
                <w:szCs w:val="12"/>
                <w:lang w:eastAsia="sl-SI"/>
              </w:rPr>
            </w:pPr>
          </w:p>
          <w:p w14:paraId="3FE8E77E" w14:textId="3168AC67" w:rsidR="0055130F" w:rsidRPr="00A56BDD" w:rsidRDefault="0055130F" w:rsidP="003B3AB5">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Vzpostavitev sistema izvajanja evropske kohezijske politike.</w:t>
            </w:r>
          </w:p>
        </w:tc>
        <w:tc>
          <w:tcPr>
            <w:tcW w:w="3402" w:type="dxa"/>
            <w:shd w:val="clear" w:color="auto" w:fill="auto"/>
            <w:vAlign w:val="center"/>
          </w:tcPr>
          <w:p w14:paraId="254E6147" w14:textId="4CAD9511" w:rsidR="0055130F" w:rsidRPr="00A56BDD" w:rsidRDefault="0055130F" w:rsidP="003B3AB5">
            <w:pPr>
              <w:spacing w:after="0"/>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Priprava enotne nacionalne kohezijske izvedbe uredbe, priprava enotnih navodil in smernic OU za upoštevanj</w:t>
            </w:r>
            <w:r>
              <w:rPr>
                <w:rFonts w:eastAsia="Times New Roman" w:cstheme="minorHAnsi"/>
                <w:color w:val="000000"/>
                <w:sz w:val="12"/>
                <w:szCs w:val="12"/>
                <w:lang w:eastAsia="sl-SI"/>
              </w:rPr>
              <w:t>e</w:t>
            </w:r>
            <w:r w:rsidRPr="00527C8A">
              <w:rPr>
                <w:rFonts w:eastAsia="Times New Roman" w:cstheme="minorHAnsi"/>
                <w:color w:val="000000"/>
                <w:sz w:val="12"/>
                <w:szCs w:val="12"/>
                <w:lang w:eastAsia="sl-SI"/>
              </w:rPr>
              <w:t xml:space="preserve"> na ravni vseh P</w:t>
            </w:r>
            <w:r>
              <w:rPr>
                <w:rFonts w:eastAsia="Times New Roman" w:cstheme="minorHAnsi"/>
                <w:color w:val="000000"/>
                <w:sz w:val="12"/>
                <w:szCs w:val="12"/>
                <w:lang w:eastAsia="sl-SI"/>
              </w:rPr>
              <w:t>O</w:t>
            </w:r>
            <w:r w:rsidRPr="00527C8A">
              <w:rPr>
                <w:rFonts w:eastAsia="Times New Roman" w:cstheme="minorHAnsi"/>
                <w:color w:val="000000"/>
                <w:sz w:val="12"/>
                <w:szCs w:val="12"/>
                <w:lang w:eastAsia="sl-SI"/>
              </w:rPr>
              <w:t>, upravičenc</w:t>
            </w:r>
            <w:r>
              <w:rPr>
                <w:rFonts w:eastAsia="Times New Roman" w:cstheme="minorHAnsi"/>
                <w:color w:val="000000"/>
                <w:sz w:val="12"/>
                <w:szCs w:val="12"/>
                <w:lang w:eastAsia="sl-SI"/>
              </w:rPr>
              <w:t>e</w:t>
            </w:r>
            <w:r w:rsidRPr="00527C8A">
              <w:rPr>
                <w:rFonts w:eastAsia="Times New Roman" w:cstheme="minorHAnsi"/>
                <w:color w:val="000000"/>
                <w:sz w:val="12"/>
                <w:szCs w:val="12"/>
                <w:lang w:eastAsia="sl-SI"/>
              </w:rPr>
              <w:t>v in drugih deležnikov</w:t>
            </w:r>
            <w:r w:rsidR="00647E53">
              <w:rPr>
                <w:rFonts w:eastAsia="Times New Roman" w:cstheme="minorHAnsi"/>
                <w:color w:val="000000"/>
                <w:sz w:val="12"/>
                <w:szCs w:val="12"/>
                <w:lang w:eastAsia="sl-SI"/>
              </w:rPr>
              <w:t>.</w:t>
            </w:r>
          </w:p>
        </w:tc>
        <w:tc>
          <w:tcPr>
            <w:tcW w:w="850" w:type="dxa"/>
            <w:shd w:val="clear" w:color="auto" w:fill="auto"/>
            <w:vAlign w:val="center"/>
          </w:tcPr>
          <w:p w14:paraId="4AF6A68D" w14:textId="5B43CB9C" w:rsidR="0055130F" w:rsidRPr="00A56BDD" w:rsidRDefault="0055130F" w:rsidP="003B3AB5">
            <w:pPr>
              <w:spacing w:after="0"/>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OU</w:t>
            </w:r>
          </w:p>
        </w:tc>
        <w:tc>
          <w:tcPr>
            <w:tcW w:w="851" w:type="dxa"/>
            <w:shd w:val="clear" w:color="auto" w:fill="auto"/>
            <w:vAlign w:val="center"/>
          </w:tcPr>
          <w:p w14:paraId="73604D2E" w14:textId="58768DEB" w:rsidR="0055130F" w:rsidRPr="00A56BDD" w:rsidRDefault="000E6323" w:rsidP="003B3AB5">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OU, </w:t>
            </w:r>
            <w:r w:rsidR="0055130F" w:rsidRPr="00527C8A">
              <w:rPr>
                <w:rFonts w:eastAsia="Times New Roman" w:cstheme="minorHAnsi"/>
                <w:color w:val="000000"/>
                <w:sz w:val="12"/>
                <w:szCs w:val="12"/>
                <w:lang w:eastAsia="sl-SI"/>
              </w:rPr>
              <w:t>P</w:t>
            </w:r>
            <w:r w:rsidR="0055130F">
              <w:rPr>
                <w:rFonts w:eastAsia="Times New Roman" w:cstheme="minorHAnsi"/>
                <w:color w:val="000000"/>
                <w:sz w:val="12"/>
                <w:szCs w:val="12"/>
                <w:lang w:eastAsia="sl-SI"/>
              </w:rPr>
              <w:t>T</w:t>
            </w:r>
            <w:r w:rsidR="0055130F" w:rsidRPr="00527C8A">
              <w:rPr>
                <w:rFonts w:eastAsia="Times New Roman" w:cstheme="minorHAnsi"/>
                <w:color w:val="000000"/>
                <w:sz w:val="12"/>
                <w:szCs w:val="12"/>
                <w:lang w:eastAsia="sl-SI"/>
              </w:rPr>
              <w:t xml:space="preserve"> in ostali deležniki vključeni v izvajanje EKP</w:t>
            </w:r>
          </w:p>
        </w:tc>
        <w:tc>
          <w:tcPr>
            <w:tcW w:w="992" w:type="dxa"/>
            <w:shd w:val="clear" w:color="auto" w:fill="auto"/>
            <w:vAlign w:val="center"/>
          </w:tcPr>
          <w:p w14:paraId="507DD55F" w14:textId="74C63DEA" w:rsidR="0055130F" w:rsidRPr="00A56BDD" w:rsidRDefault="0055130F" w:rsidP="003B3AB5">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066F7A80" w14:textId="58CCCFD0" w:rsidR="0055130F" w:rsidRPr="00BA16C9" w:rsidRDefault="0055130F" w:rsidP="003B3AB5">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Vzpostavljen delujoč sistem izvajanja evropske kohezijske politike. </w:t>
            </w:r>
          </w:p>
        </w:tc>
        <w:tc>
          <w:tcPr>
            <w:tcW w:w="992" w:type="dxa"/>
            <w:shd w:val="clear" w:color="auto" w:fill="auto"/>
            <w:vAlign w:val="center"/>
          </w:tcPr>
          <w:p w14:paraId="7DBB43EF" w14:textId="57534AC8" w:rsidR="0055130F" w:rsidRPr="00A56BDD" w:rsidRDefault="0055130F" w:rsidP="003B3AB5">
            <w:pPr>
              <w:spacing w:after="0"/>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TP/nacionalno</w:t>
            </w:r>
          </w:p>
        </w:tc>
        <w:tc>
          <w:tcPr>
            <w:tcW w:w="2698" w:type="dxa"/>
            <w:shd w:val="clear" w:color="auto" w:fill="auto"/>
            <w:vAlign w:val="center"/>
          </w:tcPr>
          <w:p w14:paraId="142A13F3" w14:textId="7C7E889E" w:rsidR="0055130F" w:rsidRDefault="0055130F" w:rsidP="003B3AB5">
            <w:pPr>
              <w:spacing w:after="0"/>
              <w:jc w:val="center"/>
              <w:rPr>
                <w:rFonts w:eastAsia="Times New Roman" w:cstheme="minorHAnsi"/>
                <w:b/>
                <w:bCs/>
                <w:color w:val="000000"/>
                <w:sz w:val="12"/>
                <w:szCs w:val="12"/>
                <w:lang w:eastAsia="sl-SI"/>
              </w:rPr>
            </w:pPr>
            <w:r w:rsidRPr="00527C8A">
              <w:rPr>
                <w:rFonts w:eastAsia="Times New Roman" w:cstheme="minorHAnsi"/>
                <w:color w:val="000000"/>
                <w:sz w:val="12"/>
                <w:szCs w:val="12"/>
                <w:lang w:eastAsia="sl-SI"/>
              </w:rPr>
              <w:t> </w:t>
            </w:r>
            <w:r w:rsidRPr="002D7A64">
              <w:rPr>
                <w:rFonts w:eastAsia="Times New Roman" w:cstheme="minorHAnsi"/>
                <w:color w:val="000000"/>
                <w:sz w:val="12"/>
                <w:szCs w:val="12"/>
                <w:lang w:eastAsia="sl-SI"/>
              </w:rPr>
              <w:t>Sprejeta nacionalna izvedbena kohezijska uredba, navodila in smernice OU</w:t>
            </w:r>
            <w:r>
              <w:rPr>
                <w:rFonts w:eastAsia="Times New Roman" w:cstheme="minorHAnsi"/>
                <w:color w:val="000000"/>
                <w:sz w:val="12"/>
                <w:szCs w:val="12"/>
                <w:lang w:eastAsia="sl-SI"/>
              </w:rPr>
              <w:t>.</w:t>
            </w:r>
            <w:r w:rsidR="008E5A6A">
              <w:rPr>
                <w:rFonts w:eastAsia="Times New Roman" w:cstheme="minorHAnsi"/>
                <w:color w:val="000000"/>
                <w:sz w:val="12"/>
                <w:szCs w:val="12"/>
                <w:lang w:eastAsia="sl-SI"/>
              </w:rPr>
              <w:t xml:space="preserve"> Sprejet OSUN in Priročnik OU. </w:t>
            </w:r>
            <w:r w:rsidR="00647E53">
              <w:rPr>
                <w:rFonts w:eastAsia="Times New Roman" w:cstheme="minorHAnsi"/>
                <w:color w:val="000000"/>
                <w:sz w:val="12"/>
                <w:szCs w:val="12"/>
                <w:lang w:eastAsia="sl-SI"/>
              </w:rPr>
              <w:t xml:space="preserve">Sprejet poslovnik </w:t>
            </w:r>
            <w:proofErr w:type="spellStart"/>
            <w:r w:rsidR="00647E53">
              <w:rPr>
                <w:rFonts w:eastAsia="Times New Roman" w:cstheme="minorHAnsi"/>
                <w:color w:val="000000"/>
                <w:sz w:val="12"/>
                <w:szCs w:val="12"/>
                <w:lang w:eastAsia="sl-SI"/>
              </w:rPr>
              <w:t>OzS</w:t>
            </w:r>
            <w:proofErr w:type="spellEnd"/>
            <w:r w:rsidR="00647E53">
              <w:rPr>
                <w:rFonts w:eastAsia="Times New Roman" w:cstheme="minorHAnsi"/>
                <w:color w:val="000000"/>
                <w:sz w:val="12"/>
                <w:szCs w:val="12"/>
                <w:lang w:eastAsia="sl-SI"/>
              </w:rPr>
              <w:t>.</w:t>
            </w:r>
          </w:p>
        </w:tc>
      </w:tr>
      <w:tr w:rsidR="0055130F" w:rsidRPr="00A56BDD" w14:paraId="3B313894" w14:textId="77777777" w:rsidTr="000B080A">
        <w:trPr>
          <w:trHeight w:val="541"/>
          <w:jc w:val="center"/>
        </w:trPr>
        <w:tc>
          <w:tcPr>
            <w:tcW w:w="430" w:type="dxa"/>
            <w:shd w:val="clear" w:color="auto" w:fill="auto"/>
            <w:vAlign w:val="center"/>
          </w:tcPr>
          <w:p w14:paraId="40D2ADFF" w14:textId="3D0655C4" w:rsidR="0055130F" w:rsidRPr="00CA79FF" w:rsidRDefault="0055130F" w:rsidP="006C1B02">
            <w:pPr>
              <w:spacing w:after="0"/>
              <w:jc w:val="center"/>
              <w:rPr>
                <w:rFonts w:eastAsia="Times New Roman" w:cstheme="minorHAnsi"/>
                <w:color w:val="000000"/>
                <w:sz w:val="12"/>
                <w:szCs w:val="12"/>
                <w:lang w:eastAsia="sl-SI"/>
              </w:rPr>
            </w:pPr>
            <w:r w:rsidRPr="00CA79FF">
              <w:rPr>
                <w:rFonts w:eastAsia="Times New Roman" w:cstheme="minorHAnsi"/>
                <w:color w:val="000000"/>
                <w:sz w:val="12"/>
                <w:szCs w:val="12"/>
                <w:lang w:eastAsia="sl-SI"/>
              </w:rPr>
              <w:t>2.2.</w:t>
            </w:r>
          </w:p>
        </w:tc>
        <w:tc>
          <w:tcPr>
            <w:tcW w:w="2117" w:type="dxa"/>
            <w:shd w:val="clear" w:color="auto" w:fill="auto"/>
            <w:vAlign w:val="center"/>
          </w:tcPr>
          <w:p w14:paraId="68B61AF3" w14:textId="6E342D96" w:rsidR="0055130F" w:rsidRDefault="0055130F" w:rsidP="006C1B02">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Spodbujanje aktivnega sodelovanja z deležniki</w:t>
            </w:r>
            <w:r w:rsidRPr="008272DB">
              <w:rPr>
                <w:rFonts w:eastAsia="Times New Roman" w:cstheme="minorHAnsi"/>
                <w:color w:val="000000"/>
                <w:sz w:val="12"/>
                <w:szCs w:val="12"/>
                <w:lang w:eastAsia="sl-SI"/>
              </w:rPr>
              <w:t>, vključenimi v sistem upravljanja in nadzora</w:t>
            </w:r>
            <w:r w:rsidR="005738F9">
              <w:rPr>
                <w:rFonts w:eastAsia="Times New Roman" w:cstheme="minorHAnsi"/>
                <w:color w:val="000000"/>
                <w:sz w:val="12"/>
                <w:szCs w:val="12"/>
                <w:lang w:eastAsia="sl-SI"/>
              </w:rPr>
              <w:t>.</w:t>
            </w:r>
          </w:p>
          <w:p w14:paraId="6D69F862" w14:textId="77777777" w:rsidR="0055130F" w:rsidRPr="00A56BDD" w:rsidRDefault="0055130F" w:rsidP="006C1B02">
            <w:pPr>
              <w:spacing w:after="0"/>
              <w:jc w:val="center"/>
              <w:rPr>
                <w:rFonts w:eastAsia="Times New Roman" w:cstheme="minorHAnsi"/>
                <w:b/>
                <w:bCs/>
                <w:color w:val="000000"/>
                <w:sz w:val="12"/>
                <w:szCs w:val="12"/>
                <w:lang w:eastAsia="sl-SI"/>
              </w:rPr>
            </w:pPr>
          </w:p>
        </w:tc>
        <w:tc>
          <w:tcPr>
            <w:tcW w:w="3402" w:type="dxa"/>
            <w:shd w:val="clear" w:color="auto" w:fill="auto"/>
            <w:vAlign w:val="center"/>
          </w:tcPr>
          <w:p w14:paraId="40F90727" w14:textId="1D94CE99" w:rsidR="0055130F" w:rsidRDefault="0055130F" w:rsidP="006C1B02">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Organizira</w:t>
            </w:r>
            <w:r w:rsidR="000E6323">
              <w:rPr>
                <w:rFonts w:eastAsia="Times New Roman" w:cstheme="minorHAnsi"/>
                <w:color w:val="000000"/>
                <w:sz w:val="12"/>
                <w:szCs w:val="12"/>
                <w:lang w:eastAsia="sl-SI"/>
              </w:rPr>
              <w:t>ni</w:t>
            </w:r>
            <w:r w:rsidRPr="00DB07BC">
              <w:rPr>
                <w:rFonts w:eastAsia="Times New Roman" w:cstheme="minorHAnsi"/>
                <w:color w:val="000000"/>
                <w:sz w:val="12"/>
                <w:szCs w:val="12"/>
                <w:lang w:eastAsia="sl-SI"/>
              </w:rPr>
              <w:t xml:space="preserve"> sklop</w:t>
            </w:r>
            <w:r w:rsidR="000E6323">
              <w:rPr>
                <w:rFonts w:eastAsia="Times New Roman" w:cstheme="minorHAnsi"/>
                <w:color w:val="000000"/>
                <w:sz w:val="12"/>
                <w:szCs w:val="12"/>
                <w:lang w:eastAsia="sl-SI"/>
              </w:rPr>
              <w:t>i</w:t>
            </w:r>
            <w:r w:rsidRPr="00DB07BC">
              <w:rPr>
                <w:rFonts w:eastAsia="Times New Roman" w:cstheme="minorHAnsi"/>
                <w:color w:val="000000"/>
                <w:sz w:val="12"/>
                <w:szCs w:val="12"/>
                <w:lang w:eastAsia="sl-SI"/>
              </w:rPr>
              <w:t xml:space="preserve"> posvetovanj z deležniki za pripravo programskih dokumentov za izvajanje EKP 2021</w:t>
            </w:r>
            <w:r>
              <w:rPr>
                <w:rFonts w:eastAsia="Times New Roman" w:cstheme="minorHAnsi"/>
                <w:color w:val="000000"/>
                <w:sz w:val="12"/>
                <w:szCs w:val="12"/>
                <w:lang w:eastAsia="sl-SI"/>
              </w:rPr>
              <w:t>–</w:t>
            </w:r>
            <w:r w:rsidRPr="00DB07BC">
              <w:rPr>
                <w:rFonts w:eastAsia="Times New Roman" w:cstheme="minorHAnsi"/>
                <w:color w:val="000000"/>
                <w:sz w:val="12"/>
                <w:szCs w:val="12"/>
                <w:lang w:eastAsia="sl-SI"/>
              </w:rPr>
              <w:t xml:space="preserve">2027 </w:t>
            </w:r>
            <w:r>
              <w:rPr>
                <w:rFonts w:eastAsia="Times New Roman" w:cstheme="minorHAnsi"/>
                <w:color w:val="000000"/>
                <w:sz w:val="12"/>
                <w:szCs w:val="12"/>
                <w:lang w:eastAsia="sl-SI"/>
              </w:rPr>
              <w:t>ter smiselno nadaljeva</w:t>
            </w:r>
            <w:r w:rsidR="000E6323">
              <w:rPr>
                <w:rFonts w:eastAsia="Times New Roman" w:cstheme="minorHAnsi"/>
                <w:color w:val="000000"/>
                <w:sz w:val="12"/>
                <w:szCs w:val="12"/>
                <w:lang w:eastAsia="sl-SI"/>
              </w:rPr>
              <w:t xml:space="preserve">nje </w:t>
            </w:r>
            <w:r w:rsidRPr="00DB07BC">
              <w:rPr>
                <w:rFonts w:eastAsia="Times New Roman" w:cstheme="minorHAnsi"/>
                <w:color w:val="000000"/>
                <w:sz w:val="12"/>
                <w:szCs w:val="12"/>
                <w:lang w:eastAsia="sl-SI"/>
              </w:rPr>
              <w:t>v času izvajanja EKP</w:t>
            </w:r>
            <w:r w:rsidR="005738F9">
              <w:rPr>
                <w:rFonts w:eastAsia="Times New Roman" w:cstheme="minorHAnsi"/>
                <w:color w:val="000000"/>
                <w:sz w:val="12"/>
                <w:szCs w:val="12"/>
                <w:lang w:eastAsia="sl-SI"/>
              </w:rPr>
              <w:t>.</w:t>
            </w:r>
          </w:p>
          <w:p w14:paraId="3C1E3FFB" w14:textId="4B33ECB0" w:rsidR="0055130F" w:rsidRPr="00A56BDD" w:rsidRDefault="0055130F" w:rsidP="006C1B02">
            <w:pPr>
              <w:spacing w:after="0"/>
              <w:jc w:val="center"/>
              <w:rPr>
                <w:rFonts w:eastAsia="Times New Roman" w:cstheme="minorHAnsi"/>
                <w:b/>
                <w:bCs/>
                <w:color w:val="000000"/>
                <w:sz w:val="12"/>
                <w:szCs w:val="12"/>
                <w:lang w:eastAsia="sl-SI"/>
              </w:rPr>
            </w:pPr>
          </w:p>
        </w:tc>
        <w:tc>
          <w:tcPr>
            <w:tcW w:w="850" w:type="dxa"/>
            <w:shd w:val="clear" w:color="auto" w:fill="auto"/>
            <w:vAlign w:val="center"/>
          </w:tcPr>
          <w:p w14:paraId="6F895334" w14:textId="001CB4FC" w:rsidR="0055130F" w:rsidRPr="00A56BDD" w:rsidRDefault="0055130F" w:rsidP="006C1B02">
            <w:pPr>
              <w:spacing w:after="0"/>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OU</w:t>
            </w:r>
          </w:p>
        </w:tc>
        <w:tc>
          <w:tcPr>
            <w:tcW w:w="851" w:type="dxa"/>
            <w:shd w:val="clear" w:color="auto" w:fill="auto"/>
            <w:vAlign w:val="center"/>
          </w:tcPr>
          <w:p w14:paraId="0249D5A0" w14:textId="650F6F03" w:rsidR="0055130F" w:rsidRPr="00A56BDD" w:rsidRDefault="000E6323" w:rsidP="006C1B02">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OU, </w:t>
            </w:r>
            <w:r w:rsidR="0055130F">
              <w:rPr>
                <w:rFonts w:eastAsia="Times New Roman" w:cstheme="minorHAnsi"/>
                <w:color w:val="000000"/>
                <w:sz w:val="12"/>
                <w:szCs w:val="12"/>
                <w:lang w:eastAsia="sl-SI"/>
              </w:rPr>
              <w:t xml:space="preserve">EK, </w:t>
            </w:r>
            <w:r w:rsidR="0055130F" w:rsidRPr="00DB07BC">
              <w:rPr>
                <w:rFonts w:eastAsia="Times New Roman" w:cstheme="minorHAnsi"/>
                <w:color w:val="000000"/>
                <w:sz w:val="12"/>
                <w:szCs w:val="12"/>
                <w:lang w:eastAsia="sl-SI"/>
              </w:rPr>
              <w:t>GZS, OZS, župani, državni svetniki, RRA, ESS, direktorji podjetij, NVO</w:t>
            </w:r>
            <w:r w:rsidR="0055130F">
              <w:rPr>
                <w:rFonts w:eastAsia="Times New Roman" w:cstheme="minorHAnsi"/>
                <w:color w:val="000000"/>
                <w:sz w:val="12"/>
                <w:szCs w:val="12"/>
                <w:lang w:eastAsia="sl-SI"/>
              </w:rPr>
              <w:t xml:space="preserve">, </w:t>
            </w:r>
            <w:r w:rsidR="0055130F" w:rsidRPr="00DB07BC">
              <w:rPr>
                <w:rFonts w:eastAsia="Times New Roman" w:cstheme="minorHAnsi"/>
                <w:color w:val="000000"/>
                <w:sz w:val="12"/>
                <w:szCs w:val="12"/>
                <w:lang w:eastAsia="sl-SI"/>
              </w:rPr>
              <w:t>…</w:t>
            </w:r>
          </w:p>
        </w:tc>
        <w:tc>
          <w:tcPr>
            <w:tcW w:w="992" w:type="dxa"/>
            <w:shd w:val="clear" w:color="auto" w:fill="auto"/>
            <w:vAlign w:val="center"/>
          </w:tcPr>
          <w:p w14:paraId="6595059B" w14:textId="2C19176E" w:rsidR="0055130F" w:rsidRPr="00A56BDD" w:rsidRDefault="0055130F" w:rsidP="006C1B02">
            <w:pPr>
              <w:spacing w:after="0"/>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2021/2022;  čas izvajanja EKP 2021-2027</w:t>
            </w:r>
            <w:r>
              <w:rPr>
                <w:rFonts w:eastAsia="Times New Roman" w:cstheme="minorHAnsi"/>
                <w:color w:val="000000"/>
                <w:sz w:val="12"/>
                <w:szCs w:val="12"/>
                <w:lang w:eastAsia="sl-SI"/>
              </w:rPr>
              <w:t xml:space="preserve"> (2021–2029)</w:t>
            </w:r>
          </w:p>
        </w:tc>
        <w:tc>
          <w:tcPr>
            <w:tcW w:w="1985" w:type="dxa"/>
            <w:shd w:val="clear" w:color="auto" w:fill="auto"/>
            <w:vAlign w:val="center"/>
          </w:tcPr>
          <w:p w14:paraId="3F260002" w14:textId="6BD796BA" w:rsidR="0055130F" w:rsidRDefault="0055130F" w:rsidP="006C1B02">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D</w:t>
            </w:r>
            <w:r w:rsidRPr="00B602F3">
              <w:rPr>
                <w:rFonts w:eastAsia="Times New Roman" w:cstheme="minorHAnsi"/>
                <w:color w:val="000000"/>
                <w:sz w:val="12"/>
                <w:szCs w:val="12"/>
                <w:lang w:eastAsia="sl-SI"/>
              </w:rPr>
              <w:t>vosmern</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komunikacij</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med MKRR in deležniki</w:t>
            </w:r>
            <w:r>
              <w:rPr>
                <w:rFonts w:eastAsia="Times New Roman" w:cstheme="minorHAnsi"/>
                <w:color w:val="000000"/>
                <w:sz w:val="12"/>
                <w:szCs w:val="12"/>
                <w:lang w:eastAsia="sl-SI"/>
              </w:rPr>
              <w:t xml:space="preserve"> bo </w:t>
            </w:r>
            <w:r w:rsidRPr="00B602F3">
              <w:rPr>
                <w:rFonts w:eastAsia="Times New Roman" w:cstheme="minorHAnsi"/>
                <w:color w:val="000000"/>
                <w:sz w:val="12"/>
                <w:szCs w:val="12"/>
                <w:lang w:eastAsia="sl-SI"/>
              </w:rPr>
              <w:t>prispeval</w:t>
            </w:r>
            <w:r>
              <w:rPr>
                <w:rFonts w:eastAsia="Times New Roman" w:cstheme="minorHAnsi"/>
                <w:color w:val="000000"/>
                <w:sz w:val="12"/>
                <w:szCs w:val="12"/>
                <w:lang w:eastAsia="sl-SI"/>
              </w:rPr>
              <w:t>a</w:t>
            </w:r>
            <w:r w:rsidRPr="00B602F3">
              <w:rPr>
                <w:rFonts w:eastAsia="Times New Roman" w:cstheme="minorHAnsi"/>
                <w:color w:val="000000"/>
                <w:sz w:val="12"/>
                <w:szCs w:val="12"/>
                <w:lang w:eastAsia="sl-SI"/>
              </w:rPr>
              <w:t xml:space="preserve"> k izboljšanju </w:t>
            </w:r>
            <w:r>
              <w:rPr>
                <w:rFonts w:eastAsia="Times New Roman" w:cstheme="minorHAnsi"/>
                <w:color w:val="000000"/>
                <w:sz w:val="12"/>
                <w:szCs w:val="12"/>
                <w:lang w:eastAsia="sl-SI"/>
              </w:rPr>
              <w:t xml:space="preserve">ključnih dokumentov in </w:t>
            </w:r>
            <w:r w:rsidRPr="00B602F3">
              <w:rPr>
                <w:rFonts w:eastAsia="Times New Roman" w:cstheme="minorHAnsi"/>
                <w:color w:val="000000"/>
                <w:sz w:val="12"/>
                <w:szCs w:val="12"/>
                <w:lang w:eastAsia="sl-SI"/>
              </w:rPr>
              <w:t>izvajanja programa.</w:t>
            </w:r>
          </w:p>
          <w:p w14:paraId="03F36AE8" w14:textId="77777777" w:rsidR="0055130F" w:rsidRDefault="0055130F" w:rsidP="006C1B02">
            <w:pPr>
              <w:spacing w:after="0"/>
              <w:jc w:val="center"/>
              <w:rPr>
                <w:rFonts w:eastAsia="Times New Roman" w:cstheme="minorHAnsi"/>
                <w:color w:val="000000"/>
                <w:sz w:val="12"/>
                <w:szCs w:val="12"/>
                <w:lang w:eastAsia="sl-SI"/>
              </w:rPr>
            </w:pPr>
          </w:p>
          <w:p w14:paraId="21050B24" w14:textId="7A2AFB31" w:rsidR="0055130F" w:rsidRPr="00BA16C9" w:rsidRDefault="0055130F" w:rsidP="006C1B02">
            <w:pPr>
              <w:spacing w:after="0"/>
              <w:jc w:val="center"/>
              <w:rPr>
                <w:rFonts w:eastAsia="Times New Roman" w:cstheme="minorHAnsi"/>
                <w:b/>
                <w:bCs/>
                <w:color w:val="000000"/>
                <w:sz w:val="12"/>
                <w:szCs w:val="12"/>
                <w:lang w:eastAsia="sl-SI"/>
              </w:rPr>
            </w:pPr>
          </w:p>
        </w:tc>
        <w:tc>
          <w:tcPr>
            <w:tcW w:w="992" w:type="dxa"/>
            <w:shd w:val="clear" w:color="auto" w:fill="auto"/>
            <w:vAlign w:val="center"/>
          </w:tcPr>
          <w:p w14:paraId="598929E9" w14:textId="6AF12A7A" w:rsidR="0055130F" w:rsidRPr="00A56BDD" w:rsidRDefault="0055130F" w:rsidP="006C1B02">
            <w:pPr>
              <w:spacing w:after="0"/>
              <w:jc w:val="center"/>
              <w:rPr>
                <w:rFonts w:eastAsia="Times New Roman" w:cstheme="minorHAnsi"/>
                <w:b/>
                <w:bCs/>
                <w:color w:val="000000"/>
                <w:sz w:val="12"/>
                <w:szCs w:val="12"/>
                <w:lang w:eastAsia="sl-SI"/>
              </w:rPr>
            </w:pPr>
            <w:r w:rsidRPr="00DB07BC">
              <w:rPr>
                <w:rFonts w:eastAsia="Times New Roman" w:cstheme="minorHAnsi"/>
                <w:color w:val="000000"/>
                <w:sz w:val="12"/>
                <w:szCs w:val="12"/>
                <w:lang w:eastAsia="sl-SI"/>
              </w:rPr>
              <w:t>TP/nacionalno</w:t>
            </w:r>
          </w:p>
        </w:tc>
        <w:tc>
          <w:tcPr>
            <w:tcW w:w="2698" w:type="dxa"/>
            <w:shd w:val="clear" w:color="auto" w:fill="auto"/>
            <w:vAlign w:val="center"/>
          </w:tcPr>
          <w:p w14:paraId="7E19B492" w14:textId="099599A4" w:rsidR="0055130F" w:rsidRDefault="0055130F" w:rsidP="006C1B02">
            <w:pPr>
              <w:spacing w:after="0"/>
              <w:jc w:val="center"/>
              <w:rPr>
                <w:rFonts w:eastAsia="Times New Roman" w:cstheme="minorHAnsi"/>
                <w:b/>
                <w:bCs/>
                <w:color w:val="000000"/>
                <w:sz w:val="12"/>
                <w:szCs w:val="12"/>
                <w:lang w:eastAsia="sl-SI"/>
              </w:rPr>
            </w:pPr>
            <w:r>
              <w:rPr>
                <w:rFonts w:eastAsia="Times New Roman" w:cstheme="minorHAnsi"/>
                <w:color w:val="000000"/>
                <w:sz w:val="12"/>
                <w:szCs w:val="12"/>
                <w:lang w:eastAsia="sl-SI"/>
              </w:rPr>
              <w:t xml:space="preserve">Zagotovitev posvetovanj z deležniki ter tehničnih sestankov z Evropsko komisijo. </w:t>
            </w:r>
            <w:r w:rsidRPr="00DB07BC">
              <w:rPr>
                <w:rFonts w:eastAsia="Times New Roman" w:cstheme="minorHAnsi"/>
                <w:color w:val="000000"/>
                <w:sz w:val="12"/>
                <w:szCs w:val="12"/>
                <w:lang w:eastAsia="sl-SI"/>
              </w:rPr>
              <w:t> </w:t>
            </w:r>
          </w:p>
        </w:tc>
      </w:tr>
      <w:tr w:rsidR="0055130F" w:rsidRPr="00A56BDD" w14:paraId="2CEAC4D1" w14:textId="77777777" w:rsidTr="000B080A">
        <w:trPr>
          <w:trHeight w:val="541"/>
          <w:jc w:val="center"/>
        </w:trPr>
        <w:tc>
          <w:tcPr>
            <w:tcW w:w="430" w:type="dxa"/>
            <w:shd w:val="clear" w:color="auto" w:fill="auto"/>
            <w:vAlign w:val="center"/>
          </w:tcPr>
          <w:p w14:paraId="119E4006" w14:textId="5219A5F1" w:rsidR="0055130F" w:rsidRPr="00CA79FF" w:rsidRDefault="0055130F" w:rsidP="007853C4">
            <w:pPr>
              <w:spacing w:after="0"/>
              <w:jc w:val="center"/>
              <w:rPr>
                <w:rFonts w:eastAsia="Times New Roman" w:cstheme="minorHAnsi"/>
                <w:color w:val="000000"/>
                <w:sz w:val="12"/>
                <w:szCs w:val="12"/>
                <w:lang w:eastAsia="sl-SI"/>
              </w:rPr>
            </w:pPr>
            <w:r w:rsidRPr="00CA79FF">
              <w:rPr>
                <w:rFonts w:eastAsia="Times New Roman" w:cstheme="minorHAnsi"/>
                <w:color w:val="000000"/>
                <w:sz w:val="12"/>
                <w:szCs w:val="12"/>
                <w:lang w:eastAsia="sl-SI"/>
              </w:rPr>
              <w:t>2.3.</w:t>
            </w:r>
          </w:p>
        </w:tc>
        <w:tc>
          <w:tcPr>
            <w:tcW w:w="2117" w:type="dxa"/>
            <w:shd w:val="clear" w:color="auto" w:fill="auto"/>
            <w:vAlign w:val="center"/>
          </w:tcPr>
          <w:p w14:paraId="7F0AED5C" w14:textId="62C5C41C" w:rsidR="0055130F"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Vzpostavitev nove spletne strani www.evropskasredstva.si</w:t>
            </w:r>
            <w:r w:rsidR="005738F9">
              <w:rPr>
                <w:rFonts w:eastAsia="Times New Roman" w:cstheme="minorHAnsi"/>
                <w:color w:val="000000"/>
                <w:sz w:val="12"/>
                <w:szCs w:val="12"/>
                <w:lang w:eastAsia="sl-SI"/>
              </w:rPr>
              <w:t>.</w:t>
            </w:r>
          </w:p>
        </w:tc>
        <w:tc>
          <w:tcPr>
            <w:tcW w:w="3402" w:type="dxa"/>
            <w:shd w:val="clear" w:color="auto" w:fill="auto"/>
            <w:vAlign w:val="center"/>
          </w:tcPr>
          <w:p w14:paraId="21D3ECFA" w14:textId="0F2622DA" w:rsidR="0055130F" w:rsidRPr="00DB07BC"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xml:space="preserve">Nova spletna stran za </w:t>
            </w:r>
            <w:r w:rsidR="000E6323">
              <w:rPr>
                <w:rFonts w:eastAsia="Times New Roman" w:cstheme="minorHAnsi"/>
                <w:color w:val="000000"/>
                <w:sz w:val="12"/>
                <w:szCs w:val="12"/>
                <w:lang w:eastAsia="sl-SI"/>
              </w:rPr>
              <w:t>dostop do vseh informacij na enem mestu vezanih na</w:t>
            </w:r>
            <w:r w:rsidRPr="00A56BDD">
              <w:rPr>
                <w:rFonts w:eastAsia="Times New Roman" w:cstheme="minorHAnsi"/>
                <w:color w:val="000000"/>
                <w:sz w:val="12"/>
                <w:szCs w:val="12"/>
                <w:lang w:eastAsia="sl-SI"/>
              </w:rPr>
              <w:t xml:space="preserve"> VFO 2021-2027</w:t>
            </w:r>
            <w:r>
              <w:rPr>
                <w:rFonts w:eastAsia="Times New Roman" w:cstheme="minorHAnsi"/>
                <w:color w:val="000000"/>
                <w:sz w:val="12"/>
                <w:szCs w:val="12"/>
                <w:lang w:eastAsia="sl-SI"/>
              </w:rPr>
              <w:t xml:space="preserve"> in dostop do informacij predhodnih VFO kohezijske politike.</w:t>
            </w:r>
          </w:p>
          <w:p w14:paraId="579F1457" w14:textId="725AD616" w:rsidR="0055130F" w:rsidRDefault="0055130F" w:rsidP="007853C4">
            <w:pPr>
              <w:spacing w:after="0"/>
              <w:jc w:val="center"/>
              <w:rPr>
                <w:rFonts w:eastAsia="Times New Roman" w:cstheme="minorHAnsi"/>
                <w:color w:val="000000"/>
                <w:sz w:val="12"/>
                <w:szCs w:val="12"/>
                <w:lang w:eastAsia="sl-SI"/>
              </w:rPr>
            </w:pPr>
          </w:p>
          <w:p w14:paraId="0EB9431A" w14:textId="1E837399" w:rsidR="0055130F" w:rsidRPr="00DB07BC" w:rsidRDefault="0055130F" w:rsidP="007853C4">
            <w:pPr>
              <w:spacing w:after="0"/>
              <w:jc w:val="center"/>
              <w:rPr>
                <w:rFonts w:eastAsia="Times New Roman" w:cstheme="minorHAnsi"/>
                <w:color w:val="000000"/>
                <w:sz w:val="12"/>
                <w:szCs w:val="12"/>
                <w:lang w:eastAsia="sl-SI"/>
              </w:rPr>
            </w:pPr>
          </w:p>
        </w:tc>
        <w:tc>
          <w:tcPr>
            <w:tcW w:w="850" w:type="dxa"/>
            <w:shd w:val="clear" w:color="auto" w:fill="auto"/>
            <w:vAlign w:val="center"/>
          </w:tcPr>
          <w:p w14:paraId="74500114" w14:textId="76240399" w:rsidR="0055130F" w:rsidRPr="00DB07BC"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851" w:type="dxa"/>
            <w:shd w:val="clear" w:color="auto" w:fill="auto"/>
            <w:vAlign w:val="center"/>
          </w:tcPr>
          <w:p w14:paraId="5EAB0322" w14:textId="7383622D" w:rsidR="0055130F" w:rsidRPr="00A56BDD" w:rsidRDefault="000E6323"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PT URSOO ter vsi drugi </w:t>
            </w:r>
            <w:r w:rsidR="0055130F" w:rsidRPr="00A56BDD">
              <w:rPr>
                <w:rFonts w:eastAsia="Times New Roman" w:cstheme="minorHAnsi"/>
                <w:color w:val="000000"/>
                <w:sz w:val="12"/>
                <w:szCs w:val="12"/>
                <w:lang w:eastAsia="sl-SI"/>
              </w:rPr>
              <w:t>udeležen</w:t>
            </w:r>
            <w:r>
              <w:rPr>
                <w:rFonts w:eastAsia="Times New Roman" w:cstheme="minorHAnsi"/>
                <w:color w:val="000000"/>
                <w:sz w:val="12"/>
                <w:szCs w:val="12"/>
                <w:lang w:eastAsia="sl-SI"/>
              </w:rPr>
              <w:t>ci ter u</w:t>
            </w:r>
            <w:r w:rsidR="0055130F" w:rsidRPr="00A56BDD">
              <w:rPr>
                <w:rFonts w:eastAsia="Times New Roman" w:cstheme="minorHAnsi"/>
                <w:color w:val="000000"/>
                <w:sz w:val="12"/>
                <w:szCs w:val="12"/>
                <w:lang w:eastAsia="sl-SI"/>
              </w:rPr>
              <w:t xml:space="preserve">pravičenci </w:t>
            </w:r>
          </w:p>
          <w:p w14:paraId="3C4644CB" w14:textId="77777777" w:rsidR="0055130F" w:rsidRDefault="0055130F" w:rsidP="007853C4">
            <w:pPr>
              <w:spacing w:after="0"/>
              <w:jc w:val="center"/>
              <w:rPr>
                <w:rFonts w:eastAsia="Times New Roman" w:cstheme="minorHAnsi"/>
                <w:color w:val="000000"/>
                <w:sz w:val="12"/>
                <w:szCs w:val="12"/>
                <w:lang w:eastAsia="sl-SI"/>
              </w:rPr>
            </w:pPr>
          </w:p>
        </w:tc>
        <w:tc>
          <w:tcPr>
            <w:tcW w:w="992" w:type="dxa"/>
            <w:shd w:val="clear" w:color="auto" w:fill="auto"/>
            <w:vAlign w:val="center"/>
          </w:tcPr>
          <w:p w14:paraId="6EC9E234" w14:textId="77023693" w:rsidR="0055130F" w:rsidRPr="00DB07BC" w:rsidRDefault="000E6323" w:rsidP="007853C4">
            <w:pPr>
              <w:spacing w:after="0"/>
              <w:jc w:val="center"/>
              <w:rPr>
                <w:rFonts w:eastAsia="Times New Roman" w:cstheme="minorHAnsi"/>
                <w:color w:val="000000"/>
                <w:sz w:val="12"/>
                <w:szCs w:val="12"/>
                <w:lang w:eastAsia="sl-SI"/>
              </w:rPr>
            </w:pPr>
            <w:r>
              <w:rPr>
                <w:rFonts w:eastAsia="Times New Roman" w:cstheme="minorHAnsi"/>
                <w:sz w:val="12"/>
                <w:szCs w:val="12"/>
                <w:lang w:eastAsia="sl-SI"/>
              </w:rPr>
              <w:t>20</w:t>
            </w:r>
            <w:r w:rsidR="0055130F" w:rsidRPr="0068787F">
              <w:rPr>
                <w:rFonts w:eastAsia="Times New Roman" w:cstheme="minorHAnsi"/>
                <w:sz w:val="12"/>
                <w:szCs w:val="12"/>
                <w:lang w:eastAsia="sl-SI"/>
              </w:rPr>
              <w:t xml:space="preserve">21 in </w:t>
            </w:r>
            <w:r w:rsidR="0055130F">
              <w:rPr>
                <w:rFonts w:eastAsia="Times New Roman" w:cstheme="minorHAnsi"/>
                <w:color w:val="000000"/>
                <w:sz w:val="12"/>
                <w:szCs w:val="12"/>
                <w:lang w:eastAsia="sl-SI"/>
              </w:rPr>
              <w:t>nato redno posodabljan</w:t>
            </w:r>
            <w:r>
              <w:rPr>
                <w:rFonts w:eastAsia="Times New Roman" w:cstheme="minorHAnsi"/>
                <w:color w:val="000000"/>
                <w:sz w:val="12"/>
                <w:szCs w:val="12"/>
                <w:lang w:eastAsia="sl-SI"/>
              </w:rPr>
              <w:t>j</w:t>
            </w:r>
            <w:r w:rsidR="0055130F">
              <w:rPr>
                <w:rFonts w:eastAsia="Times New Roman" w:cstheme="minorHAnsi"/>
                <w:color w:val="000000"/>
                <w:sz w:val="12"/>
                <w:szCs w:val="12"/>
                <w:lang w:eastAsia="sl-SI"/>
              </w:rPr>
              <w:t>e in vzdrževanje do 2030</w:t>
            </w:r>
          </w:p>
        </w:tc>
        <w:tc>
          <w:tcPr>
            <w:tcW w:w="1985" w:type="dxa"/>
            <w:shd w:val="clear" w:color="auto" w:fill="auto"/>
            <w:vAlign w:val="center"/>
          </w:tcPr>
          <w:p w14:paraId="4EA3E0F5" w14:textId="2834B719"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Ažuren in kakovosten dostop do informacij ter pomoč uporabnikom. </w:t>
            </w:r>
          </w:p>
          <w:p w14:paraId="51F7E983" w14:textId="09610E4E" w:rsidR="0055130F" w:rsidRPr="00DB07BC" w:rsidRDefault="0055130F" w:rsidP="007853C4">
            <w:pPr>
              <w:spacing w:after="0"/>
              <w:jc w:val="center"/>
              <w:rPr>
                <w:rFonts w:eastAsia="Times New Roman" w:cstheme="minorHAnsi"/>
                <w:color w:val="000000"/>
                <w:sz w:val="12"/>
                <w:szCs w:val="12"/>
                <w:lang w:eastAsia="sl-SI"/>
              </w:rPr>
            </w:pPr>
          </w:p>
        </w:tc>
        <w:tc>
          <w:tcPr>
            <w:tcW w:w="992" w:type="dxa"/>
            <w:shd w:val="clear" w:color="auto" w:fill="auto"/>
            <w:vAlign w:val="center"/>
          </w:tcPr>
          <w:p w14:paraId="2EC633E9" w14:textId="30AAF663" w:rsidR="0055130F" w:rsidRPr="00DB07BC"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698" w:type="dxa"/>
            <w:shd w:val="clear" w:color="auto" w:fill="auto"/>
            <w:vAlign w:val="center"/>
          </w:tcPr>
          <w:p w14:paraId="29BAF96D" w14:textId="2BDFBEF7"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Vzpostavljena spletna stran</w:t>
            </w:r>
            <w:r w:rsidR="00647E53">
              <w:rPr>
                <w:rFonts w:eastAsia="Times New Roman" w:cstheme="minorHAnsi"/>
                <w:color w:val="000000"/>
                <w:sz w:val="12"/>
                <w:szCs w:val="12"/>
                <w:lang w:eastAsia="sl-SI"/>
              </w:rPr>
              <w:t xml:space="preserve">, ki se </w:t>
            </w:r>
            <w:r w:rsidR="000E6323">
              <w:rPr>
                <w:rFonts w:eastAsia="Times New Roman" w:cstheme="minorHAnsi"/>
                <w:color w:val="000000"/>
                <w:sz w:val="12"/>
                <w:szCs w:val="12"/>
                <w:lang w:eastAsia="sl-SI"/>
              </w:rPr>
              <w:t>ažurno</w:t>
            </w:r>
            <w:r w:rsidR="00647E53">
              <w:rPr>
                <w:rFonts w:eastAsia="Times New Roman" w:cstheme="minorHAnsi"/>
                <w:color w:val="000000"/>
                <w:sz w:val="12"/>
                <w:szCs w:val="12"/>
                <w:lang w:eastAsia="sl-SI"/>
              </w:rPr>
              <w:t xml:space="preserve"> posodablja.</w:t>
            </w:r>
          </w:p>
          <w:p w14:paraId="04FF8CB0" w14:textId="77777777" w:rsidR="0055130F" w:rsidRDefault="0055130F" w:rsidP="007853C4">
            <w:pPr>
              <w:spacing w:after="0"/>
              <w:jc w:val="center"/>
              <w:rPr>
                <w:rFonts w:eastAsia="Times New Roman" w:cstheme="minorHAnsi"/>
                <w:color w:val="000000"/>
                <w:sz w:val="12"/>
                <w:szCs w:val="12"/>
                <w:lang w:eastAsia="sl-SI"/>
              </w:rPr>
            </w:pPr>
          </w:p>
          <w:p w14:paraId="04C24C03" w14:textId="77777777" w:rsidR="0055130F" w:rsidRDefault="0055130F" w:rsidP="007853C4">
            <w:pPr>
              <w:spacing w:after="0"/>
              <w:jc w:val="center"/>
              <w:rPr>
                <w:rFonts w:eastAsia="Times New Roman" w:cstheme="minorHAnsi"/>
                <w:color w:val="000000"/>
                <w:sz w:val="12"/>
                <w:szCs w:val="12"/>
                <w:lang w:eastAsia="sl-SI"/>
              </w:rPr>
            </w:pPr>
          </w:p>
        </w:tc>
      </w:tr>
      <w:tr w:rsidR="0055130F" w:rsidRPr="00A56BDD" w14:paraId="1368938F" w14:textId="77777777" w:rsidTr="000B080A">
        <w:trPr>
          <w:trHeight w:val="621"/>
          <w:jc w:val="center"/>
        </w:trPr>
        <w:tc>
          <w:tcPr>
            <w:tcW w:w="430" w:type="dxa"/>
            <w:shd w:val="clear" w:color="auto" w:fill="auto"/>
            <w:vAlign w:val="center"/>
          </w:tcPr>
          <w:p w14:paraId="2EDDF5F7" w14:textId="1F0AD26B"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w:t>
            </w:r>
            <w:r w:rsidRPr="00A56BDD">
              <w:rPr>
                <w:rFonts w:eastAsia="Times New Roman" w:cstheme="minorHAnsi"/>
                <w:color w:val="000000"/>
                <w:sz w:val="12"/>
                <w:szCs w:val="12"/>
                <w:lang w:eastAsia="sl-SI"/>
              </w:rPr>
              <w:t>.</w:t>
            </w:r>
            <w:r>
              <w:rPr>
                <w:rFonts w:eastAsia="Times New Roman" w:cstheme="minorHAnsi"/>
                <w:color w:val="000000"/>
                <w:sz w:val="12"/>
                <w:szCs w:val="12"/>
                <w:lang w:eastAsia="sl-SI"/>
              </w:rPr>
              <w:t>4</w:t>
            </w:r>
            <w:r w:rsidRPr="00A56BDD">
              <w:rPr>
                <w:rFonts w:eastAsia="Times New Roman" w:cstheme="minorHAnsi"/>
                <w:color w:val="000000"/>
                <w:sz w:val="12"/>
                <w:szCs w:val="12"/>
                <w:lang w:eastAsia="sl-SI"/>
              </w:rPr>
              <w:t>.</w:t>
            </w:r>
          </w:p>
        </w:tc>
        <w:tc>
          <w:tcPr>
            <w:tcW w:w="2117" w:type="dxa"/>
            <w:shd w:val="clear" w:color="auto" w:fill="auto"/>
            <w:vAlign w:val="center"/>
          </w:tcPr>
          <w:p w14:paraId="1431D74E" w14:textId="5801404F"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Spodbujanje sodelovanja in komuniciranja</w:t>
            </w:r>
            <w:r>
              <w:rPr>
                <w:rFonts w:eastAsia="Times New Roman" w:cstheme="minorHAnsi"/>
                <w:color w:val="000000"/>
                <w:sz w:val="12"/>
                <w:szCs w:val="12"/>
                <w:lang w:eastAsia="sl-SI"/>
              </w:rPr>
              <w:t xml:space="preserve"> na več ravneh</w:t>
            </w:r>
            <w:r w:rsidR="005738F9">
              <w:rPr>
                <w:rFonts w:eastAsia="Times New Roman" w:cstheme="minorHAnsi"/>
                <w:color w:val="000000"/>
                <w:sz w:val="12"/>
                <w:szCs w:val="12"/>
                <w:lang w:eastAsia="sl-SI"/>
              </w:rPr>
              <w:t>.</w:t>
            </w:r>
          </w:p>
        </w:tc>
        <w:tc>
          <w:tcPr>
            <w:tcW w:w="3402" w:type="dxa"/>
            <w:shd w:val="clear" w:color="auto" w:fill="auto"/>
            <w:vAlign w:val="center"/>
          </w:tcPr>
          <w:p w14:paraId="6AD6F280" w14:textId="5F63C226" w:rsidR="0055130F" w:rsidRDefault="0055130F" w:rsidP="00B602F3">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Z rednimi kolegiji, operativnimi sestanki ipd. se aktivno spodbuja medsebojn</w:t>
            </w:r>
            <w:r w:rsidR="000E6323">
              <w:rPr>
                <w:rFonts w:eastAsia="Times New Roman" w:cstheme="minorHAnsi"/>
                <w:color w:val="000000"/>
                <w:sz w:val="12"/>
                <w:szCs w:val="12"/>
                <w:lang w:eastAsia="sl-SI"/>
              </w:rPr>
              <w:t>o</w:t>
            </w:r>
            <w:r w:rsidRPr="00A56BDD">
              <w:rPr>
                <w:rFonts w:eastAsia="Times New Roman" w:cstheme="minorHAnsi"/>
                <w:color w:val="000000"/>
                <w:sz w:val="12"/>
                <w:szCs w:val="12"/>
                <w:lang w:eastAsia="sl-SI"/>
              </w:rPr>
              <w:t xml:space="preserve"> sodelovanj</w:t>
            </w:r>
            <w:r w:rsidR="000E6323">
              <w:rPr>
                <w:rFonts w:eastAsia="Times New Roman" w:cstheme="minorHAnsi"/>
                <w:color w:val="000000"/>
                <w:sz w:val="12"/>
                <w:szCs w:val="12"/>
                <w:lang w:eastAsia="sl-SI"/>
              </w:rPr>
              <w:t>e</w:t>
            </w:r>
            <w:r w:rsidRPr="00A56BDD">
              <w:rPr>
                <w:rFonts w:eastAsia="Times New Roman" w:cstheme="minorHAnsi"/>
                <w:color w:val="000000"/>
                <w:sz w:val="12"/>
                <w:szCs w:val="12"/>
                <w:lang w:eastAsia="sl-SI"/>
              </w:rPr>
              <w:t xml:space="preserve"> in dvosmern</w:t>
            </w:r>
            <w:r w:rsidR="000E6323">
              <w:rPr>
                <w:rFonts w:eastAsia="Times New Roman" w:cstheme="minorHAnsi"/>
                <w:color w:val="000000"/>
                <w:sz w:val="12"/>
                <w:szCs w:val="12"/>
                <w:lang w:eastAsia="sl-SI"/>
              </w:rPr>
              <w:t>o</w:t>
            </w:r>
            <w:r w:rsidRPr="00A56BDD">
              <w:rPr>
                <w:rFonts w:eastAsia="Times New Roman" w:cstheme="minorHAnsi"/>
                <w:color w:val="000000"/>
                <w:sz w:val="12"/>
                <w:szCs w:val="12"/>
                <w:lang w:eastAsia="sl-SI"/>
              </w:rPr>
              <w:t xml:space="preserve"> komuniciranj</w:t>
            </w:r>
            <w:r w:rsidR="000E6323">
              <w:rPr>
                <w:rFonts w:eastAsia="Times New Roman" w:cstheme="minorHAnsi"/>
                <w:color w:val="000000"/>
                <w:sz w:val="12"/>
                <w:szCs w:val="12"/>
                <w:lang w:eastAsia="sl-SI"/>
              </w:rPr>
              <w:t>e</w:t>
            </w:r>
            <w:r w:rsidRPr="00A56BDD">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tako znotraj OU kot med OU in PT</w:t>
            </w:r>
            <w:r w:rsidRPr="00A56BDD">
              <w:rPr>
                <w:rFonts w:eastAsia="Times New Roman" w:cstheme="minorHAnsi"/>
                <w:color w:val="000000"/>
                <w:sz w:val="12"/>
                <w:szCs w:val="12"/>
                <w:lang w:eastAsia="sl-SI"/>
              </w:rPr>
              <w:t>.</w:t>
            </w:r>
            <w:r w:rsidRPr="00A56BDD">
              <w:rPr>
                <w:rFonts w:eastAsia="Times New Roman" w:cstheme="minorHAnsi"/>
                <w:sz w:val="12"/>
                <w:szCs w:val="12"/>
                <w:lang w:eastAsia="sl-SI"/>
              </w:rPr>
              <w:t xml:space="preserve"> </w:t>
            </w:r>
            <w:r>
              <w:rPr>
                <w:rFonts w:eastAsia="Times New Roman" w:cstheme="minorHAnsi"/>
                <w:sz w:val="12"/>
                <w:szCs w:val="12"/>
                <w:lang w:eastAsia="sl-SI"/>
              </w:rPr>
              <w:t>S</w:t>
            </w:r>
            <w:r w:rsidRPr="00A56BDD">
              <w:rPr>
                <w:rFonts w:eastAsia="Times New Roman" w:cstheme="minorHAnsi"/>
                <w:sz w:val="12"/>
                <w:szCs w:val="12"/>
                <w:lang w:eastAsia="sl-SI"/>
              </w:rPr>
              <w:t xml:space="preserve">podbuja </w:t>
            </w:r>
            <w:r>
              <w:rPr>
                <w:rFonts w:eastAsia="Times New Roman" w:cstheme="minorHAnsi"/>
                <w:sz w:val="12"/>
                <w:szCs w:val="12"/>
                <w:lang w:eastAsia="sl-SI"/>
              </w:rPr>
              <w:t>se sporočanje predlogov/rešitev/idej in tudi obveščanja</w:t>
            </w:r>
            <w:r w:rsidRPr="00A56BDD">
              <w:rPr>
                <w:rFonts w:eastAsia="Times New Roman" w:cstheme="minorHAnsi"/>
                <w:color w:val="000000"/>
                <w:sz w:val="12"/>
                <w:szCs w:val="12"/>
                <w:lang w:eastAsia="sl-SI"/>
              </w:rPr>
              <w:t xml:space="preserve"> ob morebitnih težavah</w:t>
            </w:r>
            <w:r>
              <w:rPr>
                <w:rFonts w:eastAsia="Times New Roman" w:cstheme="minorHAnsi"/>
                <w:color w:val="000000"/>
                <w:sz w:val="12"/>
                <w:szCs w:val="12"/>
                <w:lang w:eastAsia="sl-SI"/>
              </w:rPr>
              <w:t>.</w:t>
            </w:r>
          </w:p>
          <w:p w14:paraId="5321F8C8" w14:textId="38F980A7" w:rsidR="0055130F" w:rsidRDefault="0055130F" w:rsidP="00B602F3">
            <w:pPr>
              <w:spacing w:after="0"/>
              <w:jc w:val="center"/>
              <w:rPr>
                <w:rFonts w:eastAsia="Times New Roman" w:cstheme="minorHAnsi"/>
                <w:color w:val="000000"/>
                <w:sz w:val="12"/>
                <w:szCs w:val="12"/>
                <w:lang w:eastAsia="sl-SI"/>
              </w:rPr>
            </w:pPr>
            <w:r w:rsidRPr="008272DB">
              <w:rPr>
                <w:rFonts w:eastAsia="Times New Roman" w:cstheme="minorHAnsi"/>
                <w:color w:val="000000"/>
                <w:sz w:val="12"/>
                <w:szCs w:val="12"/>
                <w:lang w:eastAsia="sl-SI"/>
              </w:rPr>
              <w:t xml:space="preserve">Tematska/usmerjena usposabljanja, izobraževanja, delovna srečanja, operativni sestanki, team </w:t>
            </w:r>
            <w:proofErr w:type="spellStart"/>
            <w:r w:rsidRPr="008272DB">
              <w:rPr>
                <w:rFonts w:eastAsia="Times New Roman" w:cstheme="minorHAnsi"/>
                <w:color w:val="000000"/>
                <w:sz w:val="12"/>
                <w:szCs w:val="12"/>
                <w:lang w:eastAsia="sl-SI"/>
              </w:rPr>
              <w:t>buildingi</w:t>
            </w:r>
            <w:proofErr w:type="spellEnd"/>
            <w:r>
              <w:rPr>
                <w:rFonts w:eastAsia="Times New Roman" w:cstheme="minorHAnsi"/>
                <w:color w:val="000000"/>
                <w:sz w:val="12"/>
                <w:szCs w:val="12"/>
                <w:lang w:eastAsia="sl-SI"/>
              </w:rPr>
              <w:t xml:space="preserve"> bodo spodbudili sodelovanje in motiviranost zaposlenih.</w:t>
            </w:r>
            <w:r w:rsidRPr="008272DB">
              <w:rPr>
                <w:rFonts w:eastAsia="Times New Roman" w:cstheme="minorHAnsi"/>
                <w:color w:val="000000"/>
                <w:sz w:val="12"/>
                <w:szCs w:val="12"/>
                <w:lang w:eastAsia="sl-SI"/>
              </w:rPr>
              <w:t xml:space="preserve"> </w:t>
            </w:r>
          </w:p>
          <w:p w14:paraId="228DF81D" w14:textId="5951FA3B" w:rsidR="0055130F"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w:t>
            </w:r>
          </w:p>
        </w:tc>
        <w:tc>
          <w:tcPr>
            <w:tcW w:w="850" w:type="dxa"/>
            <w:shd w:val="clear" w:color="auto" w:fill="auto"/>
            <w:vAlign w:val="center"/>
          </w:tcPr>
          <w:p w14:paraId="3B7440C9" w14:textId="076F8EB0"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851" w:type="dxa"/>
            <w:shd w:val="clear" w:color="auto" w:fill="auto"/>
            <w:vAlign w:val="center"/>
          </w:tcPr>
          <w:p w14:paraId="75E62719" w14:textId="11B19F60"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A56BDD">
              <w:rPr>
                <w:rFonts w:eastAsia="Times New Roman" w:cstheme="minorHAnsi"/>
                <w:color w:val="000000"/>
                <w:sz w:val="12"/>
                <w:szCs w:val="12"/>
                <w:lang w:eastAsia="sl-SI"/>
              </w:rPr>
              <w:t>P</w:t>
            </w:r>
            <w:r>
              <w:rPr>
                <w:rFonts w:eastAsia="Times New Roman" w:cstheme="minorHAnsi"/>
                <w:color w:val="000000"/>
                <w:sz w:val="12"/>
                <w:szCs w:val="12"/>
                <w:lang w:eastAsia="sl-SI"/>
              </w:rPr>
              <w:t>T, EK, URSOO in drugi deležniki, če relevantno</w:t>
            </w:r>
            <w:r w:rsidRPr="00A56BDD">
              <w:rPr>
                <w:rFonts w:eastAsia="Times New Roman" w:cstheme="minorHAnsi"/>
                <w:color w:val="000000"/>
                <w:sz w:val="12"/>
                <w:szCs w:val="12"/>
                <w:lang w:eastAsia="sl-SI"/>
              </w:rPr>
              <w:t> </w:t>
            </w:r>
          </w:p>
        </w:tc>
        <w:tc>
          <w:tcPr>
            <w:tcW w:w="992" w:type="dxa"/>
            <w:shd w:val="clear" w:color="auto" w:fill="auto"/>
            <w:vAlign w:val="center"/>
          </w:tcPr>
          <w:p w14:paraId="675C9265" w14:textId="77777777"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mesečno v obdobju</w:t>
            </w:r>
          </w:p>
          <w:p w14:paraId="1976E03F" w14:textId="70EE659C" w:rsidR="0055130F" w:rsidRPr="006C1B02" w:rsidRDefault="0055130F" w:rsidP="007853C4">
            <w:pPr>
              <w:spacing w:after="0"/>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2021–2029 oziroma po potrebi za aktivnosti spoznavanja in sodelovanja</w:t>
            </w:r>
          </w:p>
        </w:tc>
        <w:tc>
          <w:tcPr>
            <w:tcW w:w="1985" w:type="dxa"/>
            <w:shd w:val="clear" w:color="auto" w:fill="auto"/>
            <w:vAlign w:val="center"/>
          </w:tcPr>
          <w:p w14:paraId="0085959A" w14:textId="3F3B6C9F"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Boljše sodelovanje, izmenjava informacij in motiviranost zaposlenih.</w:t>
            </w:r>
          </w:p>
        </w:tc>
        <w:tc>
          <w:tcPr>
            <w:tcW w:w="992" w:type="dxa"/>
            <w:shd w:val="clear" w:color="auto" w:fill="auto"/>
            <w:vAlign w:val="center"/>
          </w:tcPr>
          <w:p w14:paraId="1FC8D7B7" w14:textId="5C553748"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698" w:type="dxa"/>
            <w:shd w:val="clear" w:color="auto" w:fill="auto"/>
            <w:vAlign w:val="center"/>
          </w:tcPr>
          <w:p w14:paraId="770845BE" w14:textId="5E7E239F" w:rsidR="0055130F"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 </w:t>
            </w:r>
            <w:r>
              <w:rPr>
                <w:rFonts w:eastAsia="Times New Roman" w:cstheme="minorHAnsi"/>
                <w:color w:val="000000"/>
                <w:sz w:val="12"/>
                <w:szCs w:val="12"/>
                <w:lang w:eastAsia="sl-SI"/>
              </w:rPr>
              <w:t>Zagotovitev  r</w:t>
            </w:r>
            <w:r w:rsidRPr="00A56BDD">
              <w:rPr>
                <w:rFonts w:eastAsia="Times New Roman" w:cstheme="minorHAnsi"/>
                <w:color w:val="000000"/>
                <w:sz w:val="12"/>
                <w:szCs w:val="12"/>
                <w:lang w:eastAsia="sl-SI"/>
              </w:rPr>
              <w:t>edni</w:t>
            </w:r>
            <w:r>
              <w:rPr>
                <w:rFonts w:eastAsia="Times New Roman" w:cstheme="minorHAnsi"/>
                <w:color w:val="000000"/>
                <w:sz w:val="12"/>
                <w:szCs w:val="12"/>
                <w:lang w:eastAsia="sl-SI"/>
              </w:rPr>
              <w:t>h</w:t>
            </w:r>
            <w:r w:rsidRPr="00A56BDD">
              <w:rPr>
                <w:rFonts w:eastAsia="Times New Roman" w:cstheme="minorHAnsi"/>
                <w:color w:val="000000"/>
                <w:sz w:val="12"/>
                <w:szCs w:val="12"/>
                <w:lang w:eastAsia="sl-SI"/>
              </w:rPr>
              <w:t xml:space="preserve"> kolegije</w:t>
            </w:r>
            <w:r>
              <w:rPr>
                <w:rFonts w:eastAsia="Times New Roman" w:cstheme="minorHAnsi"/>
                <w:color w:val="000000"/>
                <w:sz w:val="12"/>
                <w:szCs w:val="12"/>
                <w:lang w:eastAsia="sl-SI"/>
              </w:rPr>
              <w:t>v</w:t>
            </w:r>
            <w:r w:rsidRPr="00A56BDD">
              <w:rPr>
                <w:rFonts w:eastAsia="Times New Roman" w:cstheme="minorHAnsi"/>
                <w:color w:val="000000"/>
                <w:sz w:val="12"/>
                <w:szCs w:val="12"/>
                <w:lang w:eastAsia="sl-SI"/>
              </w:rPr>
              <w:t>, operativni</w:t>
            </w:r>
            <w:r>
              <w:rPr>
                <w:rFonts w:eastAsia="Times New Roman" w:cstheme="minorHAnsi"/>
                <w:color w:val="000000"/>
                <w:sz w:val="12"/>
                <w:szCs w:val="12"/>
                <w:lang w:eastAsia="sl-SI"/>
              </w:rPr>
              <w:t>h</w:t>
            </w:r>
            <w:r w:rsidRPr="00A56BDD">
              <w:rPr>
                <w:rFonts w:eastAsia="Times New Roman" w:cstheme="minorHAnsi"/>
                <w:color w:val="000000"/>
                <w:sz w:val="12"/>
                <w:szCs w:val="12"/>
                <w:lang w:eastAsia="sl-SI"/>
              </w:rPr>
              <w:t xml:space="preserve"> sestank</w:t>
            </w:r>
            <w:r>
              <w:rPr>
                <w:rFonts w:eastAsia="Times New Roman" w:cstheme="minorHAnsi"/>
                <w:color w:val="000000"/>
                <w:sz w:val="12"/>
                <w:szCs w:val="12"/>
                <w:lang w:eastAsia="sl-SI"/>
              </w:rPr>
              <w:t>ov</w:t>
            </w:r>
            <w:r w:rsidRPr="00A56BDD">
              <w:rPr>
                <w:rFonts w:eastAsia="Times New Roman" w:cstheme="minorHAnsi"/>
                <w:color w:val="000000"/>
                <w:sz w:val="12"/>
                <w:szCs w:val="12"/>
                <w:lang w:eastAsia="sl-SI"/>
              </w:rPr>
              <w:t xml:space="preserve">, team </w:t>
            </w:r>
            <w:proofErr w:type="spellStart"/>
            <w:r w:rsidRPr="00A56BDD">
              <w:rPr>
                <w:rFonts w:eastAsia="Times New Roman" w:cstheme="minorHAnsi"/>
                <w:color w:val="000000"/>
                <w:sz w:val="12"/>
                <w:szCs w:val="12"/>
                <w:lang w:eastAsia="sl-SI"/>
              </w:rPr>
              <w:t>building</w:t>
            </w:r>
            <w:r>
              <w:rPr>
                <w:rFonts w:eastAsia="Times New Roman" w:cstheme="minorHAnsi"/>
                <w:color w:val="000000"/>
                <w:sz w:val="12"/>
                <w:szCs w:val="12"/>
                <w:lang w:eastAsia="sl-SI"/>
              </w:rPr>
              <w:t>ov</w:t>
            </w:r>
            <w:proofErr w:type="spellEnd"/>
            <w:r w:rsidR="005738F9">
              <w:rPr>
                <w:rFonts w:eastAsia="Times New Roman" w:cstheme="minorHAnsi"/>
                <w:color w:val="000000"/>
                <w:sz w:val="12"/>
                <w:szCs w:val="12"/>
                <w:lang w:eastAsia="sl-SI"/>
              </w:rPr>
              <w:t>.</w:t>
            </w:r>
          </w:p>
        </w:tc>
      </w:tr>
      <w:tr w:rsidR="0055130F" w:rsidRPr="00A56BDD" w14:paraId="14BDECF2" w14:textId="77777777" w:rsidTr="000B080A">
        <w:trPr>
          <w:trHeight w:val="621"/>
          <w:jc w:val="center"/>
        </w:trPr>
        <w:tc>
          <w:tcPr>
            <w:tcW w:w="430" w:type="dxa"/>
            <w:shd w:val="clear" w:color="auto" w:fill="auto"/>
            <w:vAlign w:val="center"/>
          </w:tcPr>
          <w:p w14:paraId="5DD89699" w14:textId="42B62B44"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2.5.</w:t>
            </w:r>
          </w:p>
        </w:tc>
        <w:tc>
          <w:tcPr>
            <w:tcW w:w="2117" w:type="dxa"/>
            <w:shd w:val="clear" w:color="auto" w:fill="auto"/>
            <w:vAlign w:val="center"/>
          </w:tcPr>
          <w:p w14:paraId="59164711" w14:textId="430D043F"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Vzpostavitev e-</w:t>
            </w:r>
            <w:r w:rsidRPr="00A56BDD">
              <w:rPr>
                <w:rFonts w:eastAsia="Times New Roman" w:cstheme="minorHAnsi"/>
                <w:color w:val="000000"/>
                <w:sz w:val="12"/>
                <w:szCs w:val="12"/>
                <w:lang w:eastAsia="sl-SI"/>
              </w:rPr>
              <w:t>MA2</w:t>
            </w:r>
            <w:r w:rsidR="005738F9">
              <w:rPr>
                <w:rFonts w:eastAsia="Times New Roman" w:cstheme="minorHAnsi"/>
                <w:color w:val="000000"/>
                <w:sz w:val="12"/>
                <w:szCs w:val="12"/>
                <w:lang w:eastAsia="sl-SI"/>
              </w:rPr>
              <w:t>.</w:t>
            </w:r>
          </w:p>
        </w:tc>
        <w:tc>
          <w:tcPr>
            <w:tcW w:w="3402" w:type="dxa"/>
            <w:shd w:val="clear" w:color="auto" w:fill="auto"/>
            <w:vAlign w:val="center"/>
          </w:tcPr>
          <w:p w14:paraId="1B32E445" w14:textId="7BE01477"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Nadgradnja in prilagoditev </w:t>
            </w:r>
            <w:r w:rsidRPr="00A56BDD">
              <w:rPr>
                <w:rFonts w:eastAsia="Times New Roman" w:cstheme="minorHAnsi"/>
                <w:color w:val="000000"/>
                <w:sz w:val="12"/>
                <w:szCs w:val="12"/>
                <w:lang w:eastAsia="sl-SI"/>
              </w:rPr>
              <w:t>informacijskega sistema</w:t>
            </w:r>
            <w:r>
              <w:rPr>
                <w:rFonts w:eastAsia="Times New Roman" w:cstheme="minorHAnsi"/>
                <w:color w:val="000000"/>
                <w:sz w:val="12"/>
                <w:szCs w:val="12"/>
                <w:lang w:eastAsia="sl-SI"/>
              </w:rPr>
              <w:t xml:space="preserve"> (IS e-MA2)</w:t>
            </w:r>
            <w:r w:rsidR="005738F9">
              <w:rPr>
                <w:rFonts w:eastAsia="Times New Roman" w:cstheme="minorHAnsi"/>
                <w:color w:val="000000"/>
                <w:sz w:val="12"/>
                <w:szCs w:val="12"/>
                <w:lang w:eastAsia="sl-SI"/>
              </w:rPr>
              <w:t>.</w:t>
            </w:r>
          </w:p>
        </w:tc>
        <w:tc>
          <w:tcPr>
            <w:tcW w:w="850" w:type="dxa"/>
            <w:shd w:val="clear" w:color="auto" w:fill="auto"/>
            <w:vAlign w:val="center"/>
          </w:tcPr>
          <w:p w14:paraId="0A6BDB2D" w14:textId="052214D2"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OU</w:t>
            </w:r>
          </w:p>
        </w:tc>
        <w:tc>
          <w:tcPr>
            <w:tcW w:w="851" w:type="dxa"/>
            <w:shd w:val="clear" w:color="auto" w:fill="auto"/>
            <w:vAlign w:val="center"/>
          </w:tcPr>
          <w:p w14:paraId="66C3F1FC" w14:textId="31B66A93"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A56BDD">
              <w:rPr>
                <w:rFonts w:eastAsia="Times New Roman" w:cstheme="minorHAnsi"/>
                <w:color w:val="000000"/>
                <w:sz w:val="12"/>
                <w:szCs w:val="12"/>
                <w:lang w:eastAsia="sl-SI"/>
              </w:rPr>
              <w:t>P</w:t>
            </w:r>
            <w:r>
              <w:rPr>
                <w:rFonts w:eastAsia="Times New Roman" w:cstheme="minorHAnsi"/>
                <w:color w:val="000000"/>
                <w:sz w:val="12"/>
                <w:szCs w:val="12"/>
                <w:lang w:eastAsia="sl-SI"/>
              </w:rPr>
              <w:t>T in drugi deležniki.</w:t>
            </w:r>
            <w:r w:rsidRPr="00A56BDD">
              <w:rPr>
                <w:rFonts w:eastAsia="Times New Roman" w:cstheme="minorHAnsi"/>
                <w:color w:val="000000"/>
                <w:sz w:val="12"/>
                <w:szCs w:val="12"/>
                <w:lang w:eastAsia="sl-SI"/>
              </w:rPr>
              <w:t>  </w:t>
            </w:r>
          </w:p>
        </w:tc>
        <w:tc>
          <w:tcPr>
            <w:tcW w:w="992" w:type="dxa"/>
            <w:shd w:val="clear" w:color="auto" w:fill="auto"/>
            <w:vAlign w:val="center"/>
          </w:tcPr>
          <w:p w14:paraId="062749EF" w14:textId="594797C9" w:rsidR="0055130F" w:rsidRPr="006C1B02" w:rsidRDefault="0055130F" w:rsidP="007853C4">
            <w:pPr>
              <w:spacing w:after="0"/>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2021–2030</w:t>
            </w:r>
          </w:p>
        </w:tc>
        <w:tc>
          <w:tcPr>
            <w:tcW w:w="1985" w:type="dxa"/>
            <w:shd w:val="clear" w:color="auto" w:fill="auto"/>
            <w:vAlign w:val="center"/>
          </w:tcPr>
          <w:p w14:paraId="2C4C1331" w14:textId="13391D87"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Učinkovit informacijski sistem</w:t>
            </w:r>
            <w:r>
              <w:rPr>
                <w:rFonts w:eastAsia="Times New Roman" w:cstheme="minorHAnsi"/>
                <w:color w:val="000000"/>
                <w:sz w:val="12"/>
                <w:szCs w:val="12"/>
                <w:lang w:eastAsia="sl-SI"/>
              </w:rPr>
              <w:t xml:space="preserve"> za podporo izvajanju, </w:t>
            </w:r>
            <w:r w:rsidR="009539DC">
              <w:rPr>
                <w:rFonts w:eastAsia="Times New Roman" w:cstheme="minorHAnsi"/>
                <w:color w:val="000000"/>
                <w:sz w:val="12"/>
                <w:szCs w:val="12"/>
                <w:lang w:eastAsia="sl-SI"/>
              </w:rPr>
              <w:t>koriščenju</w:t>
            </w:r>
            <w:r>
              <w:rPr>
                <w:rFonts w:eastAsia="Times New Roman" w:cstheme="minorHAnsi"/>
                <w:color w:val="000000"/>
                <w:sz w:val="12"/>
                <w:szCs w:val="12"/>
                <w:lang w:eastAsia="sl-SI"/>
              </w:rPr>
              <w:t xml:space="preserve"> in spremljanju kohezijskih sredstev.</w:t>
            </w:r>
          </w:p>
        </w:tc>
        <w:tc>
          <w:tcPr>
            <w:tcW w:w="992" w:type="dxa"/>
            <w:shd w:val="clear" w:color="auto" w:fill="auto"/>
            <w:vAlign w:val="center"/>
          </w:tcPr>
          <w:p w14:paraId="7D890F92" w14:textId="68D5A110" w:rsidR="0055130F" w:rsidRPr="00A56BDD" w:rsidRDefault="0055130F" w:rsidP="007853C4">
            <w:pPr>
              <w:spacing w:after="0"/>
              <w:jc w:val="center"/>
              <w:rPr>
                <w:rFonts w:eastAsia="Times New Roman" w:cstheme="minorHAnsi"/>
                <w:color w:val="000000"/>
                <w:sz w:val="12"/>
                <w:szCs w:val="12"/>
                <w:lang w:eastAsia="sl-SI"/>
              </w:rPr>
            </w:pPr>
            <w:r w:rsidRPr="00A56BDD">
              <w:rPr>
                <w:rFonts w:eastAsia="Times New Roman" w:cstheme="minorHAnsi"/>
                <w:color w:val="000000"/>
                <w:sz w:val="12"/>
                <w:szCs w:val="12"/>
                <w:lang w:eastAsia="sl-SI"/>
              </w:rPr>
              <w:t>TP/nacionalno</w:t>
            </w:r>
          </w:p>
        </w:tc>
        <w:tc>
          <w:tcPr>
            <w:tcW w:w="2698" w:type="dxa"/>
            <w:shd w:val="clear" w:color="auto" w:fill="auto"/>
            <w:vAlign w:val="center"/>
          </w:tcPr>
          <w:p w14:paraId="0E274CE7" w14:textId="2829777C"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Vzpostavljen sistem e-MA2</w:t>
            </w:r>
            <w:r w:rsidR="005738F9">
              <w:rPr>
                <w:rFonts w:eastAsia="Times New Roman" w:cstheme="minorHAnsi"/>
                <w:color w:val="000000"/>
                <w:sz w:val="12"/>
                <w:szCs w:val="12"/>
                <w:lang w:eastAsia="sl-SI"/>
              </w:rPr>
              <w:t>.</w:t>
            </w:r>
            <w:r w:rsidRPr="00A56BDD">
              <w:rPr>
                <w:rFonts w:eastAsia="Times New Roman" w:cstheme="minorHAnsi"/>
                <w:color w:val="000000"/>
                <w:sz w:val="12"/>
                <w:szCs w:val="12"/>
                <w:lang w:eastAsia="sl-SI"/>
              </w:rPr>
              <w:t> </w:t>
            </w:r>
          </w:p>
        </w:tc>
      </w:tr>
      <w:tr w:rsidR="0055130F" w:rsidRPr="00A56BDD" w14:paraId="398184BB" w14:textId="77777777" w:rsidTr="000B080A">
        <w:trPr>
          <w:trHeight w:val="1262"/>
          <w:jc w:val="center"/>
        </w:trPr>
        <w:tc>
          <w:tcPr>
            <w:tcW w:w="430" w:type="dxa"/>
            <w:shd w:val="clear" w:color="auto" w:fill="auto"/>
            <w:vAlign w:val="center"/>
          </w:tcPr>
          <w:p w14:paraId="790D6E91" w14:textId="4A69B934"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2.6.</w:t>
            </w:r>
          </w:p>
        </w:tc>
        <w:tc>
          <w:tcPr>
            <w:tcW w:w="2117" w:type="dxa"/>
            <w:shd w:val="clear" w:color="auto" w:fill="auto"/>
            <w:vAlign w:val="center"/>
          </w:tcPr>
          <w:p w14:paraId="13579D66" w14:textId="475C3B76" w:rsidR="0055130F" w:rsidRPr="00A56BDD"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 xml:space="preserve">Izmenjava podatkov preko </w:t>
            </w:r>
            <w:r>
              <w:rPr>
                <w:rFonts w:eastAsia="Times New Roman" w:cstheme="minorHAnsi"/>
                <w:color w:val="000000"/>
                <w:sz w:val="12"/>
                <w:szCs w:val="12"/>
                <w:lang w:eastAsia="sl-SI"/>
              </w:rPr>
              <w:t>različnih IS in sodelovanje in izmenjava informacij med nosilci različnih IS</w:t>
            </w:r>
            <w:r w:rsidR="005738F9">
              <w:rPr>
                <w:rFonts w:eastAsia="Times New Roman" w:cstheme="minorHAnsi"/>
                <w:color w:val="000000"/>
                <w:sz w:val="12"/>
                <w:szCs w:val="12"/>
                <w:lang w:eastAsia="sl-SI"/>
              </w:rPr>
              <w:t>.</w:t>
            </w:r>
          </w:p>
        </w:tc>
        <w:tc>
          <w:tcPr>
            <w:tcW w:w="3402" w:type="dxa"/>
            <w:shd w:val="clear" w:color="auto" w:fill="auto"/>
            <w:vAlign w:val="center"/>
          </w:tcPr>
          <w:p w14:paraId="20A2DED6" w14:textId="5AD8E24D"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Posodabljanje</w:t>
            </w:r>
            <w:r w:rsidRPr="00DB07BC">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IS</w:t>
            </w:r>
            <w:r w:rsidRPr="00DB07BC">
              <w:rPr>
                <w:rFonts w:eastAsia="Times New Roman" w:cstheme="minorHAnsi"/>
                <w:color w:val="000000"/>
                <w:sz w:val="12"/>
                <w:szCs w:val="12"/>
                <w:lang w:eastAsia="sl-SI"/>
              </w:rPr>
              <w:t xml:space="preserve"> OU </w:t>
            </w:r>
            <w:r>
              <w:rPr>
                <w:rFonts w:eastAsia="Times New Roman" w:cstheme="minorHAnsi"/>
                <w:color w:val="000000"/>
                <w:sz w:val="12"/>
                <w:szCs w:val="12"/>
                <w:lang w:eastAsia="sl-SI"/>
              </w:rPr>
              <w:t>(e-MA2) ter uskladitev z ostalimi IS. Organiziranje rednih izmenjav</w:t>
            </w:r>
            <w:r w:rsidRPr="00DB07BC">
              <w:rPr>
                <w:rFonts w:eastAsia="Times New Roman" w:cstheme="minorHAnsi"/>
                <w:color w:val="000000"/>
                <w:sz w:val="12"/>
                <w:szCs w:val="12"/>
                <w:lang w:eastAsia="sl-SI"/>
              </w:rPr>
              <w:t xml:space="preserve"> z relevantnimi deležniki</w:t>
            </w:r>
            <w:r>
              <w:rPr>
                <w:rFonts w:eastAsia="Times New Roman" w:cstheme="minorHAnsi"/>
                <w:color w:val="000000"/>
                <w:sz w:val="12"/>
                <w:szCs w:val="12"/>
                <w:lang w:eastAsia="sl-SI"/>
              </w:rPr>
              <w:t xml:space="preserve"> oz. nosilci drugih IS</w:t>
            </w:r>
            <w:r w:rsidRPr="00DB07BC">
              <w:rPr>
                <w:rFonts w:eastAsia="Times New Roman" w:cstheme="minorHAnsi"/>
                <w:color w:val="000000"/>
                <w:sz w:val="12"/>
                <w:szCs w:val="12"/>
                <w:lang w:eastAsia="sl-SI"/>
              </w:rPr>
              <w:t>. </w:t>
            </w:r>
          </w:p>
        </w:tc>
        <w:tc>
          <w:tcPr>
            <w:tcW w:w="850" w:type="dxa"/>
            <w:shd w:val="clear" w:color="auto" w:fill="auto"/>
            <w:vAlign w:val="center"/>
          </w:tcPr>
          <w:p w14:paraId="234B6D2B" w14:textId="37F4BBF9" w:rsidR="0055130F" w:rsidRPr="00A56BDD"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1" w:type="dxa"/>
            <w:shd w:val="clear" w:color="auto" w:fill="auto"/>
            <w:vAlign w:val="center"/>
          </w:tcPr>
          <w:p w14:paraId="1FA7D1A8" w14:textId="50E888EF" w:rsidR="0055130F" w:rsidRPr="00A56BDD"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 P</w:t>
            </w:r>
            <w:r>
              <w:rPr>
                <w:rFonts w:eastAsia="Times New Roman" w:cstheme="minorHAnsi"/>
                <w:color w:val="000000"/>
                <w:sz w:val="12"/>
                <w:szCs w:val="12"/>
                <w:lang w:eastAsia="sl-SI"/>
              </w:rPr>
              <w:t>T</w:t>
            </w:r>
            <w:r w:rsidRPr="00DB07BC">
              <w:rPr>
                <w:rFonts w:eastAsia="Times New Roman" w:cstheme="minorHAnsi"/>
                <w:color w:val="000000"/>
                <w:sz w:val="12"/>
                <w:szCs w:val="12"/>
                <w:lang w:eastAsia="sl-SI"/>
              </w:rPr>
              <w:t xml:space="preserve">, </w:t>
            </w:r>
            <w:r w:rsidR="00507696">
              <w:rPr>
                <w:rFonts w:eastAsia="Times New Roman" w:cstheme="minorHAnsi"/>
                <w:color w:val="000000"/>
                <w:sz w:val="12"/>
                <w:szCs w:val="12"/>
                <w:lang w:eastAsia="sl-SI"/>
              </w:rPr>
              <w:t xml:space="preserve">MF, </w:t>
            </w:r>
            <w:r w:rsidRPr="00DB07BC">
              <w:rPr>
                <w:rFonts w:eastAsia="Times New Roman" w:cstheme="minorHAnsi"/>
                <w:color w:val="000000"/>
                <w:sz w:val="12"/>
                <w:szCs w:val="12"/>
                <w:lang w:eastAsia="sl-SI"/>
              </w:rPr>
              <w:t>zunanji izvajalci</w:t>
            </w:r>
          </w:p>
        </w:tc>
        <w:tc>
          <w:tcPr>
            <w:tcW w:w="992" w:type="dxa"/>
            <w:shd w:val="clear" w:color="auto" w:fill="auto"/>
            <w:vAlign w:val="center"/>
          </w:tcPr>
          <w:p w14:paraId="0422D501" w14:textId="69CB51AA"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475238F7" w14:textId="23515E16"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Smiselno medsebojno povezani IS in vzpostavljeni in delujoči kanali izmenjave informacij med deležniki.</w:t>
            </w:r>
          </w:p>
        </w:tc>
        <w:tc>
          <w:tcPr>
            <w:tcW w:w="992" w:type="dxa"/>
            <w:shd w:val="clear" w:color="auto" w:fill="auto"/>
            <w:vAlign w:val="center"/>
          </w:tcPr>
          <w:p w14:paraId="38603F03" w14:textId="1508956F" w:rsidR="0055130F" w:rsidRPr="00A56BDD"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8" w:type="dxa"/>
            <w:shd w:val="clear" w:color="auto" w:fill="auto"/>
            <w:vAlign w:val="center"/>
          </w:tcPr>
          <w:p w14:paraId="5F5E236A" w14:textId="2F68178D" w:rsidR="0055130F" w:rsidRPr="00A56BDD" w:rsidRDefault="00194180"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Število delujočih povezav med </w:t>
            </w:r>
            <w:r w:rsidR="005738F9">
              <w:rPr>
                <w:rFonts w:eastAsia="Times New Roman" w:cstheme="minorHAnsi"/>
                <w:color w:val="000000"/>
                <w:sz w:val="12"/>
                <w:szCs w:val="12"/>
                <w:lang w:eastAsia="sl-SI"/>
              </w:rPr>
              <w:t>sistemi.</w:t>
            </w:r>
          </w:p>
        </w:tc>
      </w:tr>
      <w:tr w:rsidR="0055130F" w:rsidRPr="00A56BDD" w14:paraId="72856AC3" w14:textId="77777777" w:rsidTr="000B080A">
        <w:trPr>
          <w:trHeight w:val="1262"/>
          <w:jc w:val="center"/>
        </w:trPr>
        <w:tc>
          <w:tcPr>
            <w:tcW w:w="430" w:type="dxa"/>
            <w:shd w:val="clear" w:color="auto" w:fill="auto"/>
            <w:vAlign w:val="center"/>
          </w:tcPr>
          <w:p w14:paraId="31E46152" w14:textId="065315CF" w:rsidR="0055130F" w:rsidRPr="00A56BDD"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2.7.</w:t>
            </w:r>
          </w:p>
        </w:tc>
        <w:tc>
          <w:tcPr>
            <w:tcW w:w="2117" w:type="dxa"/>
            <w:shd w:val="clear" w:color="auto" w:fill="auto"/>
            <w:vAlign w:val="center"/>
          </w:tcPr>
          <w:p w14:paraId="3C4D641E" w14:textId="77777777" w:rsidR="0055130F" w:rsidRDefault="0055130F" w:rsidP="007853C4">
            <w:pPr>
              <w:spacing w:after="0"/>
              <w:jc w:val="center"/>
              <w:rPr>
                <w:rFonts w:eastAsia="Times New Roman" w:cstheme="minorHAnsi"/>
                <w:color w:val="000000"/>
                <w:sz w:val="12"/>
                <w:szCs w:val="12"/>
                <w:lang w:eastAsia="sl-SI"/>
              </w:rPr>
            </w:pPr>
          </w:p>
          <w:p w14:paraId="2176492D" w14:textId="38620365" w:rsidR="0055130F" w:rsidRPr="00DB07BC" w:rsidRDefault="0055130F" w:rsidP="007853C4">
            <w:pPr>
              <w:spacing w:after="0"/>
              <w:jc w:val="center"/>
              <w:rPr>
                <w:rFonts w:eastAsia="Times New Roman" w:cstheme="minorHAnsi"/>
                <w:color w:val="000000"/>
                <w:sz w:val="12"/>
                <w:szCs w:val="12"/>
                <w:lang w:eastAsia="sl-SI"/>
              </w:rPr>
            </w:pPr>
            <w:r w:rsidRPr="007746F0">
              <w:rPr>
                <w:rFonts w:eastAsia="Times New Roman" w:cstheme="minorHAnsi"/>
                <w:color w:val="000000"/>
                <w:sz w:val="12"/>
                <w:szCs w:val="12"/>
                <w:lang w:eastAsia="sl-SI"/>
              </w:rPr>
              <w:t>Boljše načrtovanje in upravljanje sredstev na podlagi podatkov</w:t>
            </w:r>
            <w:r w:rsidR="005738F9">
              <w:rPr>
                <w:rFonts w:eastAsia="Times New Roman" w:cstheme="minorHAnsi"/>
                <w:color w:val="000000"/>
                <w:sz w:val="12"/>
                <w:szCs w:val="12"/>
                <w:lang w:eastAsia="sl-SI"/>
              </w:rPr>
              <w:t>.</w:t>
            </w:r>
          </w:p>
        </w:tc>
        <w:tc>
          <w:tcPr>
            <w:tcW w:w="3402" w:type="dxa"/>
            <w:shd w:val="clear" w:color="auto" w:fill="auto"/>
            <w:vAlign w:val="center"/>
          </w:tcPr>
          <w:p w14:paraId="43420F96" w14:textId="77777777" w:rsidR="0055130F" w:rsidRDefault="0055130F" w:rsidP="007853C4">
            <w:pPr>
              <w:spacing w:after="0"/>
              <w:jc w:val="center"/>
              <w:rPr>
                <w:rFonts w:eastAsia="Times New Roman" w:cstheme="minorHAnsi"/>
                <w:color w:val="000000"/>
                <w:sz w:val="12"/>
                <w:szCs w:val="12"/>
                <w:lang w:eastAsia="sl-SI"/>
              </w:rPr>
            </w:pPr>
          </w:p>
          <w:p w14:paraId="6A24D081" w14:textId="585CC229"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Analize, študije, vrednotenja, p</w:t>
            </w:r>
            <w:r w:rsidRPr="00DB07BC">
              <w:rPr>
                <w:rFonts w:eastAsia="Times New Roman" w:cstheme="minorHAnsi"/>
                <w:color w:val="000000"/>
                <w:sz w:val="12"/>
                <w:szCs w:val="12"/>
                <w:lang w:eastAsia="sl-SI"/>
              </w:rPr>
              <w:t xml:space="preserve">renos informacij, ugotavljanje težav in iskanje </w:t>
            </w:r>
            <w:r>
              <w:rPr>
                <w:rFonts w:eastAsia="Times New Roman" w:cstheme="minorHAnsi"/>
                <w:color w:val="000000"/>
                <w:sz w:val="12"/>
                <w:szCs w:val="12"/>
                <w:lang w:eastAsia="sl-SI"/>
              </w:rPr>
              <w:t xml:space="preserve">skupnih </w:t>
            </w:r>
            <w:r w:rsidRPr="00DB07BC">
              <w:rPr>
                <w:rFonts w:eastAsia="Times New Roman" w:cstheme="minorHAnsi"/>
                <w:color w:val="000000"/>
                <w:sz w:val="12"/>
                <w:szCs w:val="12"/>
                <w:lang w:eastAsia="sl-SI"/>
              </w:rPr>
              <w:t>rešitev</w:t>
            </w:r>
            <w:r>
              <w:rPr>
                <w:rFonts w:eastAsia="Times New Roman" w:cstheme="minorHAnsi"/>
                <w:color w:val="000000"/>
                <w:sz w:val="12"/>
                <w:szCs w:val="12"/>
                <w:lang w:eastAsia="sl-SI"/>
              </w:rPr>
              <w:t>.</w:t>
            </w:r>
          </w:p>
        </w:tc>
        <w:tc>
          <w:tcPr>
            <w:tcW w:w="850" w:type="dxa"/>
            <w:shd w:val="clear" w:color="auto" w:fill="auto"/>
            <w:vAlign w:val="center"/>
          </w:tcPr>
          <w:p w14:paraId="215FD748" w14:textId="3F0A16CB" w:rsidR="0055130F" w:rsidRPr="00DB07BC"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1" w:type="dxa"/>
            <w:shd w:val="clear" w:color="auto" w:fill="auto"/>
            <w:vAlign w:val="center"/>
          </w:tcPr>
          <w:p w14:paraId="74D2A6A4" w14:textId="109CE764" w:rsidR="0055130F" w:rsidRPr="00DB07BC" w:rsidRDefault="00507696"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0055130F" w:rsidRPr="00DB07BC">
              <w:rPr>
                <w:rFonts w:eastAsia="Times New Roman" w:cstheme="minorHAnsi"/>
                <w:color w:val="000000"/>
                <w:sz w:val="12"/>
                <w:szCs w:val="12"/>
                <w:lang w:eastAsia="sl-SI"/>
              </w:rPr>
              <w:t>P</w:t>
            </w:r>
            <w:r w:rsidR="0055130F">
              <w:rPr>
                <w:rFonts w:eastAsia="Times New Roman" w:cstheme="minorHAnsi"/>
                <w:color w:val="000000"/>
                <w:sz w:val="12"/>
                <w:szCs w:val="12"/>
                <w:lang w:eastAsia="sl-SI"/>
              </w:rPr>
              <w:t>T</w:t>
            </w:r>
            <w:r>
              <w:rPr>
                <w:rFonts w:eastAsia="Times New Roman" w:cstheme="minorHAnsi"/>
                <w:color w:val="000000"/>
                <w:sz w:val="12"/>
                <w:szCs w:val="12"/>
                <w:lang w:eastAsia="sl-SI"/>
              </w:rPr>
              <w:t xml:space="preserve"> in </w:t>
            </w:r>
            <w:r w:rsidR="0055130F" w:rsidRPr="00DB07BC">
              <w:rPr>
                <w:rFonts w:eastAsia="Times New Roman" w:cstheme="minorHAnsi"/>
                <w:color w:val="000000"/>
                <w:sz w:val="12"/>
                <w:szCs w:val="12"/>
                <w:lang w:eastAsia="sl-SI"/>
              </w:rPr>
              <w:t>drugi deležniki</w:t>
            </w:r>
          </w:p>
        </w:tc>
        <w:tc>
          <w:tcPr>
            <w:tcW w:w="992" w:type="dxa"/>
            <w:shd w:val="clear" w:color="auto" w:fill="auto"/>
            <w:vAlign w:val="center"/>
          </w:tcPr>
          <w:p w14:paraId="752437EE" w14:textId="2CBDA19A" w:rsidR="000B1E94" w:rsidRDefault="000B1E94" w:rsidP="007853C4">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Letno </w:t>
            </w:r>
            <w:r w:rsidR="00647E53">
              <w:rPr>
                <w:rFonts w:eastAsia="Times New Roman" w:cstheme="minorHAnsi"/>
                <w:color w:val="000000"/>
                <w:sz w:val="12"/>
                <w:szCs w:val="12"/>
                <w:lang w:eastAsia="sl-SI"/>
              </w:rPr>
              <w:t xml:space="preserve"> v obdobju</w:t>
            </w:r>
          </w:p>
          <w:p w14:paraId="504FD857" w14:textId="3CCBE530"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222B57B3" w14:textId="5F2D325D" w:rsidR="0055130F" w:rsidRDefault="0055130F" w:rsidP="007853C4">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Izboljšanje uporabe vrednotenj kot orodja za odločevalce.</w:t>
            </w:r>
          </w:p>
        </w:tc>
        <w:tc>
          <w:tcPr>
            <w:tcW w:w="992" w:type="dxa"/>
            <w:shd w:val="clear" w:color="auto" w:fill="auto"/>
            <w:vAlign w:val="center"/>
          </w:tcPr>
          <w:p w14:paraId="73D03C8D" w14:textId="6F6D408B" w:rsidR="0055130F" w:rsidRPr="00DB07BC" w:rsidRDefault="0055130F" w:rsidP="007853C4">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8" w:type="dxa"/>
            <w:shd w:val="clear" w:color="auto" w:fill="auto"/>
            <w:vAlign w:val="center"/>
          </w:tcPr>
          <w:p w14:paraId="31722780" w14:textId="77777777" w:rsidR="00647E53" w:rsidRDefault="0055130F" w:rsidP="007853C4">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Izdelan </w:t>
            </w:r>
            <w:r w:rsidR="000B1E94" w:rsidRPr="00647E53">
              <w:rPr>
                <w:rFonts w:eastAsia="Times New Roman" w:cstheme="minorHAnsi"/>
                <w:color w:val="000000"/>
                <w:sz w:val="12"/>
                <w:szCs w:val="12"/>
                <w:lang w:eastAsia="sl-SI"/>
              </w:rPr>
              <w:t xml:space="preserve">letni </w:t>
            </w:r>
            <w:r w:rsidRPr="00647E53">
              <w:rPr>
                <w:rFonts w:eastAsia="Times New Roman" w:cstheme="minorHAnsi"/>
                <w:color w:val="000000"/>
                <w:sz w:val="12"/>
                <w:szCs w:val="12"/>
                <w:lang w:eastAsia="sl-SI"/>
              </w:rPr>
              <w:t>načrt vrednotenj in</w:t>
            </w:r>
          </w:p>
          <w:p w14:paraId="16AFD4DA" w14:textId="7A2A39FA" w:rsidR="0055130F" w:rsidRDefault="0055130F" w:rsidP="007853C4">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 </w:t>
            </w:r>
            <w:r w:rsidR="00647E53">
              <w:rPr>
                <w:rFonts w:eastAsia="Times New Roman" w:cstheme="minorHAnsi"/>
                <w:color w:val="000000"/>
                <w:sz w:val="12"/>
                <w:szCs w:val="12"/>
                <w:lang w:eastAsia="sl-SI"/>
              </w:rPr>
              <w:t>š</w:t>
            </w:r>
            <w:r w:rsidRPr="00647E53">
              <w:rPr>
                <w:rFonts w:eastAsia="Times New Roman" w:cstheme="minorHAnsi"/>
                <w:color w:val="000000"/>
                <w:sz w:val="12"/>
                <w:szCs w:val="12"/>
                <w:lang w:eastAsia="sl-SI"/>
              </w:rPr>
              <w:t xml:space="preserve">tevilo študij </w:t>
            </w:r>
            <w:r w:rsidR="00507696">
              <w:rPr>
                <w:rFonts w:eastAsia="Times New Roman" w:cstheme="minorHAnsi"/>
                <w:color w:val="000000"/>
                <w:sz w:val="12"/>
                <w:szCs w:val="12"/>
                <w:lang w:eastAsia="sl-SI"/>
              </w:rPr>
              <w:t>ter</w:t>
            </w:r>
            <w:r w:rsidRPr="00647E53">
              <w:rPr>
                <w:rFonts w:eastAsia="Times New Roman" w:cstheme="minorHAnsi"/>
                <w:color w:val="000000"/>
                <w:sz w:val="12"/>
                <w:szCs w:val="12"/>
                <w:lang w:eastAsia="sl-SI"/>
              </w:rPr>
              <w:t xml:space="preserve"> vrednotenj</w:t>
            </w:r>
            <w:r w:rsidR="005738F9">
              <w:rPr>
                <w:rFonts w:eastAsia="Times New Roman" w:cstheme="minorHAnsi"/>
                <w:color w:val="000000"/>
                <w:sz w:val="12"/>
                <w:szCs w:val="12"/>
                <w:lang w:eastAsia="sl-SI"/>
              </w:rPr>
              <w:t>.</w:t>
            </w:r>
          </w:p>
        </w:tc>
      </w:tr>
      <w:tr w:rsidR="0055130F" w:rsidRPr="00A56BDD" w14:paraId="46CCE334" w14:textId="77777777" w:rsidTr="000B080A">
        <w:trPr>
          <w:trHeight w:val="1262"/>
          <w:jc w:val="center"/>
        </w:trPr>
        <w:tc>
          <w:tcPr>
            <w:tcW w:w="430" w:type="dxa"/>
            <w:shd w:val="clear" w:color="auto" w:fill="auto"/>
            <w:vAlign w:val="center"/>
          </w:tcPr>
          <w:p w14:paraId="40DEC33C" w14:textId="481FF984" w:rsidR="0055130F" w:rsidRPr="00A56BDD" w:rsidRDefault="00ED5034"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lastRenderedPageBreak/>
              <w:t>2.</w:t>
            </w:r>
            <w:r w:rsidR="005738F9">
              <w:rPr>
                <w:rFonts w:eastAsia="Times New Roman" w:cstheme="minorHAnsi"/>
                <w:color w:val="000000"/>
                <w:sz w:val="12"/>
                <w:szCs w:val="12"/>
                <w:lang w:eastAsia="sl-SI"/>
              </w:rPr>
              <w:t>8</w:t>
            </w:r>
            <w:r>
              <w:rPr>
                <w:rFonts w:eastAsia="Times New Roman" w:cstheme="minorHAnsi"/>
                <w:color w:val="000000"/>
                <w:sz w:val="12"/>
                <w:szCs w:val="12"/>
                <w:lang w:eastAsia="sl-SI"/>
              </w:rPr>
              <w:t>.</w:t>
            </w:r>
          </w:p>
        </w:tc>
        <w:tc>
          <w:tcPr>
            <w:tcW w:w="2117" w:type="dxa"/>
            <w:shd w:val="clear" w:color="auto" w:fill="auto"/>
            <w:vAlign w:val="center"/>
          </w:tcPr>
          <w:p w14:paraId="3CF4ACEA" w14:textId="23291841" w:rsidR="0055130F" w:rsidRPr="00DB07BC" w:rsidRDefault="0060591D" w:rsidP="00F93BE6">
            <w:pPr>
              <w:spacing w:after="0"/>
              <w:jc w:val="center"/>
              <w:rPr>
                <w:rFonts w:eastAsia="Times New Roman" w:cstheme="minorHAnsi"/>
                <w:color w:val="000000"/>
                <w:sz w:val="12"/>
                <w:szCs w:val="12"/>
                <w:lang w:eastAsia="sl-SI"/>
              </w:rPr>
            </w:pPr>
            <w:r w:rsidRPr="0060591D">
              <w:rPr>
                <w:rFonts w:eastAsia="Times New Roman" w:cstheme="minorHAnsi"/>
                <w:color w:val="000000"/>
                <w:sz w:val="12"/>
                <w:szCs w:val="12"/>
                <w:lang w:eastAsia="sl-SI"/>
              </w:rPr>
              <w:t>Vzpostavitev sistema spremljanja in upravljanja z nepravilnostmi</w:t>
            </w:r>
            <w:r>
              <w:rPr>
                <w:rFonts w:eastAsia="Times New Roman" w:cstheme="minorHAnsi"/>
                <w:color w:val="000000"/>
                <w:sz w:val="12"/>
                <w:szCs w:val="12"/>
                <w:lang w:eastAsia="sl-SI"/>
              </w:rPr>
              <w:t xml:space="preserve"> in morebitnimi kršitvami človekovih pravic</w:t>
            </w:r>
            <w:r w:rsidR="005738F9">
              <w:rPr>
                <w:rFonts w:eastAsia="Times New Roman" w:cstheme="minorHAnsi"/>
                <w:color w:val="000000"/>
                <w:sz w:val="12"/>
                <w:szCs w:val="12"/>
                <w:lang w:eastAsia="sl-SI"/>
              </w:rPr>
              <w:t>.</w:t>
            </w:r>
          </w:p>
        </w:tc>
        <w:tc>
          <w:tcPr>
            <w:tcW w:w="3402" w:type="dxa"/>
            <w:shd w:val="clear" w:color="auto" w:fill="auto"/>
            <w:vAlign w:val="center"/>
          </w:tcPr>
          <w:p w14:paraId="69297E5E" w14:textId="2D6BE2F1" w:rsidR="0055130F" w:rsidRPr="00DB07BC" w:rsidRDefault="0055130F"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Redno zbiranje prejetih informacij za zagotovitev učinkovitega usklajevanja in sodelovanja v okviru sistema upravljanja in nadzora</w:t>
            </w:r>
            <w:r w:rsidRPr="009E60E6">
              <w:rPr>
                <w:rFonts w:eastAsia="Times New Roman" w:cstheme="minorHAnsi"/>
                <w:color w:val="000000"/>
                <w:sz w:val="12"/>
                <w:szCs w:val="12"/>
                <w:lang w:eastAsia="sl-SI"/>
              </w:rPr>
              <w:t xml:space="preserve"> </w:t>
            </w:r>
            <w:r w:rsidR="0060591D">
              <w:rPr>
                <w:rFonts w:eastAsia="Times New Roman" w:cstheme="minorHAnsi"/>
                <w:color w:val="000000"/>
                <w:sz w:val="12"/>
                <w:szCs w:val="12"/>
                <w:lang w:eastAsia="sl-SI"/>
              </w:rPr>
              <w:t>in možnost podajanja pritožb</w:t>
            </w:r>
            <w:r w:rsidR="00194180">
              <w:rPr>
                <w:rFonts w:eastAsia="Times New Roman" w:cstheme="minorHAnsi"/>
                <w:color w:val="000000"/>
                <w:sz w:val="12"/>
                <w:szCs w:val="12"/>
                <w:lang w:eastAsia="sl-SI"/>
              </w:rPr>
              <w:t xml:space="preserve"> </w:t>
            </w:r>
            <w:r w:rsidRPr="009E60E6">
              <w:rPr>
                <w:rFonts w:eastAsia="Times New Roman" w:cstheme="minorHAnsi"/>
                <w:color w:val="000000"/>
                <w:sz w:val="12"/>
                <w:szCs w:val="12"/>
                <w:lang w:eastAsia="sl-SI"/>
              </w:rPr>
              <w:t>(vključno z informacijami glede izvajanja Listine o temeljnih pravicah in Konvencije Združenih narodov o pravicah invalidov v okviru kohezijske politike</w:t>
            </w:r>
            <w:r>
              <w:rPr>
                <w:rFonts w:eastAsia="Times New Roman" w:cstheme="minorHAnsi"/>
                <w:color w:val="000000"/>
                <w:sz w:val="12"/>
                <w:szCs w:val="12"/>
                <w:lang w:eastAsia="sl-SI"/>
              </w:rPr>
              <w:t xml:space="preserve"> ter</w:t>
            </w:r>
            <w:r w:rsidRPr="00D346FD">
              <w:rPr>
                <w:rFonts w:eastAsia="Times New Roman" w:cstheme="minorHAnsi"/>
                <w:color w:val="000000"/>
                <w:sz w:val="12"/>
                <w:szCs w:val="12"/>
                <w:lang w:eastAsia="sl-SI"/>
              </w:rPr>
              <w:t xml:space="preserve"> področjem preprečevanja goljufij in korupcije)</w:t>
            </w:r>
            <w:r>
              <w:rPr>
                <w:rFonts w:eastAsia="Times New Roman" w:cstheme="minorHAnsi"/>
                <w:color w:val="000000"/>
                <w:sz w:val="12"/>
                <w:szCs w:val="12"/>
                <w:lang w:eastAsia="sl-SI"/>
              </w:rPr>
              <w:t>.</w:t>
            </w:r>
            <w:r w:rsidRPr="00DB07BC">
              <w:rPr>
                <w:rFonts w:eastAsia="Times New Roman" w:cstheme="minorHAnsi"/>
                <w:color w:val="000000"/>
                <w:sz w:val="12"/>
                <w:szCs w:val="12"/>
                <w:lang w:eastAsia="sl-SI"/>
              </w:rPr>
              <w:t> </w:t>
            </w:r>
          </w:p>
        </w:tc>
        <w:tc>
          <w:tcPr>
            <w:tcW w:w="850" w:type="dxa"/>
            <w:shd w:val="clear" w:color="auto" w:fill="auto"/>
            <w:vAlign w:val="center"/>
          </w:tcPr>
          <w:p w14:paraId="77E1C81E" w14:textId="7D4F616E" w:rsidR="0055130F" w:rsidRPr="00DB07BC" w:rsidRDefault="0055130F"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1" w:type="dxa"/>
            <w:shd w:val="clear" w:color="auto" w:fill="auto"/>
            <w:vAlign w:val="center"/>
          </w:tcPr>
          <w:p w14:paraId="2BC71D49" w14:textId="13EE93F0" w:rsidR="0055130F" w:rsidRPr="00DB07BC" w:rsidRDefault="00507696"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w:t>
            </w:r>
            <w:r w:rsidRPr="00DB07BC">
              <w:rPr>
                <w:rFonts w:eastAsia="Times New Roman" w:cstheme="minorHAnsi"/>
                <w:color w:val="000000"/>
                <w:sz w:val="12"/>
                <w:szCs w:val="12"/>
                <w:lang w:eastAsia="sl-SI"/>
              </w:rPr>
              <w:t>P</w:t>
            </w:r>
            <w:r>
              <w:rPr>
                <w:rFonts w:eastAsia="Times New Roman" w:cstheme="minorHAnsi"/>
                <w:color w:val="000000"/>
                <w:sz w:val="12"/>
                <w:szCs w:val="12"/>
                <w:lang w:eastAsia="sl-SI"/>
              </w:rPr>
              <w:t xml:space="preserve">T, UNP, institucije za varovanje človekovih pravic in </w:t>
            </w:r>
            <w:r w:rsidRPr="00DB07BC">
              <w:rPr>
                <w:rFonts w:eastAsia="Times New Roman" w:cstheme="minorHAnsi"/>
                <w:color w:val="000000"/>
                <w:sz w:val="12"/>
                <w:szCs w:val="12"/>
                <w:lang w:eastAsia="sl-SI"/>
              </w:rPr>
              <w:t>drugi deležniki</w:t>
            </w:r>
          </w:p>
        </w:tc>
        <w:tc>
          <w:tcPr>
            <w:tcW w:w="992" w:type="dxa"/>
            <w:shd w:val="clear" w:color="auto" w:fill="auto"/>
            <w:vAlign w:val="center"/>
          </w:tcPr>
          <w:p w14:paraId="10BB5310" w14:textId="698B315C" w:rsidR="0055130F" w:rsidRDefault="0055130F"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7D6E429C" w14:textId="60DFDB8A" w:rsidR="0055130F" w:rsidRPr="00DB07BC" w:rsidRDefault="00E91A94"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Zagotovitev </w:t>
            </w:r>
            <w:r w:rsidRPr="00DB07BC">
              <w:rPr>
                <w:rFonts w:eastAsia="Times New Roman" w:cstheme="minorHAnsi"/>
                <w:color w:val="000000"/>
                <w:sz w:val="12"/>
                <w:szCs w:val="12"/>
                <w:lang w:eastAsia="sl-SI"/>
              </w:rPr>
              <w:t>nadzora</w:t>
            </w:r>
            <w:r w:rsidRPr="009E60E6">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 xml:space="preserve">in možnost podajanja pritožb na omenjenih področjih. </w:t>
            </w:r>
          </w:p>
        </w:tc>
        <w:tc>
          <w:tcPr>
            <w:tcW w:w="992" w:type="dxa"/>
            <w:shd w:val="clear" w:color="auto" w:fill="auto"/>
            <w:vAlign w:val="center"/>
          </w:tcPr>
          <w:p w14:paraId="09FE448D" w14:textId="3019739E" w:rsidR="0055130F" w:rsidRPr="00DB07BC" w:rsidRDefault="0055130F"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8" w:type="dxa"/>
            <w:shd w:val="clear" w:color="auto" w:fill="auto"/>
            <w:vAlign w:val="center"/>
          </w:tcPr>
          <w:p w14:paraId="4E347020" w14:textId="77777777" w:rsidR="0047342C" w:rsidRDefault="0047342C" w:rsidP="00F93BE6">
            <w:pPr>
              <w:spacing w:after="0"/>
              <w:jc w:val="center"/>
              <w:rPr>
                <w:rFonts w:eastAsia="Times New Roman" w:cstheme="minorHAnsi"/>
                <w:color w:val="000000"/>
                <w:sz w:val="12"/>
                <w:szCs w:val="12"/>
                <w:lang w:eastAsia="sl-SI"/>
              </w:rPr>
            </w:pPr>
            <w:r w:rsidRPr="0060591D">
              <w:rPr>
                <w:rFonts w:eastAsia="Times New Roman" w:cstheme="minorHAnsi"/>
                <w:color w:val="000000"/>
                <w:sz w:val="12"/>
                <w:szCs w:val="12"/>
                <w:lang w:eastAsia="sl-SI"/>
              </w:rPr>
              <w:t>Vzpostavitev sistema spremljanja in upravljanja z nepravilnostmi</w:t>
            </w:r>
            <w:r>
              <w:rPr>
                <w:rFonts w:eastAsia="Times New Roman" w:cstheme="minorHAnsi"/>
                <w:color w:val="000000"/>
                <w:sz w:val="12"/>
                <w:szCs w:val="12"/>
                <w:lang w:eastAsia="sl-SI"/>
              </w:rPr>
              <w:t xml:space="preserve"> in morebitnimi kršitvami človekovih pravic.</w:t>
            </w:r>
          </w:p>
          <w:p w14:paraId="175F2B6D" w14:textId="220FAB89" w:rsidR="0055130F" w:rsidRDefault="0055130F"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Število prejetih pritožb glede listine in </w:t>
            </w:r>
            <w:r w:rsidRPr="00D346FD">
              <w:rPr>
                <w:rFonts w:eastAsia="Times New Roman" w:cstheme="minorHAnsi"/>
                <w:color w:val="000000"/>
                <w:sz w:val="12"/>
                <w:szCs w:val="12"/>
                <w:lang w:eastAsia="sl-SI"/>
              </w:rPr>
              <w:t>konvencije</w:t>
            </w:r>
            <w:r w:rsidR="00647E53">
              <w:rPr>
                <w:rFonts w:eastAsia="Times New Roman" w:cstheme="minorHAnsi"/>
                <w:color w:val="000000"/>
                <w:sz w:val="12"/>
                <w:szCs w:val="12"/>
                <w:lang w:eastAsia="sl-SI"/>
              </w:rPr>
              <w:t xml:space="preserve"> ter goljufij in nepravilnosti</w:t>
            </w:r>
            <w:r w:rsidR="005738F9">
              <w:rPr>
                <w:rFonts w:eastAsia="Times New Roman" w:cstheme="minorHAnsi"/>
                <w:color w:val="000000"/>
                <w:sz w:val="12"/>
                <w:szCs w:val="12"/>
                <w:lang w:eastAsia="sl-SI"/>
              </w:rPr>
              <w:t>.</w:t>
            </w:r>
          </w:p>
          <w:p w14:paraId="68EC90BB" w14:textId="603D0FF0" w:rsidR="00E91A94" w:rsidRPr="00E91A94" w:rsidRDefault="00E91A94" w:rsidP="00E91A94">
            <w:pPr>
              <w:spacing w:after="0"/>
              <w:jc w:val="center"/>
              <w:rPr>
                <w:rFonts w:eastAsia="Times New Roman" w:cstheme="minorHAnsi"/>
                <w:color w:val="000000"/>
                <w:sz w:val="12"/>
                <w:szCs w:val="12"/>
                <w:lang w:eastAsia="sl-SI"/>
              </w:rPr>
            </w:pPr>
            <w:r w:rsidRPr="00E91A94">
              <w:rPr>
                <w:rFonts w:eastAsia="Times New Roman" w:cstheme="minorHAnsi"/>
                <w:color w:val="000000"/>
                <w:sz w:val="12"/>
                <w:szCs w:val="12"/>
                <w:lang w:eastAsia="sl-SI"/>
              </w:rPr>
              <w:t>Sprejeta Strategija OU za boj proti goljufijam v okviru PEKP 2021–2027 ter vsakoletni akcijski načrti</w:t>
            </w:r>
            <w:r w:rsidR="00D72575">
              <w:rPr>
                <w:rFonts w:eastAsia="Times New Roman" w:cstheme="minorHAnsi"/>
                <w:color w:val="000000"/>
                <w:sz w:val="12"/>
                <w:szCs w:val="12"/>
                <w:lang w:eastAsia="sl-SI"/>
              </w:rPr>
              <w:t>.</w:t>
            </w:r>
          </w:p>
          <w:p w14:paraId="7A987BA8" w14:textId="5D5F8365" w:rsidR="00E91A94" w:rsidRDefault="00E91A94" w:rsidP="00F93BE6">
            <w:pPr>
              <w:spacing w:after="0"/>
              <w:jc w:val="center"/>
              <w:rPr>
                <w:rFonts w:eastAsia="Times New Roman" w:cstheme="minorHAnsi"/>
                <w:color w:val="000000"/>
                <w:sz w:val="12"/>
                <w:szCs w:val="12"/>
                <w:highlight w:val="yellow"/>
                <w:lang w:eastAsia="sl-SI"/>
              </w:rPr>
            </w:pPr>
          </w:p>
        </w:tc>
      </w:tr>
      <w:tr w:rsidR="00305798" w:rsidRPr="00A56BDD" w14:paraId="4B7949F0" w14:textId="77777777" w:rsidTr="000B080A">
        <w:trPr>
          <w:trHeight w:val="1262"/>
          <w:jc w:val="center"/>
        </w:trPr>
        <w:tc>
          <w:tcPr>
            <w:tcW w:w="430" w:type="dxa"/>
            <w:shd w:val="clear" w:color="auto" w:fill="auto"/>
            <w:vAlign w:val="center"/>
          </w:tcPr>
          <w:p w14:paraId="2A495160" w14:textId="7BA3859E" w:rsidR="00305798" w:rsidRPr="00A56BDD" w:rsidRDefault="00ED5034"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w:t>
            </w:r>
            <w:r w:rsidR="005738F9">
              <w:rPr>
                <w:rFonts w:eastAsia="Times New Roman" w:cstheme="minorHAnsi"/>
                <w:color w:val="000000"/>
                <w:sz w:val="12"/>
                <w:szCs w:val="12"/>
                <w:lang w:eastAsia="sl-SI"/>
              </w:rPr>
              <w:t>9</w:t>
            </w:r>
            <w:r>
              <w:rPr>
                <w:rFonts w:eastAsia="Times New Roman" w:cstheme="minorHAnsi"/>
                <w:color w:val="000000"/>
                <w:sz w:val="12"/>
                <w:szCs w:val="12"/>
                <w:lang w:eastAsia="sl-SI"/>
              </w:rPr>
              <w:t>.</w:t>
            </w:r>
          </w:p>
        </w:tc>
        <w:tc>
          <w:tcPr>
            <w:tcW w:w="2117" w:type="dxa"/>
            <w:shd w:val="clear" w:color="auto" w:fill="auto"/>
            <w:vAlign w:val="center"/>
          </w:tcPr>
          <w:p w14:paraId="59C39B40" w14:textId="018AB344" w:rsidR="00305798" w:rsidRPr="00D346FD" w:rsidRDefault="00305798" w:rsidP="00F93BE6">
            <w:pPr>
              <w:spacing w:after="0"/>
              <w:jc w:val="center"/>
              <w:rPr>
                <w:rFonts w:eastAsia="Times New Roman" w:cstheme="minorHAnsi"/>
                <w:color w:val="000000"/>
                <w:sz w:val="12"/>
                <w:szCs w:val="12"/>
                <w:lang w:eastAsia="sl-SI"/>
              </w:rPr>
            </w:pPr>
            <w:r w:rsidRPr="00305798">
              <w:rPr>
                <w:rFonts w:eastAsia="Times New Roman" w:cstheme="minorHAnsi"/>
                <w:color w:val="000000"/>
                <w:sz w:val="12"/>
                <w:szCs w:val="12"/>
                <w:lang w:eastAsia="sl-SI"/>
              </w:rPr>
              <w:t>Določitev sistema za zbiranje vseh informacij OU na enem mestu.</w:t>
            </w:r>
          </w:p>
        </w:tc>
        <w:tc>
          <w:tcPr>
            <w:tcW w:w="3402" w:type="dxa"/>
            <w:shd w:val="clear" w:color="auto" w:fill="auto"/>
            <w:vAlign w:val="center"/>
          </w:tcPr>
          <w:p w14:paraId="4027DC1D" w14:textId="410BEDE0" w:rsidR="00305798" w:rsidRPr="00DB07BC" w:rsidRDefault="00305798" w:rsidP="00F93BE6">
            <w:pPr>
              <w:spacing w:after="0"/>
              <w:jc w:val="center"/>
              <w:rPr>
                <w:rFonts w:eastAsia="Times New Roman" w:cstheme="minorHAnsi"/>
                <w:color w:val="000000"/>
                <w:sz w:val="12"/>
                <w:szCs w:val="12"/>
                <w:lang w:eastAsia="sl-SI"/>
              </w:rPr>
            </w:pPr>
            <w:r w:rsidRPr="00305798">
              <w:rPr>
                <w:rFonts w:eastAsia="Times New Roman" w:cstheme="minorHAnsi"/>
                <w:color w:val="000000"/>
                <w:sz w:val="12"/>
                <w:szCs w:val="12"/>
                <w:lang w:eastAsia="sl-SI"/>
              </w:rPr>
              <w:t>Vzpostavitev intranetne strani in oglasne deske za objavo obvestil, internih aktov in dokumentov ter vzpostavitev hitrejšega komunikacijskega kanala za pretok informacij znotraj OU in med OU ter PT.</w:t>
            </w:r>
          </w:p>
        </w:tc>
        <w:tc>
          <w:tcPr>
            <w:tcW w:w="850" w:type="dxa"/>
            <w:shd w:val="clear" w:color="auto" w:fill="auto"/>
            <w:vAlign w:val="center"/>
          </w:tcPr>
          <w:p w14:paraId="543413A9" w14:textId="60A01819" w:rsidR="00305798" w:rsidRPr="00DB07BC" w:rsidRDefault="00305798"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1" w:type="dxa"/>
            <w:shd w:val="clear" w:color="auto" w:fill="auto"/>
            <w:vAlign w:val="center"/>
          </w:tcPr>
          <w:p w14:paraId="6CE30D0A" w14:textId="353EA69D" w:rsidR="00305798" w:rsidRPr="00DB07BC" w:rsidRDefault="00305798"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r w:rsidR="00817BE0">
              <w:rPr>
                <w:rFonts w:eastAsia="Times New Roman" w:cstheme="minorHAnsi"/>
                <w:color w:val="000000"/>
                <w:sz w:val="12"/>
                <w:szCs w:val="12"/>
                <w:lang w:eastAsia="sl-SI"/>
              </w:rPr>
              <w:t>, PT</w:t>
            </w:r>
          </w:p>
        </w:tc>
        <w:tc>
          <w:tcPr>
            <w:tcW w:w="992" w:type="dxa"/>
            <w:shd w:val="clear" w:color="auto" w:fill="auto"/>
            <w:vAlign w:val="center"/>
          </w:tcPr>
          <w:p w14:paraId="5D781FE2" w14:textId="73EC6386" w:rsidR="00305798" w:rsidRPr="00F93BE6" w:rsidRDefault="00305798" w:rsidP="00F93BE6">
            <w:pPr>
              <w:spacing w:after="0"/>
              <w:jc w:val="center"/>
              <w:rPr>
                <w:rFonts w:eastAsia="Times New Roman" w:cstheme="minorHAnsi"/>
                <w:color w:val="000000"/>
                <w:sz w:val="12"/>
                <w:szCs w:val="12"/>
                <w:highlight w:val="yellow"/>
                <w:lang w:eastAsia="sl-SI"/>
              </w:rPr>
            </w:pPr>
            <w:r>
              <w:rPr>
                <w:rFonts w:eastAsia="Times New Roman" w:cstheme="minorHAnsi"/>
                <w:color w:val="000000"/>
                <w:sz w:val="12"/>
                <w:szCs w:val="12"/>
                <w:lang w:eastAsia="sl-SI"/>
              </w:rPr>
              <w:t>2021–2029</w:t>
            </w:r>
          </w:p>
        </w:tc>
        <w:tc>
          <w:tcPr>
            <w:tcW w:w="1985" w:type="dxa"/>
            <w:shd w:val="clear" w:color="auto" w:fill="auto"/>
            <w:vAlign w:val="center"/>
          </w:tcPr>
          <w:p w14:paraId="646C06A1" w14:textId="6742524F" w:rsidR="00305798" w:rsidRPr="00DB07BC" w:rsidRDefault="00305798"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Boljše sodelovanje in izmenjava informacij.</w:t>
            </w:r>
          </w:p>
        </w:tc>
        <w:tc>
          <w:tcPr>
            <w:tcW w:w="992" w:type="dxa"/>
            <w:shd w:val="clear" w:color="auto" w:fill="auto"/>
            <w:vAlign w:val="center"/>
          </w:tcPr>
          <w:p w14:paraId="1F472D0D" w14:textId="75233753" w:rsidR="00305798" w:rsidRPr="00DB07BC" w:rsidRDefault="00817BE0" w:rsidP="00F93BE6">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8" w:type="dxa"/>
            <w:shd w:val="clear" w:color="auto" w:fill="auto"/>
            <w:vAlign w:val="center"/>
          </w:tcPr>
          <w:p w14:paraId="22C12E1D" w14:textId="77777777" w:rsidR="00305798" w:rsidRDefault="00305798" w:rsidP="00F93BE6">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Vse informacije zbrane na enem mestu.</w:t>
            </w:r>
          </w:p>
          <w:p w14:paraId="5EB8BB17" w14:textId="77777777" w:rsidR="00355B49" w:rsidRDefault="00355B49" w:rsidP="00F93BE6">
            <w:pPr>
              <w:spacing w:after="0"/>
              <w:jc w:val="center"/>
              <w:rPr>
                <w:rFonts w:eastAsia="Times New Roman" w:cstheme="minorHAnsi"/>
                <w:color w:val="000000"/>
                <w:sz w:val="12"/>
                <w:szCs w:val="12"/>
                <w:lang w:eastAsia="sl-SI"/>
              </w:rPr>
            </w:pPr>
          </w:p>
          <w:p w14:paraId="0898080B" w14:textId="09EBEB6E" w:rsidR="00355B49" w:rsidRDefault="00355B49" w:rsidP="00F93BE6">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 xml:space="preserve">Vzpostavljen enoten kanal za izmenjavo informacij </w:t>
            </w:r>
            <w:r w:rsidR="0060591D">
              <w:rPr>
                <w:rFonts w:eastAsia="Times New Roman" w:cstheme="minorHAnsi"/>
                <w:color w:val="000000"/>
                <w:sz w:val="12"/>
                <w:szCs w:val="12"/>
                <w:lang w:eastAsia="sl-SI"/>
              </w:rPr>
              <w:t>tako znotraj</w:t>
            </w:r>
            <w:r w:rsidRPr="00647E53">
              <w:rPr>
                <w:rFonts w:eastAsia="Times New Roman" w:cstheme="minorHAnsi"/>
                <w:color w:val="000000"/>
                <w:sz w:val="12"/>
                <w:szCs w:val="12"/>
                <w:lang w:eastAsia="sl-SI"/>
              </w:rPr>
              <w:t xml:space="preserve"> OU </w:t>
            </w:r>
            <w:r w:rsidR="0060591D">
              <w:rPr>
                <w:rFonts w:eastAsia="Times New Roman" w:cstheme="minorHAnsi"/>
                <w:color w:val="000000"/>
                <w:sz w:val="12"/>
                <w:szCs w:val="12"/>
                <w:lang w:eastAsia="sl-SI"/>
              </w:rPr>
              <w:t xml:space="preserve">kot med OU </w:t>
            </w:r>
            <w:r w:rsidRPr="00647E53">
              <w:rPr>
                <w:rFonts w:eastAsia="Times New Roman" w:cstheme="minorHAnsi"/>
                <w:color w:val="000000"/>
                <w:sz w:val="12"/>
                <w:szCs w:val="12"/>
                <w:lang w:eastAsia="sl-SI"/>
              </w:rPr>
              <w:t>in PT.</w:t>
            </w:r>
            <w:r>
              <w:rPr>
                <w:rFonts w:eastAsia="Times New Roman" w:cstheme="minorHAnsi"/>
                <w:color w:val="000000"/>
                <w:sz w:val="12"/>
                <w:szCs w:val="12"/>
                <w:lang w:eastAsia="sl-SI"/>
              </w:rPr>
              <w:t xml:space="preserve"> </w:t>
            </w:r>
          </w:p>
        </w:tc>
      </w:tr>
    </w:tbl>
    <w:p w14:paraId="4840627E" w14:textId="77777777" w:rsidR="00837797" w:rsidRDefault="00837797" w:rsidP="00DB07BC">
      <w:pPr>
        <w:rPr>
          <w:b/>
        </w:rPr>
      </w:pPr>
    </w:p>
    <w:tbl>
      <w:tblPr>
        <w:tblW w:w="1432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
        <w:gridCol w:w="2162"/>
        <w:gridCol w:w="3402"/>
        <w:gridCol w:w="851"/>
        <w:gridCol w:w="850"/>
        <w:gridCol w:w="992"/>
        <w:gridCol w:w="1999"/>
        <w:gridCol w:w="978"/>
        <w:gridCol w:w="2693"/>
      </w:tblGrid>
      <w:tr w:rsidR="00837797" w:rsidRPr="00527C8A" w14:paraId="5C9DA505" w14:textId="77777777" w:rsidTr="000B080A">
        <w:trPr>
          <w:trHeight w:val="520"/>
        </w:trPr>
        <w:tc>
          <w:tcPr>
            <w:tcW w:w="14322" w:type="dxa"/>
            <w:gridSpan w:val="9"/>
            <w:shd w:val="clear" w:color="auto" w:fill="00B0F0"/>
            <w:vAlign w:val="center"/>
          </w:tcPr>
          <w:p w14:paraId="5B2C9F10" w14:textId="0DD926A7" w:rsidR="00837797" w:rsidRPr="00837797" w:rsidRDefault="00837797" w:rsidP="001D7C5E">
            <w:pPr>
              <w:jc w:val="center"/>
              <w:rPr>
                <w:b/>
                <w:bCs/>
              </w:rPr>
            </w:pPr>
            <w:r w:rsidRPr="00527C8A">
              <w:rPr>
                <w:rFonts w:eastAsia="Times New Roman" w:cstheme="minorHAnsi"/>
                <w:b/>
                <w:bCs/>
                <w:color w:val="000000"/>
                <w:lang w:eastAsia="sl-SI"/>
              </w:rPr>
              <w:t xml:space="preserve">Steber </w:t>
            </w:r>
            <w:r>
              <w:rPr>
                <w:rFonts w:eastAsia="Times New Roman" w:cstheme="minorHAnsi"/>
                <w:b/>
                <w:bCs/>
                <w:color w:val="000000"/>
                <w:lang w:eastAsia="sl-SI"/>
              </w:rPr>
              <w:t>3</w:t>
            </w:r>
            <w:r w:rsidRPr="00527C8A">
              <w:rPr>
                <w:rFonts w:eastAsia="Times New Roman" w:cstheme="minorHAnsi"/>
                <w:b/>
                <w:bCs/>
                <w:color w:val="000000"/>
                <w:lang w:eastAsia="sl-SI"/>
              </w:rPr>
              <w:t xml:space="preserve">: </w:t>
            </w:r>
            <w:r w:rsidRPr="00837797">
              <w:rPr>
                <w:b/>
                <w:bCs/>
              </w:rPr>
              <w:t>Podpora upravičencem in drugim deležnikom</w:t>
            </w:r>
          </w:p>
          <w:p w14:paraId="59DF0A5E" w14:textId="77777777" w:rsidR="00837797" w:rsidRPr="002D7A64" w:rsidRDefault="00837797" w:rsidP="001D7C5E">
            <w:pPr>
              <w:spacing w:after="0"/>
              <w:jc w:val="center"/>
              <w:rPr>
                <w:rFonts w:eastAsia="Times New Roman" w:cstheme="minorHAnsi"/>
                <w:b/>
                <w:bCs/>
                <w:color w:val="000000"/>
                <w:sz w:val="12"/>
                <w:szCs w:val="12"/>
                <w:lang w:eastAsia="sl-SI"/>
              </w:rPr>
            </w:pPr>
          </w:p>
        </w:tc>
      </w:tr>
      <w:tr w:rsidR="0055130F" w:rsidRPr="00527C8A" w14:paraId="2EB71281" w14:textId="77777777" w:rsidTr="000B080A">
        <w:trPr>
          <w:trHeight w:val="520"/>
        </w:trPr>
        <w:tc>
          <w:tcPr>
            <w:tcW w:w="395" w:type="dxa"/>
            <w:shd w:val="clear" w:color="auto" w:fill="auto"/>
            <w:vAlign w:val="center"/>
            <w:hideMark/>
          </w:tcPr>
          <w:p w14:paraId="26D087BC" w14:textId="77777777"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 </w:t>
            </w:r>
          </w:p>
        </w:tc>
        <w:tc>
          <w:tcPr>
            <w:tcW w:w="2162" w:type="dxa"/>
            <w:shd w:val="clear" w:color="auto" w:fill="auto"/>
            <w:vAlign w:val="center"/>
            <w:hideMark/>
          </w:tcPr>
          <w:p w14:paraId="28F405C0" w14:textId="77777777"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Ukrep</w:t>
            </w:r>
          </w:p>
        </w:tc>
        <w:tc>
          <w:tcPr>
            <w:tcW w:w="3402" w:type="dxa"/>
            <w:shd w:val="clear" w:color="auto" w:fill="auto"/>
            <w:vAlign w:val="center"/>
            <w:hideMark/>
          </w:tcPr>
          <w:p w14:paraId="2C6AF8FA" w14:textId="4B509A4C"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Aktivnost</w:t>
            </w:r>
          </w:p>
        </w:tc>
        <w:tc>
          <w:tcPr>
            <w:tcW w:w="851" w:type="dxa"/>
            <w:shd w:val="clear" w:color="auto" w:fill="auto"/>
            <w:vAlign w:val="center"/>
            <w:hideMark/>
          </w:tcPr>
          <w:p w14:paraId="1EDE4A77" w14:textId="77777777"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Odgovornost za izvedbo</w:t>
            </w:r>
          </w:p>
        </w:tc>
        <w:tc>
          <w:tcPr>
            <w:tcW w:w="850" w:type="dxa"/>
            <w:shd w:val="clear" w:color="auto" w:fill="auto"/>
            <w:vAlign w:val="center"/>
            <w:hideMark/>
          </w:tcPr>
          <w:p w14:paraId="50DB812F" w14:textId="77777777"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Sodelujoči deležniki</w:t>
            </w:r>
          </w:p>
        </w:tc>
        <w:tc>
          <w:tcPr>
            <w:tcW w:w="992" w:type="dxa"/>
            <w:shd w:val="clear" w:color="auto" w:fill="auto"/>
            <w:vAlign w:val="center"/>
            <w:hideMark/>
          </w:tcPr>
          <w:p w14:paraId="0FF7CCA2" w14:textId="77777777" w:rsidR="0055130F" w:rsidRPr="00527C8A" w:rsidRDefault="0055130F" w:rsidP="001D7C5E">
            <w:pPr>
              <w:spacing w:after="0"/>
              <w:jc w:val="center"/>
              <w:rPr>
                <w:rFonts w:eastAsia="Times New Roman" w:cstheme="minorHAnsi"/>
                <w:b/>
                <w:bCs/>
                <w:color w:val="000000"/>
                <w:sz w:val="12"/>
                <w:szCs w:val="12"/>
                <w:lang w:eastAsia="sl-SI"/>
              </w:rPr>
            </w:pPr>
            <w:proofErr w:type="spellStart"/>
            <w:r w:rsidRPr="00527C8A">
              <w:rPr>
                <w:rFonts w:eastAsia="Times New Roman" w:cstheme="minorHAnsi"/>
                <w:b/>
                <w:bCs/>
                <w:color w:val="000000"/>
                <w:sz w:val="12"/>
                <w:szCs w:val="12"/>
                <w:lang w:eastAsia="sl-SI"/>
              </w:rPr>
              <w:t>Časovnica</w:t>
            </w:r>
            <w:proofErr w:type="spellEnd"/>
          </w:p>
        </w:tc>
        <w:tc>
          <w:tcPr>
            <w:tcW w:w="1999" w:type="dxa"/>
            <w:shd w:val="clear" w:color="auto" w:fill="auto"/>
            <w:vAlign w:val="center"/>
            <w:hideMark/>
          </w:tcPr>
          <w:p w14:paraId="30720D30" w14:textId="77777777" w:rsidR="0055130F" w:rsidRPr="00527C8A" w:rsidRDefault="0055130F" w:rsidP="001D7C5E">
            <w:pPr>
              <w:spacing w:after="0"/>
              <w:jc w:val="center"/>
              <w:rPr>
                <w:rFonts w:eastAsia="Times New Roman" w:cstheme="minorHAnsi"/>
                <w:b/>
                <w:bCs/>
                <w:color w:val="000000"/>
                <w:sz w:val="12"/>
                <w:szCs w:val="12"/>
                <w:lang w:eastAsia="sl-SI"/>
              </w:rPr>
            </w:pPr>
            <w:r w:rsidRPr="00BA16C9">
              <w:rPr>
                <w:rFonts w:eastAsia="Times New Roman" w:cstheme="minorHAnsi"/>
                <w:b/>
                <w:bCs/>
                <w:color w:val="000000"/>
                <w:sz w:val="12"/>
                <w:szCs w:val="12"/>
                <w:lang w:eastAsia="sl-SI"/>
              </w:rPr>
              <w:t>Predlagani rezultati</w:t>
            </w:r>
            <w:r>
              <w:rPr>
                <w:rFonts w:eastAsia="Times New Roman" w:cstheme="minorHAnsi"/>
                <w:b/>
                <w:bCs/>
                <w:color w:val="000000"/>
                <w:sz w:val="12"/>
                <w:szCs w:val="12"/>
                <w:lang w:eastAsia="sl-SI"/>
              </w:rPr>
              <w:t>/učinki</w:t>
            </w:r>
          </w:p>
        </w:tc>
        <w:tc>
          <w:tcPr>
            <w:tcW w:w="978" w:type="dxa"/>
            <w:shd w:val="clear" w:color="auto" w:fill="auto"/>
            <w:vAlign w:val="center"/>
            <w:hideMark/>
          </w:tcPr>
          <w:p w14:paraId="2270B5F8" w14:textId="77777777" w:rsidR="0055130F" w:rsidRPr="00527C8A" w:rsidRDefault="0055130F" w:rsidP="001D7C5E">
            <w:pPr>
              <w:spacing w:after="0"/>
              <w:jc w:val="center"/>
              <w:rPr>
                <w:rFonts w:eastAsia="Times New Roman" w:cstheme="minorHAnsi"/>
                <w:b/>
                <w:bCs/>
                <w:color w:val="000000"/>
                <w:sz w:val="12"/>
                <w:szCs w:val="12"/>
                <w:lang w:eastAsia="sl-SI"/>
              </w:rPr>
            </w:pPr>
            <w:r w:rsidRPr="00527C8A">
              <w:rPr>
                <w:rFonts w:eastAsia="Times New Roman" w:cstheme="minorHAnsi"/>
                <w:b/>
                <w:bCs/>
                <w:color w:val="000000"/>
                <w:sz w:val="12"/>
                <w:szCs w:val="12"/>
                <w:lang w:eastAsia="sl-SI"/>
              </w:rPr>
              <w:t>Vir financiranja (če relevantno)</w:t>
            </w:r>
          </w:p>
        </w:tc>
        <w:tc>
          <w:tcPr>
            <w:tcW w:w="2693" w:type="dxa"/>
            <w:shd w:val="clear" w:color="auto" w:fill="auto"/>
            <w:vAlign w:val="center"/>
            <w:hideMark/>
          </w:tcPr>
          <w:p w14:paraId="5901A22A" w14:textId="77777777" w:rsidR="0055130F" w:rsidRPr="00527C8A" w:rsidRDefault="0055130F" w:rsidP="001D7C5E">
            <w:pPr>
              <w:spacing w:after="0"/>
              <w:jc w:val="center"/>
              <w:rPr>
                <w:rFonts w:eastAsia="Times New Roman" w:cstheme="minorHAnsi"/>
                <w:b/>
                <w:bCs/>
                <w:color w:val="000000"/>
                <w:sz w:val="12"/>
                <w:szCs w:val="12"/>
                <w:lang w:eastAsia="sl-SI"/>
              </w:rPr>
            </w:pPr>
            <w:r w:rsidRPr="002D7A64">
              <w:rPr>
                <w:rFonts w:eastAsia="Times New Roman" w:cstheme="minorHAnsi"/>
                <w:b/>
                <w:bCs/>
                <w:color w:val="000000"/>
                <w:sz w:val="12"/>
                <w:szCs w:val="12"/>
                <w:lang w:eastAsia="sl-SI"/>
              </w:rPr>
              <w:t>Kazalnik (če relevantno</w:t>
            </w:r>
            <w:r>
              <w:rPr>
                <w:rFonts w:eastAsia="Times New Roman" w:cstheme="minorHAnsi"/>
                <w:b/>
                <w:bCs/>
                <w:color w:val="000000"/>
                <w:sz w:val="12"/>
                <w:szCs w:val="12"/>
                <w:lang w:eastAsia="sl-SI"/>
              </w:rPr>
              <w:t>)</w:t>
            </w:r>
          </w:p>
        </w:tc>
      </w:tr>
      <w:tr w:rsidR="0055130F" w:rsidRPr="00527C8A" w14:paraId="01DD1DF5" w14:textId="77777777" w:rsidTr="000B080A">
        <w:trPr>
          <w:trHeight w:val="1575"/>
        </w:trPr>
        <w:tc>
          <w:tcPr>
            <w:tcW w:w="395" w:type="dxa"/>
            <w:shd w:val="clear" w:color="auto" w:fill="auto"/>
            <w:vAlign w:val="center"/>
            <w:hideMark/>
          </w:tcPr>
          <w:p w14:paraId="404DB242" w14:textId="75FCE26C"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3.</w:t>
            </w:r>
            <w:r w:rsidRPr="00527C8A">
              <w:rPr>
                <w:rFonts w:eastAsia="Times New Roman" w:cstheme="minorHAnsi"/>
                <w:color w:val="000000"/>
                <w:sz w:val="12"/>
                <w:szCs w:val="12"/>
                <w:lang w:eastAsia="sl-SI"/>
              </w:rPr>
              <w:t>1.</w:t>
            </w:r>
          </w:p>
        </w:tc>
        <w:tc>
          <w:tcPr>
            <w:tcW w:w="2162" w:type="dxa"/>
            <w:shd w:val="clear" w:color="auto" w:fill="auto"/>
            <w:vAlign w:val="center"/>
            <w:hideMark/>
          </w:tcPr>
          <w:p w14:paraId="7FBC6E2E" w14:textId="7A9431ED" w:rsidR="0055130F" w:rsidRPr="00F64737"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Sodelovanje deležnikov pri sooblikovanju</w:t>
            </w:r>
            <w:r w:rsidRPr="00F64737">
              <w:rPr>
                <w:rFonts w:eastAsia="Times New Roman" w:cstheme="minorHAnsi"/>
                <w:color w:val="000000"/>
                <w:sz w:val="12"/>
                <w:szCs w:val="12"/>
                <w:lang w:eastAsia="sl-SI"/>
              </w:rPr>
              <w:t xml:space="preserve"> programskih dokumentov </w:t>
            </w:r>
            <w:r>
              <w:rPr>
                <w:rFonts w:eastAsia="Times New Roman" w:cstheme="minorHAnsi"/>
                <w:color w:val="000000"/>
                <w:sz w:val="12"/>
                <w:szCs w:val="12"/>
                <w:lang w:eastAsia="sl-SI"/>
              </w:rPr>
              <w:t>ter drugih dokumentov v obdobju izvajanja</w:t>
            </w:r>
            <w:r w:rsidR="005738F9">
              <w:rPr>
                <w:rFonts w:eastAsia="Times New Roman" w:cstheme="minorHAnsi"/>
                <w:color w:val="000000"/>
                <w:sz w:val="12"/>
                <w:szCs w:val="12"/>
                <w:lang w:eastAsia="sl-SI"/>
              </w:rPr>
              <w:t>.</w:t>
            </w:r>
          </w:p>
        </w:tc>
        <w:tc>
          <w:tcPr>
            <w:tcW w:w="3402" w:type="dxa"/>
            <w:shd w:val="clear" w:color="auto" w:fill="auto"/>
            <w:vAlign w:val="center"/>
            <w:hideMark/>
          </w:tcPr>
          <w:p w14:paraId="60B785C0" w14:textId="38670070" w:rsidR="0055130F" w:rsidRPr="00F64737"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Organizacija posvetov </w:t>
            </w:r>
            <w:r w:rsidR="00423E90">
              <w:rPr>
                <w:rFonts w:eastAsia="Times New Roman" w:cstheme="minorHAnsi"/>
                <w:color w:val="000000"/>
                <w:sz w:val="12"/>
                <w:szCs w:val="12"/>
                <w:lang w:eastAsia="sl-SI"/>
              </w:rPr>
              <w:t xml:space="preserve">v času </w:t>
            </w:r>
            <w:r>
              <w:rPr>
                <w:rFonts w:eastAsia="Times New Roman" w:cstheme="minorHAnsi"/>
                <w:color w:val="000000"/>
                <w:sz w:val="12"/>
                <w:szCs w:val="12"/>
                <w:lang w:eastAsia="sl-SI"/>
              </w:rPr>
              <w:t>programiranju in s</w:t>
            </w:r>
            <w:r w:rsidRPr="00F64737">
              <w:rPr>
                <w:rFonts w:eastAsia="Times New Roman" w:cstheme="minorHAnsi"/>
                <w:color w:val="000000"/>
                <w:sz w:val="12"/>
                <w:szCs w:val="12"/>
                <w:lang w:eastAsia="sl-SI"/>
              </w:rPr>
              <w:t xml:space="preserve">prejemanje pobud </w:t>
            </w:r>
            <w:r>
              <w:rPr>
                <w:rFonts w:eastAsia="Times New Roman" w:cstheme="minorHAnsi"/>
                <w:color w:val="000000"/>
                <w:sz w:val="12"/>
                <w:szCs w:val="12"/>
                <w:lang w:eastAsia="sl-SI"/>
              </w:rPr>
              <w:t>ter</w:t>
            </w:r>
            <w:r w:rsidRPr="00F64737">
              <w:rPr>
                <w:rFonts w:eastAsia="Times New Roman" w:cstheme="minorHAnsi"/>
                <w:color w:val="000000"/>
                <w:sz w:val="12"/>
                <w:szCs w:val="12"/>
                <w:lang w:eastAsia="sl-SI"/>
              </w:rPr>
              <w:t xml:space="preserve"> predlogov za Sporazum o partnerstvu ter </w:t>
            </w:r>
            <w:r>
              <w:rPr>
                <w:rFonts w:eastAsia="Times New Roman" w:cstheme="minorHAnsi"/>
                <w:color w:val="000000"/>
                <w:sz w:val="12"/>
                <w:szCs w:val="12"/>
                <w:lang w:eastAsia="sl-SI"/>
              </w:rPr>
              <w:t xml:space="preserve">Program EKP </w:t>
            </w:r>
            <w:r w:rsidRPr="00F64737">
              <w:rPr>
                <w:rFonts w:eastAsia="Times New Roman" w:cstheme="minorHAnsi"/>
                <w:color w:val="000000"/>
                <w:sz w:val="12"/>
                <w:szCs w:val="12"/>
                <w:lang w:eastAsia="sl-SI"/>
              </w:rPr>
              <w:t>2021</w:t>
            </w:r>
            <w:r>
              <w:rPr>
                <w:rFonts w:eastAsia="Times New Roman" w:cstheme="minorHAnsi"/>
                <w:color w:val="000000"/>
                <w:sz w:val="12"/>
                <w:szCs w:val="12"/>
                <w:lang w:eastAsia="sl-SI"/>
              </w:rPr>
              <w:t>–</w:t>
            </w:r>
            <w:r w:rsidRPr="00F64737">
              <w:rPr>
                <w:rFonts w:eastAsia="Times New Roman" w:cstheme="minorHAnsi"/>
                <w:color w:val="000000"/>
                <w:sz w:val="12"/>
                <w:szCs w:val="12"/>
                <w:lang w:eastAsia="sl-SI"/>
              </w:rPr>
              <w:t>2027</w:t>
            </w:r>
            <w:r w:rsidR="002B7F40">
              <w:rPr>
                <w:rFonts w:eastAsia="Times New Roman" w:cstheme="minorHAnsi"/>
                <w:color w:val="000000"/>
                <w:sz w:val="12"/>
                <w:szCs w:val="12"/>
                <w:lang w:eastAsia="sl-SI"/>
              </w:rPr>
              <w:t xml:space="preserve"> ter drugih dokumentov, ki se sprejemajo v času izvajanja.</w:t>
            </w:r>
          </w:p>
        </w:tc>
        <w:tc>
          <w:tcPr>
            <w:tcW w:w="851" w:type="dxa"/>
            <w:shd w:val="clear" w:color="auto" w:fill="auto"/>
            <w:vAlign w:val="center"/>
            <w:hideMark/>
          </w:tcPr>
          <w:p w14:paraId="7B930BDC" w14:textId="77777777" w:rsidR="0055130F" w:rsidRPr="00F64737" w:rsidRDefault="0055130F" w:rsidP="001D7C5E">
            <w:pPr>
              <w:spacing w:after="0"/>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OU</w:t>
            </w:r>
          </w:p>
        </w:tc>
        <w:tc>
          <w:tcPr>
            <w:tcW w:w="850" w:type="dxa"/>
            <w:shd w:val="clear" w:color="auto" w:fill="auto"/>
            <w:vAlign w:val="center"/>
            <w:hideMark/>
          </w:tcPr>
          <w:p w14:paraId="533AF374" w14:textId="6D481EB0" w:rsidR="0055130F" w:rsidRPr="00F64737" w:rsidRDefault="00423E90"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OU, PT, </w:t>
            </w:r>
            <w:r w:rsidR="0055130F" w:rsidRPr="00F64737">
              <w:rPr>
                <w:rFonts w:eastAsia="Times New Roman" w:cstheme="minorHAnsi"/>
                <w:color w:val="000000"/>
                <w:sz w:val="12"/>
                <w:szCs w:val="12"/>
                <w:lang w:eastAsia="sl-SI"/>
              </w:rPr>
              <w:t xml:space="preserve">upravičenci </w:t>
            </w:r>
            <w:r w:rsidR="0055130F">
              <w:rPr>
                <w:rFonts w:eastAsia="Times New Roman" w:cstheme="minorHAnsi"/>
                <w:color w:val="000000"/>
                <w:sz w:val="12"/>
                <w:szCs w:val="12"/>
                <w:lang w:eastAsia="sl-SI"/>
              </w:rPr>
              <w:t xml:space="preserve">in drugi deležniki. </w:t>
            </w:r>
          </w:p>
        </w:tc>
        <w:tc>
          <w:tcPr>
            <w:tcW w:w="992" w:type="dxa"/>
            <w:shd w:val="clear" w:color="auto" w:fill="auto"/>
            <w:vAlign w:val="center"/>
            <w:hideMark/>
          </w:tcPr>
          <w:p w14:paraId="179A7EC9" w14:textId="1E6330B5" w:rsidR="0055130F" w:rsidRPr="00F64737"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2021–2027</w:t>
            </w:r>
          </w:p>
        </w:tc>
        <w:tc>
          <w:tcPr>
            <w:tcW w:w="1999" w:type="dxa"/>
            <w:shd w:val="clear" w:color="auto" w:fill="auto"/>
            <w:vAlign w:val="center"/>
            <w:hideMark/>
          </w:tcPr>
          <w:p w14:paraId="1CFEB01A" w14:textId="5CECEBC8" w:rsidR="0055130F" w:rsidRPr="00F64737"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V</w:t>
            </w:r>
            <w:r w:rsidRPr="00F64737">
              <w:rPr>
                <w:rFonts w:eastAsia="Times New Roman" w:cstheme="minorHAnsi"/>
                <w:color w:val="000000"/>
                <w:sz w:val="12"/>
                <w:szCs w:val="12"/>
                <w:lang w:eastAsia="sl-SI"/>
              </w:rPr>
              <w:t>pogled v potrebe in mnenja upravičencev, kar bo izboljša</w:t>
            </w:r>
            <w:r w:rsidR="00423E90">
              <w:rPr>
                <w:rFonts w:eastAsia="Times New Roman" w:cstheme="minorHAnsi"/>
                <w:color w:val="000000"/>
                <w:sz w:val="12"/>
                <w:szCs w:val="12"/>
                <w:lang w:eastAsia="sl-SI"/>
              </w:rPr>
              <w:t>lo</w:t>
            </w:r>
            <w:r w:rsidRPr="00F64737">
              <w:rPr>
                <w:rFonts w:eastAsia="Times New Roman" w:cstheme="minorHAnsi"/>
                <w:color w:val="000000"/>
                <w:sz w:val="12"/>
                <w:szCs w:val="12"/>
                <w:lang w:eastAsia="sl-SI"/>
              </w:rPr>
              <w:t xml:space="preserve"> izvajanja programa.</w:t>
            </w:r>
          </w:p>
        </w:tc>
        <w:tc>
          <w:tcPr>
            <w:tcW w:w="978" w:type="dxa"/>
            <w:shd w:val="clear" w:color="auto" w:fill="auto"/>
            <w:vAlign w:val="center"/>
            <w:hideMark/>
          </w:tcPr>
          <w:p w14:paraId="71B68911" w14:textId="37B429D4" w:rsidR="0055130F" w:rsidRPr="00F64737" w:rsidRDefault="0055130F" w:rsidP="001D7C5E">
            <w:pPr>
              <w:spacing w:after="0"/>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TP/nacionalno</w:t>
            </w:r>
          </w:p>
        </w:tc>
        <w:tc>
          <w:tcPr>
            <w:tcW w:w="2693" w:type="dxa"/>
            <w:shd w:val="clear" w:color="auto" w:fill="auto"/>
            <w:vAlign w:val="center"/>
            <w:hideMark/>
          </w:tcPr>
          <w:p w14:paraId="02B55727" w14:textId="3199B27A" w:rsidR="0055130F" w:rsidRPr="00F64737"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Organizacija posvetovanj in vzpostavljen kanal za sprejemanja predlogov. </w:t>
            </w:r>
          </w:p>
        </w:tc>
      </w:tr>
      <w:tr w:rsidR="0055130F" w:rsidRPr="00527C8A" w14:paraId="3E66D063" w14:textId="77777777" w:rsidTr="000B080A">
        <w:trPr>
          <w:trHeight w:val="711"/>
        </w:trPr>
        <w:tc>
          <w:tcPr>
            <w:tcW w:w="395" w:type="dxa"/>
            <w:shd w:val="clear" w:color="auto" w:fill="auto"/>
            <w:vAlign w:val="center"/>
            <w:hideMark/>
          </w:tcPr>
          <w:p w14:paraId="1AD2E89F" w14:textId="362AB6DA"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3.2.</w:t>
            </w:r>
          </w:p>
        </w:tc>
        <w:tc>
          <w:tcPr>
            <w:tcW w:w="2162" w:type="dxa"/>
            <w:shd w:val="clear" w:color="auto" w:fill="auto"/>
            <w:vAlign w:val="center"/>
            <w:hideMark/>
          </w:tcPr>
          <w:p w14:paraId="2832D11C" w14:textId="224C59C5"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U</w:t>
            </w:r>
            <w:r w:rsidRPr="00BA16C9">
              <w:rPr>
                <w:rFonts w:eastAsia="Times New Roman" w:cstheme="minorHAnsi"/>
                <w:color w:val="000000"/>
                <w:sz w:val="12"/>
                <w:szCs w:val="12"/>
                <w:lang w:eastAsia="sl-SI"/>
              </w:rPr>
              <w:t>sposabljanja</w:t>
            </w:r>
            <w:r>
              <w:rPr>
                <w:rFonts w:eastAsia="Times New Roman" w:cstheme="minorHAnsi"/>
                <w:color w:val="000000"/>
                <w:sz w:val="12"/>
                <w:szCs w:val="12"/>
                <w:lang w:eastAsia="sl-SI"/>
              </w:rPr>
              <w:t xml:space="preserve"> za upravičence in druge deležnike za učinkovito </w:t>
            </w:r>
            <w:r w:rsidRPr="00EE3362">
              <w:rPr>
                <w:rFonts w:eastAsia="Times New Roman" w:cstheme="minorHAnsi"/>
                <w:color w:val="000000"/>
                <w:sz w:val="12"/>
                <w:szCs w:val="12"/>
                <w:lang w:eastAsia="sl-SI"/>
              </w:rPr>
              <w:t>izvajanje evropske kohezijske politike</w:t>
            </w:r>
            <w:r w:rsidR="005738F9">
              <w:rPr>
                <w:rFonts w:eastAsia="Times New Roman" w:cstheme="minorHAnsi"/>
                <w:color w:val="000000"/>
                <w:sz w:val="12"/>
                <w:szCs w:val="12"/>
                <w:lang w:eastAsia="sl-SI"/>
              </w:rPr>
              <w:t>.</w:t>
            </w:r>
          </w:p>
        </w:tc>
        <w:tc>
          <w:tcPr>
            <w:tcW w:w="3402" w:type="dxa"/>
            <w:shd w:val="clear" w:color="auto" w:fill="auto"/>
            <w:vAlign w:val="center"/>
            <w:hideMark/>
          </w:tcPr>
          <w:p w14:paraId="7637B370" w14:textId="5B2852D4"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Usposabljanja, informativni dogodki in delavnice na r</w:t>
            </w:r>
            <w:r w:rsidR="002B7F40">
              <w:rPr>
                <w:rFonts w:eastAsia="Times New Roman" w:cstheme="minorHAnsi"/>
                <w:color w:val="000000"/>
                <w:sz w:val="12"/>
                <w:szCs w:val="12"/>
                <w:lang w:eastAsia="sl-SI"/>
              </w:rPr>
              <w:t xml:space="preserve">azličnih </w:t>
            </w:r>
            <w:r>
              <w:rPr>
                <w:rFonts w:eastAsia="Times New Roman" w:cstheme="minorHAnsi"/>
                <w:color w:val="000000"/>
                <w:sz w:val="12"/>
                <w:szCs w:val="12"/>
                <w:lang w:eastAsia="sl-SI"/>
              </w:rPr>
              <w:t>področjih</w:t>
            </w:r>
            <w:r w:rsidR="002B7F40">
              <w:rPr>
                <w:rFonts w:eastAsia="Times New Roman" w:cstheme="minorHAnsi"/>
                <w:color w:val="000000"/>
                <w:sz w:val="12"/>
                <w:szCs w:val="12"/>
                <w:lang w:eastAsia="sl-SI"/>
              </w:rPr>
              <w:t>.</w:t>
            </w:r>
          </w:p>
        </w:tc>
        <w:tc>
          <w:tcPr>
            <w:tcW w:w="851" w:type="dxa"/>
            <w:shd w:val="clear" w:color="auto" w:fill="auto"/>
            <w:vAlign w:val="center"/>
            <w:hideMark/>
          </w:tcPr>
          <w:p w14:paraId="51EBCBFE" w14:textId="421FA155" w:rsidR="0055130F" w:rsidRPr="00527C8A" w:rsidRDefault="0055130F" w:rsidP="001D7C5E">
            <w:pPr>
              <w:spacing w:after="0"/>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OU</w:t>
            </w:r>
            <w:r w:rsidR="005A0783">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PT</w:t>
            </w:r>
          </w:p>
        </w:tc>
        <w:tc>
          <w:tcPr>
            <w:tcW w:w="850" w:type="dxa"/>
            <w:shd w:val="clear" w:color="auto" w:fill="auto"/>
            <w:vAlign w:val="center"/>
            <w:hideMark/>
          </w:tcPr>
          <w:p w14:paraId="5DFDB64C" w14:textId="62CBAACA" w:rsidR="0055130F" w:rsidRPr="00527C8A" w:rsidRDefault="002B7F40"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992" w:type="dxa"/>
            <w:shd w:val="clear" w:color="auto" w:fill="auto"/>
            <w:vAlign w:val="center"/>
            <w:hideMark/>
          </w:tcPr>
          <w:p w14:paraId="69477872" w14:textId="3D8FDD5C"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w:t>
            </w:r>
            <w:r w:rsidR="002B7F40">
              <w:rPr>
                <w:rFonts w:eastAsia="Times New Roman" w:cstheme="minorHAnsi"/>
                <w:color w:val="000000"/>
                <w:sz w:val="12"/>
                <w:szCs w:val="12"/>
                <w:lang w:eastAsia="sl-SI"/>
              </w:rPr>
              <w:t>9</w:t>
            </w:r>
          </w:p>
        </w:tc>
        <w:tc>
          <w:tcPr>
            <w:tcW w:w="1999" w:type="dxa"/>
            <w:shd w:val="clear" w:color="auto" w:fill="auto"/>
            <w:vAlign w:val="center"/>
            <w:hideMark/>
          </w:tcPr>
          <w:p w14:paraId="75E48A66" w14:textId="7BB4E308"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Usposobljeni upravičenci za uspešno izvajanje programov ter projektov in s tem kohezijske politike</w:t>
            </w:r>
          </w:p>
        </w:tc>
        <w:tc>
          <w:tcPr>
            <w:tcW w:w="978" w:type="dxa"/>
            <w:shd w:val="clear" w:color="auto" w:fill="auto"/>
            <w:vAlign w:val="center"/>
            <w:hideMark/>
          </w:tcPr>
          <w:p w14:paraId="5B9E54DA" w14:textId="09F3F901" w:rsidR="0055130F" w:rsidRPr="00527C8A" w:rsidRDefault="0055130F" w:rsidP="001D7C5E">
            <w:pPr>
              <w:spacing w:after="0"/>
              <w:jc w:val="center"/>
              <w:rPr>
                <w:rFonts w:eastAsia="Times New Roman" w:cstheme="minorHAnsi"/>
                <w:color w:val="000000"/>
                <w:sz w:val="12"/>
                <w:szCs w:val="12"/>
                <w:lang w:eastAsia="sl-SI"/>
              </w:rPr>
            </w:pPr>
            <w:r w:rsidRPr="00F64737">
              <w:rPr>
                <w:rFonts w:eastAsia="Times New Roman" w:cstheme="minorHAnsi"/>
                <w:color w:val="000000"/>
                <w:sz w:val="12"/>
                <w:szCs w:val="12"/>
                <w:lang w:eastAsia="sl-SI"/>
              </w:rPr>
              <w:t>TP/nacionalno</w:t>
            </w:r>
          </w:p>
        </w:tc>
        <w:tc>
          <w:tcPr>
            <w:tcW w:w="2693" w:type="dxa"/>
            <w:shd w:val="clear" w:color="auto" w:fill="auto"/>
            <w:vAlign w:val="center"/>
            <w:hideMark/>
          </w:tcPr>
          <w:p w14:paraId="642A1B51" w14:textId="175A5FF6" w:rsidR="0055130F" w:rsidRPr="00647E53" w:rsidRDefault="0055130F" w:rsidP="00647E53">
            <w:pPr>
              <w:spacing w:after="0"/>
              <w:jc w:val="center"/>
              <w:rPr>
                <w:rFonts w:eastAsia="Times New Roman" w:cstheme="minorHAnsi"/>
                <w:color w:val="000000"/>
                <w:sz w:val="12"/>
                <w:szCs w:val="12"/>
                <w:highlight w:val="yellow"/>
                <w:lang w:eastAsia="sl-SI"/>
              </w:rPr>
            </w:pPr>
            <w:r w:rsidRPr="00647E53">
              <w:rPr>
                <w:rFonts w:eastAsia="Times New Roman" w:cstheme="minorHAnsi"/>
                <w:color w:val="000000"/>
                <w:sz w:val="12"/>
                <w:szCs w:val="12"/>
                <w:lang w:eastAsia="sl-SI"/>
              </w:rPr>
              <w:t>Število organiziranih usposabljan</w:t>
            </w:r>
            <w:r w:rsidR="002B7F40">
              <w:rPr>
                <w:rFonts w:eastAsia="Times New Roman" w:cstheme="minorHAnsi"/>
                <w:color w:val="000000"/>
                <w:sz w:val="12"/>
                <w:szCs w:val="12"/>
                <w:lang w:eastAsia="sl-SI"/>
              </w:rPr>
              <w:t>j, informativnih dogodkov in delavnic</w:t>
            </w:r>
            <w:r w:rsidR="005738F9">
              <w:rPr>
                <w:rFonts w:eastAsia="Times New Roman" w:cstheme="minorHAnsi"/>
                <w:color w:val="000000"/>
                <w:sz w:val="12"/>
                <w:szCs w:val="12"/>
                <w:lang w:eastAsia="sl-SI"/>
              </w:rPr>
              <w:t>.</w:t>
            </w:r>
            <w:r w:rsidRPr="00647E53">
              <w:rPr>
                <w:rFonts w:eastAsia="Times New Roman" w:cstheme="minorHAnsi"/>
                <w:color w:val="000000"/>
                <w:sz w:val="12"/>
                <w:szCs w:val="12"/>
                <w:lang w:eastAsia="sl-SI"/>
              </w:rPr>
              <w:t xml:space="preserve"> </w:t>
            </w:r>
          </w:p>
        </w:tc>
      </w:tr>
      <w:tr w:rsidR="0055130F" w:rsidRPr="00527C8A" w14:paraId="09EAF7D3" w14:textId="77777777" w:rsidTr="000B080A">
        <w:trPr>
          <w:trHeight w:val="565"/>
        </w:trPr>
        <w:tc>
          <w:tcPr>
            <w:tcW w:w="395" w:type="dxa"/>
            <w:shd w:val="clear" w:color="auto" w:fill="auto"/>
            <w:vAlign w:val="center"/>
            <w:hideMark/>
          </w:tcPr>
          <w:p w14:paraId="2F4F6C72" w14:textId="328EB83E"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3.3.</w:t>
            </w:r>
          </w:p>
        </w:tc>
        <w:tc>
          <w:tcPr>
            <w:tcW w:w="2162" w:type="dxa"/>
            <w:shd w:val="clear" w:color="auto" w:fill="auto"/>
            <w:vAlign w:val="center"/>
            <w:hideMark/>
          </w:tcPr>
          <w:p w14:paraId="15001FA4" w14:textId="661C9A07"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Sistem</w:t>
            </w:r>
            <w:r w:rsidRPr="00527C8A">
              <w:rPr>
                <w:rFonts w:eastAsia="Times New Roman" w:cstheme="minorHAnsi"/>
                <w:color w:val="000000"/>
                <w:sz w:val="12"/>
                <w:szCs w:val="12"/>
                <w:lang w:eastAsia="sl-SI"/>
              </w:rPr>
              <w:t xml:space="preserve"> za identifikacijo potreb</w:t>
            </w:r>
            <w:r w:rsidR="005738F9">
              <w:rPr>
                <w:rFonts w:eastAsia="Times New Roman" w:cstheme="minorHAnsi"/>
                <w:color w:val="000000"/>
                <w:sz w:val="12"/>
                <w:szCs w:val="12"/>
                <w:lang w:eastAsia="sl-SI"/>
              </w:rPr>
              <w:t>.</w:t>
            </w:r>
            <w:r w:rsidRPr="00527C8A">
              <w:rPr>
                <w:rFonts w:eastAsia="Times New Roman" w:cstheme="minorHAnsi"/>
                <w:color w:val="000000"/>
                <w:sz w:val="12"/>
                <w:szCs w:val="12"/>
                <w:lang w:eastAsia="sl-SI"/>
              </w:rPr>
              <w:t xml:space="preserve"> </w:t>
            </w:r>
          </w:p>
        </w:tc>
        <w:tc>
          <w:tcPr>
            <w:tcW w:w="3402" w:type="dxa"/>
            <w:shd w:val="clear" w:color="auto" w:fill="auto"/>
            <w:vAlign w:val="center"/>
            <w:hideMark/>
          </w:tcPr>
          <w:p w14:paraId="38C262DB" w14:textId="4AF044C5"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Izvedba anket o željah in potrebah. </w:t>
            </w:r>
          </w:p>
        </w:tc>
        <w:tc>
          <w:tcPr>
            <w:tcW w:w="851" w:type="dxa"/>
            <w:shd w:val="clear" w:color="auto" w:fill="auto"/>
            <w:vAlign w:val="center"/>
            <w:hideMark/>
          </w:tcPr>
          <w:p w14:paraId="14574C72" w14:textId="77777777" w:rsidR="0055130F" w:rsidRPr="00527C8A" w:rsidRDefault="0055130F" w:rsidP="001D7C5E">
            <w:pPr>
              <w:spacing w:after="0"/>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OU</w:t>
            </w:r>
          </w:p>
        </w:tc>
        <w:tc>
          <w:tcPr>
            <w:tcW w:w="850" w:type="dxa"/>
            <w:shd w:val="clear" w:color="auto" w:fill="auto"/>
            <w:vAlign w:val="center"/>
            <w:hideMark/>
          </w:tcPr>
          <w:p w14:paraId="741C5F91" w14:textId="715899F1" w:rsidR="0055130F" w:rsidRPr="00527C8A" w:rsidRDefault="002B7F40"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992" w:type="dxa"/>
            <w:shd w:val="clear" w:color="auto" w:fill="auto"/>
            <w:vAlign w:val="center"/>
            <w:hideMark/>
          </w:tcPr>
          <w:p w14:paraId="7F8B39AE" w14:textId="3A91BFE7"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99" w:type="dxa"/>
            <w:shd w:val="clear" w:color="auto" w:fill="auto"/>
            <w:vAlign w:val="center"/>
            <w:hideMark/>
          </w:tcPr>
          <w:p w14:paraId="1B30B9BB" w14:textId="012016EB" w:rsidR="0055130F" w:rsidRPr="00527C8A" w:rsidRDefault="0055130F" w:rsidP="001D7C5E">
            <w:pPr>
              <w:spacing w:after="0"/>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Bolj ciljno usmerjeni ukrep</w:t>
            </w:r>
            <w:r w:rsidR="002B7F40">
              <w:rPr>
                <w:rFonts w:eastAsia="Times New Roman" w:cstheme="minorHAnsi"/>
                <w:color w:val="000000"/>
                <w:sz w:val="12"/>
                <w:szCs w:val="12"/>
                <w:lang w:eastAsia="sl-SI"/>
              </w:rPr>
              <w:t>i</w:t>
            </w:r>
            <w:r w:rsidR="00E816D4">
              <w:rPr>
                <w:rFonts w:eastAsia="Times New Roman" w:cstheme="minorHAnsi"/>
                <w:color w:val="000000"/>
                <w:sz w:val="12"/>
                <w:szCs w:val="12"/>
                <w:lang w:eastAsia="sl-SI"/>
              </w:rPr>
              <w:t xml:space="preserve"> glede na identificirane potrebe.</w:t>
            </w:r>
          </w:p>
        </w:tc>
        <w:tc>
          <w:tcPr>
            <w:tcW w:w="978" w:type="dxa"/>
            <w:shd w:val="clear" w:color="auto" w:fill="auto"/>
            <w:vAlign w:val="center"/>
            <w:hideMark/>
          </w:tcPr>
          <w:p w14:paraId="3751F59A" w14:textId="4CE0436C" w:rsidR="0055130F" w:rsidRPr="00527C8A" w:rsidRDefault="0055130F" w:rsidP="001D7C5E">
            <w:pPr>
              <w:spacing w:after="0"/>
              <w:jc w:val="center"/>
              <w:rPr>
                <w:rFonts w:eastAsia="Times New Roman" w:cstheme="minorHAnsi"/>
                <w:color w:val="000000"/>
                <w:sz w:val="12"/>
                <w:szCs w:val="12"/>
                <w:lang w:eastAsia="sl-SI"/>
              </w:rPr>
            </w:pPr>
            <w:r w:rsidRPr="00527C8A">
              <w:rPr>
                <w:rFonts w:eastAsia="Times New Roman" w:cstheme="minorHAnsi"/>
                <w:color w:val="000000"/>
                <w:sz w:val="12"/>
                <w:szCs w:val="12"/>
                <w:lang w:eastAsia="sl-SI"/>
              </w:rPr>
              <w:t>TP/nacionalno</w:t>
            </w:r>
          </w:p>
        </w:tc>
        <w:tc>
          <w:tcPr>
            <w:tcW w:w="2693" w:type="dxa"/>
            <w:shd w:val="clear" w:color="auto" w:fill="auto"/>
            <w:vAlign w:val="center"/>
            <w:hideMark/>
          </w:tcPr>
          <w:p w14:paraId="5E47F766" w14:textId="7607F043" w:rsidR="003179FE" w:rsidRPr="00527C8A" w:rsidRDefault="003179FE"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Število izvedenih anket.</w:t>
            </w:r>
          </w:p>
        </w:tc>
      </w:tr>
      <w:tr w:rsidR="0055130F" w:rsidRPr="00527C8A" w14:paraId="5C1B80CF" w14:textId="77777777" w:rsidTr="000B080A">
        <w:trPr>
          <w:trHeight w:val="565"/>
        </w:trPr>
        <w:tc>
          <w:tcPr>
            <w:tcW w:w="395" w:type="dxa"/>
            <w:shd w:val="clear" w:color="auto" w:fill="auto"/>
            <w:vAlign w:val="center"/>
          </w:tcPr>
          <w:p w14:paraId="2AA4428F" w14:textId="76C391F1" w:rsidR="0055130F" w:rsidRDefault="0055130F" w:rsidP="00D346FD">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3.4.</w:t>
            </w:r>
          </w:p>
        </w:tc>
        <w:tc>
          <w:tcPr>
            <w:tcW w:w="2162" w:type="dxa"/>
            <w:shd w:val="clear" w:color="auto" w:fill="auto"/>
            <w:vAlign w:val="center"/>
          </w:tcPr>
          <w:p w14:paraId="7A9A28D5" w14:textId="3A9F67A5" w:rsidR="0055130F" w:rsidRDefault="0055130F" w:rsidP="00D346FD">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D</w:t>
            </w:r>
            <w:r w:rsidRPr="00DB07BC">
              <w:rPr>
                <w:rFonts w:eastAsia="Times New Roman" w:cstheme="minorHAnsi"/>
                <w:color w:val="000000"/>
                <w:sz w:val="12"/>
                <w:szCs w:val="12"/>
                <w:lang w:eastAsia="sl-SI"/>
              </w:rPr>
              <w:t>ejavn</w:t>
            </w:r>
            <w:r>
              <w:rPr>
                <w:rFonts w:eastAsia="Times New Roman" w:cstheme="minorHAnsi"/>
                <w:color w:val="000000"/>
                <w:sz w:val="12"/>
                <w:szCs w:val="12"/>
                <w:lang w:eastAsia="sl-SI"/>
              </w:rPr>
              <w:t>o in</w:t>
            </w:r>
            <w:r w:rsidRPr="00DB07BC">
              <w:rPr>
                <w:rFonts w:eastAsia="Times New Roman" w:cstheme="minorHAnsi"/>
                <w:color w:val="000000"/>
                <w:sz w:val="12"/>
                <w:szCs w:val="12"/>
                <w:lang w:eastAsia="sl-SI"/>
              </w:rPr>
              <w:t xml:space="preserve"> ažurn</w:t>
            </w:r>
            <w:r>
              <w:rPr>
                <w:rFonts w:eastAsia="Times New Roman" w:cstheme="minorHAnsi"/>
                <w:color w:val="000000"/>
                <w:sz w:val="12"/>
                <w:szCs w:val="12"/>
                <w:lang w:eastAsia="sl-SI"/>
              </w:rPr>
              <w:t>o</w:t>
            </w:r>
            <w:r w:rsidRPr="00DB07BC">
              <w:rPr>
                <w:rFonts w:eastAsia="Times New Roman" w:cstheme="minorHAnsi"/>
                <w:color w:val="000000"/>
                <w:sz w:val="12"/>
                <w:szCs w:val="12"/>
                <w:lang w:eastAsia="sl-SI"/>
              </w:rPr>
              <w:t xml:space="preserve"> obveščanje v zvezi z evropskimi sredstvi v Sloveniji.</w:t>
            </w:r>
            <w:r>
              <w:rPr>
                <w:rFonts w:eastAsia="Times New Roman" w:cstheme="minorHAnsi"/>
                <w:color w:val="000000"/>
                <w:sz w:val="12"/>
                <w:szCs w:val="12"/>
                <w:lang w:eastAsia="sl-SI"/>
              </w:rPr>
              <w:t xml:space="preserve"> </w:t>
            </w:r>
          </w:p>
        </w:tc>
        <w:tc>
          <w:tcPr>
            <w:tcW w:w="3402" w:type="dxa"/>
            <w:shd w:val="clear" w:color="auto" w:fill="auto"/>
            <w:vAlign w:val="center"/>
          </w:tcPr>
          <w:p w14:paraId="11A298F6" w14:textId="008CE622" w:rsidR="0055130F" w:rsidRPr="00527C8A" w:rsidRDefault="0055130F" w:rsidP="00D346FD">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 xml:space="preserve">Razširitev </w:t>
            </w:r>
            <w:r>
              <w:rPr>
                <w:rFonts w:eastAsia="Times New Roman" w:cstheme="minorHAnsi"/>
                <w:color w:val="000000"/>
                <w:sz w:val="12"/>
                <w:szCs w:val="12"/>
                <w:lang w:eastAsia="sl-SI"/>
              </w:rPr>
              <w:t xml:space="preserve">kanalov </w:t>
            </w:r>
            <w:r w:rsidRPr="00DB07BC">
              <w:rPr>
                <w:rFonts w:eastAsia="Times New Roman" w:cstheme="minorHAnsi"/>
                <w:color w:val="000000"/>
                <w:sz w:val="12"/>
                <w:szCs w:val="12"/>
                <w:lang w:eastAsia="sl-SI"/>
              </w:rPr>
              <w:t xml:space="preserve">objavljanja javnih razpisov </w:t>
            </w:r>
            <w:r>
              <w:rPr>
                <w:rFonts w:eastAsia="Times New Roman" w:cstheme="minorHAnsi"/>
                <w:color w:val="000000"/>
                <w:sz w:val="12"/>
                <w:szCs w:val="12"/>
                <w:lang w:eastAsia="sl-SI"/>
              </w:rPr>
              <w:t xml:space="preserve">in drugih relevantnih informacij </w:t>
            </w:r>
            <w:r w:rsidRPr="00DB07BC">
              <w:rPr>
                <w:rFonts w:eastAsia="Times New Roman" w:cstheme="minorHAnsi"/>
                <w:color w:val="000000"/>
                <w:sz w:val="12"/>
                <w:szCs w:val="12"/>
                <w:lang w:eastAsia="sl-SI"/>
              </w:rPr>
              <w:t>na družbena omrežja, Vizijo kohezijo …</w:t>
            </w:r>
          </w:p>
        </w:tc>
        <w:tc>
          <w:tcPr>
            <w:tcW w:w="851" w:type="dxa"/>
            <w:shd w:val="clear" w:color="auto" w:fill="auto"/>
            <w:vAlign w:val="center"/>
          </w:tcPr>
          <w:p w14:paraId="25D2E0E6" w14:textId="1B012E64" w:rsidR="0055130F" w:rsidRPr="00527C8A" w:rsidRDefault="0055130F" w:rsidP="00D346FD">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0" w:type="dxa"/>
            <w:shd w:val="clear" w:color="auto" w:fill="auto"/>
            <w:vAlign w:val="center"/>
          </w:tcPr>
          <w:p w14:paraId="260A8EA1" w14:textId="1B999078" w:rsidR="0055130F" w:rsidRPr="00527C8A" w:rsidRDefault="002B7F40" w:rsidP="00D346FD">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992" w:type="dxa"/>
            <w:shd w:val="clear" w:color="auto" w:fill="auto"/>
            <w:vAlign w:val="center"/>
          </w:tcPr>
          <w:p w14:paraId="7E0E7D5E" w14:textId="7742288B" w:rsidR="0055130F" w:rsidRDefault="0055130F" w:rsidP="00D346FD">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2021–2029</w:t>
            </w:r>
          </w:p>
        </w:tc>
        <w:tc>
          <w:tcPr>
            <w:tcW w:w="1999" w:type="dxa"/>
            <w:shd w:val="clear" w:color="auto" w:fill="auto"/>
            <w:vAlign w:val="center"/>
          </w:tcPr>
          <w:p w14:paraId="0CEC78E9" w14:textId="401A6684" w:rsidR="0055130F" w:rsidRPr="00527C8A" w:rsidRDefault="0055130F" w:rsidP="00D346FD">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Boljša informiranost upravičencev in potencialnih upravičencev o možnostih sofinanciranja iz evropske kohezijske politike. </w:t>
            </w:r>
          </w:p>
        </w:tc>
        <w:tc>
          <w:tcPr>
            <w:tcW w:w="978" w:type="dxa"/>
            <w:shd w:val="clear" w:color="auto" w:fill="auto"/>
            <w:vAlign w:val="center"/>
          </w:tcPr>
          <w:p w14:paraId="66E73C90" w14:textId="4FDB9FE8" w:rsidR="0055130F" w:rsidRPr="00527C8A" w:rsidRDefault="0055130F" w:rsidP="00D346FD">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3" w:type="dxa"/>
            <w:shd w:val="clear" w:color="auto" w:fill="auto"/>
            <w:vAlign w:val="center"/>
          </w:tcPr>
          <w:p w14:paraId="500B49D0" w14:textId="294DB9C7" w:rsidR="009A0FF9" w:rsidRDefault="0055130F" w:rsidP="00647E53">
            <w:pPr>
              <w:spacing w:after="0"/>
              <w:jc w:val="center"/>
              <w:rPr>
                <w:rFonts w:eastAsia="Times New Roman" w:cstheme="minorHAnsi"/>
                <w:color w:val="000000"/>
                <w:sz w:val="12"/>
                <w:szCs w:val="12"/>
                <w:lang w:eastAsia="sl-SI"/>
              </w:rPr>
            </w:pPr>
            <w:r w:rsidRPr="00647E53">
              <w:rPr>
                <w:rFonts w:eastAsia="Times New Roman" w:cstheme="minorHAnsi"/>
                <w:color w:val="000000"/>
                <w:sz w:val="12"/>
                <w:szCs w:val="12"/>
                <w:lang w:eastAsia="sl-SI"/>
              </w:rPr>
              <w:t>Zagotovitev objav na spletni strani, družbenih omrežjih</w:t>
            </w:r>
            <w:r w:rsidR="002B7F40">
              <w:rPr>
                <w:rFonts w:eastAsia="Times New Roman" w:cstheme="minorHAnsi"/>
                <w:color w:val="000000"/>
                <w:sz w:val="12"/>
                <w:szCs w:val="12"/>
                <w:lang w:eastAsia="sl-SI"/>
              </w:rPr>
              <w:t xml:space="preserve"> in</w:t>
            </w:r>
            <w:r w:rsidRPr="00647E53">
              <w:rPr>
                <w:rFonts w:eastAsia="Times New Roman" w:cstheme="minorHAnsi"/>
                <w:color w:val="000000"/>
                <w:sz w:val="12"/>
                <w:szCs w:val="12"/>
                <w:lang w:eastAsia="sl-SI"/>
              </w:rPr>
              <w:t xml:space="preserve"> Viziji koheziji</w:t>
            </w:r>
            <w:r w:rsidR="00A15E25">
              <w:rPr>
                <w:rFonts w:eastAsia="Times New Roman" w:cstheme="minorHAnsi"/>
                <w:color w:val="000000"/>
                <w:sz w:val="12"/>
                <w:szCs w:val="12"/>
                <w:lang w:eastAsia="sl-SI"/>
              </w:rPr>
              <w:t xml:space="preserve"> (seštevek naštetih elementov)</w:t>
            </w:r>
            <w:r w:rsidRPr="00647E53">
              <w:rPr>
                <w:rFonts w:eastAsia="Times New Roman" w:cstheme="minorHAnsi"/>
                <w:color w:val="000000"/>
                <w:sz w:val="12"/>
                <w:szCs w:val="12"/>
                <w:lang w:eastAsia="sl-SI"/>
              </w:rPr>
              <w:t xml:space="preserve">. </w:t>
            </w:r>
          </w:p>
        </w:tc>
      </w:tr>
      <w:tr w:rsidR="0055130F" w:rsidRPr="00527C8A" w14:paraId="7A6B2EAF" w14:textId="77777777" w:rsidTr="000B080A">
        <w:trPr>
          <w:trHeight w:val="1072"/>
        </w:trPr>
        <w:tc>
          <w:tcPr>
            <w:tcW w:w="395" w:type="dxa"/>
            <w:shd w:val="clear" w:color="auto" w:fill="auto"/>
            <w:vAlign w:val="center"/>
          </w:tcPr>
          <w:p w14:paraId="3BF6F5CB" w14:textId="1943EF73" w:rsidR="0055130F" w:rsidRPr="00256252" w:rsidRDefault="0055130F" w:rsidP="00256252">
            <w:pPr>
              <w:spacing w:after="0"/>
              <w:rPr>
                <w:rFonts w:eastAsia="Times New Roman" w:cstheme="minorHAnsi"/>
                <w:color w:val="000000"/>
                <w:sz w:val="12"/>
                <w:szCs w:val="12"/>
                <w:lang w:eastAsia="sl-SI"/>
              </w:rPr>
            </w:pPr>
            <w:r>
              <w:rPr>
                <w:rFonts w:eastAsia="Times New Roman" w:cstheme="minorHAnsi"/>
                <w:color w:val="000000"/>
                <w:sz w:val="12"/>
                <w:szCs w:val="12"/>
                <w:lang w:eastAsia="sl-SI"/>
              </w:rPr>
              <w:t>3.5.</w:t>
            </w:r>
          </w:p>
        </w:tc>
        <w:tc>
          <w:tcPr>
            <w:tcW w:w="2162" w:type="dxa"/>
            <w:shd w:val="clear" w:color="auto" w:fill="auto"/>
            <w:vAlign w:val="center"/>
          </w:tcPr>
          <w:p w14:paraId="2C0BA3E1" w14:textId="77777777" w:rsidR="0055130F" w:rsidRDefault="0055130F" w:rsidP="001D7C5E">
            <w:pPr>
              <w:spacing w:after="0"/>
              <w:rPr>
                <w:rFonts w:eastAsia="Times New Roman" w:cstheme="minorHAnsi"/>
                <w:sz w:val="12"/>
                <w:szCs w:val="12"/>
                <w:lang w:eastAsia="sl-SI"/>
              </w:rPr>
            </w:pPr>
          </w:p>
          <w:p w14:paraId="0C40337B" w14:textId="34556105" w:rsidR="0055130F" w:rsidRPr="00527C8A" w:rsidRDefault="0055130F" w:rsidP="005738F9">
            <w:pPr>
              <w:spacing w:after="0"/>
              <w:jc w:val="center"/>
              <w:rPr>
                <w:rFonts w:eastAsia="Times New Roman" w:cstheme="minorHAnsi"/>
                <w:sz w:val="12"/>
                <w:szCs w:val="12"/>
                <w:lang w:eastAsia="sl-SI"/>
              </w:rPr>
            </w:pPr>
            <w:r w:rsidRPr="00256252">
              <w:rPr>
                <w:rFonts w:eastAsia="Times New Roman" w:cstheme="minorHAnsi"/>
                <w:sz w:val="12"/>
                <w:szCs w:val="12"/>
                <w:lang w:eastAsia="sl-SI"/>
              </w:rPr>
              <w:t>Zagotavljanje strokovne pomoči deležnikom</w:t>
            </w:r>
            <w:r w:rsidR="005738F9">
              <w:rPr>
                <w:rFonts w:eastAsia="Times New Roman" w:cstheme="minorHAnsi"/>
                <w:sz w:val="12"/>
                <w:szCs w:val="12"/>
                <w:lang w:eastAsia="sl-SI"/>
              </w:rPr>
              <w:t>.</w:t>
            </w:r>
          </w:p>
        </w:tc>
        <w:tc>
          <w:tcPr>
            <w:tcW w:w="3402" w:type="dxa"/>
            <w:shd w:val="clear" w:color="auto" w:fill="auto"/>
            <w:vAlign w:val="center"/>
          </w:tcPr>
          <w:p w14:paraId="282F3C88" w14:textId="622EA03D" w:rsidR="0055130F" w:rsidRPr="00527C8A" w:rsidRDefault="0055130F" w:rsidP="001D7C5E">
            <w:pPr>
              <w:spacing w:after="0"/>
              <w:jc w:val="center"/>
              <w:rPr>
                <w:rFonts w:eastAsia="Times New Roman" w:cstheme="minorHAnsi"/>
                <w:sz w:val="12"/>
                <w:szCs w:val="12"/>
                <w:lang w:eastAsia="sl-SI"/>
              </w:rPr>
            </w:pPr>
            <w:r w:rsidRPr="00256252">
              <w:rPr>
                <w:rFonts w:eastAsia="Times New Roman" w:cstheme="minorHAnsi"/>
                <w:sz w:val="12"/>
                <w:szCs w:val="12"/>
                <w:lang w:eastAsia="sl-SI"/>
              </w:rPr>
              <w:t>Zagotavljanje strokovne pomoči deležnikom</w:t>
            </w:r>
            <w:r>
              <w:rPr>
                <w:rFonts w:eastAsia="Times New Roman" w:cstheme="minorHAnsi"/>
                <w:sz w:val="12"/>
                <w:szCs w:val="12"/>
                <w:lang w:eastAsia="sl-SI"/>
              </w:rPr>
              <w:t xml:space="preserve">, </w:t>
            </w:r>
            <w:r w:rsidRPr="00256252">
              <w:rPr>
                <w:rFonts w:eastAsia="Times New Roman" w:cstheme="minorHAnsi"/>
                <w:sz w:val="12"/>
                <w:szCs w:val="12"/>
                <w:lang w:eastAsia="sl-SI"/>
              </w:rPr>
              <w:t>ki na enem mestu dobijo odgovore ali usmeritve za svoja vprašanja.</w:t>
            </w:r>
            <w:r>
              <w:rPr>
                <w:rFonts w:eastAsia="Times New Roman" w:cstheme="minorHAnsi"/>
                <w:sz w:val="12"/>
                <w:szCs w:val="12"/>
                <w:lang w:eastAsia="sl-SI"/>
              </w:rPr>
              <w:t xml:space="preserve"> </w:t>
            </w:r>
          </w:p>
        </w:tc>
        <w:tc>
          <w:tcPr>
            <w:tcW w:w="851" w:type="dxa"/>
            <w:shd w:val="clear" w:color="auto" w:fill="auto"/>
            <w:vAlign w:val="center"/>
          </w:tcPr>
          <w:p w14:paraId="3731E8D3" w14:textId="13D5FF1D" w:rsidR="0055130F" w:rsidRPr="00527C8A" w:rsidRDefault="0055130F" w:rsidP="001D7C5E">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OU</w:t>
            </w:r>
          </w:p>
        </w:tc>
        <w:tc>
          <w:tcPr>
            <w:tcW w:w="850" w:type="dxa"/>
            <w:shd w:val="clear" w:color="auto" w:fill="auto"/>
            <w:vAlign w:val="center"/>
          </w:tcPr>
          <w:p w14:paraId="10BDC211" w14:textId="2BFAB463" w:rsidR="0055130F" w:rsidRPr="00527C8A" w:rsidRDefault="002B7F40" w:rsidP="002B7F40">
            <w:pPr>
              <w:spacing w:after="0"/>
              <w:jc w:val="center"/>
              <w:rPr>
                <w:rFonts w:eastAsia="Times New Roman" w:cstheme="minorHAnsi"/>
                <w:sz w:val="12"/>
                <w:szCs w:val="12"/>
                <w:lang w:eastAsia="sl-SI"/>
              </w:rPr>
            </w:pPr>
            <w:r>
              <w:rPr>
                <w:rFonts w:eastAsia="Times New Roman" w:cstheme="minorHAnsi"/>
                <w:color w:val="000000"/>
                <w:sz w:val="12"/>
                <w:szCs w:val="12"/>
                <w:lang w:eastAsia="sl-SI"/>
              </w:rPr>
              <w:t>OU, PT, u</w:t>
            </w:r>
            <w:r w:rsidR="0055130F" w:rsidRPr="00F64737">
              <w:rPr>
                <w:rFonts w:eastAsia="Times New Roman" w:cstheme="minorHAnsi"/>
                <w:color w:val="000000"/>
                <w:sz w:val="12"/>
                <w:szCs w:val="12"/>
                <w:lang w:eastAsia="sl-SI"/>
              </w:rPr>
              <w:t xml:space="preserve">pravičenci </w:t>
            </w:r>
            <w:r w:rsidR="0055130F">
              <w:rPr>
                <w:rFonts w:eastAsia="Times New Roman" w:cstheme="minorHAnsi"/>
                <w:color w:val="000000"/>
                <w:sz w:val="12"/>
                <w:szCs w:val="12"/>
                <w:lang w:eastAsia="sl-SI"/>
              </w:rPr>
              <w:t>in drugi deležniki.</w:t>
            </w:r>
          </w:p>
        </w:tc>
        <w:tc>
          <w:tcPr>
            <w:tcW w:w="992" w:type="dxa"/>
            <w:shd w:val="clear" w:color="auto" w:fill="auto"/>
            <w:vAlign w:val="center"/>
          </w:tcPr>
          <w:p w14:paraId="5ACAD0BA" w14:textId="1A974C45" w:rsidR="0055130F" w:rsidRPr="00527C8A" w:rsidRDefault="0055130F" w:rsidP="002B7F40">
            <w:pPr>
              <w:spacing w:after="0"/>
              <w:jc w:val="center"/>
              <w:rPr>
                <w:rFonts w:eastAsia="Times New Roman" w:cstheme="minorHAnsi"/>
                <w:sz w:val="12"/>
                <w:szCs w:val="12"/>
                <w:lang w:eastAsia="sl-SI"/>
              </w:rPr>
            </w:pPr>
            <w:r>
              <w:rPr>
                <w:rFonts w:eastAsia="Times New Roman" w:cstheme="minorHAnsi"/>
                <w:color w:val="000000"/>
                <w:sz w:val="12"/>
                <w:szCs w:val="12"/>
                <w:lang w:eastAsia="sl-SI"/>
              </w:rPr>
              <w:t>2021–202</w:t>
            </w:r>
            <w:r w:rsidR="00D90582">
              <w:rPr>
                <w:rFonts w:eastAsia="Times New Roman" w:cstheme="minorHAnsi"/>
                <w:color w:val="000000"/>
                <w:sz w:val="12"/>
                <w:szCs w:val="12"/>
                <w:lang w:eastAsia="sl-SI"/>
              </w:rPr>
              <w:t>9</w:t>
            </w:r>
          </w:p>
        </w:tc>
        <w:tc>
          <w:tcPr>
            <w:tcW w:w="1999" w:type="dxa"/>
            <w:shd w:val="clear" w:color="auto" w:fill="auto"/>
            <w:noWrap/>
            <w:vAlign w:val="center"/>
          </w:tcPr>
          <w:p w14:paraId="31B66582" w14:textId="083B9C7B"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Boljša informiranost upravičencev in potencialnih upravičencev o možnostih sofinanciranja iz evropske</w:t>
            </w:r>
          </w:p>
        </w:tc>
        <w:tc>
          <w:tcPr>
            <w:tcW w:w="978" w:type="dxa"/>
            <w:shd w:val="clear" w:color="auto" w:fill="auto"/>
            <w:vAlign w:val="center"/>
          </w:tcPr>
          <w:p w14:paraId="3D610252" w14:textId="784FFF2A" w:rsidR="0055130F" w:rsidRPr="00527C8A" w:rsidRDefault="0055130F" w:rsidP="001D7C5E">
            <w:pPr>
              <w:spacing w:after="0"/>
              <w:jc w:val="center"/>
              <w:rPr>
                <w:rFonts w:eastAsia="Times New Roman" w:cstheme="minorHAnsi"/>
                <w:color w:val="000000"/>
                <w:sz w:val="12"/>
                <w:szCs w:val="12"/>
                <w:lang w:eastAsia="sl-SI"/>
              </w:rPr>
            </w:pPr>
            <w:r w:rsidRPr="00DB07BC">
              <w:rPr>
                <w:rFonts w:eastAsia="Times New Roman" w:cstheme="minorHAnsi"/>
                <w:color w:val="000000"/>
                <w:sz w:val="12"/>
                <w:szCs w:val="12"/>
                <w:lang w:eastAsia="sl-SI"/>
              </w:rPr>
              <w:t>TP/nacionalno</w:t>
            </w:r>
          </w:p>
        </w:tc>
        <w:tc>
          <w:tcPr>
            <w:tcW w:w="2693" w:type="dxa"/>
            <w:shd w:val="clear" w:color="auto" w:fill="auto"/>
            <w:vAlign w:val="center"/>
          </w:tcPr>
          <w:p w14:paraId="4DA2D250" w14:textId="78387907" w:rsidR="0055130F" w:rsidRPr="00527C8A" w:rsidRDefault="0055130F" w:rsidP="001D7C5E">
            <w:pPr>
              <w:spacing w:after="0"/>
              <w:jc w:val="center"/>
              <w:rPr>
                <w:rFonts w:eastAsia="Times New Roman" w:cstheme="minorHAnsi"/>
                <w:color w:val="000000"/>
                <w:sz w:val="12"/>
                <w:szCs w:val="12"/>
                <w:lang w:eastAsia="sl-SI"/>
              </w:rPr>
            </w:pPr>
            <w:r>
              <w:rPr>
                <w:rFonts w:eastAsia="Times New Roman" w:cstheme="minorHAnsi"/>
                <w:color w:val="000000"/>
                <w:sz w:val="12"/>
                <w:szCs w:val="12"/>
                <w:lang w:eastAsia="sl-SI"/>
              </w:rPr>
              <w:t xml:space="preserve">Vzpostavljena </w:t>
            </w:r>
            <w:r w:rsidRPr="002305E6">
              <w:rPr>
                <w:rFonts w:eastAsia="Times New Roman" w:cstheme="minorHAnsi"/>
                <w:color w:val="000000"/>
                <w:sz w:val="12"/>
                <w:szCs w:val="12"/>
                <w:lang w:eastAsia="sl-SI"/>
              </w:rPr>
              <w:t>virtualna pomoč pri iskanju informacij</w:t>
            </w:r>
            <w:r>
              <w:rPr>
                <w:rFonts w:eastAsia="Times New Roman" w:cstheme="minorHAnsi"/>
                <w:color w:val="000000"/>
                <w:sz w:val="12"/>
                <w:szCs w:val="12"/>
                <w:lang w:eastAsia="sl-SI"/>
              </w:rPr>
              <w:t>:</w:t>
            </w:r>
            <w:r w:rsidRPr="002305E6">
              <w:rPr>
                <w:rFonts w:eastAsia="Times New Roman" w:cstheme="minorHAnsi"/>
                <w:color w:val="000000"/>
                <w:sz w:val="12"/>
                <w:szCs w:val="12"/>
                <w:lang w:eastAsia="sl-SI"/>
              </w:rPr>
              <w:t xml:space="preserve"> </w:t>
            </w:r>
            <w:r>
              <w:rPr>
                <w:rFonts w:eastAsia="Times New Roman" w:cstheme="minorHAnsi"/>
                <w:color w:val="000000"/>
                <w:sz w:val="12"/>
                <w:szCs w:val="12"/>
                <w:lang w:eastAsia="sl-SI"/>
              </w:rPr>
              <w:t>»</w:t>
            </w:r>
            <w:r w:rsidR="005738F9">
              <w:rPr>
                <w:rFonts w:eastAsia="Times New Roman" w:cstheme="minorHAnsi"/>
                <w:color w:val="000000"/>
                <w:sz w:val="12"/>
                <w:szCs w:val="12"/>
                <w:lang w:eastAsia="sl-SI"/>
              </w:rPr>
              <w:t>s</w:t>
            </w:r>
            <w:r w:rsidRPr="002305E6">
              <w:rPr>
                <w:rFonts w:eastAsia="Times New Roman" w:cstheme="minorHAnsi"/>
                <w:color w:val="000000"/>
                <w:sz w:val="12"/>
                <w:szCs w:val="12"/>
                <w:lang w:eastAsia="sl-SI"/>
              </w:rPr>
              <w:t>vetovalk</w:t>
            </w:r>
            <w:r>
              <w:rPr>
                <w:rFonts w:eastAsia="Times New Roman" w:cstheme="minorHAnsi"/>
                <w:color w:val="000000"/>
                <w:sz w:val="12"/>
                <w:szCs w:val="12"/>
                <w:lang w:eastAsia="sl-SI"/>
              </w:rPr>
              <w:t>a</w:t>
            </w:r>
            <w:r w:rsidRPr="002305E6">
              <w:rPr>
                <w:rFonts w:eastAsia="Times New Roman" w:cstheme="minorHAnsi"/>
                <w:color w:val="000000"/>
                <w:sz w:val="12"/>
                <w:szCs w:val="12"/>
                <w:lang w:eastAsia="sl-SI"/>
              </w:rPr>
              <w:t xml:space="preserve"> Em</w:t>
            </w:r>
            <w:r>
              <w:rPr>
                <w:rFonts w:eastAsia="Times New Roman" w:cstheme="minorHAnsi"/>
                <w:color w:val="000000"/>
                <w:sz w:val="12"/>
                <w:szCs w:val="12"/>
                <w:lang w:eastAsia="sl-SI"/>
              </w:rPr>
              <w:t>a</w:t>
            </w:r>
            <w:r w:rsidR="005738F9">
              <w:rPr>
                <w:rFonts w:eastAsia="Times New Roman" w:cstheme="minorHAnsi"/>
                <w:color w:val="000000"/>
                <w:sz w:val="12"/>
                <w:szCs w:val="12"/>
                <w:lang w:eastAsia="sl-SI"/>
              </w:rPr>
              <w:t>«.</w:t>
            </w:r>
          </w:p>
        </w:tc>
      </w:tr>
    </w:tbl>
    <w:p w14:paraId="554E4D88" w14:textId="77777777" w:rsidR="00AB5592" w:rsidRDefault="00AB5592" w:rsidP="00D95EC6">
      <w:pPr>
        <w:jc w:val="both"/>
        <w:sectPr w:rsidR="00AB5592" w:rsidSect="00AB5592">
          <w:pgSz w:w="16838" w:h="11906" w:orient="landscape"/>
          <w:pgMar w:top="1418" w:right="1418" w:bottom="1418" w:left="1418" w:header="709" w:footer="709" w:gutter="0"/>
          <w:cols w:space="708"/>
          <w:docGrid w:linePitch="360"/>
        </w:sectPr>
      </w:pPr>
    </w:p>
    <w:p w14:paraId="619D9E37" w14:textId="2808D434" w:rsidR="00544EE5" w:rsidRDefault="00623BB0" w:rsidP="00623BB0">
      <w:pPr>
        <w:pStyle w:val="Naslov1"/>
        <w:jc w:val="both"/>
      </w:pPr>
      <w:bookmarkStart w:id="15" w:name="_Toc192833960"/>
      <w:r>
        <w:lastRenderedPageBreak/>
        <w:t xml:space="preserve">5. </w:t>
      </w:r>
      <w:r w:rsidR="00544EE5">
        <w:t>Financiranje ukrepov</w:t>
      </w:r>
      <w:bookmarkEnd w:id="15"/>
    </w:p>
    <w:p w14:paraId="7CEAD64E" w14:textId="347B23E9" w:rsidR="00544EE5" w:rsidRDefault="00544EE5" w:rsidP="00544EE5">
      <w:pPr>
        <w:jc w:val="both"/>
      </w:pPr>
      <w:r w:rsidRPr="00EA2A47">
        <w:t xml:space="preserve">Sredstva tehnične pomoči bodo, kjer relevantno, </w:t>
      </w:r>
      <w:r w:rsidR="00305798">
        <w:t>uporabljena</w:t>
      </w:r>
      <w:r w:rsidRPr="00EA2A47">
        <w:t xml:space="preserve"> v obliki pavšala</w:t>
      </w:r>
      <w:r w:rsidR="00305798">
        <w:t>. Med drugim bodo namenjena</w:t>
      </w:r>
      <w:r w:rsidRPr="00EA2A47">
        <w:t xml:space="preserve"> </w:t>
      </w:r>
      <w:r w:rsidR="00305798">
        <w:t>tudi</w:t>
      </w:r>
      <w:r w:rsidRPr="00EA2A47">
        <w:t xml:space="preserve"> usposabljanju in izobraževanju </w:t>
      </w:r>
      <w:r w:rsidR="00305798">
        <w:t>deležnikov</w:t>
      </w:r>
      <w:r w:rsidRPr="00EA2A47">
        <w:t>, ki opravljajo naloge upravljanja in nadzora</w:t>
      </w:r>
      <w:r w:rsidR="00EF2055">
        <w:t>,</w:t>
      </w:r>
      <w:r w:rsidRPr="00EA2A47">
        <w:t xml:space="preserve"> akterjem, na kater</w:t>
      </w:r>
      <w:r w:rsidR="00BD43BF">
        <w:t>e</w:t>
      </w:r>
      <w:r w:rsidRPr="00EA2A47">
        <w:t xml:space="preserve"> organ</w:t>
      </w:r>
      <w:r w:rsidR="00B465AF">
        <w:t>a</w:t>
      </w:r>
      <w:r w:rsidRPr="00EA2A47">
        <w:t xml:space="preserve"> opravljanja in nadzora prenese</w:t>
      </w:r>
      <w:r w:rsidR="00B465AF">
        <w:t>ta</w:t>
      </w:r>
      <w:r w:rsidRPr="00EA2A47">
        <w:t xml:space="preserve"> opravljanje nalog</w:t>
      </w:r>
      <w:r w:rsidR="00EF2055">
        <w:t>,</w:t>
      </w:r>
      <w:r w:rsidRPr="00EA2A47">
        <w:t xml:space="preserve"> ter ostalim akterjem, ki bodo vključeni v izvajanje evropske kohezijske politike z namenom uspešnega in učinkovitega izvajanja, spremljanja in upravljanja. Sredstva tehnične pomoči se bodo </w:t>
      </w:r>
      <w:r w:rsidR="00082EB1" w:rsidRPr="00EA2A47">
        <w:t xml:space="preserve">lahko </w:t>
      </w:r>
      <w:r w:rsidRPr="00EA2A47">
        <w:t xml:space="preserve">uporabila tudi za zagotovitev ustrezne upravne zmogljivosti obeh kohezijskih regij, drugih akterjev za uspešnejšo </w:t>
      </w:r>
      <w:r w:rsidR="009539DC">
        <w:t>koriščenje</w:t>
      </w:r>
      <w:r w:rsidRPr="00EA2A47">
        <w:t xml:space="preserve"> sredstev na regionalni in lokalni ravni ter za zunanjo strokovno podporo (strokovnjaki posameznih področij za boljšo pripravo in izvedbo projektov).</w:t>
      </w:r>
    </w:p>
    <w:p w14:paraId="175AA7D1" w14:textId="694656FA" w:rsidR="00F20A37" w:rsidRDefault="00F20A37" w:rsidP="00544EE5">
      <w:pPr>
        <w:jc w:val="both"/>
      </w:pPr>
      <w:r w:rsidRPr="00996C32">
        <w:t>Za sodelovanje pri upravljanju pravičnega prehoda ter izvajanja aktivnosti Centra za pravični prehod v Zasavski premogovni regiji in Savinjsko – Šaleški premogovni regiji</w:t>
      </w:r>
      <w:r w:rsidR="00647E53">
        <w:t xml:space="preserve"> </w:t>
      </w:r>
      <w:r w:rsidR="0060591D">
        <w:t>bodo</w:t>
      </w:r>
      <w:r w:rsidRPr="00996C32">
        <w:t xml:space="preserve"> sredstva tehnične pomoči namenjena </w:t>
      </w:r>
      <w:r w:rsidR="008D540E">
        <w:t xml:space="preserve">tudi </w:t>
      </w:r>
      <w:r w:rsidRPr="00996C32">
        <w:t>RRA Za</w:t>
      </w:r>
      <w:r>
        <w:t>s</w:t>
      </w:r>
      <w:r w:rsidRPr="00996C32">
        <w:t>avje in RA SAŠA.</w:t>
      </w:r>
    </w:p>
    <w:p w14:paraId="395A8FBF" w14:textId="438BE686" w:rsidR="00544EE5" w:rsidRDefault="00EF2055" w:rsidP="00314D8F">
      <w:pPr>
        <w:jc w:val="both"/>
      </w:pPr>
      <w:r w:rsidRPr="00EF2055">
        <w:rPr>
          <w:bCs/>
        </w:rPr>
        <w:t>Za f</w:t>
      </w:r>
      <w:r w:rsidR="00C97807" w:rsidRPr="00EF2055">
        <w:rPr>
          <w:bCs/>
        </w:rPr>
        <w:t>inanciranj</w:t>
      </w:r>
      <w:r w:rsidRPr="00EF2055">
        <w:rPr>
          <w:bCs/>
        </w:rPr>
        <w:t>e</w:t>
      </w:r>
      <w:r w:rsidR="00C97807" w:rsidRPr="00EF2055">
        <w:rPr>
          <w:bCs/>
        </w:rPr>
        <w:t xml:space="preserve"> ukrepov iz Načrta </w:t>
      </w:r>
      <w:r w:rsidRPr="00EF2055">
        <w:rPr>
          <w:bCs/>
        </w:rPr>
        <w:t xml:space="preserve">ni obvezna uporaba </w:t>
      </w:r>
      <w:r w:rsidR="00C97807" w:rsidRPr="00EF2055">
        <w:rPr>
          <w:bCs/>
        </w:rPr>
        <w:t>sredst</w:t>
      </w:r>
      <w:r w:rsidRPr="00EF2055">
        <w:rPr>
          <w:bCs/>
        </w:rPr>
        <w:t>ev</w:t>
      </w:r>
      <w:r w:rsidR="00C97807" w:rsidRPr="00EF2055">
        <w:rPr>
          <w:bCs/>
        </w:rPr>
        <w:t xml:space="preserve"> tehnične pomoči.</w:t>
      </w:r>
      <w:r w:rsidR="00C97807">
        <w:t xml:space="preserve"> Možna je tudi kombinacija sredstev tehnične pomoči s sredstvi državnega in lokalnega proračuna. Spodbuja se tudi uporaba drugih virov financiranja ukrepov. </w:t>
      </w:r>
    </w:p>
    <w:p w14:paraId="54E98E82" w14:textId="77777777" w:rsidR="0032331B" w:rsidRDefault="0032331B" w:rsidP="00314D8F">
      <w:pPr>
        <w:jc w:val="both"/>
      </w:pPr>
    </w:p>
    <w:p w14:paraId="62495EF6" w14:textId="60C1EF32" w:rsidR="00D95EC6" w:rsidRDefault="00623BB0" w:rsidP="00623BB0">
      <w:pPr>
        <w:pStyle w:val="Naslov1"/>
        <w:jc w:val="both"/>
      </w:pPr>
      <w:bookmarkStart w:id="16" w:name="_Toc192833961"/>
      <w:r>
        <w:t xml:space="preserve">6. </w:t>
      </w:r>
      <w:r w:rsidR="00D95EC6">
        <w:t>Izvajanje načrta</w:t>
      </w:r>
      <w:bookmarkEnd w:id="16"/>
    </w:p>
    <w:p w14:paraId="58F821C4" w14:textId="2916D956" w:rsidR="00C97807" w:rsidRPr="00EF2055" w:rsidRDefault="00685F0E" w:rsidP="00C97807">
      <w:pPr>
        <w:jc w:val="both"/>
      </w:pPr>
      <w:r w:rsidRPr="00541924">
        <w:t xml:space="preserve">Za </w:t>
      </w:r>
      <w:r w:rsidR="00C97807" w:rsidRPr="00541924">
        <w:t xml:space="preserve">pripravo in posodobitev ter </w:t>
      </w:r>
      <w:r w:rsidRPr="00541924">
        <w:t xml:space="preserve">upravljanje in izvajanje </w:t>
      </w:r>
      <w:r w:rsidR="00C97807" w:rsidRPr="00541924">
        <w:t>ukrepov</w:t>
      </w:r>
      <w:r w:rsidRPr="00541924">
        <w:t xml:space="preserve"> Načrta je odgovoren organ</w:t>
      </w:r>
      <w:r w:rsidRPr="00EF2055">
        <w:t xml:space="preserve"> upravljanja</w:t>
      </w:r>
      <w:r w:rsidR="005B27E0">
        <w:t>. T</w:t>
      </w:r>
      <w:r w:rsidR="00681402" w:rsidRPr="00EF2055">
        <w:t>a</w:t>
      </w:r>
      <w:r w:rsidR="005B27E0">
        <w:t xml:space="preserve"> pa lahko</w:t>
      </w:r>
      <w:r w:rsidRPr="00EF2055">
        <w:t xml:space="preserve"> določi druge udeležence izvajanja kohezijske politike, </w:t>
      </w:r>
      <w:r w:rsidR="005B27E0">
        <w:t xml:space="preserve">ki prevzemajo naloge, povezane </w:t>
      </w:r>
      <w:r w:rsidRPr="00EF2055">
        <w:t xml:space="preserve"> z izvajanjem Načrta. Oblika in stopnja prenosa nalog sta lahko različni ter sta odvisni od upravne ureditve</w:t>
      </w:r>
      <w:r w:rsidR="00C97807" w:rsidRPr="00EF2055">
        <w:t xml:space="preserve"> udeleženca ali drugega relevantnega okvira</w:t>
      </w:r>
      <w:r w:rsidRPr="00EF2055">
        <w:t>.</w:t>
      </w:r>
      <w:r w:rsidR="00C97807" w:rsidRPr="00EF2055">
        <w:t xml:space="preserve"> </w:t>
      </w:r>
    </w:p>
    <w:p w14:paraId="01877C44" w14:textId="6C9C9021" w:rsidR="00661082" w:rsidRPr="00EF2055" w:rsidRDefault="006E26EE" w:rsidP="00661082">
      <w:pPr>
        <w:jc w:val="both"/>
      </w:pPr>
      <w:r w:rsidRPr="00EF2055">
        <w:t>Organ upravljanja pripravi oceno napredka izvajanja Načrta za  pretekl</w:t>
      </w:r>
      <w:r w:rsidR="008D540E" w:rsidRPr="00EF2055">
        <w:t>i dve leti</w:t>
      </w:r>
      <w:r w:rsidRPr="00EF2055">
        <w:t xml:space="preserve"> izvajanja (npr. glede na predlagane rezultate, </w:t>
      </w:r>
      <w:proofErr w:type="spellStart"/>
      <w:r w:rsidRPr="00EF2055">
        <w:t>časovnico</w:t>
      </w:r>
      <w:proofErr w:type="spellEnd"/>
      <w:r w:rsidRPr="00EF2055">
        <w:t>,</w:t>
      </w:r>
      <w:r w:rsidR="00EF2055">
        <w:t xml:space="preserve"> </w:t>
      </w:r>
      <w:r w:rsidRPr="00EF2055">
        <w:t>…)</w:t>
      </w:r>
      <w:r w:rsidR="00EF2055">
        <w:t xml:space="preserve"> in na njeni podlagi  preveri</w:t>
      </w:r>
      <w:r w:rsidR="00AF36EA" w:rsidRPr="00EF2055">
        <w:t xml:space="preserve"> nove </w:t>
      </w:r>
      <w:r w:rsidR="003D5BB0" w:rsidRPr="00EF2055">
        <w:t xml:space="preserve">oziroma dodatne </w:t>
      </w:r>
      <w:r w:rsidR="00AF36EA" w:rsidRPr="00EF2055">
        <w:t xml:space="preserve">potrebe </w:t>
      </w:r>
      <w:r w:rsidR="003D5BB0" w:rsidRPr="00EF2055">
        <w:t xml:space="preserve">na tem področju. Tudi morebitne analize ali </w:t>
      </w:r>
      <w:r w:rsidR="00AF36EA" w:rsidRPr="00EF2055">
        <w:t xml:space="preserve">potrebe </w:t>
      </w:r>
      <w:r w:rsidR="00661082" w:rsidRPr="00EF2055">
        <w:t>opredeljen</w:t>
      </w:r>
      <w:r w:rsidR="00AF36EA" w:rsidRPr="00EF2055">
        <w:t>e</w:t>
      </w:r>
      <w:r w:rsidR="00661082" w:rsidRPr="00EF2055">
        <w:t xml:space="preserve"> v okviru vrednotenj ali drugih relevantnih analiz v </w:t>
      </w:r>
      <w:r w:rsidR="003D5BB0" w:rsidRPr="00EF2055">
        <w:t xml:space="preserve">okviru </w:t>
      </w:r>
      <w:r w:rsidR="00661082" w:rsidRPr="00EF2055">
        <w:t>izvajanj</w:t>
      </w:r>
      <w:r w:rsidR="003D5BB0" w:rsidRPr="00EF2055">
        <w:t>a</w:t>
      </w:r>
      <w:r w:rsidR="00661082" w:rsidRPr="00EF2055">
        <w:t xml:space="preserve"> Sporazuma o partnerstvu 2021</w:t>
      </w:r>
      <w:r w:rsidR="00DA774B" w:rsidRPr="00EF2055">
        <w:t>–</w:t>
      </w:r>
      <w:r w:rsidR="00661082" w:rsidRPr="00EF2055">
        <w:t>2027 ali Programa, ki jih ne pripravlja organ upravljanja</w:t>
      </w:r>
      <w:r w:rsidR="003D5BB0" w:rsidRPr="00EF2055">
        <w:t>,</w:t>
      </w:r>
      <w:r w:rsidR="00661082" w:rsidRPr="00EF2055">
        <w:t xml:space="preserve"> bo </w:t>
      </w:r>
      <w:r w:rsidR="00EF2055">
        <w:t xml:space="preserve">ta </w:t>
      </w:r>
      <w:r w:rsidR="00661082" w:rsidRPr="00EF2055">
        <w:t xml:space="preserve">smiselno upošteval </w:t>
      </w:r>
      <w:r w:rsidR="003D5BB0" w:rsidRPr="00EF2055">
        <w:t xml:space="preserve">pri </w:t>
      </w:r>
      <w:r w:rsidR="003D5BB0" w:rsidRPr="00541924">
        <w:t>prilaganj</w:t>
      </w:r>
      <w:r w:rsidR="005B27E0" w:rsidRPr="00541924">
        <w:t>u</w:t>
      </w:r>
      <w:r w:rsidR="003D5BB0" w:rsidRPr="00541924">
        <w:t xml:space="preserve"> načrta ali </w:t>
      </w:r>
      <w:r w:rsidR="00EE7B9E" w:rsidRPr="00541924">
        <w:t>programov dela</w:t>
      </w:r>
      <w:r w:rsidR="003D5BB0" w:rsidRPr="00541924">
        <w:t>.</w:t>
      </w:r>
      <w:r w:rsidR="003D5BB0" w:rsidRPr="00EF2055">
        <w:t xml:space="preserve"> </w:t>
      </w:r>
    </w:p>
    <w:p w14:paraId="568F5CAC" w14:textId="29CE60D7" w:rsidR="00E418B3" w:rsidRPr="00EF2055" w:rsidRDefault="00E418B3" w:rsidP="00154F7F">
      <w:pPr>
        <w:jc w:val="both"/>
      </w:pPr>
      <w:r w:rsidRPr="00EF2055">
        <w:t>Organ upravljanja bo vsak</w:t>
      </w:r>
      <w:r w:rsidR="00802A37" w:rsidRPr="00EF2055">
        <w:t>i</w:t>
      </w:r>
      <w:r w:rsidRPr="00EF2055">
        <w:t xml:space="preserve"> dve leti pripravil </w:t>
      </w:r>
      <w:r w:rsidR="00EE7B9E">
        <w:t>program dela</w:t>
      </w:r>
      <w:r w:rsidRPr="00EF2055">
        <w:t xml:space="preserve"> s konkretnimi ukrepi na področju administrativne usposobljenosti in predvideno </w:t>
      </w:r>
      <w:proofErr w:type="spellStart"/>
      <w:r w:rsidRPr="00EF2055">
        <w:t>časovnico</w:t>
      </w:r>
      <w:proofErr w:type="spellEnd"/>
      <w:r w:rsidRPr="00EF2055">
        <w:t xml:space="preserve"> izvajanja ukrepov. </w:t>
      </w:r>
    </w:p>
    <w:p w14:paraId="138564C7" w14:textId="0346DC7D" w:rsidR="00F2421E" w:rsidRDefault="00EF2055" w:rsidP="00154F7F">
      <w:pPr>
        <w:jc w:val="both"/>
      </w:pPr>
      <w:r>
        <w:t>O</w:t>
      </w:r>
      <w:r w:rsidR="00544EE5" w:rsidRPr="00EF2055">
        <w:t xml:space="preserve"> pripravi Načrta, rezultatih spremljanja in posodabljanja </w:t>
      </w:r>
      <w:r>
        <w:t xml:space="preserve">bo seznanjen </w:t>
      </w:r>
      <w:r w:rsidR="00544EE5" w:rsidRPr="00EF2055">
        <w:t>Odbor za spremljanje. Organ upravljanja se lahko o odprtih vprašanjih izvajanja, spremljanja in posodabljanja Načrta posvetuje z Odborom za spremljanje.</w:t>
      </w:r>
      <w:r w:rsidR="00154F7F" w:rsidRPr="00EF2055">
        <w:t xml:space="preserve"> </w:t>
      </w:r>
      <w:r w:rsidR="002930AB" w:rsidRPr="00EF2055">
        <w:t>V</w:t>
      </w:r>
      <w:r w:rsidR="00154F7F" w:rsidRPr="00EF2055">
        <w:t xml:space="preserve">eljaven Načrt </w:t>
      </w:r>
      <w:r w:rsidR="002930AB" w:rsidRPr="00EF2055">
        <w:t xml:space="preserve">ter vse njegove spremembe </w:t>
      </w:r>
      <w:r w:rsidR="00154F7F" w:rsidRPr="00EF2055">
        <w:t>bo</w:t>
      </w:r>
      <w:r w:rsidR="002930AB" w:rsidRPr="00EF2055">
        <w:t>do</w:t>
      </w:r>
      <w:r w:rsidR="00154F7F" w:rsidRPr="00EF2055">
        <w:t xml:space="preserve"> objavljen</w:t>
      </w:r>
      <w:r w:rsidR="002930AB" w:rsidRPr="00EF2055">
        <w:t>i</w:t>
      </w:r>
      <w:r w:rsidR="00154F7F" w:rsidRPr="00EF2055">
        <w:t xml:space="preserve"> na spletnih straneh organa upravljanja</w:t>
      </w:r>
      <w:r w:rsidR="00154F7F">
        <w:t>.</w:t>
      </w:r>
      <w:r w:rsidR="000F1070">
        <w:t xml:space="preserve"> </w:t>
      </w:r>
    </w:p>
    <w:p w14:paraId="66200FDF" w14:textId="77777777" w:rsidR="002C3EA5" w:rsidRDefault="002C3EA5" w:rsidP="00154F7F">
      <w:pPr>
        <w:jc w:val="both"/>
      </w:pPr>
    </w:p>
    <w:p w14:paraId="4B710E54" w14:textId="77777777" w:rsidR="00B20FAD" w:rsidRDefault="00B20FAD" w:rsidP="00154F7F">
      <w:pPr>
        <w:jc w:val="both"/>
      </w:pPr>
    </w:p>
    <w:p w14:paraId="7E863C7B" w14:textId="77777777" w:rsidR="00283A47" w:rsidRDefault="00283A47" w:rsidP="00154F7F">
      <w:pPr>
        <w:jc w:val="both"/>
      </w:pPr>
    </w:p>
    <w:p w14:paraId="7D120D08" w14:textId="77777777" w:rsidR="009572EF" w:rsidRDefault="009572EF" w:rsidP="00154F7F">
      <w:pPr>
        <w:jc w:val="both"/>
      </w:pPr>
    </w:p>
    <w:p w14:paraId="3BB03442" w14:textId="77777777" w:rsidR="000D087C" w:rsidRDefault="000D087C" w:rsidP="00154F7F">
      <w:pPr>
        <w:jc w:val="both"/>
      </w:pPr>
    </w:p>
    <w:p w14:paraId="7293508C" w14:textId="36733A8A" w:rsidR="002C3EA5" w:rsidRDefault="00E22BAD" w:rsidP="00800674">
      <w:pPr>
        <w:pStyle w:val="Naslov1"/>
      </w:pPr>
      <w:bookmarkStart w:id="17" w:name="_Toc192833962"/>
      <w:r>
        <w:lastRenderedPageBreak/>
        <w:t xml:space="preserve">Priloga </w:t>
      </w:r>
      <w:r w:rsidR="00647E53">
        <w:t>A</w:t>
      </w:r>
      <w:r>
        <w:t>. Analiza na podlagi vprašalnika OECD</w:t>
      </w:r>
      <w:bookmarkEnd w:id="17"/>
    </w:p>
    <w:p w14:paraId="1646F261" w14:textId="33DA69F3" w:rsidR="00800674" w:rsidRDefault="00800674" w:rsidP="000A2EFE">
      <w:pPr>
        <w:jc w:val="both"/>
      </w:pPr>
      <w:r>
        <w:t xml:space="preserve">Analiza je bila opravljena ob nastanku dokumenta in je upoštevala 4 stebre, na katerih je slonela osnovna analiza OECD. </w:t>
      </w:r>
    </w:p>
    <w:p w14:paraId="75D2D9C4" w14:textId="77777777" w:rsidR="00800674" w:rsidRDefault="00800674" w:rsidP="00800674">
      <w:pPr>
        <w:jc w:val="both"/>
        <w:rPr>
          <w:b/>
        </w:rPr>
      </w:pPr>
      <w:r w:rsidRPr="00511915">
        <w:rPr>
          <w:b/>
        </w:rPr>
        <w:t>Steber 1. Upravljanje ljudi in organizacijsko upravljanje</w:t>
      </w:r>
    </w:p>
    <w:p w14:paraId="34F9190F" w14:textId="77777777" w:rsidR="00800674" w:rsidRPr="00F07DDD" w:rsidRDefault="00800674" w:rsidP="00800674">
      <w:pPr>
        <w:pStyle w:val="Odstavekseznama"/>
        <w:numPr>
          <w:ilvl w:val="0"/>
          <w:numId w:val="4"/>
        </w:numPr>
        <w:jc w:val="both"/>
      </w:pPr>
      <w:r w:rsidRPr="00F07DDD">
        <w:t xml:space="preserve">privabljanje </w:t>
      </w:r>
      <w:r>
        <w:t>in zaposlovanje primernih kandidatov</w:t>
      </w:r>
    </w:p>
    <w:p w14:paraId="53431ACE" w14:textId="77777777" w:rsidR="00800674" w:rsidRDefault="00800674" w:rsidP="00800674">
      <w:pPr>
        <w:jc w:val="both"/>
        <w:rPr>
          <w:b/>
        </w:rPr>
      </w:pPr>
      <w:r w:rsidRPr="00F07DDD">
        <w:rPr>
          <w:noProof/>
          <w:lang w:eastAsia="sl-SI"/>
        </w:rPr>
        <w:drawing>
          <wp:inline distT="0" distB="0" distL="0" distR="0" wp14:anchorId="01108C8D" wp14:editId="257A3AE1">
            <wp:extent cx="5760720" cy="4881819"/>
            <wp:effectExtent l="0" t="0" r="0" b="0"/>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881819"/>
                    </a:xfrm>
                    <a:prstGeom prst="rect">
                      <a:avLst/>
                    </a:prstGeom>
                    <a:noFill/>
                    <a:ln>
                      <a:noFill/>
                    </a:ln>
                  </pic:spPr>
                </pic:pic>
              </a:graphicData>
            </a:graphic>
          </wp:inline>
        </w:drawing>
      </w:r>
    </w:p>
    <w:p w14:paraId="4E5F0205" w14:textId="77777777" w:rsidR="000B080A" w:rsidRDefault="000B080A" w:rsidP="000B080A">
      <w:pPr>
        <w:pStyle w:val="Odstavekseznama"/>
        <w:jc w:val="both"/>
      </w:pPr>
    </w:p>
    <w:p w14:paraId="220F80FA" w14:textId="77777777" w:rsidR="000B080A" w:rsidRDefault="000B080A" w:rsidP="000B080A">
      <w:pPr>
        <w:pStyle w:val="Odstavekseznama"/>
        <w:jc w:val="both"/>
      </w:pPr>
    </w:p>
    <w:p w14:paraId="20FC1778" w14:textId="77777777" w:rsidR="000B080A" w:rsidRDefault="000B080A" w:rsidP="000B080A">
      <w:pPr>
        <w:pStyle w:val="Odstavekseznama"/>
        <w:jc w:val="both"/>
      </w:pPr>
    </w:p>
    <w:p w14:paraId="325400F7" w14:textId="77777777" w:rsidR="000B080A" w:rsidRDefault="000B080A" w:rsidP="000B080A">
      <w:pPr>
        <w:pStyle w:val="Odstavekseznama"/>
        <w:jc w:val="both"/>
      </w:pPr>
    </w:p>
    <w:p w14:paraId="6B4CCF59" w14:textId="77777777" w:rsidR="000B080A" w:rsidRDefault="000B080A" w:rsidP="000B080A">
      <w:pPr>
        <w:pStyle w:val="Odstavekseznama"/>
        <w:jc w:val="both"/>
      </w:pPr>
    </w:p>
    <w:p w14:paraId="415BC14F" w14:textId="77777777" w:rsidR="000B080A" w:rsidRDefault="000B080A" w:rsidP="000B080A">
      <w:pPr>
        <w:pStyle w:val="Odstavekseznama"/>
        <w:jc w:val="both"/>
      </w:pPr>
    </w:p>
    <w:p w14:paraId="288212AC" w14:textId="77777777" w:rsidR="000B080A" w:rsidRDefault="000B080A" w:rsidP="000B080A">
      <w:pPr>
        <w:pStyle w:val="Odstavekseznama"/>
        <w:jc w:val="both"/>
      </w:pPr>
    </w:p>
    <w:p w14:paraId="7449267B" w14:textId="77777777" w:rsidR="000B080A" w:rsidRDefault="000B080A" w:rsidP="000B080A">
      <w:pPr>
        <w:pStyle w:val="Odstavekseznama"/>
        <w:jc w:val="both"/>
      </w:pPr>
    </w:p>
    <w:p w14:paraId="4722F0F4" w14:textId="77777777" w:rsidR="000B080A" w:rsidRDefault="000B080A" w:rsidP="000B080A">
      <w:pPr>
        <w:pStyle w:val="Odstavekseznama"/>
        <w:jc w:val="both"/>
      </w:pPr>
    </w:p>
    <w:p w14:paraId="09D176D0" w14:textId="77777777" w:rsidR="000B080A" w:rsidRDefault="000B080A" w:rsidP="000B080A">
      <w:pPr>
        <w:pStyle w:val="Odstavekseznama"/>
        <w:jc w:val="both"/>
      </w:pPr>
    </w:p>
    <w:p w14:paraId="614A1331" w14:textId="77777777" w:rsidR="000B080A" w:rsidRDefault="000B080A" w:rsidP="000B080A">
      <w:pPr>
        <w:pStyle w:val="Odstavekseznama"/>
        <w:jc w:val="both"/>
      </w:pPr>
    </w:p>
    <w:p w14:paraId="4F533C33" w14:textId="77777777" w:rsidR="000B080A" w:rsidRDefault="000B080A" w:rsidP="000B080A">
      <w:pPr>
        <w:pStyle w:val="Odstavekseznama"/>
        <w:jc w:val="both"/>
      </w:pPr>
    </w:p>
    <w:p w14:paraId="7C70C39C" w14:textId="77777777" w:rsidR="000B080A" w:rsidRDefault="000B080A" w:rsidP="000B080A">
      <w:pPr>
        <w:pStyle w:val="Odstavekseznama"/>
        <w:jc w:val="both"/>
      </w:pPr>
    </w:p>
    <w:p w14:paraId="5068402E" w14:textId="79CD2706" w:rsidR="00800674" w:rsidRPr="00F07DDD" w:rsidRDefault="00800674" w:rsidP="00800674">
      <w:pPr>
        <w:pStyle w:val="Odstavekseznama"/>
        <w:numPr>
          <w:ilvl w:val="0"/>
          <w:numId w:val="4"/>
        </w:numPr>
        <w:jc w:val="both"/>
      </w:pPr>
      <w:r w:rsidRPr="00F07DDD">
        <w:lastRenderedPageBreak/>
        <w:t xml:space="preserve">strateški pristop za </w:t>
      </w:r>
      <w:r>
        <w:t xml:space="preserve">kadrovsko </w:t>
      </w:r>
      <w:r w:rsidRPr="00F07DDD">
        <w:t>usposabljanje in razvoj</w:t>
      </w:r>
    </w:p>
    <w:p w14:paraId="4A72FB67" w14:textId="77777777" w:rsidR="00800674" w:rsidRDefault="00800674" w:rsidP="00800674">
      <w:pPr>
        <w:jc w:val="both"/>
        <w:rPr>
          <w:b/>
        </w:rPr>
      </w:pPr>
      <w:r w:rsidRPr="00F07DDD">
        <w:rPr>
          <w:noProof/>
          <w:lang w:eastAsia="sl-SI"/>
        </w:rPr>
        <w:drawing>
          <wp:inline distT="0" distB="0" distL="0" distR="0" wp14:anchorId="7A0C09C0" wp14:editId="58846FE4">
            <wp:extent cx="5760720" cy="2510525"/>
            <wp:effectExtent l="0" t="0" r="0" b="4445"/>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10525"/>
                    </a:xfrm>
                    <a:prstGeom prst="rect">
                      <a:avLst/>
                    </a:prstGeom>
                    <a:noFill/>
                    <a:ln>
                      <a:noFill/>
                    </a:ln>
                  </pic:spPr>
                </pic:pic>
              </a:graphicData>
            </a:graphic>
          </wp:inline>
        </w:drawing>
      </w:r>
    </w:p>
    <w:p w14:paraId="44B2232C" w14:textId="77777777" w:rsidR="00800674" w:rsidRPr="00F07DDD" w:rsidRDefault="00800674" w:rsidP="00800674">
      <w:pPr>
        <w:pStyle w:val="Odstavekseznama"/>
        <w:numPr>
          <w:ilvl w:val="0"/>
          <w:numId w:val="4"/>
        </w:numPr>
        <w:jc w:val="both"/>
      </w:pPr>
      <w:r>
        <w:t>učinkovit sistem upravljanja</w:t>
      </w:r>
    </w:p>
    <w:p w14:paraId="00FC33D8" w14:textId="77777777" w:rsidR="00800674" w:rsidRDefault="00800674" w:rsidP="00800674">
      <w:pPr>
        <w:jc w:val="both"/>
        <w:rPr>
          <w:b/>
        </w:rPr>
      </w:pPr>
      <w:r w:rsidRPr="00F07DDD">
        <w:rPr>
          <w:noProof/>
          <w:lang w:eastAsia="sl-SI"/>
        </w:rPr>
        <w:drawing>
          <wp:inline distT="0" distB="0" distL="0" distR="0" wp14:anchorId="1735E11A" wp14:editId="527E6850">
            <wp:extent cx="5760720" cy="2197253"/>
            <wp:effectExtent l="0" t="0" r="0" b="0"/>
            <wp:docPr id="6"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197253"/>
                    </a:xfrm>
                    <a:prstGeom prst="rect">
                      <a:avLst/>
                    </a:prstGeom>
                    <a:noFill/>
                    <a:ln>
                      <a:noFill/>
                    </a:ln>
                  </pic:spPr>
                </pic:pic>
              </a:graphicData>
            </a:graphic>
          </wp:inline>
        </w:drawing>
      </w:r>
    </w:p>
    <w:p w14:paraId="665D8550" w14:textId="77777777" w:rsidR="00800674" w:rsidRPr="00F07DDD" w:rsidRDefault="00800674" w:rsidP="00800674">
      <w:pPr>
        <w:pStyle w:val="Odstavekseznama"/>
        <w:numPr>
          <w:ilvl w:val="0"/>
          <w:numId w:val="4"/>
        </w:numPr>
        <w:jc w:val="both"/>
      </w:pPr>
      <w:r w:rsidRPr="00F07DDD">
        <w:t xml:space="preserve">učinkovito </w:t>
      </w:r>
      <w:r>
        <w:t xml:space="preserve">vodenje </w:t>
      </w:r>
    </w:p>
    <w:p w14:paraId="2CD02F79" w14:textId="77777777" w:rsidR="00800674" w:rsidRDefault="00800674" w:rsidP="00800674">
      <w:pPr>
        <w:jc w:val="both"/>
        <w:rPr>
          <w:b/>
        </w:rPr>
      </w:pPr>
      <w:r w:rsidRPr="00F07DDD">
        <w:rPr>
          <w:noProof/>
          <w:lang w:eastAsia="sl-SI"/>
        </w:rPr>
        <w:drawing>
          <wp:inline distT="0" distB="0" distL="0" distR="0" wp14:anchorId="464BEF3E" wp14:editId="48A9E153">
            <wp:extent cx="5760720" cy="1757803"/>
            <wp:effectExtent l="0" t="0" r="0" b="0"/>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757803"/>
                    </a:xfrm>
                    <a:prstGeom prst="rect">
                      <a:avLst/>
                    </a:prstGeom>
                    <a:noFill/>
                    <a:ln>
                      <a:noFill/>
                    </a:ln>
                  </pic:spPr>
                </pic:pic>
              </a:graphicData>
            </a:graphic>
          </wp:inline>
        </w:drawing>
      </w:r>
    </w:p>
    <w:p w14:paraId="4E2E293E" w14:textId="77777777" w:rsidR="000B080A" w:rsidRDefault="000B080A" w:rsidP="00800674">
      <w:pPr>
        <w:jc w:val="both"/>
        <w:rPr>
          <w:b/>
        </w:rPr>
      </w:pPr>
    </w:p>
    <w:p w14:paraId="4B59CB6D" w14:textId="77777777" w:rsidR="000B080A" w:rsidRDefault="000B080A" w:rsidP="00800674">
      <w:pPr>
        <w:jc w:val="both"/>
        <w:rPr>
          <w:b/>
        </w:rPr>
      </w:pPr>
    </w:p>
    <w:p w14:paraId="36278CCC" w14:textId="77777777" w:rsidR="000B080A" w:rsidRDefault="000B080A" w:rsidP="00800674">
      <w:pPr>
        <w:jc w:val="both"/>
        <w:rPr>
          <w:b/>
        </w:rPr>
      </w:pPr>
    </w:p>
    <w:p w14:paraId="7E91FF69" w14:textId="4EDE030B" w:rsidR="00800674" w:rsidRDefault="00800674" w:rsidP="00800674">
      <w:pPr>
        <w:jc w:val="both"/>
        <w:rPr>
          <w:b/>
        </w:rPr>
      </w:pPr>
      <w:r>
        <w:rPr>
          <w:b/>
        </w:rPr>
        <w:lastRenderedPageBreak/>
        <w:t>Steber 2</w:t>
      </w:r>
      <w:r w:rsidRPr="00511915">
        <w:rPr>
          <w:b/>
        </w:rPr>
        <w:t xml:space="preserve">. </w:t>
      </w:r>
      <w:r>
        <w:rPr>
          <w:b/>
        </w:rPr>
        <w:t>Organizacija</w:t>
      </w:r>
    </w:p>
    <w:p w14:paraId="420068DD" w14:textId="77777777" w:rsidR="00800674" w:rsidRDefault="00800674" w:rsidP="00800674">
      <w:pPr>
        <w:pStyle w:val="Odstavekseznama"/>
        <w:numPr>
          <w:ilvl w:val="0"/>
          <w:numId w:val="4"/>
        </w:numPr>
        <w:jc w:val="both"/>
      </w:pPr>
      <w:r>
        <w:t>zagotavljanje ustrezne organizacijske strukture</w:t>
      </w:r>
    </w:p>
    <w:p w14:paraId="24C3BABB" w14:textId="77777777" w:rsidR="00800674" w:rsidRDefault="00800674" w:rsidP="00800674">
      <w:pPr>
        <w:jc w:val="both"/>
      </w:pPr>
      <w:r w:rsidRPr="002215DF">
        <w:rPr>
          <w:noProof/>
          <w:lang w:eastAsia="sl-SI"/>
        </w:rPr>
        <w:drawing>
          <wp:inline distT="0" distB="0" distL="0" distR="0" wp14:anchorId="4DAF1B09" wp14:editId="44F213A2">
            <wp:extent cx="5760720" cy="960835"/>
            <wp:effectExtent l="0" t="0" r="0" b="0"/>
            <wp:docPr id="8" name="Slik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60835"/>
                    </a:xfrm>
                    <a:prstGeom prst="rect">
                      <a:avLst/>
                    </a:prstGeom>
                    <a:noFill/>
                    <a:ln>
                      <a:noFill/>
                    </a:ln>
                  </pic:spPr>
                </pic:pic>
              </a:graphicData>
            </a:graphic>
          </wp:inline>
        </w:drawing>
      </w:r>
    </w:p>
    <w:p w14:paraId="03DF669D" w14:textId="77777777" w:rsidR="00800674" w:rsidRDefault="00800674" w:rsidP="00800674">
      <w:pPr>
        <w:pStyle w:val="Odstavekseznama"/>
        <w:numPr>
          <w:ilvl w:val="0"/>
          <w:numId w:val="4"/>
        </w:numPr>
        <w:jc w:val="both"/>
      </w:pPr>
      <w:r>
        <w:t>izboljšanje upravljanja s kompetencami in znanji ter mehanizmi izmenjave informacij</w:t>
      </w:r>
    </w:p>
    <w:p w14:paraId="2C703DDF" w14:textId="77777777" w:rsidR="00800674" w:rsidRDefault="00800674" w:rsidP="00800674">
      <w:pPr>
        <w:jc w:val="both"/>
      </w:pPr>
      <w:r w:rsidRPr="002215DF">
        <w:rPr>
          <w:noProof/>
          <w:lang w:eastAsia="sl-SI"/>
        </w:rPr>
        <w:drawing>
          <wp:inline distT="0" distB="0" distL="0" distR="0" wp14:anchorId="741A2AA5" wp14:editId="76C7AC77">
            <wp:extent cx="5760720" cy="1715777"/>
            <wp:effectExtent l="0" t="0" r="0" b="0"/>
            <wp:docPr id="9" name="Sl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715777"/>
                    </a:xfrm>
                    <a:prstGeom prst="rect">
                      <a:avLst/>
                    </a:prstGeom>
                    <a:noFill/>
                    <a:ln>
                      <a:noFill/>
                    </a:ln>
                  </pic:spPr>
                </pic:pic>
              </a:graphicData>
            </a:graphic>
          </wp:inline>
        </w:drawing>
      </w:r>
    </w:p>
    <w:p w14:paraId="69026DA0" w14:textId="77777777" w:rsidR="00800674" w:rsidRDefault="00800674" w:rsidP="00800674">
      <w:pPr>
        <w:pStyle w:val="Odstavekseznama"/>
        <w:numPr>
          <w:ilvl w:val="0"/>
          <w:numId w:val="4"/>
        </w:numPr>
        <w:jc w:val="both"/>
      </w:pPr>
      <w:r>
        <w:t>prožnost zaposlenih z boljšim upravljanjem in mobilnostjo</w:t>
      </w:r>
    </w:p>
    <w:p w14:paraId="1D347642" w14:textId="77777777" w:rsidR="00800674" w:rsidRDefault="00800674" w:rsidP="00800674">
      <w:pPr>
        <w:jc w:val="both"/>
      </w:pPr>
      <w:r w:rsidRPr="002215DF">
        <w:rPr>
          <w:noProof/>
          <w:lang w:eastAsia="sl-SI"/>
        </w:rPr>
        <w:drawing>
          <wp:inline distT="0" distB="0" distL="0" distR="0" wp14:anchorId="5EC52239" wp14:editId="31BE0468">
            <wp:extent cx="5760720" cy="1188175"/>
            <wp:effectExtent l="0" t="0" r="0" b="0"/>
            <wp:docPr id="10" name="Slik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188175"/>
                    </a:xfrm>
                    <a:prstGeom prst="rect">
                      <a:avLst/>
                    </a:prstGeom>
                    <a:noFill/>
                    <a:ln>
                      <a:noFill/>
                    </a:ln>
                  </pic:spPr>
                </pic:pic>
              </a:graphicData>
            </a:graphic>
          </wp:inline>
        </w:drawing>
      </w:r>
    </w:p>
    <w:p w14:paraId="01D4C041" w14:textId="77777777" w:rsidR="00800674" w:rsidRDefault="00800674" w:rsidP="00800674">
      <w:pPr>
        <w:jc w:val="both"/>
        <w:rPr>
          <w:b/>
        </w:rPr>
      </w:pPr>
      <w:r>
        <w:rPr>
          <w:b/>
        </w:rPr>
        <w:t>Steber 3</w:t>
      </w:r>
      <w:r w:rsidRPr="00511915">
        <w:rPr>
          <w:b/>
        </w:rPr>
        <w:t xml:space="preserve">. </w:t>
      </w:r>
      <w:r>
        <w:rPr>
          <w:b/>
        </w:rPr>
        <w:t>Strateško načrtovanje, koordinacija in izvajanje</w:t>
      </w:r>
    </w:p>
    <w:p w14:paraId="59E02D91" w14:textId="77777777" w:rsidR="00800674" w:rsidRDefault="00800674" w:rsidP="00800674">
      <w:pPr>
        <w:pStyle w:val="Odstavekseznama"/>
        <w:numPr>
          <w:ilvl w:val="0"/>
          <w:numId w:val="4"/>
        </w:numPr>
        <w:jc w:val="both"/>
      </w:pPr>
      <w:r>
        <w:t>strateški pristop v programiranju</w:t>
      </w:r>
    </w:p>
    <w:p w14:paraId="0841029C" w14:textId="77777777" w:rsidR="00800674" w:rsidRDefault="00800674" w:rsidP="00800674">
      <w:pPr>
        <w:jc w:val="both"/>
      </w:pPr>
      <w:r w:rsidRPr="00824627">
        <w:rPr>
          <w:noProof/>
          <w:lang w:eastAsia="sl-SI"/>
        </w:rPr>
        <w:drawing>
          <wp:inline distT="0" distB="0" distL="0" distR="0" wp14:anchorId="701C6CF8" wp14:editId="1FE64673">
            <wp:extent cx="5760720" cy="1541057"/>
            <wp:effectExtent l="0" t="0" r="0" b="2540"/>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541057"/>
                    </a:xfrm>
                    <a:prstGeom prst="rect">
                      <a:avLst/>
                    </a:prstGeom>
                    <a:noFill/>
                    <a:ln>
                      <a:noFill/>
                    </a:ln>
                  </pic:spPr>
                </pic:pic>
              </a:graphicData>
            </a:graphic>
          </wp:inline>
        </w:drawing>
      </w:r>
    </w:p>
    <w:p w14:paraId="14148B8D" w14:textId="77777777" w:rsidR="000B080A" w:rsidRDefault="000B080A" w:rsidP="000B080A">
      <w:pPr>
        <w:pStyle w:val="Odstavekseznama"/>
        <w:jc w:val="both"/>
      </w:pPr>
    </w:p>
    <w:p w14:paraId="21E5D1F7" w14:textId="77777777" w:rsidR="000B080A" w:rsidRDefault="000B080A" w:rsidP="000B080A">
      <w:pPr>
        <w:pStyle w:val="Odstavekseznama"/>
        <w:jc w:val="both"/>
      </w:pPr>
    </w:p>
    <w:p w14:paraId="1892EE52" w14:textId="77777777" w:rsidR="000B080A" w:rsidRDefault="000B080A" w:rsidP="000B080A">
      <w:pPr>
        <w:pStyle w:val="Odstavekseznama"/>
        <w:jc w:val="both"/>
      </w:pPr>
    </w:p>
    <w:p w14:paraId="0147384F" w14:textId="77777777" w:rsidR="000B080A" w:rsidRDefault="000B080A" w:rsidP="000B080A">
      <w:pPr>
        <w:pStyle w:val="Odstavekseznama"/>
        <w:jc w:val="both"/>
      </w:pPr>
    </w:p>
    <w:p w14:paraId="73A2F6B1" w14:textId="77777777" w:rsidR="000B080A" w:rsidRDefault="000B080A" w:rsidP="000B080A">
      <w:pPr>
        <w:pStyle w:val="Odstavekseznama"/>
        <w:jc w:val="both"/>
      </w:pPr>
    </w:p>
    <w:p w14:paraId="410DC741" w14:textId="265132BF" w:rsidR="00800674" w:rsidRDefault="00800674" w:rsidP="00800674">
      <w:pPr>
        <w:pStyle w:val="Odstavekseznama"/>
        <w:numPr>
          <w:ilvl w:val="0"/>
          <w:numId w:val="4"/>
        </w:numPr>
        <w:jc w:val="both"/>
      </w:pPr>
      <w:r>
        <w:lastRenderedPageBreak/>
        <w:t>optimizacija koordinacije in komunikacije v programiranju in izvajanju</w:t>
      </w:r>
    </w:p>
    <w:p w14:paraId="48A1E560" w14:textId="77777777" w:rsidR="00800674" w:rsidRDefault="00800674" w:rsidP="00800674">
      <w:pPr>
        <w:jc w:val="both"/>
      </w:pPr>
      <w:r w:rsidRPr="00824627">
        <w:rPr>
          <w:noProof/>
          <w:lang w:eastAsia="sl-SI"/>
        </w:rPr>
        <w:drawing>
          <wp:inline distT="0" distB="0" distL="0" distR="0" wp14:anchorId="00F9CD0F" wp14:editId="6430D90B">
            <wp:extent cx="5760720" cy="2360951"/>
            <wp:effectExtent l="0" t="0" r="0" b="1270"/>
            <wp:docPr id="12" name="Slika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360951"/>
                    </a:xfrm>
                    <a:prstGeom prst="rect">
                      <a:avLst/>
                    </a:prstGeom>
                    <a:noFill/>
                    <a:ln>
                      <a:noFill/>
                    </a:ln>
                  </pic:spPr>
                </pic:pic>
              </a:graphicData>
            </a:graphic>
          </wp:inline>
        </w:drawing>
      </w:r>
    </w:p>
    <w:p w14:paraId="05E968C6" w14:textId="77777777" w:rsidR="00800674" w:rsidRDefault="00800674" w:rsidP="00800674">
      <w:pPr>
        <w:pStyle w:val="Odstavekseznama"/>
        <w:numPr>
          <w:ilvl w:val="0"/>
          <w:numId w:val="4"/>
        </w:numPr>
        <w:jc w:val="both"/>
      </w:pPr>
      <w:r>
        <w:t>strateško upravljanje izvajanja</w:t>
      </w:r>
    </w:p>
    <w:p w14:paraId="66651FB0" w14:textId="77777777" w:rsidR="00800674" w:rsidRDefault="00800674" w:rsidP="00800674">
      <w:pPr>
        <w:jc w:val="both"/>
      </w:pPr>
      <w:r w:rsidRPr="00824627">
        <w:rPr>
          <w:noProof/>
          <w:lang w:eastAsia="sl-SI"/>
        </w:rPr>
        <w:drawing>
          <wp:inline distT="0" distB="0" distL="0" distR="0" wp14:anchorId="49366998" wp14:editId="01C1CE0B">
            <wp:extent cx="5760720" cy="1661251"/>
            <wp:effectExtent l="0" t="0" r="0" b="0"/>
            <wp:docPr id="13" name="Slika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661251"/>
                    </a:xfrm>
                    <a:prstGeom prst="rect">
                      <a:avLst/>
                    </a:prstGeom>
                    <a:noFill/>
                    <a:ln>
                      <a:noFill/>
                    </a:ln>
                  </pic:spPr>
                </pic:pic>
              </a:graphicData>
            </a:graphic>
          </wp:inline>
        </w:drawing>
      </w:r>
    </w:p>
    <w:p w14:paraId="507D7FC6" w14:textId="77777777" w:rsidR="00800674" w:rsidRDefault="00800674" w:rsidP="00800674">
      <w:pPr>
        <w:pStyle w:val="Odstavekseznama"/>
        <w:numPr>
          <w:ilvl w:val="0"/>
          <w:numId w:val="4"/>
        </w:numPr>
        <w:jc w:val="both"/>
      </w:pPr>
      <w:r>
        <w:t>širitev merjenja učinkovitosti za boljšo podporo vrednotenju ukrepanja</w:t>
      </w:r>
    </w:p>
    <w:p w14:paraId="799BAACA" w14:textId="77777777" w:rsidR="00800674" w:rsidRDefault="00800674" w:rsidP="00800674">
      <w:pPr>
        <w:jc w:val="both"/>
      </w:pPr>
      <w:r w:rsidRPr="00824627">
        <w:rPr>
          <w:noProof/>
          <w:lang w:eastAsia="sl-SI"/>
        </w:rPr>
        <w:drawing>
          <wp:inline distT="0" distB="0" distL="0" distR="0" wp14:anchorId="3CBE4AB2" wp14:editId="722DF7DB">
            <wp:extent cx="5760720" cy="2463974"/>
            <wp:effectExtent l="0" t="0" r="0" b="0"/>
            <wp:docPr id="14" name="Sl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463974"/>
                    </a:xfrm>
                    <a:prstGeom prst="rect">
                      <a:avLst/>
                    </a:prstGeom>
                    <a:noFill/>
                    <a:ln>
                      <a:noFill/>
                    </a:ln>
                  </pic:spPr>
                </pic:pic>
              </a:graphicData>
            </a:graphic>
          </wp:inline>
        </w:drawing>
      </w:r>
    </w:p>
    <w:p w14:paraId="79E156DE" w14:textId="77777777" w:rsidR="000B080A" w:rsidRDefault="000B080A" w:rsidP="00800674">
      <w:pPr>
        <w:jc w:val="both"/>
        <w:rPr>
          <w:b/>
        </w:rPr>
      </w:pPr>
    </w:p>
    <w:p w14:paraId="0E1D7DF3" w14:textId="77777777" w:rsidR="000B080A" w:rsidRDefault="000B080A" w:rsidP="00800674">
      <w:pPr>
        <w:jc w:val="both"/>
        <w:rPr>
          <w:b/>
        </w:rPr>
      </w:pPr>
    </w:p>
    <w:p w14:paraId="61F0A09B" w14:textId="77777777" w:rsidR="000B080A" w:rsidRDefault="000B080A" w:rsidP="00800674">
      <w:pPr>
        <w:jc w:val="both"/>
        <w:rPr>
          <w:b/>
        </w:rPr>
      </w:pPr>
    </w:p>
    <w:p w14:paraId="220DABAD" w14:textId="1C757AB1" w:rsidR="00800674" w:rsidRDefault="00800674" w:rsidP="00800674">
      <w:pPr>
        <w:jc w:val="both"/>
        <w:rPr>
          <w:b/>
        </w:rPr>
      </w:pPr>
      <w:r>
        <w:rPr>
          <w:b/>
        </w:rPr>
        <w:lastRenderedPageBreak/>
        <w:t>Steber 4</w:t>
      </w:r>
      <w:r w:rsidRPr="00511915">
        <w:rPr>
          <w:b/>
        </w:rPr>
        <w:t xml:space="preserve">. </w:t>
      </w:r>
      <w:r>
        <w:rPr>
          <w:b/>
        </w:rPr>
        <w:t>Upravičenci in drugi deležniki</w:t>
      </w:r>
    </w:p>
    <w:p w14:paraId="017FC4CC" w14:textId="77777777" w:rsidR="00800674" w:rsidRDefault="00800674" w:rsidP="00800674">
      <w:pPr>
        <w:pStyle w:val="Odstavekseznama"/>
        <w:numPr>
          <w:ilvl w:val="0"/>
          <w:numId w:val="4"/>
        </w:numPr>
        <w:jc w:val="both"/>
      </w:pPr>
      <w:r>
        <w:t>kompetence upravičencev</w:t>
      </w:r>
    </w:p>
    <w:p w14:paraId="1DAD7B63" w14:textId="77777777" w:rsidR="00800674" w:rsidRDefault="00800674" w:rsidP="00800674">
      <w:pPr>
        <w:jc w:val="both"/>
      </w:pPr>
      <w:r w:rsidRPr="003B675C">
        <w:rPr>
          <w:noProof/>
          <w:lang w:eastAsia="sl-SI"/>
        </w:rPr>
        <w:drawing>
          <wp:inline distT="0" distB="0" distL="0" distR="0" wp14:anchorId="3972B9A8" wp14:editId="7E6CF5E5">
            <wp:extent cx="5760720" cy="1080959"/>
            <wp:effectExtent l="0" t="0" r="0" b="5080"/>
            <wp:docPr id="15" name="Slika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080959"/>
                    </a:xfrm>
                    <a:prstGeom prst="rect">
                      <a:avLst/>
                    </a:prstGeom>
                    <a:noFill/>
                    <a:ln>
                      <a:noFill/>
                    </a:ln>
                  </pic:spPr>
                </pic:pic>
              </a:graphicData>
            </a:graphic>
          </wp:inline>
        </w:drawing>
      </w:r>
    </w:p>
    <w:p w14:paraId="23633E10" w14:textId="77777777" w:rsidR="00800674" w:rsidRDefault="00800674" w:rsidP="00800674">
      <w:pPr>
        <w:pStyle w:val="Odstavekseznama"/>
        <w:numPr>
          <w:ilvl w:val="0"/>
          <w:numId w:val="4"/>
        </w:numPr>
        <w:jc w:val="both"/>
      </w:pPr>
      <w:r>
        <w:t>aktivno vključevanje drugih deležnikov</w:t>
      </w:r>
    </w:p>
    <w:p w14:paraId="3150BA87" w14:textId="77777777" w:rsidR="00800674" w:rsidRDefault="00800674" w:rsidP="00800674">
      <w:pPr>
        <w:jc w:val="both"/>
      </w:pPr>
      <w:r w:rsidRPr="003B675C">
        <w:rPr>
          <w:noProof/>
          <w:lang w:eastAsia="sl-SI"/>
        </w:rPr>
        <w:drawing>
          <wp:inline distT="0" distB="0" distL="0" distR="0" wp14:anchorId="72D81CAE" wp14:editId="03554F44">
            <wp:extent cx="5760720" cy="1907058"/>
            <wp:effectExtent l="0" t="0" r="0" b="0"/>
            <wp:docPr id="16" name="Slika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907058"/>
                    </a:xfrm>
                    <a:prstGeom prst="rect">
                      <a:avLst/>
                    </a:prstGeom>
                    <a:noFill/>
                    <a:ln>
                      <a:noFill/>
                    </a:ln>
                  </pic:spPr>
                </pic:pic>
              </a:graphicData>
            </a:graphic>
          </wp:inline>
        </w:drawing>
      </w:r>
    </w:p>
    <w:p w14:paraId="5A4D4798" w14:textId="77777777" w:rsidR="00800674" w:rsidRDefault="00800674" w:rsidP="00800674">
      <w:pPr>
        <w:jc w:val="both"/>
      </w:pPr>
    </w:p>
    <w:p w14:paraId="6A69571E" w14:textId="77777777" w:rsidR="00800674" w:rsidRDefault="00800674" w:rsidP="000A2EFE">
      <w:pPr>
        <w:jc w:val="both"/>
      </w:pPr>
    </w:p>
    <w:sectPr w:rsidR="00800674" w:rsidSect="00AB559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FB5F" w14:textId="77777777" w:rsidR="00BF0FD8" w:rsidRDefault="00BF0FD8" w:rsidP="00F2421E">
      <w:pPr>
        <w:spacing w:after="0"/>
      </w:pPr>
      <w:r>
        <w:separator/>
      </w:r>
    </w:p>
  </w:endnote>
  <w:endnote w:type="continuationSeparator" w:id="0">
    <w:p w14:paraId="1C091AF9" w14:textId="77777777" w:rsidR="00BF0FD8" w:rsidRDefault="00BF0FD8" w:rsidP="00F24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default"/>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12837"/>
      <w:docPartObj>
        <w:docPartGallery w:val="Page Numbers (Bottom of Page)"/>
        <w:docPartUnique/>
      </w:docPartObj>
    </w:sdtPr>
    <w:sdtEndPr/>
    <w:sdtContent>
      <w:p w14:paraId="41F5FD5E" w14:textId="376F2845" w:rsidR="00733102" w:rsidRDefault="00733102">
        <w:pPr>
          <w:pStyle w:val="Noga"/>
          <w:jc w:val="right"/>
        </w:pPr>
        <w:r>
          <w:fldChar w:fldCharType="begin"/>
        </w:r>
        <w:r>
          <w:instrText>PAGE   \* MERGEFORMAT</w:instrText>
        </w:r>
        <w:r>
          <w:fldChar w:fldCharType="separate"/>
        </w:r>
        <w:r w:rsidR="00BF5141">
          <w:rPr>
            <w:noProof/>
          </w:rPr>
          <w:t>22</w:t>
        </w:r>
        <w:r>
          <w:fldChar w:fldCharType="end"/>
        </w:r>
      </w:p>
    </w:sdtContent>
  </w:sdt>
  <w:p w14:paraId="1505CEBA" w14:textId="77777777" w:rsidR="00733102" w:rsidRDefault="007331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6427" w14:textId="77777777" w:rsidR="00BF0FD8" w:rsidRDefault="00BF0FD8" w:rsidP="00F2421E">
      <w:pPr>
        <w:spacing w:after="0"/>
      </w:pPr>
      <w:r>
        <w:separator/>
      </w:r>
    </w:p>
  </w:footnote>
  <w:footnote w:type="continuationSeparator" w:id="0">
    <w:p w14:paraId="5B40BE51" w14:textId="77777777" w:rsidR="00BF0FD8" w:rsidRDefault="00BF0FD8" w:rsidP="00F2421E">
      <w:pPr>
        <w:spacing w:after="0"/>
      </w:pPr>
      <w:r>
        <w:continuationSeparator/>
      </w:r>
    </w:p>
  </w:footnote>
  <w:footnote w:id="1">
    <w:p w14:paraId="4114837C" w14:textId="0007DFD1" w:rsidR="00E22BAD" w:rsidRPr="00FE342E" w:rsidRDefault="00E22BAD" w:rsidP="00B10970">
      <w:pPr>
        <w:spacing w:after="0"/>
        <w:jc w:val="both"/>
        <w:rPr>
          <w:sz w:val="18"/>
          <w:szCs w:val="18"/>
        </w:rPr>
      </w:pPr>
      <w:r w:rsidRPr="00FE342E">
        <w:rPr>
          <w:rStyle w:val="Sprotnaopomba-sklic"/>
          <w:sz w:val="18"/>
          <w:szCs w:val="18"/>
        </w:rPr>
        <w:footnoteRef/>
      </w:r>
      <w:r w:rsidRPr="00FE342E">
        <w:rPr>
          <w:sz w:val="18"/>
          <w:szCs w:val="18"/>
        </w:rPr>
        <w:t xml:space="preserve"> Načrt je »živi dokument«, ki ga bo organ upravljanja redno spremljal in po potrebi posodabljal v fazi izvajanja. Evropski komisiji </w:t>
      </w:r>
      <w:r w:rsidR="00DE4D13">
        <w:rPr>
          <w:sz w:val="18"/>
          <w:szCs w:val="18"/>
        </w:rPr>
        <w:t>N</w:t>
      </w:r>
      <w:r w:rsidRPr="00FE342E">
        <w:rPr>
          <w:sz w:val="18"/>
          <w:szCs w:val="18"/>
        </w:rPr>
        <w:t xml:space="preserve">ačrta ni treba uradno sprejeti ali potrditi, zato ni del Programa in se lahko po potrebi kadarkoli prilagodi in posodobi. Kljub temu bodo </w:t>
      </w:r>
      <w:r w:rsidR="00DE4D13">
        <w:rPr>
          <w:sz w:val="18"/>
          <w:szCs w:val="18"/>
        </w:rPr>
        <w:t>N</w:t>
      </w:r>
      <w:r w:rsidRPr="00FE342E">
        <w:rPr>
          <w:sz w:val="18"/>
          <w:szCs w:val="18"/>
        </w:rPr>
        <w:t>ačrt in njegove posodobitve predhodno usklajeni z Evropsko komisijo.</w:t>
      </w:r>
    </w:p>
  </w:footnote>
  <w:footnote w:id="2">
    <w:p w14:paraId="502AE4D8" w14:textId="77777777" w:rsidR="000475FA" w:rsidRPr="00FE342E" w:rsidRDefault="00733102">
      <w:pPr>
        <w:pStyle w:val="Sprotnaopomba-besedilo"/>
        <w:rPr>
          <w:sz w:val="18"/>
          <w:szCs w:val="18"/>
        </w:rPr>
      </w:pPr>
      <w:r w:rsidRPr="00FE342E">
        <w:rPr>
          <w:rStyle w:val="Sprotnaopomba-sklic"/>
          <w:sz w:val="18"/>
          <w:szCs w:val="18"/>
        </w:rPr>
        <w:footnoteRef/>
      </w:r>
      <w:r w:rsidRPr="00FE342E">
        <w:rPr>
          <w:sz w:val="18"/>
          <w:szCs w:val="18"/>
        </w:rPr>
        <w:t xml:space="preserve"> A practical toolkit for preparing Roadmaps for Administrative Capacity Building: </w:t>
      </w:r>
      <w:hyperlink r:id="rId1" w:history="1">
        <w:r w:rsidR="000475FA" w:rsidRPr="00FE342E">
          <w:rPr>
            <w:rStyle w:val="Hiperpovezava"/>
            <w:sz w:val="18"/>
            <w:szCs w:val="18"/>
          </w:rPr>
          <w:t>Inforegio - Roadmaps for Administrative Capacity Building - Practical toolkit</w:t>
        </w:r>
      </w:hyperlink>
    </w:p>
    <w:p w14:paraId="418034C3" w14:textId="659FA80B" w:rsidR="00733102" w:rsidRDefault="00733102">
      <w:pPr>
        <w:pStyle w:val="Sprotnaopomba-besedilo"/>
      </w:pPr>
    </w:p>
  </w:footnote>
  <w:footnote w:id="3">
    <w:p w14:paraId="6E74FEC5" w14:textId="2154E764" w:rsidR="00733102" w:rsidRPr="004262B4" w:rsidRDefault="00733102">
      <w:pPr>
        <w:pStyle w:val="Sprotnaopomba-besedilo"/>
        <w:rPr>
          <w:sz w:val="18"/>
          <w:szCs w:val="18"/>
        </w:rPr>
      </w:pPr>
      <w:r w:rsidRPr="004262B4">
        <w:rPr>
          <w:rStyle w:val="Sprotnaopomba-sklic"/>
          <w:sz w:val="18"/>
          <w:szCs w:val="18"/>
        </w:rPr>
        <w:footnoteRef/>
      </w:r>
      <w:r w:rsidRPr="004262B4">
        <w:rPr>
          <w:sz w:val="18"/>
          <w:szCs w:val="18"/>
        </w:rPr>
        <w:t xml:space="preserve"> Administrative capacity building Self-assessment instrument: </w:t>
      </w:r>
      <w:hyperlink r:id="rId2" w:history="1">
        <w:r w:rsidR="000475FA" w:rsidRPr="004262B4">
          <w:rPr>
            <w:rStyle w:val="Hiperpovezava"/>
            <w:sz w:val="18"/>
            <w:szCs w:val="18"/>
          </w:rPr>
          <w:t>Administrative Capacity Building Self-Assessment Instrument for Managing Authorities of EU Funds under Cohesion Policy</w:t>
        </w:r>
      </w:hyperlink>
      <w:r w:rsidR="000475FA" w:rsidRPr="004262B4">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E38"/>
    <w:multiLevelType w:val="hybridMultilevel"/>
    <w:tmpl w:val="03C29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0129C"/>
    <w:multiLevelType w:val="hybridMultilevel"/>
    <w:tmpl w:val="50AC6110"/>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F46AAB"/>
    <w:multiLevelType w:val="hybridMultilevel"/>
    <w:tmpl w:val="DC0C734E"/>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BB0F6D"/>
    <w:multiLevelType w:val="hybridMultilevel"/>
    <w:tmpl w:val="03A4EFEE"/>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203382"/>
    <w:multiLevelType w:val="hybridMultilevel"/>
    <w:tmpl w:val="6DFAAD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752ED"/>
    <w:multiLevelType w:val="multilevel"/>
    <w:tmpl w:val="481A74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21606"/>
    <w:multiLevelType w:val="hybridMultilevel"/>
    <w:tmpl w:val="1F94C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474BB5"/>
    <w:multiLevelType w:val="hybridMultilevel"/>
    <w:tmpl w:val="7C483DE0"/>
    <w:lvl w:ilvl="0" w:tplc="7644B18A">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83383D"/>
    <w:multiLevelType w:val="hybridMultilevel"/>
    <w:tmpl w:val="AA9A55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3F1639"/>
    <w:multiLevelType w:val="multilevel"/>
    <w:tmpl w:val="6382FE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3347B"/>
    <w:multiLevelType w:val="hybridMultilevel"/>
    <w:tmpl w:val="53D43B8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E57373"/>
    <w:multiLevelType w:val="multilevel"/>
    <w:tmpl w:val="9D240D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D63A1"/>
    <w:multiLevelType w:val="hybridMultilevel"/>
    <w:tmpl w:val="E23A858A"/>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C21E41"/>
    <w:multiLevelType w:val="hybridMultilevel"/>
    <w:tmpl w:val="080E842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B62733"/>
    <w:multiLevelType w:val="hybridMultilevel"/>
    <w:tmpl w:val="31D66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012C7"/>
    <w:multiLevelType w:val="hybridMultilevel"/>
    <w:tmpl w:val="11426A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9C24A2"/>
    <w:multiLevelType w:val="hybridMultilevel"/>
    <w:tmpl w:val="3D425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F022EB"/>
    <w:multiLevelType w:val="hybridMultilevel"/>
    <w:tmpl w:val="72F6A1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1652D16"/>
    <w:multiLevelType w:val="hybridMultilevel"/>
    <w:tmpl w:val="CD64F312"/>
    <w:lvl w:ilvl="0" w:tplc="EFE008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3025D8"/>
    <w:multiLevelType w:val="hybridMultilevel"/>
    <w:tmpl w:val="3766C204"/>
    <w:lvl w:ilvl="0" w:tplc="02D85D4C">
      <w:start w:val="303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5D7772"/>
    <w:multiLevelType w:val="multilevel"/>
    <w:tmpl w:val="0ACEC0CC"/>
    <w:lvl w:ilvl="0">
      <w:start w:val="4"/>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EA47AD"/>
    <w:multiLevelType w:val="hybridMultilevel"/>
    <w:tmpl w:val="02C47DC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D84581"/>
    <w:multiLevelType w:val="hybridMultilevel"/>
    <w:tmpl w:val="95D82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DD0F33"/>
    <w:multiLevelType w:val="hybridMultilevel"/>
    <w:tmpl w:val="7D22207C"/>
    <w:lvl w:ilvl="0" w:tplc="90044F96">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C231D9"/>
    <w:multiLevelType w:val="multilevel"/>
    <w:tmpl w:val="32508C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1B4F7B"/>
    <w:multiLevelType w:val="hybridMultilevel"/>
    <w:tmpl w:val="F0DE1C3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DB19C6"/>
    <w:multiLevelType w:val="hybridMultilevel"/>
    <w:tmpl w:val="CC429A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21653B"/>
    <w:multiLevelType w:val="hybridMultilevel"/>
    <w:tmpl w:val="C8A607F6"/>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141DF0"/>
    <w:multiLevelType w:val="multilevel"/>
    <w:tmpl w:val="C4C8C8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E721265"/>
    <w:multiLevelType w:val="multilevel"/>
    <w:tmpl w:val="A5C0683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6036AB"/>
    <w:multiLevelType w:val="hybridMultilevel"/>
    <w:tmpl w:val="83B08634"/>
    <w:lvl w:ilvl="0" w:tplc="E5768F8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8A01C6A"/>
    <w:multiLevelType w:val="hybridMultilevel"/>
    <w:tmpl w:val="69E6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0A7585"/>
    <w:multiLevelType w:val="hybridMultilevel"/>
    <w:tmpl w:val="A768D860"/>
    <w:lvl w:ilvl="0" w:tplc="02D85D4C">
      <w:start w:val="3032"/>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CA16C2"/>
    <w:multiLevelType w:val="hybridMultilevel"/>
    <w:tmpl w:val="7B3AD6C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22038E"/>
    <w:multiLevelType w:val="hybridMultilevel"/>
    <w:tmpl w:val="880227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24052"/>
    <w:multiLevelType w:val="multilevel"/>
    <w:tmpl w:val="C4C8C8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FCA60DD"/>
    <w:multiLevelType w:val="hybridMultilevel"/>
    <w:tmpl w:val="083AF5C4"/>
    <w:lvl w:ilvl="0" w:tplc="6420824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FD63288"/>
    <w:multiLevelType w:val="hybridMultilevel"/>
    <w:tmpl w:val="48844C4C"/>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337995"/>
    <w:multiLevelType w:val="multilevel"/>
    <w:tmpl w:val="25769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6E27C8"/>
    <w:multiLevelType w:val="hybridMultilevel"/>
    <w:tmpl w:val="9B742E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A27F17"/>
    <w:multiLevelType w:val="hybridMultilevel"/>
    <w:tmpl w:val="409C1834"/>
    <w:lvl w:ilvl="0" w:tplc="392260F0">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D21CCC"/>
    <w:multiLevelType w:val="multilevel"/>
    <w:tmpl w:val="7D7C7DE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137849"/>
    <w:multiLevelType w:val="multilevel"/>
    <w:tmpl w:val="A13645A0"/>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3A2915"/>
    <w:multiLevelType w:val="hybridMultilevel"/>
    <w:tmpl w:val="8FBA55E6"/>
    <w:lvl w:ilvl="0" w:tplc="392260F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1049902">
    <w:abstractNumId w:val="8"/>
  </w:num>
  <w:num w:numId="2" w16cid:durableId="593906505">
    <w:abstractNumId w:val="20"/>
  </w:num>
  <w:num w:numId="3" w16cid:durableId="1990940068">
    <w:abstractNumId w:val="32"/>
  </w:num>
  <w:num w:numId="4" w16cid:durableId="1666350531">
    <w:abstractNumId w:val="37"/>
  </w:num>
  <w:num w:numId="5" w16cid:durableId="347608150">
    <w:abstractNumId w:val="7"/>
  </w:num>
  <w:num w:numId="6" w16cid:durableId="1860968301">
    <w:abstractNumId w:val="19"/>
  </w:num>
  <w:num w:numId="7" w16cid:durableId="1263340787">
    <w:abstractNumId w:val="17"/>
  </w:num>
  <w:num w:numId="8" w16cid:durableId="1651984038">
    <w:abstractNumId w:val="35"/>
  </w:num>
  <w:num w:numId="9" w16cid:durableId="46496730">
    <w:abstractNumId w:val="27"/>
  </w:num>
  <w:num w:numId="10" w16cid:durableId="452985136">
    <w:abstractNumId w:val="28"/>
  </w:num>
  <w:num w:numId="11" w16cid:durableId="777019279">
    <w:abstractNumId w:val="23"/>
  </w:num>
  <w:num w:numId="12" w16cid:durableId="38166211">
    <w:abstractNumId w:val="36"/>
  </w:num>
  <w:num w:numId="13" w16cid:durableId="191460048">
    <w:abstractNumId w:val="26"/>
  </w:num>
  <w:num w:numId="14" w16cid:durableId="729038764">
    <w:abstractNumId w:val="31"/>
  </w:num>
  <w:num w:numId="15" w16cid:durableId="1577011339">
    <w:abstractNumId w:val="16"/>
  </w:num>
  <w:num w:numId="16" w16cid:durableId="18287714">
    <w:abstractNumId w:val="14"/>
  </w:num>
  <w:num w:numId="17" w16cid:durableId="190656149">
    <w:abstractNumId w:val="22"/>
  </w:num>
  <w:num w:numId="18" w16cid:durableId="1596938926">
    <w:abstractNumId w:val="1"/>
  </w:num>
  <w:num w:numId="19" w16cid:durableId="265424197">
    <w:abstractNumId w:val="21"/>
  </w:num>
  <w:num w:numId="20" w16cid:durableId="568538007">
    <w:abstractNumId w:val="33"/>
  </w:num>
  <w:num w:numId="21" w16cid:durableId="1096946094">
    <w:abstractNumId w:val="43"/>
  </w:num>
  <w:num w:numId="22" w16cid:durableId="531503379">
    <w:abstractNumId w:val="3"/>
  </w:num>
  <w:num w:numId="23" w16cid:durableId="1617521103">
    <w:abstractNumId w:val="2"/>
  </w:num>
  <w:num w:numId="24" w16cid:durableId="955990446">
    <w:abstractNumId w:val="0"/>
  </w:num>
  <w:num w:numId="25" w16cid:durableId="9306975">
    <w:abstractNumId w:val="30"/>
  </w:num>
  <w:num w:numId="26" w16cid:durableId="325129895">
    <w:abstractNumId w:val="15"/>
  </w:num>
  <w:num w:numId="27" w16cid:durableId="1985963542">
    <w:abstractNumId w:val="40"/>
  </w:num>
  <w:num w:numId="28" w16cid:durableId="108546090">
    <w:abstractNumId w:val="12"/>
  </w:num>
  <w:num w:numId="29" w16cid:durableId="531304838">
    <w:abstractNumId w:val="18"/>
  </w:num>
  <w:num w:numId="30" w16cid:durableId="587346963">
    <w:abstractNumId w:val="13"/>
  </w:num>
  <w:num w:numId="31" w16cid:durableId="1990212389">
    <w:abstractNumId w:val="10"/>
  </w:num>
  <w:num w:numId="32" w16cid:durableId="1965689934">
    <w:abstractNumId w:val="11"/>
  </w:num>
  <w:num w:numId="33" w16cid:durableId="1093016413">
    <w:abstractNumId w:val="42"/>
  </w:num>
  <w:num w:numId="34" w16cid:durableId="1656301615">
    <w:abstractNumId w:val="41"/>
  </w:num>
  <w:num w:numId="35" w16cid:durableId="265772835">
    <w:abstractNumId w:val="6"/>
  </w:num>
  <w:num w:numId="36" w16cid:durableId="464855491">
    <w:abstractNumId w:val="34"/>
  </w:num>
  <w:num w:numId="37" w16cid:durableId="2113813191">
    <w:abstractNumId w:val="4"/>
  </w:num>
  <w:num w:numId="38" w16cid:durableId="1037658402">
    <w:abstractNumId w:val="25"/>
  </w:num>
  <w:num w:numId="39" w16cid:durableId="1021779132">
    <w:abstractNumId w:val="38"/>
  </w:num>
  <w:num w:numId="40" w16cid:durableId="342365101">
    <w:abstractNumId w:val="9"/>
  </w:num>
  <w:num w:numId="41" w16cid:durableId="1571308547">
    <w:abstractNumId w:val="29"/>
  </w:num>
  <w:num w:numId="42" w16cid:durableId="761032091">
    <w:abstractNumId w:val="24"/>
  </w:num>
  <w:num w:numId="43" w16cid:durableId="1244533273">
    <w:abstractNumId w:val="39"/>
  </w:num>
  <w:num w:numId="44" w16cid:durableId="661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C7"/>
    <w:rsid w:val="000013D9"/>
    <w:rsid w:val="000013E4"/>
    <w:rsid w:val="0000431A"/>
    <w:rsid w:val="00016AC2"/>
    <w:rsid w:val="00022B06"/>
    <w:rsid w:val="000252CA"/>
    <w:rsid w:val="00032165"/>
    <w:rsid w:val="0003655D"/>
    <w:rsid w:val="000430CE"/>
    <w:rsid w:val="00044794"/>
    <w:rsid w:val="0004665B"/>
    <w:rsid w:val="000475FA"/>
    <w:rsid w:val="00047D8C"/>
    <w:rsid w:val="0005038C"/>
    <w:rsid w:val="00060F01"/>
    <w:rsid w:val="000638D7"/>
    <w:rsid w:val="0008222F"/>
    <w:rsid w:val="00082EB1"/>
    <w:rsid w:val="00086C85"/>
    <w:rsid w:val="00087DA8"/>
    <w:rsid w:val="000A0189"/>
    <w:rsid w:val="000A2EFE"/>
    <w:rsid w:val="000A3A5E"/>
    <w:rsid w:val="000A7459"/>
    <w:rsid w:val="000B080A"/>
    <w:rsid w:val="000B1E94"/>
    <w:rsid w:val="000B2BD5"/>
    <w:rsid w:val="000C6BFD"/>
    <w:rsid w:val="000D087C"/>
    <w:rsid w:val="000D1785"/>
    <w:rsid w:val="000D1827"/>
    <w:rsid w:val="000D1961"/>
    <w:rsid w:val="000D42A4"/>
    <w:rsid w:val="000D561D"/>
    <w:rsid w:val="000D7995"/>
    <w:rsid w:val="000E03F2"/>
    <w:rsid w:val="000E10B8"/>
    <w:rsid w:val="000E12D4"/>
    <w:rsid w:val="000E2C24"/>
    <w:rsid w:val="000E6323"/>
    <w:rsid w:val="000F1070"/>
    <w:rsid w:val="001129E7"/>
    <w:rsid w:val="00113877"/>
    <w:rsid w:val="00117A1B"/>
    <w:rsid w:val="00122A54"/>
    <w:rsid w:val="001245F5"/>
    <w:rsid w:val="00125592"/>
    <w:rsid w:val="0013076D"/>
    <w:rsid w:val="001335A4"/>
    <w:rsid w:val="00133892"/>
    <w:rsid w:val="00134622"/>
    <w:rsid w:val="00151B9F"/>
    <w:rsid w:val="00154359"/>
    <w:rsid w:val="00154F7F"/>
    <w:rsid w:val="0016290F"/>
    <w:rsid w:val="00170B83"/>
    <w:rsid w:val="0017194F"/>
    <w:rsid w:val="00171ACF"/>
    <w:rsid w:val="0017359A"/>
    <w:rsid w:val="001740A4"/>
    <w:rsid w:val="001769FE"/>
    <w:rsid w:val="00185090"/>
    <w:rsid w:val="00185DA5"/>
    <w:rsid w:val="001866A8"/>
    <w:rsid w:val="00186BB8"/>
    <w:rsid w:val="00191863"/>
    <w:rsid w:val="001933A6"/>
    <w:rsid w:val="00194180"/>
    <w:rsid w:val="001A1B28"/>
    <w:rsid w:val="001B206B"/>
    <w:rsid w:val="001C0FBC"/>
    <w:rsid w:val="001C2144"/>
    <w:rsid w:val="001C24AB"/>
    <w:rsid w:val="001D455E"/>
    <w:rsid w:val="001E2468"/>
    <w:rsid w:val="001F4C96"/>
    <w:rsid w:val="001F66C7"/>
    <w:rsid w:val="002136E6"/>
    <w:rsid w:val="00214383"/>
    <w:rsid w:val="0021798D"/>
    <w:rsid w:val="002215DF"/>
    <w:rsid w:val="00226366"/>
    <w:rsid w:val="002305E6"/>
    <w:rsid w:val="0023314F"/>
    <w:rsid w:val="0024764D"/>
    <w:rsid w:val="00247D98"/>
    <w:rsid w:val="00253DEB"/>
    <w:rsid w:val="0025475D"/>
    <w:rsid w:val="00254853"/>
    <w:rsid w:val="00256252"/>
    <w:rsid w:val="0026483F"/>
    <w:rsid w:val="00264DBF"/>
    <w:rsid w:val="00267DBB"/>
    <w:rsid w:val="002705C5"/>
    <w:rsid w:val="0027155D"/>
    <w:rsid w:val="00276132"/>
    <w:rsid w:val="00280903"/>
    <w:rsid w:val="0028192F"/>
    <w:rsid w:val="00283A47"/>
    <w:rsid w:val="00285101"/>
    <w:rsid w:val="00291117"/>
    <w:rsid w:val="002930AB"/>
    <w:rsid w:val="002961AB"/>
    <w:rsid w:val="002A1516"/>
    <w:rsid w:val="002A2289"/>
    <w:rsid w:val="002B3CAD"/>
    <w:rsid w:val="002B465D"/>
    <w:rsid w:val="002B4EB1"/>
    <w:rsid w:val="002B6443"/>
    <w:rsid w:val="002B762F"/>
    <w:rsid w:val="002B7F40"/>
    <w:rsid w:val="002C3EA5"/>
    <w:rsid w:val="002D1CBC"/>
    <w:rsid w:val="002D610E"/>
    <w:rsid w:val="002D722D"/>
    <w:rsid w:val="002D7A64"/>
    <w:rsid w:val="002E5E50"/>
    <w:rsid w:val="002E6CD5"/>
    <w:rsid w:val="002F7B49"/>
    <w:rsid w:val="003008E8"/>
    <w:rsid w:val="003010AF"/>
    <w:rsid w:val="00301474"/>
    <w:rsid w:val="00305798"/>
    <w:rsid w:val="00307654"/>
    <w:rsid w:val="00310CD6"/>
    <w:rsid w:val="003139ED"/>
    <w:rsid w:val="00314D8F"/>
    <w:rsid w:val="003179FE"/>
    <w:rsid w:val="0032331B"/>
    <w:rsid w:val="003272FE"/>
    <w:rsid w:val="003314D2"/>
    <w:rsid w:val="0033379F"/>
    <w:rsid w:val="00335DD2"/>
    <w:rsid w:val="0034198E"/>
    <w:rsid w:val="003507DF"/>
    <w:rsid w:val="00355B49"/>
    <w:rsid w:val="0036296A"/>
    <w:rsid w:val="00363392"/>
    <w:rsid w:val="00371F9A"/>
    <w:rsid w:val="00372BFA"/>
    <w:rsid w:val="00372CD0"/>
    <w:rsid w:val="00382859"/>
    <w:rsid w:val="003838DD"/>
    <w:rsid w:val="0039271A"/>
    <w:rsid w:val="00394533"/>
    <w:rsid w:val="003A5701"/>
    <w:rsid w:val="003B13BA"/>
    <w:rsid w:val="003B1479"/>
    <w:rsid w:val="003B2C29"/>
    <w:rsid w:val="003B3AB5"/>
    <w:rsid w:val="003B675C"/>
    <w:rsid w:val="003C22F1"/>
    <w:rsid w:val="003C7498"/>
    <w:rsid w:val="003D0E96"/>
    <w:rsid w:val="003D5BB0"/>
    <w:rsid w:val="003D623B"/>
    <w:rsid w:val="003E0394"/>
    <w:rsid w:val="003E297F"/>
    <w:rsid w:val="003E3CDF"/>
    <w:rsid w:val="003E418A"/>
    <w:rsid w:val="003E72A7"/>
    <w:rsid w:val="003E7CEF"/>
    <w:rsid w:val="004026BB"/>
    <w:rsid w:val="00405D25"/>
    <w:rsid w:val="00413330"/>
    <w:rsid w:val="00422FCC"/>
    <w:rsid w:val="00423E90"/>
    <w:rsid w:val="004255CE"/>
    <w:rsid w:val="004262B4"/>
    <w:rsid w:val="00434FFD"/>
    <w:rsid w:val="00436AA8"/>
    <w:rsid w:val="004425C3"/>
    <w:rsid w:val="00450FFE"/>
    <w:rsid w:val="0045760A"/>
    <w:rsid w:val="004623AE"/>
    <w:rsid w:val="004644CD"/>
    <w:rsid w:val="00465EFC"/>
    <w:rsid w:val="0047071E"/>
    <w:rsid w:val="00470786"/>
    <w:rsid w:val="00470CCD"/>
    <w:rsid w:val="0047342C"/>
    <w:rsid w:val="00481667"/>
    <w:rsid w:val="0048278D"/>
    <w:rsid w:val="00490D13"/>
    <w:rsid w:val="0049348E"/>
    <w:rsid w:val="0049753D"/>
    <w:rsid w:val="004A4969"/>
    <w:rsid w:val="004A5157"/>
    <w:rsid w:val="004B0502"/>
    <w:rsid w:val="004B0936"/>
    <w:rsid w:val="004B1F10"/>
    <w:rsid w:val="004B2089"/>
    <w:rsid w:val="004B5F05"/>
    <w:rsid w:val="004D3EAE"/>
    <w:rsid w:val="004D5EB1"/>
    <w:rsid w:val="004E0E10"/>
    <w:rsid w:val="004E5A28"/>
    <w:rsid w:val="004F10E8"/>
    <w:rsid w:val="00502978"/>
    <w:rsid w:val="00507696"/>
    <w:rsid w:val="00511915"/>
    <w:rsid w:val="005145D5"/>
    <w:rsid w:val="0052213B"/>
    <w:rsid w:val="00527C8A"/>
    <w:rsid w:val="00541924"/>
    <w:rsid w:val="00544EE5"/>
    <w:rsid w:val="005459CE"/>
    <w:rsid w:val="00551104"/>
    <w:rsid w:val="0055130F"/>
    <w:rsid w:val="00553A26"/>
    <w:rsid w:val="00553B29"/>
    <w:rsid w:val="00555395"/>
    <w:rsid w:val="00557D9B"/>
    <w:rsid w:val="005600C3"/>
    <w:rsid w:val="00560DC2"/>
    <w:rsid w:val="005622AF"/>
    <w:rsid w:val="00563BD6"/>
    <w:rsid w:val="00567F9E"/>
    <w:rsid w:val="005738F9"/>
    <w:rsid w:val="00573EEE"/>
    <w:rsid w:val="00582837"/>
    <w:rsid w:val="0058371E"/>
    <w:rsid w:val="00597E01"/>
    <w:rsid w:val="005A0783"/>
    <w:rsid w:val="005A7202"/>
    <w:rsid w:val="005B27E0"/>
    <w:rsid w:val="005B47BA"/>
    <w:rsid w:val="005B6962"/>
    <w:rsid w:val="005C05F6"/>
    <w:rsid w:val="005C0B60"/>
    <w:rsid w:val="005E00EC"/>
    <w:rsid w:val="005E1E75"/>
    <w:rsid w:val="005E562B"/>
    <w:rsid w:val="005E7C19"/>
    <w:rsid w:val="005F091D"/>
    <w:rsid w:val="005F427A"/>
    <w:rsid w:val="005F4D11"/>
    <w:rsid w:val="006039CE"/>
    <w:rsid w:val="00604F90"/>
    <w:rsid w:val="0060591D"/>
    <w:rsid w:val="00613127"/>
    <w:rsid w:val="006177BD"/>
    <w:rsid w:val="00621ECF"/>
    <w:rsid w:val="00623BB0"/>
    <w:rsid w:val="00630565"/>
    <w:rsid w:val="006331FF"/>
    <w:rsid w:val="00634F7E"/>
    <w:rsid w:val="006373A9"/>
    <w:rsid w:val="00637442"/>
    <w:rsid w:val="00642A76"/>
    <w:rsid w:val="00642DE6"/>
    <w:rsid w:val="00647E53"/>
    <w:rsid w:val="00652BC6"/>
    <w:rsid w:val="00657697"/>
    <w:rsid w:val="0066067E"/>
    <w:rsid w:val="00661082"/>
    <w:rsid w:val="0066608C"/>
    <w:rsid w:val="00681402"/>
    <w:rsid w:val="00682C63"/>
    <w:rsid w:val="006842B4"/>
    <w:rsid w:val="00685F0E"/>
    <w:rsid w:val="0068787F"/>
    <w:rsid w:val="0069129D"/>
    <w:rsid w:val="00694C33"/>
    <w:rsid w:val="006A0186"/>
    <w:rsid w:val="006A01D6"/>
    <w:rsid w:val="006A1186"/>
    <w:rsid w:val="006B624C"/>
    <w:rsid w:val="006C1B02"/>
    <w:rsid w:val="006C2F87"/>
    <w:rsid w:val="006C41FB"/>
    <w:rsid w:val="006D4AAD"/>
    <w:rsid w:val="006D6EAC"/>
    <w:rsid w:val="006E1C79"/>
    <w:rsid w:val="006E1DFD"/>
    <w:rsid w:val="006E26EE"/>
    <w:rsid w:val="006E2D06"/>
    <w:rsid w:val="006E5697"/>
    <w:rsid w:val="006F60C6"/>
    <w:rsid w:val="0070172A"/>
    <w:rsid w:val="00702855"/>
    <w:rsid w:val="0070482A"/>
    <w:rsid w:val="00720B7E"/>
    <w:rsid w:val="00724B0E"/>
    <w:rsid w:val="0073128C"/>
    <w:rsid w:val="00733102"/>
    <w:rsid w:val="007353FA"/>
    <w:rsid w:val="00737B1E"/>
    <w:rsid w:val="007502BC"/>
    <w:rsid w:val="007537E2"/>
    <w:rsid w:val="007547C0"/>
    <w:rsid w:val="007610C9"/>
    <w:rsid w:val="00762C1A"/>
    <w:rsid w:val="00764F9A"/>
    <w:rsid w:val="00770F6A"/>
    <w:rsid w:val="00775791"/>
    <w:rsid w:val="007853C4"/>
    <w:rsid w:val="00786EC7"/>
    <w:rsid w:val="00787AE5"/>
    <w:rsid w:val="00797C41"/>
    <w:rsid w:val="007A2CED"/>
    <w:rsid w:val="007A2DE9"/>
    <w:rsid w:val="007A3599"/>
    <w:rsid w:val="007B4BF9"/>
    <w:rsid w:val="007B700E"/>
    <w:rsid w:val="007B7881"/>
    <w:rsid w:val="007C17EF"/>
    <w:rsid w:val="007C374C"/>
    <w:rsid w:val="007C5205"/>
    <w:rsid w:val="007C68E5"/>
    <w:rsid w:val="007D5B4A"/>
    <w:rsid w:val="007D5BE2"/>
    <w:rsid w:val="007F4D5C"/>
    <w:rsid w:val="00800674"/>
    <w:rsid w:val="00802A37"/>
    <w:rsid w:val="00817BE0"/>
    <w:rsid w:val="00824627"/>
    <w:rsid w:val="008272DB"/>
    <w:rsid w:val="00830430"/>
    <w:rsid w:val="008326C9"/>
    <w:rsid w:val="00837797"/>
    <w:rsid w:val="00840B92"/>
    <w:rsid w:val="0084199F"/>
    <w:rsid w:val="00851CE3"/>
    <w:rsid w:val="008546B3"/>
    <w:rsid w:val="00856F8D"/>
    <w:rsid w:val="0086090A"/>
    <w:rsid w:val="00862EDE"/>
    <w:rsid w:val="00893B59"/>
    <w:rsid w:val="00897169"/>
    <w:rsid w:val="008A357D"/>
    <w:rsid w:val="008A39B1"/>
    <w:rsid w:val="008A75A7"/>
    <w:rsid w:val="008B055F"/>
    <w:rsid w:val="008C1865"/>
    <w:rsid w:val="008C1EFD"/>
    <w:rsid w:val="008D09C8"/>
    <w:rsid w:val="008D242E"/>
    <w:rsid w:val="008D540E"/>
    <w:rsid w:val="008E2C42"/>
    <w:rsid w:val="008E5A6A"/>
    <w:rsid w:val="008F111D"/>
    <w:rsid w:val="009033B3"/>
    <w:rsid w:val="00913A2F"/>
    <w:rsid w:val="00915D9A"/>
    <w:rsid w:val="00920D5B"/>
    <w:rsid w:val="00925688"/>
    <w:rsid w:val="00930030"/>
    <w:rsid w:val="009300A2"/>
    <w:rsid w:val="00936ACC"/>
    <w:rsid w:val="00941D58"/>
    <w:rsid w:val="00944FC8"/>
    <w:rsid w:val="0094678F"/>
    <w:rsid w:val="00947292"/>
    <w:rsid w:val="00947F58"/>
    <w:rsid w:val="009539DC"/>
    <w:rsid w:val="00955E78"/>
    <w:rsid w:val="009572EF"/>
    <w:rsid w:val="00961BD5"/>
    <w:rsid w:val="00966501"/>
    <w:rsid w:val="00976405"/>
    <w:rsid w:val="0099030F"/>
    <w:rsid w:val="00997AE1"/>
    <w:rsid w:val="009A0FF9"/>
    <w:rsid w:val="009B11C4"/>
    <w:rsid w:val="009B73BE"/>
    <w:rsid w:val="009B7CAC"/>
    <w:rsid w:val="009C05EF"/>
    <w:rsid w:val="009C69DE"/>
    <w:rsid w:val="009C7FC2"/>
    <w:rsid w:val="009D1151"/>
    <w:rsid w:val="009D4182"/>
    <w:rsid w:val="009D5FAE"/>
    <w:rsid w:val="009E565A"/>
    <w:rsid w:val="009E60E6"/>
    <w:rsid w:val="009E65DB"/>
    <w:rsid w:val="009F178D"/>
    <w:rsid w:val="009F3406"/>
    <w:rsid w:val="009F3715"/>
    <w:rsid w:val="00A00A6D"/>
    <w:rsid w:val="00A11126"/>
    <w:rsid w:val="00A117BF"/>
    <w:rsid w:val="00A1588F"/>
    <w:rsid w:val="00A15E25"/>
    <w:rsid w:val="00A321A2"/>
    <w:rsid w:val="00A32C04"/>
    <w:rsid w:val="00A43F1D"/>
    <w:rsid w:val="00A43F23"/>
    <w:rsid w:val="00A546A3"/>
    <w:rsid w:val="00A56BDD"/>
    <w:rsid w:val="00A574CD"/>
    <w:rsid w:val="00A77260"/>
    <w:rsid w:val="00A80C95"/>
    <w:rsid w:val="00A9300C"/>
    <w:rsid w:val="00AA3814"/>
    <w:rsid w:val="00AA51DB"/>
    <w:rsid w:val="00AB38A4"/>
    <w:rsid w:val="00AB4737"/>
    <w:rsid w:val="00AB4B27"/>
    <w:rsid w:val="00AB5592"/>
    <w:rsid w:val="00AB7039"/>
    <w:rsid w:val="00AB7D91"/>
    <w:rsid w:val="00AC0509"/>
    <w:rsid w:val="00AC142F"/>
    <w:rsid w:val="00AC3E36"/>
    <w:rsid w:val="00AD59AB"/>
    <w:rsid w:val="00AE34C7"/>
    <w:rsid w:val="00AE7BD1"/>
    <w:rsid w:val="00AF36EA"/>
    <w:rsid w:val="00B03919"/>
    <w:rsid w:val="00B06A0A"/>
    <w:rsid w:val="00B10970"/>
    <w:rsid w:val="00B137CE"/>
    <w:rsid w:val="00B1665C"/>
    <w:rsid w:val="00B20A0B"/>
    <w:rsid w:val="00B20FAD"/>
    <w:rsid w:val="00B22886"/>
    <w:rsid w:val="00B22B59"/>
    <w:rsid w:val="00B30183"/>
    <w:rsid w:val="00B3266D"/>
    <w:rsid w:val="00B4047D"/>
    <w:rsid w:val="00B465AF"/>
    <w:rsid w:val="00B512D9"/>
    <w:rsid w:val="00B52303"/>
    <w:rsid w:val="00B54B20"/>
    <w:rsid w:val="00B600A0"/>
    <w:rsid w:val="00B602F3"/>
    <w:rsid w:val="00B61D47"/>
    <w:rsid w:val="00B64FF7"/>
    <w:rsid w:val="00B67AC1"/>
    <w:rsid w:val="00B71BD6"/>
    <w:rsid w:val="00B7404F"/>
    <w:rsid w:val="00B745C5"/>
    <w:rsid w:val="00B851A6"/>
    <w:rsid w:val="00B85685"/>
    <w:rsid w:val="00BA06DC"/>
    <w:rsid w:val="00BA16C9"/>
    <w:rsid w:val="00BA345E"/>
    <w:rsid w:val="00BA3AD4"/>
    <w:rsid w:val="00BA6383"/>
    <w:rsid w:val="00BA6C46"/>
    <w:rsid w:val="00BA6D81"/>
    <w:rsid w:val="00BA74D6"/>
    <w:rsid w:val="00BB2E3D"/>
    <w:rsid w:val="00BB7D36"/>
    <w:rsid w:val="00BC1690"/>
    <w:rsid w:val="00BC3595"/>
    <w:rsid w:val="00BC55FB"/>
    <w:rsid w:val="00BC7870"/>
    <w:rsid w:val="00BD22C7"/>
    <w:rsid w:val="00BD43BF"/>
    <w:rsid w:val="00BD4ABD"/>
    <w:rsid w:val="00BE4D89"/>
    <w:rsid w:val="00BF0FD8"/>
    <w:rsid w:val="00BF5141"/>
    <w:rsid w:val="00C02FE1"/>
    <w:rsid w:val="00C067EC"/>
    <w:rsid w:val="00C162C4"/>
    <w:rsid w:val="00C22FA7"/>
    <w:rsid w:val="00C30B7E"/>
    <w:rsid w:val="00C32012"/>
    <w:rsid w:val="00C356A0"/>
    <w:rsid w:val="00C361FF"/>
    <w:rsid w:val="00C37B44"/>
    <w:rsid w:val="00C402F0"/>
    <w:rsid w:val="00C44E5D"/>
    <w:rsid w:val="00C5172F"/>
    <w:rsid w:val="00C5296C"/>
    <w:rsid w:val="00C55668"/>
    <w:rsid w:val="00C6562B"/>
    <w:rsid w:val="00C67A2C"/>
    <w:rsid w:val="00C70991"/>
    <w:rsid w:val="00C762B2"/>
    <w:rsid w:val="00C930EB"/>
    <w:rsid w:val="00C97807"/>
    <w:rsid w:val="00CA2EE3"/>
    <w:rsid w:val="00CA31E4"/>
    <w:rsid w:val="00CA4F6B"/>
    <w:rsid w:val="00CA79FF"/>
    <w:rsid w:val="00CB4006"/>
    <w:rsid w:val="00CC3768"/>
    <w:rsid w:val="00CC3C6C"/>
    <w:rsid w:val="00CC50AB"/>
    <w:rsid w:val="00CD1D22"/>
    <w:rsid w:val="00CD3DE1"/>
    <w:rsid w:val="00CD6C9F"/>
    <w:rsid w:val="00CD7A24"/>
    <w:rsid w:val="00CE253D"/>
    <w:rsid w:val="00CE4FC2"/>
    <w:rsid w:val="00CE51E1"/>
    <w:rsid w:val="00CF33E8"/>
    <w:rsid w:val="00CF42F1"/>
    <w:rsid w:val="00CF688C"/>
    <w:rsid w:val="00D00F19"/>
    <w:rsid w:val="00D17E79"/>
    <w:rsid w:val="00D20684"/>
    <w:rsid w:val="00D321E5"/>
    <w:rsid w:val="00D32536"/>
    <w:rsid w:val="00D346FD"/>
    <w:rsid w:val="00D42319"/>
    <w:rsid w:val="00D43116"/>
    <w:rsid w:val="00D476AB"/>
    <w:rsid w:val="00D532BE"/>
    <w:rsid w:val="00D60081"/>
    <w:rsid w:val="00D619F9"/>
    <w:rsid w:val="00D61EF8"/>
    <w:rsid w:val="00D6430F"/>
    <w:rsid w:val="00D663B1"/>
    <w:rsid w:val="00D704BB"/>
    <w:rsid w:val="00D71CFC"/>
    <w:rsid w:val="00D72575"/>
    <w:rsid w:val="00D753FE"/>
    <w:rsid w:val="00D8308B"/>
    <w:rsid w:val="00D84322"/>
    <w:rsid w:val="00D8522B"/>
    <w:rsid w:val="00D90582"/>
    <w:rsid w:val="00D92AF2"/>
    <w:rsid w:val="00D951AA"/>
    <w:rsid w:val="00D95EC6"/>
    <w:rsid w:val="00D976F8"/>
    <w:rsid w:val="00DA0BEF"/>
    <w:rsid w:val="00DA5189"/>
    <w:rsid w:val="00DA774B"/>
    <w:rsid w:val="00DB07BC"/>
    <w:rsid w:val="00DB30F3"/>
    <w:rsid w:val="00DB3EE4"/>
    <w:rsid w:val="00DB6118"/>
    <w:rsid w:val="00DC0464"/>
    <w:rsid w:val="00DC74BD"/>
    <w:rsid w:val="00DD01C8"/>
    <w:rsid w:val="00DE471F"/>
    <w:rsid w:val="00DE4D13"/>
    <w:rsid w:val="00DF5E84"/>
    <w:rsid w:val="00E07AFA"/>
    <w:rsid w:val="00E111CD"/>
    <w:rsid w:val="00E22BAD"/>
    <w:rsid w:val="00E27A24"/>
    <w:rsid w:val="00E30832"/>
    <w:rsid w:val="00E30D66"/>
    <w:rsid w:val="00E32DD3"/>
    <w:rsid w:val="00E35B7E"/>
    <w:rsid w:val="00E418B3"/>
    <w:rsid w:val="00E47BF7"/>
    <w:rsid w:val="00E523D8"/>
    <w:rsid w:val="00E623D1"/>
    <w:rsid w:val="00E645B2"/>
    <w:rsid w:val="00E67AD5"/>
    <w:rsid w:val="00E67D97"/>
    <w:rsid w:val="00E75F98"/>
    <w:rsid w:val="00E77773"/>
    <w:rsid w:val="00E816D4"/>
    <w:rsid w:val="00E8609E"/>
    <w:rsid w:val="00E90703"/>
    <w:rsid w:val="00E91A94"/>
    <w:rsid w:val="00E977A8"/>
    <w:rsid w:val="00EA0585"/>
    <w:rsid w:val="00EA0CA7"/>
    <w:rsid w:val="00EA2A47"/>
    <w:rsid w:val="00EA4A1D"/>
    <w:rsid w:val="00EA5487"/>
    <w:rsid w:val="00EC00E2"/>
    <w:rsid w:val="00EC7338"/>
    <w:rsid w:val="00ED3A5F"/>
    <w:rsid w:val="00ED5034"/>
    <w:rsid w:val="00EE034E"/>
    <w:rsid w:val="00EE201F"/>
    <w:rsid w:val="00EE7B9E"/>
    <w:rsid w:val="00EF2055"/>
    <w:rsid w:val="00EF3510"/>
    <w:rsid w:val="00F00287"/>
    <w:rsid w:val="00F06730"/>
    <w:rsid w:val="00F07DDD"/>
    <w:rsid w:val="00F10178"/>
    <w:rsid w:val="00F13E31"/>
    <w:rsid w:val="00F20A37"/>
    <w:rsid w:val="00F2421E"/>
    <w:rsid w:val="00F27C0F"/>
    <w:rsid w:val="00F366EB"/>
    <w:rsid w:val="00F41AD6"/>
    <w:rsid w:val="00F4520E"/>
    <w:rsid w:val="00F507B0"/>
    <w:rsid w:val="00F64737"/>
    <w:rsid w:val="00F72270"/>
    <w:rsid w:val="00F80FD3"/>
    <w:rsid w:val="00F85753"/>
    <w:rsid w:val="00F92535"/>
    <w:rsid w:val="00F93BE6"/>
    <w:rsid w:val="00FA22B8"/>
    <w:rsid w:val="00FA696C"/>
    <w:rsid w:val="00FA71AA"/>
    <w:rsid w:val="00FB0D47"/>
    <w:rsid w:val="00FB145A"/>
    <w:rsid w:val="00FD0901"/>
    <w:rsid w:val="00FE342E"/>
    <w:rsid w:val="00FF2405"/>
    <w:rsid w:val="00FF28E2"/>
    <w:rsid w:val="00FF3377"/>
    <w:rsid w:val="00FF51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3EA9"/>
  <w15:chartTrackingRefBased/>
  <w15:docId w15:val="{C49A7314-8588-4024-9362-A76E3C10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0FAD"/>
    <w:pPr>
      <w:spacing w:after="240" w:line="240" w:lineRule="auto"/>
    </w:pPr>
  </w:style>
  <w:style w:type="paragraph" w:styleId="Naslov1">
    <w:name w:val="heading 1"/>
    <w:basedOn w:val="Navaden"/>
    <w:next w:val="Navaden"/>
    <w:link w:val="Naslov1Znak"/>
    <w:uiPriority w:val="9"/>
    <w:qFormat/>
    <w:rsid w:val="00B20FAD"/>
    <w:pPr>
      <w:keepNext/>
      <w:keepLines/>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B20FAD"/>
    <w:pPr>
      <w:keepNext/>
      <w:keepLines/>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CD6C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0FA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B20FAD"/>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uiPriority w:val="34"/>
    <w:qFormat/>
    <w:rsid w:val="00B20FAD"/>
    <w:pPr>
      <w:ind w:left="720"/>
      <w:contextualSpacing/>
    </w:pPr>
  </w:style>
  <w:style w:type="paragraph" w:styleId="Sprotnaopomba-besedilo">
    <w:name w:val="footnote text"/>
    <w:basedOn w:val="Navaden"/>
    <w:link w:val="Sprotnaopomba-besediloZnak"/>
    <w:uiPriority w:val="99"/>
    <w:semiHidden/>
    <w:unhideWhenUsed/>
    <w:rsid w:val="00F2421E"/>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F2421E"/>
    <w:rPr>
      <w:sz w:val="20"/>
      <w:szCs w:val="20"/>
    </w:rPr>
  </w:style>
  <w:style w:type="character" w:styleId="Sprotnaopomba-sklic">
    <w:name w:val="footnote reference"/>
    <w:basedOn w:val="Privzetapisavaodstavka"/>
    <w:uiPriority w:val="99"/>
    <w:semiHidden/>
    <w:unhideWhenUsed/>
    <w:rsid w:val="00F2421E"/>
    <w:rPr>
      <w:vertAlign w:val="superscript"/>
    </w:rPr>
  </w:style>
  <w:style w:type="character" w:styleId="Hiperpovezava">
    <w:name w:val="Hyperlink"/>
    <w:basedOn w:val="Privzetapisavaodstavka"/>
    <w:uiPriority w:val="99"/>
    <w:unhideWhenUsed/>
    <w:rsid w:val="00C5296C"/>
    <w:rPr>
      <w:color w:val="0563C1" w:themeColor="hyperlink"/>
      <w:u w:val="single"/>
    </w:rPr>
  </w:style>
  <w:style w:type="table" w:styleId="Tabelamrea">
    <w:name w:val="Table Grid"/>
    <w:basedOn w:val="Navadnatabela"/>
    <w:uiPriority w:val="39"/>
    <w:rsid w:val="00FA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762C1A"/>
  </w:style>
  <w:style w:type="paragraph" w:styleId="Glava">
    <w:name w:val="header"/>
    <w:basedOn w:val="Navaden"/>
    <w:link w:val="GlavaZnak"/>
    <w:uiPriority w:val="99"/>
    <w:unhideWhenUsed/>
    <w:rsid w:val="00154F7F"/>
    <w:pPr>
      <w:tabs>
        <w:tab w:val="center" w:pos="4536"/>
        <w:tab w:val="right" w:pos="9072"/>
      </w:tabs>
      <w:spacing w:after="0"/>
    </w:pPr>
  </w:style>
  <w:style w:type="character" w:customStyle="1" w:styleId="GlavaZnak">
    <w:name w:val="Glava Znak"/>
    <w:basedOn w:val="Privzetapisavaodstavka"/>
    <w:link w:val="Glava"/>
    <w:uiPriority w:val="99"/>
    <w:rsid w:val="00154F7F"/>
  </w:style>
  <w:style w:type="paragraph" w:styleId="Noga">
    <w:name w:val="footer"/>
    <w:basedOn w:val="Navaden"/>
    <w:link w:val="NogaZnak"/>
    <w:uiPriority w:val="99"/>
    <w:unhideWhenUsed/>
    <w:rsid w:val="00154F7F"/>
    <w:pPr>
      <w:tabs>
        <w:tab w:val="center" w:pos="4536"/>
        <w:tab w:val="right" w:pos="9072"/>
      </w:tabs>
      <w:spacing w:after="0"/>
    </w:pPr>
  </w:style>
  <w:style w:type="character" w:customStyle="1" w:styleId="NogaZnak">
    <w:name w:val="Noga Znak"/>
    <w:basedOn w:val="Privzetapisavaodstavka"/>
    <w:link w:val="Noga"/>
    <w:uiPriority w:val="99"/>
    <w:rsid w:val="00154F7F"/>
  </w:style>
  <w:style w:type="paragraph" w:styleId="NaslovTOC">
    <w:name w:val="TOC Heading"/>
    <w:basedOn w:val="Naslov1"/>
    <w:next w:val="Navaden"/>
    <w:uiPriority w:val="39"/>
    <w:unhideWhenUsed/>
    <w:qFormat/>
    <w:rsid w:val="00A574CD"/>
    <w:pPr>
      <w:outlineLvl w:val="9"/>
    </w:pPr>
    <w:rPr>
      <w:lang w:eastAsia="sl-SI"/>
    </w:rPr>
  </w:style>
  <w:style w:type="paragraph" w:styleId="Kazalovsebine1">
    <w:name w:val="toc 1"/>
    <w:basedOn w:val="Navaden"/>
    <w:next w:val="Navaden"/>
    <w:autoRedefine/>
    <w:uiPriority w:val="39"/>
    <w:unhideWhenUsed/>
    <w:rsid w:val="00A574CD"/>
    <w:pPr>
      <w:spacing w:after="100"/>
    </w:pPr>
  </w:style>
  <w:style w:type="paragraph" w:styleId="Kazalovsebine2">
    <w:name w:val="toc 2"/>
    <w:basedOn w:val="Navaden"/>
    <w:next w:val="Navaden"/>
    <w:autoRedefine/>
    <w:uiPriority w:val="39"/>
    <w:unhideWhenUsed/>
    <w:rsid w:val="00A574CD"/>
    <w:pPr>
      <w:spacing w:after="100"/>
      <w:ind w:left="220"/>
    </w:pPr>
  </w:style>
  <w:style w:type="paragraph" w:styleId="Besedilooblaka">
    <w:name w:val="Balloon Text"/>
    <w:basedOn w:val="Navaden"/>
    <w:link w:val="BesedilooblakaZnak"/>
    <w:uiPriority w:val="99"/>
    <w:semiHidden/>
    <w:unhideWhenUsed/>
    <w:rsid w:val="00264DBF"/>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4DBF"/>
    <w:rPr>
      <w:rFonts w:ascii="Segoe UI" w:hAnsi="Segoe UI" w:cs="Segoe UI"/>
      <w:sz w:val="18"/>
      <w:szCs w:val="18"/>
    </w:rPr>
  </w:style>
  <w:style w:type="character" w:styleId="Pripombasklic">
    <w:name w:val="annotation reference"/>
    <w:basedOn w:val="Privzetapisavaodstavka"/>
    <w:uiPriority w:val="99"/>
    <w:semiHidden/>
    <w:unhideWhenUsed/>
    <w:rsid w:val="00436AA8"/>
    <w:rPr>
      <w:sz w:val="16"/>
      <w:szCs w:val="16"/>
    </w:rPr>
  </w:style>
  <w:style w:type="paragraph" w:styleId="Pripombabesedilo">
    <w:name w:val="annotation text"/>
    <w:basedOn w:val="Navaden"/>
    <w:link w:val="PripombabesediloZnak"/>
    <w:uiPriority w:val="99"/>
    <w:unhideWhenUsed/>
    <w:rsid w:val="00436AA8"/>
    <w:rPr>
      <w:sz w:val="20"/>
      <w:szCs w:val="20"/>
    </w:rPr>
  </w:style>
  <w:style w:type="character" w:customStyle="1" w:styleId="PripombabesediloZnak">
    <w:name w:val="Pripomba – besedilo Znak"/>
    <w:basedOn w:val="Privzetapisavaodstavka"/>
    <w:link w:val="Pripombabesedilo"/>
    <w:uiPriority w:val="99"/>
    <w:rsid w:val="00436AA8"/>
    <w:rPr>
      <w:sz w:val="20"/>
      <w:szCs w:val="20"/>
    </w:rPr>
  </w:style>
  <w:style w:type="paragraph" w:styleId="Zadevapripombe">
    <w:name w:val="annotation subject"/>
    <w:basedOn w:val="Pripombabesedilo"/>
    <w:next w:val="Pripombabesedilo"/>
    <w:link w:val="ZadevapripombeZnak"/>
    <w:uiPriority w:val="99"/>
    <w:semiHidden/>
    <w:unhideWhenUsed/>
    <w:rsid w:val="00436AA8"/>
    <w:rPr>
      <w:b/>
      <w:bCs/>
    </w:rPr>
  </w:style>
  <w:style w:type="character" w:customStyle="1" w:styleId="ZadevapripombeZnak">
    <w:name w:val="Zadeva pripombe Znak"/>
    <w:basedOn w:val="PripombabesediloZnak"/>
    <w:link w:val="Zadevapripombe"/>
    <w:uiPriority w:val="99"/>
    <w:semiHidden/>
    <w:rsid w:val="00436AA8"/>
    <w:rPr>
      <w:b/>
      <w:bCs/>
      <w:sz w:val="20"/>
      <w:szCs w:val="20"/>
    </w:rPr>
  </w:style>
  <w:style w:type="paragraph" w:styleId="Revizija">
    <w:name w:val="Revision"/>
    <w:hidden/>
    <w:uiPriority w:val="99"/>
    <w:semiHidden/>
    <w:rsid w:val="002D7A64"/>
    <w:pPr>
      <w:spacing w:after="0" w:line="240" w:lineRule="auto"/>
    </w:pPr>
  </w:style>
  <w:style w:type="paragraph" w:styleId="Navadensplet">
    <w:name w:val="Normal (Web)"/>
    <w:basedOn w:val="Navaden"/>
    <w:uiPriority w:val="99"/>
    <w:semiHidden/>
    <w:unhideWhenUsed/>
    <w:rsid w:val="00B22B59"/>
    <w:pPr>
      <w:spacing w:before="100" w:beforeAutospacing="1" w:after="100" w:afterAutospacing="1"/>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2B59"/>
    <w:rPr>
      <w:b/>
      <w:bCs/>
    </w:rPr>
  </w:style>
  <w:style w:type="paragraph" w:customStyle="1" w:styleId="Standard">
    <w:name w:val="Standard"/>
    <w:rsid w:val="0070172A"/>
    <w:pPr>
      <w:suppressAutoHyphens/>
      <w:autoSpaceDN w:val="0"/>
      <w:spacing w:after="0" w:line="240" w:lineRule="auto"/>
      <w:textAlignment w:val="baseline"/>
    </w:pPr>
    <w:rPr>
      <w:rFonts w:ascii="Carlito" w:eastAsia="Noto Serif CJK SC" w:hAnsi="Carlito" w:cs="Noto Sans Devanagari"/>
      <w:kern w:val="3"/>
      <w:sz w:val="24"/>
      <w:szCs w:val="24"/>
      <w:lang w:eastAsia="zh-CN" w:bidi="hi-IN"/>
    </w:rPr>
  </w:style>
  <w:style w:type="paragraph" w:styleId="Konnaopomba-besedilo">
    <w:name w:val="endnote text"/>
    <w:basedOn w:val="Navaden"/>
    <w:link w:val="Konnaopomba-besediloZnak"/>
    <w:uiPriority w:val="99"/>
    <w:semiHidden/>
    <w:unhideWhenUsed/>
    <w:rsid w:val="00E22BAD"/>
    <w:pPr>
      <w:spacing w:after="0"/>
    </w:pPr>
    <w:rPr>
      <w:sz w:val="20"/>
      <w:szCs w:val="20"/>
    </w:rPr>
  </w:style>
  <w:style w:type="character" w:customStyle="1" w:styleId="Konnaopomba-besediloZnak">
    <w:name w:val="Končna opomba - besedilo Znak"/>
    <w:basedOn w:val="Privzetapisavaodstavka"/>
    <w:link w:val="Konnaopomba-besedilo"/>
    <w:uiPriority w:val="99"/>
    <w:semiHidden/>
    <w:rsid w:val="00E22BAD"/>
    <w:rPr>
      <w:sz w:val="20"/>
      <w:szCs w:val="20"/>
    </w:rPr>
  </w:style>
  <w:style w:type="character" w:styleId="Konnaopomba-sklic">
    <w:name w:val="endnote reference"/>
    <w:basedOn w:val="Privzetapisavaodstavka"/>
    <w:uiPriority w:val="99"/>
    <w:semiHidden/>
    <w:unhideWhenUsed/>
    <w:rsid w:val="00E22BAD"/>
    <w:rPr>
      <w:vertAlign w:val="superscript"/>
    </w:rPr>
  </w:style>
  <w:style w:type="character" w:customStyle="1" w:styleId="Naslov3Znak">
    <w:name w:val="Naslov 3 Znak"/>
    <w:basedOn w:val="Privzetapisavaodstavka"/>
    <w:link w:val="Naslov3"/>
    <w:uiPriority w:val="9"/>
    <w:rsid w:val="00CD6C9F"/>
    <w:rPr>
      <w:rFonts w:asciiTheme="majorHAnsi" w:eastAsiaTheme="majorEastAsia" w:hAnsiTheme="majorHAnsi" w:cstheme="majorBidi"/>
      <w:color w:val="1F4D78" w:themeColor="accent1" w:themeShade="7F"/>
      <w:sz w:val="24"/>
      <w:szCs w:val="24"/>
    </w:rPr>
  </w:style>
  <w:style w:type="paragraph" w:styleId="Kazalovsebine3">
    <w:name w:val="toc 3"/>
    <w:basedOn w:val="Navaden"/>
    <w:next w:val="Navaden"/>
    <w:autoRedefine/>
    <w:uiPriority w:val="39"/>
    <w:unhideWhenUsed/>
    <w:rsid w:val="00621ECF"/>
    <w:pPr>
      <w:spacing w:after="100"/>
      <w:ind w:left="440"/>
    </w:pPr>
  </w:style>
  <w:style w:type="character" w:styleId="Nerazreenaomemba">
    <w:name w:val="Unresolved Mention"/>
    <w:basedOn w:val="Privzetapisavaodstavka"/>
    <w:uiPriority w:val="99"/>
    <w:semiHidden/>
    <w:unhideWhenUsed/>
    <w:rsid w:val="00DA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8121">
      <w:bodyDiv w:val="1"/>
      <w:marLeft w:val="0"/>
      <w:marRight w:val="0"/>
      <w:marTop w:val="0"/>
      <w:marBottom w:val="0"/>
      <w:divBdr>
        <w:top w:val="none" w:sz="0" w:space="0" w:color="auto"/>
        <w:left w:val="none" w:sz="0" w:space="0" w:color="auto"/>
        <w:bottom w:val="none" w:sz="0" w:space="0" w:color="auto"/>
        <w:right w:val="none" w:sz="0" w:space="0" w:color="auto"/>
      </w:divBdr>
    </w:div>
    <w:div w:id="163516434">
      <w:bodyDiv w:val="1"/>
      <w:marLeft w:val="0"/>
      <w:marRight w:val="0"/>
      <w:marTop w:val="0"/>
      <w:marBottom w:val="0"/>
      <w:divBdr>
        <w:top w:val="none" w:sz="0" w:space="0" w:color="auto"/>
        <w:left w:val="none" w:sz="0" w:space="0" w:color="auto"/>
        <w:bottom w:val="none" w:sz="0" w:space="0" w:color="auto"/>
        <w:right w:val="none" w:sz="0" w:space="0" w:color="auto"/>
      </w:divBdr>
    </w:div>
    <w:div w:id="289361744">
      <w:bodyDiv w:val="1"/>
      <w:marLeft w:val="0"/>
      <w:marRight w:val="0"/>
      <w:marTop w:val="0"/>
      <w:marBottom w:val="0"/>
      <w:divBdr>
        <w:top w:val="none" w:sz="0" w:space="0" w:color="auto"/>
        <w:left w:val="none" w:sz="0" w:space="0" w:color="auto"/>
        <w:bottom w:val="none" w:sz="0" w:space="0" w:color="auto"/>
        <w:right w:val="none" w:sz="0" w:space="0" w:color="auto"/>
      </w:divBdr>
    </w:div>
    <w:div w:id="473765260">
      <w:bodyDiv w:val="1"/>
      <w:marLeft w:val="0"/>
      <w:marRight w:val="0"/>
      <w:marTop w:val="0"/>
      <w:marBottom w:val="0"/>
      <w:divBdr>
        <w:top w:val="none" w:sz="0" w:space="0" w:color="auto"/>
        <w:left w:val="none" w:sz="0" w:space="0" w:color="auto"/>
        <w:bottom w:val="none" w:sz="0" w:space="0" w:color="auto"/>
        <w:right w:val="none" w:sz="0" w:space="0" w:color="auto"/>
      </w:divBdr>
    </w:div>
    <w:div w:id="532576835">
      <w:bodyDiv w:val="1"/>
      <w:marLeft w:val="0"/>
      <w:marRight w:val="0"/>
      <w:marTop w:val="0"/>
      <w:marBottom w:val="0"/>
      <w:divBdr>
        <w:top w:val="none" w:sz="0" w:space="0" w:color="auto"/>
        <w:left w:val="none" w:sz="0" w:space="0" w:color="auto"/>
        <w:bottom w:val="none" w:sz="0" w:space="0" w:color="auto"/>
        <w:right w:val="none" w:sz="0" w:space="0" w:color="auto"/>
      </w:divBdr>
    </w:div>
    <w:div w:id="597300838">
      <w:bodyDiv w:val="1"/>
      <w:marLeft w:val="0"/>
      <w:marRight w:val="0"/>
      <w:marTop w:val="0"/>
      <w:marBottom w:val="0"/>
      <w:divBdr>
        <w:top w:val="none" w:sz="0" w:space="0" w:color="auto"/>
        <w:left w:val="none" w:sz="0" w:space="0" w:color="auto"/>
        <w:bottom w:val="none" w:sz="0" w:space="0" w:color="auto"/>
        <w:right w:val="none" w:sz="0" w:space="0" w:color="auto"/>
      </w:divBdr>
    </w:div>
    <w:div w:id="1338993626">
      <w:bodyDiv w:val="1"/>
      <w:marLeft w:val="0"/>
      <w:marRight w:val="0"/>
      <w:marTop w:val="0"/>
      <w:marBottom w:val="0"/>
      <w:divBdr>
        <w:top w:val="none" w:sz="0" w:space="0" w:color="auto"/>
        <w:left w:val="none" w:sz="0" w:space="0" w:color="auto"/>
        <w:bottom w:val="none" w:sz="0" w:space="0" w:color="auto"/>
        <w:right w:val="none" w:sz="0" w:space="0" w:color="auto"/>
      </w:divBdr>
    </w:div>
    <w:div w:id="1359427326">
      <w:bodyDiv w:val="1"/>
      <w:marLeft w:val="0"/>
      <w:marRight w:val="0"/>
      <w:marTop w:val="0"/>
      <w:marBottom w:val="0"/>
      <w:divBdr>
        <w:top w:val="none" w:sz="0" w:space="0" w:color="auto"/>
        <w:left w:val="none" w:sz="0" w:space="0" w:color="auto"/>
        <w:bottom w:val="none" w:sz="0" w:space="0" w:color="auto"/>
        <w:right w:val="none" w:sz="0" w:space="0" w:color="auto"/>
      </w:divBdr>
    </w:div>
    <w:div w:id="1512715610">
      <w:bodyDiv w:val="1"/>
      <w:marLeft w:val="0"/>
      <w:marRight w:val="0"/>
      <w:marTop w:val="0"/>
      <w:marBottom w:val="0"/>
      <w:divBdr>
        <w:top w:val="none" w:sz="0" w:space="0" w:color="auto"/>
        <w:left w:val="none" w:sz="0" w:space="0" w:color="auto"/>
        <w:bottom w:val="none" w:sz="0" w:space="0" w:color="auto"/>
        <w:right w:val="none" w:sz="0" w:space="0" w:color="auto"/>
      </w:divBdr>
    </w:div>
    <w:div w:id="1731224141">
      <w:bodyDiv w:val="1"/>
      <w:marLeft w:val="0"/>
      <w:marRight w:val="0"/>
      <w:marTop w:val="0"/>
      <w:marBottom w:val="0"/>
      <w:divBdr>
        <w:top w:val="none" w:sz="0" w:space="0" w:color="auto"/>
        <w:left w:val="none" w:sz="0" w:space="0" w:color="auto"/>
        <w:bottom w:val="none" w:sz="0" w:space="0" w:color="auto"/>
        <w:right w:val="none" w:sz="0" w:space="0" w:color="auto"/>
      </w:divBdr>
    </w:div>
    <w:div w:id="1847864237">
      <w:bodyDiv w:val="1"/>
      <w:marLeft w:val="0"/>
      <w:marRight w:val="0"/>
      <w:marTop w:val="0"/>
      <w:marBottom w:val="0"/>
      <w:divBdr>
        <w:top w:val="none" w:sz="0" w:space="0" w:color="auto"/>
        <w:left w:val="none" w:sz="0" w:space="0" w:color="auto"/>
        <w:bottom w:val="none" w:sz="0" w:space="0" w:color="auto"/>
        <w:right w:val="none" w:sz="0" w:space="0" w:color="auto"/>
      </w:divBdr>
    </w:div>
    <w:div w:id="1912695893">
      <w:bodyDiv w:val="1"/>
      <w:marLeft w:val="0"/>
      <w:marRight w:val="0"/>
      <w:marTop w:val="0"/>
      <w:marBottom w:val="0"/>
      <w:divBdr>
        <w:top w:val="none" w:sz="0" w:space="0" w:color="auto"/>
        <w:left w:val="none" w:sz="0" w:space="0" w:color="auto"/>
        <w:bottom w:val="none" w:sz="0" w:space="0" w:color="auto"/>
        <w:right w:val="none" w:sz="0" w:space="0" w:color="auto"/>
      </w:divBdr>
    </w:div>
    <w:div w:id="1938557407">
      <w:bodyDiv w:val="1"/>
      <w:marLeft w:val="0"/>
      <w:marRight w:val="0"/>
      <w:marTop w:val="0"/>
      <w:marBottom w:val="0"/>
      <w:divBdr>
        <w:top w:val="none" w:sz="0" w:space="0" w:color="auto"/>
        <w:left w:val="none" w:sz="0" w:space="0" w:color="auto"/>
        <w:bottom w:val="none" w:sz="0" w:space="0" w:color="auto"/>
        <w:right w:val="none" w:sz="0" w:space="0" w:color="auto"/>
      </w:divBdr>
    </w:div>
    <w:div w:id="2060745529">
      <w:bodyDiv w:val="1"/>
      <w:marLeft w:val="0"/>
      <w:marRight w:val="0"/>
      <w:marTop w:val="0"/>
      <w:marBottom w:val="0"/>
      <w:divBdr>
        <w:top w:val="none" w:sz="0" w:space="0" w:color="auto"/>
        <w:left w:val="none" w:sz="0" w:space="0" w:color="auto"/>
        <w:bottom w:val="none" w:sz="0" w:space="0" w:color="auto"/>
        <w:right w:val="none" w:sz="0" w:space="0" w:color="auto"/>
      </w:divBdr>
    </w:div>
    <w:div w:id="20898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opskasredstva.si" TargetMode="Externa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ontent/dam/oecd/en/about/programmes/cfe/administrative-capacity-building/administrative-capacity-building-self-assessment-instrument.pdf/_jcr_content/renditions/original./administrative-capacity-building-self-assessment-instrument.pdf" TargetMode="External"/><Relationship Id="rId1" Type="http://schemas.openxmlformats.org/officeDocument/2006/relationships/hyperlink" Target="https://ec.europa.eu/regional_policy/en/information/publications/guides/2020/roadmaps-for-administrative-capacity-building-practical-toolk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BD16BB-100E-4518-9E3B-A1A550ED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6348</Words>
  <Characters>36184</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Mihalic</dc:creator>
  <cp:keywords/>
  <dc:description/>
  <cp:lastModifiedBy>Nataša Kogej Starašinič</cp:lastModifiedBy>
  <cp:revision>2</cp:revision>
  <cp:lastPrinted>2025-03-14T07:33:00Z</cp:lastPrinted>
  <dcterms:created xsi:type="dcterms:W3CDTF">2025-03-26T09:15:00Z</dcterms:created>
  <dcterms:modified xsi:type="dcterms:W3CDTF">2025-03-26T09:15:00Z</dcterms:modified>
</cp:coreProperties>
</file>