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8.xml" ContentType="application/vnd.openxmlformats-officedocument.wordprocessingml.foot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17363" w14:textId="2DFB1403" w:rsidR="00242E68" w:rsidRPr="00242E68" w:rsidRDefault="00242E68" w:rsidP="00242E68">
      <w:pPr>
        <w:suppressAutoHyphens w:val="0"/>
        <w:autoSpaceDN/>
        <w:spacing w:after="0" w:line="240" w:lineRule="auto"/>
        <w:rPr>
          <w:rFonts w:ascii="Times New Roman" w:hAnsi="Times New Roman"/>
          <w:b/>
          <w:bCs/>
          <w:sz w:val="24"/>
          <w:szCs w:val="24"/>
          <w:lang w:eastAsia="en-US"/>
        </w:rPr>
      </w:pPr>
      <w:r w:rsidRPr="00F425EA">
        <w:rPr>
          <w:rFonts w:cs="Arial"/>
          <w:noProof/>
        </w:rPr>
        <w:drawing>
          <wp:anchor distT="0" distB="0" distL="114300" distR="114300" simplePos="0" relativeHeight="251658240" behindDoc="0" locked="0" layoutInCell="1" allowOverlap="1" wp14:anchorId="39284406" wp14:editId="1062B2C1">
            <wp:simplePos x="0" y="0"/>
            <wp:positionH relativeFrom="margin">
              <wp:posOffset>3961179</wp:posOffset>
            </wp:positionH>
            <wp:positionV relativeFrom="margin">
              <wp:posOffset>94971</wp:posOffset>
            </wp:positionV>
            <wp:extent cx="2167886" cy="686430"/>
            <wp:effectExtent l="0" t="0" r="3814" b="0"/>
            <wp:wrapSquare wrapText="bothSides"/>
            <wp:docPr id="565470481" name="Slika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l="64594"/>
                    <a:stretch>
                      <a:fillRect/>
                    </a:stretch>
                  </pic:blipFill>
                  <pic:spPr>
                    <a:xfrm>
                      <a:off x="0" y="0"/>
                      <a:ext cx="2167886" cy="686430"/>
                    </a:xfrm>
                    <a:prstGeom prst="rect">
                      <a:avLst/>
                    </a:prstGeom>
                    <a:noFill/>
                    <a:ln>
                      <a:noFill/>
                      <a:prstDash/>
                    </a:ln>
                  </pic:spPr>
                </pic:pic>
              </a:graphicData>
            </a:graphic>
          </wp:anchor>
        </w:drawing>
      </w:r>
      <w:r w:rsidRPr="00242E68">
        <w:rPr>
          <w:rFonts w:ascii="Times New Roman" w:hAnsi="Times New Roman"/>
          <w:b/>
          <w:bCs/>
          <w:noProof/>
          <w:sz w:val="24"/>
          <w:szCs w:val="24"/>
          <w:lang w:eastAsia="en-US"/>
        </w:rPr>
        <w:drawing>
          <wp:anchor distT="0" distB="0" distL="114300" distR="114300" simplePos="0" relativeHeight="251659264" behindDoc="1" locked="0" layoutInCell="1" allowOverlap="1" wp14:anchorId="4953DB75" wp14:editId="2966BA94">
            <wp:simplePos x="0" y="0"/>
            <wp:positionH relativeFrom="column">
              <wp:posOffset>-176481</wp:posOffset>
            </wp:positionH>
            <wp:positionV relativeFrom="paragraph">
              <wp:posOffset>130629</wp:posOffset>
            </wp:positionV>
            <wp:extent cx="3847465" cy="368300"/>
            <wp:effectExtent l="0" t="0" r="635" b="0"/>
            <wp:wrapTight wrapText="bothSides">
              <wp:wrapPolygon edited="0">
                <wp:start x="321" y="0"/>
                <wp:lineTo x="0" y="1117"/>
                <wp:lineTo x="0" y="11172"/>
                <wp:lineTo x="428" y="20110"/>
                <wp:lineTo x="21497" y="20110"/>
                <wp:lineTo x="21497" y="8938"/>
                <wp:lineTo x="12192" y="2234"/>
                <wp:lineTo x="1283" y="0"/>
                <wp:lineTo x="321" y="0"/>
              </wp:wrapPolygon>
            </wp:wrapTight>
            <wp:docPr id="1736772353" name="Slika 17367723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772353" name="Slika 1736772353">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47465" cy="368300"/>
                    </a:xfrm>
                    <a:prstGeom prst="rect">
                      <a:avLst/>
                    </a:prstGeom>
                    <a:noFill/>
                    <a:ln>
                      <a:noFill/>
                    </a:ln>
                  </pic:spPr>
                </pic:pic>
              </a:graphicData>
            </a:graphic>
          </wp:anchor>
        </w:drawing>
      </w:r>
    </w:p>
    <w:p w14:paraId="6E2493F3" w14:textId="0867CC98" w:rsidR="00242E68" w:rsidRPr="00242E68" w:rsidRDefault="00242E68" w:rsidP="00242E68">
      <w:pPr>
        <w:tabs>
          <w:tab w:val="center" w:pos="4536"/>
          <w:tab w:val="left" w:pos="6663"/>
          <w:tab w:val="right" w:pos="9072"/>
        </w:tabs>
        <w:suppressAutoHyphens w:val="0"/>
        <w:autoSpaceDN/>
        <w:spacing w:after="0" w:line="240" w:lineRule="exact"/>
        <w:ind w:left="709"/>
        <w:rPr>
          <w:rFonts w:eastAsiaTheme="minorHAnsi" w:cs="Arial"/>
          <w:kern w:val="2"/>
          <w:szCs w:val="20"/>
          <w:lang w:eastAsia="en-US"/>
          <w14:ligatures w14:val="standardContextual"/>
        </w:rPr>
      </w:pPr>
      <w:r w:rsidRPr="00242E68">
        <w:rPr>
          <w:rFonts w:eastAsiaTheme="minorHAnsi" w:cs="Arial"/>
          <w:kern w:val="2"/>
          <w:szCs w:val="20"/>
          <w:lang w:eastAsia="en-US"/>
          <w14:ligatures w14:val="standardContextual"/>
        </w:rPr>
        <w:t xml:space="preserve"> </w:t>
      </w:r>
    </w:p>
    <w:p w14:paraId="05843647" w14:textId="77777777" w:rsidR="00242E68" w:rsidRDefault="00242E68" w:rsidP="00242E68">
      <w:pPr>
        <w:tabs>
          <w:tab w:val="center" w:pos="4536"/>
          <w:tab w:val="left" w:pos="6663"/>
          <w:tab w:val="right" w:pos="9072"/>
        </w:tabs>
        <w:suppressAutoHyphens w:val="0"/>
        <w:autoSpaceDN/>
        <w:spacing w:after="0" w:line="240" w:lineRule="exact"/>
        <w:ind w:left="709"/>
        <w:rPr>
          <w:rFonts w:eastAsiaTheme="minorHAnsi" w:cs="Arial"/>
          <w:kern w:val="2"/>
          <w:sz w:val="16"/>
          <w:szCs w:val="16"/>
          <w:lang w:eastAsia="en-US"/>
          <w14:ligatures w14:val="standardContextual"/>
        </w:rPr>
      </w:pPr>
    </w:p>
    <w:p w14:paraId="5193815D" w14:textId="402769AB" w:rsidR="000E7A5A" w:rsidRPr="00F425EA" w:rsidRDefault="000E7A5A" w:rsidP="00E247FF">
      <w:pPr>
        <w:pStyle w:val="Brezrazmikov"/>
        <w:spacing w:line="276" w:lineRule="auto"/>
        <w:jc w:val="both"/>
        <w:rPr>
          <w:rFonts w:ascii="Arial" w:hAnsi="Arial" w:cs="Arial"/>
          <w:lang w:val="it-IT"/>
        </w:rPr>
      </w:pPr>
    </w:p>
    <w:p w14:paraId="22D69B9D" w14:textId="377360DE" w:rsidR="000E7A5A" w:rsidRPr="00F425EA" w:rsidRDefault="000E7A5A" w:rsidP="00E247FF">
      <w:pPr>
        <w:pStyle w:val="Brezrazmikov"/>
        <w:spacing w:line="276" w:lineRule="auto"/>
        <w:jc w:val="both"/>
        <w:rPr>
          <w:rFonts w:ascii="Arial" w:hAnsi="Arial" w:cs="Arial"/>
          <w:lang w:val="it-IT"/>
        </w:rPr>
      </w:pPr>
    </w:p>
    <w:p w14:paraId="1E1C8CCF" w14:textId="6B9AD570" w:rsidR="000E7A5A" w:rsidRPr="00F425EA" w:rsidRDefault="000E7A5A" w:rsidP="00E247FF">
      <w:pPr>
        <w:pStyle w:val="Brezrazmikov"/>
        <w:spacing w:line="276" w:lineRule="auto"/>
        <w:jc w:val="both"/>
        <w:rPr>
          <w:rFonts w:ascii="Arial" w:hAnsi="Arial" w:cs="Arial"/>
        </w:rPr>
      </w:pPr>
    </w:p>
    <w:p w14:paraId="4852B292" w14:textId="77777777" w:rsidR="000E7A5A" w:rsidRPr="00F425EA" w:rsidRDefault="000E7A5A" w:rsidP="00E247FF">
      <w:pPr>
        <w:pStyle w:val="Brezrazmikov"/>
        <w:spacing w:line="276" w:lineRule="auto"/>
        <w:jc w:val="both"/>
        <w:rPr>
          <w:rFonts w:ascii="Arial" w:hAnsi="Arial" w:cs="Arial"/>
        </w:rPr>
      </w:pPr>
    </w:p>
    <w:p w14:paraId="27996EEC" w14:textId="77777777" w:rsidR="000E7A5A" w:rsidRPr="00F425EA" w:rsidRDefault="000E7A5A" w:rsidP="00E247FF">
      <w:pPr>
        <w:pStyle w:val="Brezrazmikov"/>
        <w:spacing w:line="276" w:lineRule="auto"/>
        <w:jc w:val="both"/>
        <w:rPr>
          <w:rFonts w:ascii="Arial" w:hAnsi="Arial" w:cs="Arial"/>
        </w:rPr>
      </w:pPr>
    </w:p>
    <w:p w14:paraId="44410C15" w14:textId="3981E06C" w:rsidR="000E7A5A" w:rsidRPr="00F425EA" w:rsidRDefault="000E7A5A" w:rsidP="00E247FF">
      <w:pPr>
        <w:pStyle w:val="Brezrazmikov"/>
        <w:spacing w:line="276" w:lineRule="auto"/>
        <w:jc w:val="both"/>
        <w:rPr>
          <w:rFonts w:ascii="Arial" w:hAnsi="Arial" w:cs="Arial"/>
        </w:rPr>
      </w:pPr>
    </w:p>
    <w:p w14:paraId="0E794BE3" w14:textId="77777777" w:rsidR="000E7A5A" w:rsidRPr="00F425EA" w:rsidRDefault="000E7A5A" w:rsidP="00E247FF">
      <w:pPr>
        <w:pStyle w:val="Brezrazmikov"/>
        <w:spacing w:line="276" w:lineRule="auto"/>
        <w:jc w:val="both"/>
        <w:rPr>
          <w:rFonts w:ascii="Arial" w:hAnsi="Arial" w:cs="Arial"/>
        </w:rPr>
      </w:pPr>
    </w:p>
    <w:p w14:paraId="5E60F72A" w14:textId="77777777" w:rsidR="000E7A5A" w:rsidRPr="00F425EA" w:rsidRDefault="000E7A5A" w:rsidP="00E247FF">
      <w:pPr>
        <w:pStyle w:val="Brezrazmikov"/>
        <w:spacing w:line="276" w:lineRule="auto"/>
        <w:jc w:val="both"/>
        <w:rPr>
          <w:rFonts w:ascii="Arial" w:hAnsi="Arial" w:cs="Arial"/>
        </w:rPr>
      </w:pPr>
    </w:p>
    <w:p w14:paraId="48F6ECD6" w14:textId="77777777" w:rsidR="000E7A5A" w:rsidRPr="00F425EA" w:rsidRDefault="00306071" w:rsidP="00E247FF">
      <w:pPr>
        <w:pStyle w:val="Brezrazmikov"/>
        <w:spacing w:line="276" w:lineRule="auto"/>
        <w:jc w:val="both"/>
        <w:rPr>
          <w:rFonts w:ascii="Arial" w:hAnsi="Arial" w:cs="Arial"/>
        </w:rPr>
      </w:pPr>
      <w:r w:rsidRPr="00F425EA">
        <w:rPr>
          <w:rFonts w:ascii="Arial" w:hAnsi="Arial" w:cs="Arial"/>
          <w:noProof/>
        </w:rPr>
        <mc:AlternateContent>
          <mc:Choice Requires="wps">
            <w:drawing>
              <wp:anchor distT="0" distB="0" distL="114300" distR="114300" simplePos="0" relativeHeight="251656192" behindDoc="0" locked="0" layoutInCell="1" allowOverlap="1" wp14:anchorId="4FAE5D60" wp14:editId="6F411A77">
                <wp:simplePos x="0" y="0"/>
                <wp:positionH relativeFrom="page">
                  <wp:posOffset>1395731</wp:posOffset>
                </wp:positionH>
                <wp:positionV relativeFrom="page">
                  <wp:posOffset>3448046</wp:posOffset>
                </wp:positionV>
                <wp:extent cx="5572125" cy="1228094"/>
                <wp:effectExtent l="0" t="0" r="9525" b="10156"/>
                <wp:wrapNone/>
                <wp:docPr id="1664359588" name="Polje z besedilom 1"/>
                <wp:cNvGraphicFramePr/>
                <a:graphic xmlns:a="http://schemas.openxmlformats.org/drawingml/2006/main">
                  <a:graphicData uri="http://schemas.microsoft.com/office/word/2010/wordprocessingShape">
                    <wps:wsp>
                      <wps:cNvSpPr txBox="1"/>
                      <wps:spPr>
                        <a:xfrm>
                          <a:off x="0" y="0"/>
                          <a:ext cx="5572125" cy="1228094"/>
                        </a:xfrm>
                        <a:prstGeom prst="rect">
                          <a:avLst/>
                        </a:prstGeom>
                        <a:noFill/>
                        <a:ln>
                          <a:noFill/>
                          <a:prstDash/>
                        </a:ln>
                      </wps:spPr>
                      <wps:txbx>
                        <w:txbxContent>
                          <w:p w14:paraId="3D8AB96B" w14:textId="77777777" w:rsidR="000E7A5A" w:rsidRDefault="00306071">
                            <w:pPr>
                              <w:pStyle w:val="Brezrazmikov"/>
                              <w:spacing w:line="288" w:lineRule="auto"/>
                              <w:jc w:val="center"/>
                            </w:pPr>
                            <w:r>
                              <w:rPr>
                                <w:rFonts w:eastAsia="SimSun" w:cs="Calibri"/>
                                <w:b/>
                                <w:bCs/>
                                <w:color w:val="0070C0"/>
                                <w:sz w:val="44"/>
                                <w:szCs w:val="44"/>
                                <w:lang w:eastAsia="zh-CN"/>
                              </w:rPr>
                              <w:t>VMESNO POROČILO O IZVAJANJU PROGRAMA EVROPSKE KOHEZIJSKE POLITIKE V OBDOBJU 2021–2027 V SLOVENIJI</w:t>
                            </w:r>
                          </w:p>
                        </w:txbxContent>
                      </wps:txbx>
                      <wps:bodyPr vert="horz" wrap="square" lIns="0" tIns="0" rIns="0" bIns="0" anchor="t" anchorCtr="0" compatLnSpc="0">
                        <a:spAutoFit/>
                      </wps:bodyPr>
                    </wps:wsp>
                  </a:graphicData>
                </a:graphic>
              </wp:anchor>
            </w:drawing>
          </mc:Choice>
          <mc:Fallback>
            <w:pict>
              <v:shapetype w14:anchorId="4FAE5D60" id="_x0000_t202" coordsize="21600,21600" o:spt="202" path="m,l,21600r21600,l21600,xe">
                <v:stroke joinstyle="miter"/>
                <v:path gradientshapeok="t" o:connecttype="rect"/>
              </v:shapetype>
              <v:shape id="Polje z besedilom 1" o:spid="_x0000_s1026" type="#_x0000_t202" style="position:absolute;left:0;text-align:left;margin-left:109.9pt;margin-top:271.5pt;width:438.75pt;height:96.7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" filled="f" stroked="f">
                <v:textbox style="mso-fit-shape-to-text:t" inset="0,0,0,0">
                  <w:txbxContent>
                    <w:p w14:paraId="3D8AB96B" w14:textId="77777777" w:rsidR="000E7A5A" w:rsidRDefault="00306071">
                      <w:pPr>
                        <w:pStyle w:val="Brezrazmikov"/>
                        <w:spacing w:line="288" w:lineRule="auto"/>
                        <w:jc w:val="center"/>
                      </w:pPr>
                      <w:r>
                        <w:rPr>
                          <w:rFonts w:eastAsia="SimSun" w:cs="Calibri"/>
                          <w:b/>
                          <w:bCs/>
                          <w:color w:val="0070C0"/>
                          <w:sz w:val="44"/>
                          <w:szCs w:val="44"/>
                          <w:lang w:eastAsia="zh-CN"/>
                        </w:rPr>
                        <w:t>VMESNO POROČILO O IZVAJANJU PROGRAMA EVROPSKE KOHEZIJSKE POLITIKE V OBDOBJU 2021–2027 V SLOVENIJI</w:t>
                      </w:r>
                    </w:p>
                  </w:txbxContent>
                </v:textbox>
                <w10:wrap anchorx="page" anchory="page"/>
              </v:shape>
            </w:pict>
          </mc:Fallback>
        </mc:AlternateContent>
      </w:r>
    </w:p>
    <w:p w14:paraId="43E89AC5" w14:textId="77777777" w:rsidR="000E7A5A" w:rsidRPr="00F425EA" w:rsidRDefault="000E7A5A" w:rsidP="00E247FF">
      <w:pPr>
        <w:pStyle w:val="Brezrazmikov"/>
        <w:spacing w:line="276" w:lineRule="auto"/>
        <w:jc w:val="both"/>
        <w:rPr>
          <w:rFonts w:ascii="Arial" w:hAnsi="Arial" w:cs="Arial"/>
        </w:rPr>
      </w:pPr>
    </w:p>
    <w:p w14:paraId="4D8646EA" w14:textId="77777777" w:rsidR="000E7A5A" w:rsidRPr="00F425EA" w:rsidRDefault="000E7A5A" w:rsidP="00E247FF">
      <w:pPr>
        <w:pStyle w:val="Brezrazmikov"/>
        <w:spacing w:line="276" w:lineRule="auto"/>
        <w:jc w:val="both"/>
        <w:rPr>
          <w:rFonts w:ascii="Arial" w:hAnsi="Arial" w:cs="Arial"/>
        </w:rPr>
      </w:pPr>
    </w:p>
    <w:p w14:paraId="335B668F" w14:textId="77777777" w:rsidR="000E7A5A" w:rsidRPr="00F425EA" w:rsidRDefault="000E7A5A" w:rsidP="00E247FF">
      <w:pPr>
        <w:pStyle w:val="Brezrazmikov"/>
        <w:spacing w:line="276" w:lineRule="auto"/>
        <w:jc w:val="both"/>
        <w:rPr>
          <w:rFonts w:ascii="Arial" w:hAnsi="Arial" w:cs="Arial"/>
        </w:rPr>
      </w:pPr>
    </w:p>
    <w:p w14:paraId="547A56D6" w14:textId="77777777" w:rsidR="000E7A5A" w:rsidRPr="00F425EA" w:rsidRDefault="000E7A5A" w:rsidP="00E247FF">
      <w:pPr>
        <w:pStyle w:val="Brezrazmikov"/>
        <w:spacing w:line="276" w:lineRule="auto"/>
        <w:jc w:val="both"/>
        <w:rPr>
          <w:rFonts w:ascii="Arial" w:hAnsi="Arial" w:cs="Arial"/>
        </w:rPr>
      </w:pPr>
    </w:p>
    <w:p w14:paraId="7462363E" w14:textId="77777777" w:rsidR="000E7A5A" w:rsidRPr="00F425EA" w:rsidRDefault="000E7A5A" w:rsidP="00E247FF">
      <w:pPr>
        <w:pStyle w:val="Brezrazmikov"/>
        <w:spacing w:line="276" w:lineRule="auto"/>
        <w:jc w:val="both"/>
        <w:rPr>
          <w:rFonts w:ascii="Arial" w:hAnsi="Arial" w:cs="Arial"/>
        </w:rPr>
      </w:pPr>
    </w:p>
    <w:p w14:paraId="76C7D4F1" w14:textId="77777777" w:rsidR="000E7A5A" w:rsidRPr="00F425EA" w:rsidRDefault="000E7A5A" w:rsidP="00E247FF">
      <w:pPr>
        <w:pStyle w:val="Brezrazmikov"/>
        <w:spacing w:line="276" w:lineRule="auto"/>
        <w:jc w:val="both"/>
        <w:rPr>
          <w:rFonts w:ascii="Arial" w:hAnsi="Arial" w:cs="Arial"/>
        </w:rPr>
      </w:pPr>
    </w:p>
    <w:p w14:paraId="6B411B75" w14:textId="77777777" w:rsidR="000E7A5A" w:rsidRPr="00F425EA" w:rsidRDefault="000E7A5A" w:rsidP="00E247FF">
      <w:pPr>
        <w:pStyle w:val="Brezrazmikov"/>
        <w:spacing w:line="276" w:lineRule="auto"/>
        <w:jc w:val="both"/>
        <w:rPr>
          <w:rFonts w:ascii="Arial" w:hAnsi="Arial" w:cs="Arial"/>
        </w:rPr>
      </w:pPr>
    </w:p>
    <w:p w14:paraId="3BC745B9" w14:textId="77777777" w:rsidR="000E7A5A" w:rsidRPr="00F425EA" w:rsidRDefault="000E7A5A" w:rsidP="00E247FF">
      <w:pPr>
        <w:pStyle w:val="Brezrazmikov"/>
        <w:spacing w:line="276" w:lineRule="auto"/>
        <w:jc w:val="both"/>
        <w:rPr>
          <w:rFonts w:ascii="Arial" w:hAnsi="Arial" w:cs="Arial"/>
        </w:rPr>
      </w:pPr>
    </w:p>
    <w:p w14:paraId="66CAAB89" w14:textId="77777777" w:rsidR="000E7A5A" w:rsidRPr="00F425EA" w:rsidRDefault="000E7A5A" w:rsidP="00E247FF">
      <w:pPr>
        <w:pStyle w:val="Brezrazmikov"/>
        <w:spacing w:line="276" w:lineRule="auto"/>
        <w:jc w:val="both"/>
        <w:rPr>
          <w:rFonts w:ascii="Arial" w:hAnsi="Arial" w:cs="Arial"/>
        </w:rPr>
      </w:pPr>
    </w:p>
    <w:p w14:paraId="0823A51A" w14:textId="77777777" w:rsidR="000E7A5A" w:rsidRPr="00F425EA" w:rsidRDefault="000E7A5A" w:rsidP="00E247FF">
      <w:pPr>
        <w:pStyle w:val="Brezrazmikov"/>
        <w:spacing w:line="276" w:lineRule="auto"/>
        <w:jc w:val="both"/>
        <w:rPr>
          <w:rFonts w:ascii="Arial" w:hAnsi="Arial" w:cs="Arial"/>
        </w:rPr>
      </w:pPr>
    </w:p>
    <w:p w14:paraId="5A81935C" w14:textId="77777777" w:rsidR="000E7A5A" w:rsidRPr="00F425EA" w:rsidRDefault="000E7A5A" w:rsidP="00E247FF">
      <w:pPr>
        <w:pStyle w:val="Brezrazmikov"/>
        <w:spacing w:line="276" w:lineRule="auto"/>
        <w:jc w:val="both"/>
        <w:rPr>
          <w:rFonts w:ascii="Arial" w:hAnsi="Arial" w:cs="Arial"/>
        </w:rPr>
      </w:pPr>
    </w:p>
    <w:p w14:paraId="37FF241D" w14:textId="77777777" w:rsidR="000E7A5A" w:rsidRPr="00F425EA" w:rsidRDefault="000E7A5A" w:rsidP="00E247FF">
      <w:pPr>
        <w:pStyle w:val="Brezrazmikov"/>
        <w:spacing w:line="276" w:lineRule="auto"/>
        <w:jc w:val="both"/>
        <w:rPr>
          <w:rFonts w:ascii="Arial" w:hAnsi="Arial" w:cs="Arial"/>
        </w:rPr>
      </w:pPr>
    </w:p>
    <w:p w14:paraId="52193165" w14:textId="77777777" w:rsidR="000E7A5A" w:rsidRPr="00F425EA" w:rsidRDefault="000E7A5A" w:rsidP="00E247FF">
      <w:pPr>
        <w:pStyle w:val="Brezrazmikov"/>
        <w:spacing w:line="276" w:lineRule="auto"/>
        <w:jc w:val="both"/>
        <w:rPr>
          <w:rFonts w:ascii="Arial" w:hAnsi="Arial" w:cs="Arial"/>
        </w:rPr>
      </w:pPr>
    </w:p>
    <w:p w14:paraId="2B88C6C2" w14:textId="77777777" w:rsidR="000E7A5A" w:rsidRPr="00F425EA" w:rsidRDefault="00306071" w:rsidP="00E247FF">
      <w:pPr>
        <w:pStyle w:val="Brezrazmikov"/>
        <w:spacing w:line="276" w:lineRule="auto"/>
        <w:jc w:val="both"/>
        <w:rPr>
          <w:rFonts w:ascii="Arial" w:hAnsi="Arial" w:cs="Arial"/>
        </w:rPr>
      </w:pPr>
      <w:r w:rsidRPr="00F425EA">
        <w:rPr>
          <w:rFonts w:ascii="Arial" w:hAnsi="Arial" w:cs="Arial"/>
          <w:noProof/>
        </w:rPr>
        <w:drawing>
          <wp:inline distT="0" distB="0" distL="0" distR="0" wp14:anchorId="2FA14B55" wp14:editId="59D3B858">
            <wp:extent cx="904871" cy="904871"/>
            <wp:effectExtent l="0" t="0" r="0" b="0"/>
            <wp:docPr id="241230276" name="Slika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904871" cy="904871"/>
                    </a:xfrm>
                    <a:prstGeom prst="rect">
                      <a:avLst/>
                    </a:prstGeom>
                    <a:noFill/>
                    <a:ln>
                      <a:noFill/>
                      <a:prstDash/>
                    </a:ln>
                  </pic:spPr>
                </pic:pic>
              </a:graphicData>
            </a:graphic>
          </wp:inline>
        </w:drawing>
      </w:r>
      <w:r w:rsidRPr="00F425EA">
        <w:rPr>
          <w:rFonts w:ascii="Arial" w:hAnsi="Arial" w:cs="Arial"/>
        </w:rPr>
        <w:t xml:space="preserve">  </w:t>
      </w:r>
      <w:r w:rsidRPr="00F425EA">
        <w:rPr>
          <w:rFonts w:ascii="Arial" w:hAnsi="Arial" w:cs="Arial"/>
          <w:noProof/>
        </w:rPr>
        <w:drawing>
          <wp:inline distT="0" distB="0" distL="0" distR="0" wp14:anchorId="2A53F837" wp14:editId="72660D33">
            <wp:extent cx="895353" cy="895353"/>
            <wp:effectExtent l="0" t="0" r="0" b="0"/>
            <wp:docPr id="1489299457" name="Slika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895353" cy="895353"/>
                    </a:xfrm>
                    <a:prstGeom prst="rect">
                      <a:avLst/>
                    </a:prstGeom>
                    <a:noFill/>
                    <a:ln>
                      <a:noFill/>
                      <a:prstDash/>
                    </a:ln>
                  </pic:spPr>
                </pic:pic>
              </a:graphicData>
            </a:graphic>
          </wp:inline>
        </w:drawing>
      </w:r>
      <w:r w:rsidRPr="00F425EA">
        <w:rPr>
          <w:rFonts w:ascii="Arial" w:hAnsi="Arial" w:cs="Arial"/>
        </w:rPr>
        <w:t xml:space="preserve">  </w:t>
      </w:r>
      <w:r w:rsidRPr="00F425EA">
        <w:rPr>
          <w:rFonts w:ascii="Arial" w:hAnsi="Arial" w:cs="Arial"/>
          <w:noProof/>
        </w:rPr>
        <w:drawing>
          <wp:inline distT="0" distB="0" distL="0" distR="0" wp14:anchorId="501558B5" wp14:editId="5DF90945">
            <wp:extent cx="952503" cy="952503"/>
            <wp:effectExtent l="0" t="0" r="0" b="0"/>
            <wp:docPr id="663338797" name="Slika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952503" cy="952503"/>
                    </a:xfrm>
                    <a:prstGeom prst="rect">
                      <a:avLst/>
                    </a:prstGeom>
                    <a:noFill/>
                    <a:ln>
                      <a:noFill/>
                      <a:prstDash/>
                    </a:ln>
                  </pic:spPr>
                </pic:pic>
              </a:graphicData>
            </a:graphic>
          </wp:inline>
        </w:drawing>
      </w:r>
      <w:r w:rsidRPr="00F425EA">
        <w:rPr>
          <w:rFonts w:ascii="Arial" w:hAnsi="Arial" w:cs="Arial"/>
        </w:rPr>
        <w:t xml:space="preserve">  </w:t>
      </w:r>
      <w:r w:rsidRPr="00F425EA">
        <w:rPr>
          <w:rFonts w:ascii="Arial" w:hAnsi="Arial" w:cs="Arial"/>
          <w:noProof/>
        </w:rPr>
        <w:drawing>
          <wp:inline distT="0" distB="0" distL="0" distR="0" wp14:anchorId="35E57D06" wp14:editId="3FFA2AAB">
            <wp:extent cx="914400" cy="914400"/>
            <wp:effectExtent l="0" t="0" r="0" b="0"/>
            <wp:docPr id="1187780790" name="Slika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914400" cy="914400"/>
                    </a:xfrm>
                    <a:prstGeom prst="rect">
                      <a:avLst/>
                    </a:prstGeom>
                    <a:noFill/>
                    <a:ln>
                      <a:noFill/>
                      <a:prstDash/>
                    </a:ln>
                  </pic:spPr>
                </pic:pic>
              </a:graphicData>
            </a:graphic>
          </wp:inline>
        </w:drawing>
      </w:r>
      <w:r w:rsidRPr="00F425EA">
        <w:rPr>
          <w:rFonts w:ascii="Arial" w:hAnsi="Arial" w:cs="Arial"/>
        </w:rPr>
        <w:t xml:space="preserve">  </w:t>
      </w:r>
      <w:r w:rsidRPr="00F425EA">
        <w:rPr>
          <w:rFonts w:ascii="Arial" w:hAnsi="Arial" w:cs="Arial"/>
          <w:noProof/>
        </w:rPr>
        <w:drawing>
          <wp:inline distT="0" distB="0" distL="0" distR="0" wp14:anchorId="7B43B3A4" wp14:editId="6F4F8C64">
            <wp:extent cx="914400" cy="914400"/>
            <wp:effectExtent l="0" t="0" r="0" b="0"/>
            <wp:docPr id="1453515604" name="Slika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914400" cy="914400"/>
                    </a:xfrm>
                    <a:prstGeom prst="rect">
                      <a:avLst/>
                    </a:prstGeom>
                    <a:noFill/>
                    <a:ln>
                      <a:noFill/>
                      <a:prstDash/>
                    </a:ln>
                  </pic:spPr>
                </pic:pic>
              </a:graphicData>
            </a:graphic>
          </wp:inline>
        </w:drawing>
      </w:r>
      <w:r w:rsidRPr="00F425EA">
        <w:rPr>
          <w:rFonts w:ascii="Arial" w:hAnsi="Arial" w:cs="Arial"/>
        </w:rPr>
        <w:t xml:space="preserve">  </w:t>
      </w:r>
      <w:r w:rsidRPr="00F425EA">
        <w:rPr>
          <w:rFonts w:ascii="Arial" w:hAnsi="Arial" w:cs="Arial"/>
          <w:noProof/>
        </w:rPr>
        <w:drawing>
          <wp:inline distT="0" distB="0" distL="0" distR="0" wp14:anchorId="59C9D53B" wp14:editId="2F0630D8">
            <wp:extent cx="790571" cy="790571"/>
            <wp:effectExtent l="0" t="0" r="0" b="0"/>
            <wp:docPr id="300732731" name="Slika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790571" cy="790571"/>
                    </a:xfrm>
                    <a:prstGeom prst="rect">
                      <a:avLst/>
                    </a:prstGeom>
                    <a:noFill/>
                    <a:ln>
                      <a:noFill/>
                      <a:prstDash/>
                    </a:ln>
                  </pic:spPr>
                </pic:pic>
              </a:graphicData>
            </a:graphic>
          </wp:inline>
        </w:drawing>
      </w:r>
    </w:p>
    <w:p w14:paraId="393DDCDD" w14:textId="77777777" w:rsidR="000E7A5A" w:rsidRPr="00F425EA" w:rsidRDefault="000E7A5A" w:rsidP="00E247FF">
      <w:pPr>
        <w:pStyle w:val="Brezrazmikov"/>
        <w:spacing w:line="276" w:lineRule="auto"/>
        <w:jc w:val="both"/>
        <w:rPr>
          <w:rFonts w:ascii="Arial" w:hAnsi="Arial" w:cs="Arial"/>
        </w:rPr>
      </w:pPr>
    </w:p>
    <w:p w14:paraId="154EE2B4" w14:textId="77777777" w:rsidR="000E7A5A" w:rsidRPr="00F425EA" w:rsidRDefault="000E7A5A" w:rsidP="00E247FF">
      <w:pPr>
        <w:spacing w:line="276" w:lineRule="auto"/>
        <w:jc w:val="both"/>
        <w:rPr>
          <w:rFonts w:cs="Arial"/>
        </w:rPr>
      </w:pPr>
    </w:p>
    <w:p w14:paraId="0E5BD3C2" w14:textId="77777777" w:rsidR="000E7A5A" w:rsidRPr="00F425EA" w:rsidRDefault="000E7A5A" w:rsidP="00E247FF">
      <w:pPr>
        <w:spacing w:line="276" w:lineRule="auto"/>
        <w:jc w:val="both"/>
        <w:rPr>
          <w:rFonts w:cs="Arial"/>
        </w:rPr>
      </w:pPr>
    </w:p>
    <w:p w14:paraId="73D76E13" w14:textId="77777777" w:rsidR="000E7A5A" w:rsidRPr="00F425EA" w:rsidRDefault="000E7A5A" w:rsidP="00E247FF">
      <w:pPr>
        <w:spacing w:line="276" w:lineRule="auto"/>
        <w:jc w:val="both"/>
        <w:rPr>
          <w:rFonts w:cs="Arial"/>
        </w:rPr>
      </w:pPr>
    </w:p>
    <w:p w14:paraId="2AA6BC60" w14:textId="77777777" w:rsidR="000E7A5A" w:rsidRPr="00F425EA" w:rsidRDefault="00306071" w:rsidP="00E247FF">
      <w:pPr>
        <w:spacing w:line="276" w:lineRule="auto"/>
        <w:jc w:val="both"/>
        <w:rPr>
          <w:rFonts w:cs="Arial"/>
        </w:rPr>
      </w:pPr>
      <w:r w:rsidRPr="00F425EA">
        <w:rPr>
          <w:rFonts w:cs="Arial"/>
          <w:noProof/>
        </w:rPr>
        <mc:AlternateContent>
          <mc:Choice Requires="wps">
            <w:drawing>
              <wp:anchor distT="0" distB="0" distL="114300" distR="114300" simplePos="0" relativeHeight="251657216" behindDoc="0" locked="0" layoutInCell="1" allowOverlap="1" wp14:anchorId="1B8CA457" wp14:editId="7D895739">
                <wp:simplePos x="0" y="0"/>
                <wp:positionH relativeFrom="page">
                  <wp:posOffset>2199003</wp:posOffset>
                </wp:positionH>
                <wp:positionV relativeFrom="page">
                  <wp:posOffset>9239253</wp:posOffset>
                </wp:positionV>
                <wp:extent cx="3402326" cy="450213"/>
                <wp:effectExtent l="0" t="0" r="7624" b="6987"/>
                <wp:wrapNone/>
                <wp:docPr id="622418867" name="Polje z besedilom 1"/>
                <wp:cNvGraphicFramePr/>
                <a:graphic xmlns:a="http://schemas.openxmlformats.org/drawingml/2006/main">
                  <a:graphicData uri="http://schemas.microsoft.com/office/word/2010/wordprocessingShape">
                    <wps:wsp>
                      <wps:cNvSpPr txBox="1"/>
                      <wps:spPr>
                        <a:xfrm>
                          <a:off x="0" y="0"/>
                          <a:ext cx="3402326" cy="450213"/>
                        </a:xfrm>
                        <a:prstGeom prst="rect">
                          <a:avLst/>
                        </a:prstGeom>
                        <a:noFill/>
                        <a:ln>
                          <a:noFill/>
                          <a:prstDash/>
                        </a:ln>
                      </wps:spPr>
                      <wps:txbx>
                        <w:txbxContent>
                          <w:p w14:paraId="03561FE9" w14:textId="45C74DC3" w:rsidR="000E7A5A" w:rsidRDefault="00306071">
                            <w:pPr>
                              <w:spacing w:before="120" w:line="288" w:lineRule="auto"/>
                              <w:jc w:val="center"/>
                            </w:pPr>
                            <w:r>
                              <w:rPr>
                                <w:rFonts w:eastAsia="SimSun" w:cs="Calibri"/>
                                <w:b/>
                                <w:bCs/>
                                <w:color w:val="0070C0"/>
                                <w:sz w:val="32"/>
                                <w:szCs w:val="32"/>
                                <w:lang w:eastAsia="zh-CN"/>
                              </w:rPr>
                              <w:t xml:space="preserve">Ljubljana, </w:t>
                            </w:r>
                            <w:r w:rsidR="00131BC6">
                              <w:rPr>
                                <w:rFonts w:eastAsia="SimSun" w:cs="Calibri"/>
                                <w:b/>
                                <w:bCs/>
                                <w:color w:val="0070C0"/>
                                <w:sz w:val="32"/>
                                <w:szCs w:val="32"/>
                                <w:lang w:eastAsia="zh-CN"/>
                              </w:rPr>
                              <w:t>marec</w:t>
                            </w:r>
                            <w:r>
                              <w:rPr>
                                <w:rFonts w:eastAsia="SimSun" w:cs="Calibri"/>
                                <w:b/>
                                <w:bCs/>
                                <w:color w:val="0070C0"/>
                                <w:sz w:val="32"/>
                                <w:szCs w:val="32"/>
                                <w:lang w:eastAsia="zh-CN"/>
                              </w:rPr>
                              <w:t xml:space="preserve"> 2025</w:t>
                            </w:r>
                          </w:p>
                        </w:txbxContent>
                      </wps:txbx>
                      <wps:bodyPr vert="horz" wrap="square" lIns="0" tIns="0" rIns="0" bIns="0" anchor="t" anchorCtr="0" compatLnSpc="0">
                        <a:spAutoFit/>
                      </wps:bodyPr>
                    </wps:wsp>
                  </a:graphicData>
                </a:graphic>
              </wp:anchor>
            </w:drawing>
          </mc:Choice>
          <mc:Fallback>
            <w:pict>
              <v:shapetype w14:anchorId="1B8CA457" id="_x0000_t202" coordsize="21600,21600" o:spt="202" path="m,l,21600r21600,l21600,xe">
                <v:stroke joinstyle="miter"/>
                <v:path gradientshapeok="t" o:connecttype="rect"/>
              </v:shapetype>
              <v:shape id="_x0000_s1027" type="#_x0000_t202" style="position:absolute;left:0;text-align:left;margin-left:173.15pt;margin-top:727.5pt;width:267.9pt;height:35.4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" filled="f" stroked="f">
                <v:textbox style="mso-fit-shape-to-text:t" inset="0,0,0,0">
                  <w:txbxContent>
                    <w:p w14:paraId="03561FE9" w14:textId="45C74DC3" w:rsidR="000E7A5A" w:rsidRDefault="00306071">
                      <w:pPr>
                        <w:spacing w:before="120" w:line="288" w:lineRule="auto"/>
                        <w:jc w:val="center"/>
                      </w:pPr>
                      <w:r>
                        <w:rPr>
                          <w:rFonts w:eastAsia="SimSun" w:cs="Calibri"/>
                          <w:b/>
                          <w:bCs/>
                          <w:color w:val="0070C0"/>
                          <w:sz w:val="32"/>
                          <w:szCs w:val="32"/>
                          <w:lang w:eastAsia="zh-CN"/>
                        </w:rPr>
                        <w:t xml:space="preserve">Ljubljana, </w:t>
                      </w:r>
                      <w:r w:rsidR="00131BC6">
                        <w:rPr>
                          <w:rFonts w:eastAsia="SimSun" w:cs="Calibri"/>
                          <w:b/>
                          <w:bCs/>
                          <w:color w:val="0070C0"/>
                          <w:sz w:val="32"/>
                          <w:szCs w:val="32"/>
                          <w:lang w:eastAsia="zh-CN"/>
                        </w:rPr>
                        <w:t>marec</w:t>
                      </w:r>
                      <w:r>
                        <w:rPr>
                          <w:rFonts w:eastAsia="SimSun" w:cs="Calibri"/>
                          <w:b/>
                          <w:bCs/>
                          <w:color w:val="0070C0"/>
                          <w:sz w:val="32"/>
                          <w:szCs w:val="32"/>
                          <w:lang w:eastAsia="zh-CN"/>
                        </w:rPr>
                        <w:t xml:space="preserve"> 2025</w:t>
                      </w:r>
                    </w:p>
                  </w:txbxContent>
                </v:textbox>
                <w10:wrap anchorx="page" anchory="page"/>
              </v:shape>
            </w:pict>
          </mc:Fallback>
        </mc:AlternateContent>
      </w:r>
    </w:p>
    <w:p w14:paraId="0324E936" w14:textId="77777777" w:rsidR="005A12CC" w:rsidRDefault="005A12CC">
      <w:pPr>
        <w:sectPr w:rsidR="005A12CC">
          <w:headerReference w:type="even" r:id="rId16"/>
          <w:headerReference w:type="default" r:id="rId17"/>
          <w:footerReference w:type="even" r:id="rId18"/>
          <w:footerReference w:type="default" r:id="rId19"/>
          <w:headerReference w:type="first" r:id="rId20"/>
          <w:footerReference w:type="first" r:id="rId21"/>
          <w:pgSz w:w="11906" w:h="16838"/>
          <w:pgMar w:top="1418" w:right="1418" w:bottom="1418" w:left="1418" w:header="709" w:footer="709" w:gutter="0"/>
          <w:cols w:space="708"/>
        </w:sectPr>
      </w:pPr>
      <w:bookmarkStart w:id="0" w:name="_Toc18664632"/>
      <w:bookmarkStart w:id="1" w:name="_Toc18666773"/>
      <w:bookmarkStart w:id="2" w:name="_Toc18666848"/>
      <w:bookmarkStart w:id="3" w:name="_Toc18671904"/>
    </w:p>
    <w:p w14:paraId="6F560011" w14:textId="6A984322" w:rsidR="00E9688F" w:rsidRPr="00E9688F" w:rsidRDefault="00E9688F">
      <w:pPr>
        <w:pStyle w:val="Kazalovsebine1"/>
        <w:tabs>
          <w:tab w:val="left" w:pos="400"/>
          <w:tab w:val="right" w:leader="dot" w:pos="9060"/>
        </w:tabs>
        <w:rPr>
          <w:rFonts w:ascii="Arial" w:hAnsi="Arial" w:cs="Arial"/>
          <w:b w:val="0"/>
          <w:caps w:val="0"/>
          <w:color w:val="0070C0"/>
          <w:sz w:val="24"/>
          <w:szCs w:val="28"/>
        </w:rPr>
      </w:pPr>
      <w:bookmarkStart w:id="4" w:name="_Toc187817961"/>
      <w:bookmarkStart w:id="5" w:name="_Toc187742723"/>
      <w:bookmarkStart w:id="6" w:name="_Toc187742663"/>
      <w:bookmarkStart w:id="7" w:name="_Toc187741204"/>
      <w:bookmarkStart w:id="8" w:name="_Toc187741101"/>
      <w:bookmarkStart w:id="9" w:name="_Toc187740756"/>
      <w:bookmarkStart w:id="10" w:name="_Toc187753546"/>
      <w:bookmarkStart w:id="11" w:name="_Toc187758246"/>
      <w:r w:rsidRPr="00E9688F">
        <w:rPr>
          <w:rFonts w:ascii="Arial" w:hAnsi="Arial" w:cs="Arial"/>
          <w:b w:val="0"/>
          <w:caps w:val="0"/>
          <w:color w:val="0070C0"/>
          <w:sz w:val="24"/>
          <w:szCs w:val="28"/>
        </w:rPr>
        <w:lastRenderedPageBreak/>
        <w:t>KAZALO VSEBINE</w:t>
      </w:r>
      <w:bookmarkEnd w:id="4"/>
      <w:bookmarkEnd w:id="5"/>
      <w:bookmarkEnd w:id="6"/>
      <w:bookmarkEnd w:id="7"/>
      <w:bookmarkEnd w:id="8"/>
      <w:bookmarkEnd w:id="9"/>
      <w:bookmarkEnd w:id="10"/>
      <w:bookmarkEnd w:id="11"/>
    </w:p>
    <w:sdt>
      <w:sdtPr>
        <w:rPr>
          <w:rFonts w:ascii="Calibri" w:hAnsi="Calibri"/>
          <w:b w:val="0"/>
          <w:bCs w:val="0"/>
          <w:caps w:val="0"/>
        </w:rPr>
        <w:id w:val="-1647733943"/>
        <w:docPartObj>
          <w:docPartGallery w:val="Table of Contents"/>
          <w:docPartUnique/>
        </w:docPartObj>
      </w:sdtPr>
      <w:sdtEndPr>
        <w:rPr>
          <w:rFonts w:asciiTheme="minorHAnsi" w:hAnsiTheme="minorHAnsi" w:cs="Arial"/>
          <w:b/>
          <w:bCs/>
          <w:caps/>
        </w:rPr>
      </w:sdtEndPr>
      <w:sdtContent>
        <w:p w14:paraId="589D3821" w14:textId="20B7F734" w:rsidR="008012A2" w:rsidRDefault="00E9688F">
          <w:pPr>
            <w:pStyle w:val="Kazalovsebine1"/>
            <w:tabs>
              <w:tab w:val="left" w:pos="600"/>
              <w:tab w:val="right" w:leader="dot" w:pos="9060"/>
            </w:tabs>
            <w:rPr>
              <w:rFonts w:eastAsiaTheme="minorEastAsia" w:cstheme="minorBidi"/>
              <w:b w:val="0"/>
              <w:bCs w:val="0"/>
              <w:caps w:val="0"/>
              <w:noProof/>
              <w:kern w:val="2"/>
              <w:sz w:val="24"/>
              <w:szCs w:val="24"/>
              <w14:ligatures w14:val="standardContextual"/>
            </w:rPr>
          </w:pPr>
          <w:r w:rsidRPr="00C471CD">
            <w:rPr>
              <w:rFonts w:ascii="Arial" w:hAnsi="Arial" w:cs="Arial"/>
              <w:b w:val="0"/>
              <w:lang w:eastAsia="zh-CN"/>
            </w:rPr>
            <w:fldChar w:fldCharType="begin"/>
          </w:r>
          <w:r w:rsidRPr="00C471CD">
            <w:rPr>
              <w:rFonts w:ascii="Arial" w:hAnsi="Arial" w:cs="Arial"/>
              <w:b w:val="0"/>
              <w:lang w:eastAsia="zh-CN"/>
            </w:rPr>
            <w:instrText xml:space="preserve"> TOC \o "1-3" \u </w:instrText>
          </w:r>
          <w:r w:rsidRPr="00C471CD">
            <w:rPr>
              <w:rFonts w:ascii="Arial" w:hAnsi="Arial" w:cs="Arial"/>
              <w:b w:val="0"/>
              <w:lang w:eastAsia="zh-CN"/>
            </w:rPr>
            <w:fldChar w:fldCharType="separate"/>
          </w:r>
          <w:r w:rsidR="008012A2" w:rsidRPr="004E28C6">
            <w:rPr>
              <w:rFonts w:cs="Arial"/>
              <w:noProof/>
            </w:rPr>
            <w:t>1.</w:t>
          </w:r>
          <w:r w:rsidR="008012A2">
            <w:rPr>
              <w:rFonts w:eastAsiaTheme="minorEastAsia" w:cstheme="minorBidi"/>
              <w:b w:val="0"/>
              <w:bCs w:val="0"/>
              <w:caps w:val="0"/>
              <w:noProof/>
              <w:kern w:val="2"/>
              <w:sz w:val="24"/>
              <w:szCs w:val="24"/>
              <w14:ligatures w14:val="standardContextual"/>
            </w:rPr>
            <w:tab/>
          </w:r>
          <w:r w:rsidR="008012A2" w:rsidRPr="004E28C6">
            <w:rPr>
              <w:rFonts w:cs="Arial"/>
              <w:noProof/>
            </w:rPr>
            <w:t>UVOD</w:t>
          </w:r>
          <w:r w:rsidR="008012A2">
            <w:rPr>
              <w:noProof/>
            </w:rPr>
            <w:tab/>
          </w:r>
          <w:r w:rsidR="008012A2">
            <w:rPr>
              <w:noProof/>
            </w:rPr>
            <w:fldChar w:fldCharType="begin"/>
          </w:r>
          <w:r w:rsidR="008012A2">
            <w:rPr>
              <w:noProof/>
            </w:rPr>
            <w:instrText xml:space="preserve"> PAGEREF _Toc192681979 \h </w:instrText>
          </w:r>
          <w:r w:rsidR="008012A2">
            <w:rPr>
              <w:noProof/>
            </w:rPr>
          </w:r>
          <w:r w:rsidR="008012A2">
            <w:rPr>
              <w:noProof/>
            </w:rPr>
            <w:fldChar w:fldCharType="separate"/>
          </w:r>
          <w:r w:rsidR="008012A2">
            <w:rPr>
              <w:noProof/>
            </w:rPr>
            <w:t>8</w:t>
          </w:r>
          <w:r w:rsidR="008012A2">
            <w:rPr>
              <w:noProof/>
            </w:rPr>
            <w:fldChar w:fldCharType="end"/>
          </w:r>
        </w:p>
        <w:p w14:paraId="227F3A28" w14:textId="2A724549" w:rsidR="008012A2" w:rsidRDefault="008012A2">
          <w:pPr>
            <w:pStyle w:val="Kazalovsebine1"/>
            <w:tabs>
              <w:tab w:val="left" w:pos="600"/>
              <w:tab w:val="right" w:leader="dot" w:pos="9060"/>
            </w:tabs>
            <w:rPr>
              <w:rFonts w:eastAsiaTheme="minorEastAsia" w:cstheme="minorBidi"/>
              <w:b w:val="0"/>
              <w:bCs w:val="0"/>
              <w:caps w:val="0"/>
              <w:noProof/>
              <w:kern w:val="2"/>
              <w:sz w:val="24"/>
              <w:szCs w:val="24"/>
              <w14:ligatures w14:val="standardContextual"/>
            </w:rPr>
          </w:pPr>
          <w:r w:rsidRPr="004E28C6">
            <w:rPr>
              <w:rFonts w:cs="Arial"/>
              <w:noProof/>
            </w:rPr>
            <w:t>2.</w:t>
          </w:r>
          <w:r>
            <w:rPr>
              <w:rFonts w:eastAsiaTheme="minorEastAsia" w:cstheme="minorBidi"/>
              <w:b w:val="0"/>
              <w:bCs w:val="0"/>
              <w:caps w:val="0"/>
              <w:noProof/>
              <w:kern w:val="2"/>
              <w:sz w:val="24"/>
              <w:szCs w:val="24"/>
              <w14:ligatures w14:val="standardContextual"/>
            </w:rPr>
            <w:tab/>
          </w:r>
          <w:r w:rsidRPr="004E28C6">
            <w:rPr>
              <w:rFonts w:cs="Arial"/>
              <w:caps w:val="0"/>
              <w:noProof/>
            </w:rPr>
            <w:t>STANJE IZVAJANJA PEKP 21</w:t>
          </w:r>
          <w:r w:rsidRPr="004E28C6">
            <w:rPr>
              <w:rFonts w:eastAsia="Calibri" w:cs="Arial"/>
              <w:caps w:val="0"/>
              <w:noProof/>
            </w:rPr>
            <w:t>–</w:t>
          </w:r>
          <w:r w:rsidRPr="004E28C6">
            <w:rPr>
              <w:rFonts w:cs="Arial"/>
              <w:caps w:val="0"/>
              <w:noProof/>
            </w:rPr>
            <w:t>27</w:t>
          </w:r>
          <w:r>
            <w:rPr>
              <w:noProof/>
            </w:rPr>
            <w:tab/>
          </w:r>
          <w:r>
            <w:rPr>
              <w:noProof/>
            </w:rPr>
            <w:fldChar w:fldCharType="begin"/>
          </w:r>
          <w:r>
            <w:rPr>
              <w:noProof/>
            </w:rPr>
            <w:instrText xml:space="preserve"> PAGEREF _Toc192681980 \h </w:instrText>
          </w:r>
          <w:r>
            <w:rPr>
              <w:noProof/>
            </w:rPr>
          </w:r>
          <w:r>
            <w:rPr>
              <w:noProof/>
            </w:rPr>
            <w:fldChar w:fldCharType="separate"/>
          </w:r>
          <w:r>
            <w:rPr>
              <w:noProof/>
            </w:rPr>
            <w:t>10</w:t>
          </w:r>
          <w:r>
            <w:rPr>
              <w:noProof/>
            </w:rPr>
            <w:fldChar w:fldCharType="end"/>
          </w:r>
        </w:p>
        <w:p w14:paraId="05E6E727" w14:textId="57F01CD4" w:rsidR="008012A2" w:rsidRDefault="008012A2">
          <w:pPr>
            <w:pStyle w:val="Kazalovsebine2"/>
            <w:tabs>
              <w:tab w:val="left" w:pos="800"/>
              <w:tab w:val="right" w:leader="dot" w:pos="9060"/>
            </w:tabs>
            <w:rPr>
              <w:rFonts w:eastAsiaTheme="minorEastAsia" w:cstheme="minorBidi"/>
              <w:smallCaps w:val="0"/>
              <w:noProof/>
              <w:kern w:val="2"/>
              <w:sz w:val="24"/>
              <w:szCs w:val="24"/>
              <w14:ligatures w14:val="standardContextual"/>
            </w:rPr>
          </w:pPr>
          <w:r>
            <w:rPr>
              <w:noProof/>
            </w:rPr>
            <w:t>2.1</w:t>
          </w:r>
          <w:r>
            <w:rPr>
              <w:rFonts w:eastAsiaTheme="minorEastAsia" w:cstheme="minorBidi"/>
              <w:smallCaps w:val="0"/>
              <w:noProof/>
              <w:kern w:val="2"/>
              <w:sz w:val="24"/>
              <w:szCs w:val="24"/>
              <w14:ligatures w14:val="standardContextual"/>
            </w:rPr>
            <w:tab/>
          </w:r>
          <w:r>
            <w:rPr>
              <w:noProof/>
            </w:rPr>
            <w:t>PREGLED IZVAJANJA PO PREDNOSTNIH NALOGAH</w:t>
          </w:r>
          <w:r>
            <w:rPr>
              <w:noProof/>
            </w:rPr>
            <w:tab/>
          </w:r>
          <w:r>
            <w:rPr>
              <w:noProof/>
            </w:rPr>
            <w:fldChar w:fldCharType="begin"/>
          </w:r>
          <w:r>
            <w:rPr>
              <w:noProof/>
            </w:rPr>
            <w:instrText xml:space="preserve"> PAGEREF _Toc192681981 \h </w:instrText>
          </w:r>
          <w:r>
            <w:rPr>
              <w:noProof/>
            </w:rPr>
          </w:r>
          <w:r>
            <w:rPr>
              <w:noProof/>
            </w:rPr>
            <w:fldChar w:fldCharType="separate"/>
          </w:r>
          <w:r>
            <w:rPr>
              <w:noProof/>
            </w:rPr>
            <w:t>16</w:t>
          </w:r>
          <w:r>
            <w:rPr>
              <w:noProof/>
            </w:rPr>
            <w:fldChar w:fldCharType="end"/>
          </w:r>
        </w:p>
        <w:p w14:paraId="063E75C0" w14:textId="23BA705F" w:rsidR="008012A2" w:rsidRDefault="008012A2">
          <w:pPr>
            <w:pStyle w:val="Kazalovsebine3"/>
            <w:tabs>
              <w:tab w:val="left" w:pos="1200"/>
              <w:tab w:val="right" w:leader="dot" w:pos="9060"/>
            </w:tabs>
            <w:rPr>
              <w:rFonts w:eastAsiaTheme="minorEastAsia" w:cstheme="minorBidi"/>
              <w:i w:val="0"/>
              <w:iCs w:val="0"/>
              <w:noProof/>
              <w:kern w:val="2"/>
              <w:sz w:val="24"/>
              <w:szCs w:val="24"/>
              <w14:ligatures w14:val="standardContextual"/>
            </w:rPr>
          </w:pPr>
          <w:r>
            <w:rPr>
              <w:noProof/>
            </w:rPr>
            <w:t>2.1.1</w:t>
          </w:r>
          <w:r>
            <w:rPr>
              <w:rFonts w:eastAsiaTheme="minorEastAsia" w:cstheme="minorBidi"/>
              <w:i w:val="0"/>
              <w:iCs w:val="0"/>
              <w:noProof/>
              <w:kern w:val="2"/>
              <w:sz w:val="24"/>
              <w:szCs w:val="24"/>
              <w14:ligatures w14:val="standardContextual"/>
            </w:rPr>
            <w:tab/>
          </w:r>
          <w:r>
            <w:rPr>
              <w:noProof/>
            </w:rPr>
            <w:t>PN 1: Inovacijska družba znanja</w:t>
          </w:r>
          <w:r>
            <w:rPr>
              <w:noProof/>
            </w:rPr>
            <w:tab/>
          </w:r>
          <w:r>
            <w:rPr>
              <w:noProof/>
            </w:rPr>
            <w:fldChar w:fldCharType="begin"/>
          </w:r>
          <w:r>
            <w:rPr>
              <w:noProof/>
            </w:rPr>
            <w:instrText xml:space="preserve"> PAGEREF _Toc192681982 \h </w:instrText>
          </w:r>
          <w:r>
            <w:rPr>
              <w:noProof/>
            </w:rPr>
          </w:r>
          <w:r>
            <w:rPr>
              <w:noProof/>
            </w:rPr>
            <w:fldChar w:fldCharType="separate"/>
          </w:r>
          <w:r>
            <w:rPr>
              <w:noProof/>
            </w:rPr>
            <w:t>16</w:t>
          </w:r>
          <w:r>
            <w:rPr>
              <w:noProof/>
            </w:rPr>
            <w:fldChar w:fldCharType="end"/>
          </w:r>
        </w:p>
        <w:p w14:paraId="2537EB2B" w14:textId="2D614738" w:rsidR="008012A2" w:rsidRDefault="008012A2">
          <w:pPr>
            <w:pStyle w:val="Kazalovsebine3"/>
            <w:tabs>
              <w:tab w:val="left" w:pos="1200"/>
              <w:tab w:val="right" w:leader="dot" w:pos="9060"/>
            </w:tabs>
            <w:rPr>
              <w:rFonts w:eastAsiaTheme="minorEastAsia" w:cstheme="minorBidi"/>
              <w:i w:val="0"/>
              <w:iCs w:val="0"/>
              <w:noProof/>
              <w:kern w:val="2"/>
              <w:sz w:val="24"/>
              <w:szCs w:val="24"/>
              <w14:ligatures w14:val="standardContextual"/>
            </w:rPr>
          </w:pPr>
          <w:r>
            <w:rPr>
              <w:noProof/>
            </w:rPr>
            <w:t>2.1.2</w:t>
          </w:r>
          <w:r>
            <w:rPr>
              <w:rFonts w:eastAsiaTheme="minorEastAsia" w:cstheme="minorBidi"/>
              <w:i w:val="0"/>
              <w:iCs w:val="0"/>
              <w:noProof/>
              <w:kern w:val="2"/>
              <w:sz w:val="24"/>
              <w:szCs w:val="24"/>
              <w14:ligatures w14:val="standardContextual"/>
            </w:rPr>
            <w:tab/>
          </w:r>
          <w:r>
            <w:rPr>
              <w:noProof/>
            </w:rPr>
            <w:t>PN 2: Digitalna povezljivost</w:t>
          </w:r>
          <w:r>
            <w:rPr>
              <w:noProof/>
            </w:rPr>
            <w:tab/>
          </w:r>
          <w:r>
            <w:rPr>
              <w:noProof/>
            </w:rPr>
            <w:fldChar w:fldCharType="begin"/>
          </w:r>
          <w:r>
            <w:rPr>
              <w:noProof/>
            </w:rPr>
            <w:instrText xml:space="preserve"> PAGEREF _Toc192681983 \h </w:instrText>
          </w:r>
          <w:r>
            <w:rPr>
              <w:noProof/>
            </w:rPr>
          </w:r>
          <w:r>
            <w:rPr>
              <w:noProof/>
            </w:rPr>
            <w:fldChar w:fldCharType="separate"/>
          </w:r>
          <w:r>
            <w:rPr>
              <w:noProof/>
            </w:rPr>
            <w:t>18</w:t>
          </w:r>
          <w:r>
            <w:rPr>
              <w:noProof/>
            </w:rPr>
            <w:fldChar w:fldCharType="end"/>
          </w:r>
        </w:p>
        <w:p w14:paraId="6D458EBC" w14:textId="2553A32B" w:rsidR="008012A2" w:rsidRDefault="008012A2">
          <w:pPr>
            <w:pStyle w:val="Kazalovsebine3"/>
            <w:tabs>
              <w:tab w:val="left" w:pos="1200"/>
              <w:tab w:val="right" w:leader="dot" w:pos="9060"/>
            </w:tabs>
            <w:rPr>
              <w:rFonts w:eastAsiaTheme="minorEastAsia" w:cstheme="minorBidi"/>
              <w:i w:val="0"/>
              <w:iCs w:val="0"/>
              <w:noProof/>
              <w:kern w:val="2"/>
              <w:sz w:val="24"/>
              <w:szCs w:val="24"/>
              <w14:ligatures w14:val="standardContextual"/>
            </w:rPr>
          </w:pPr>
          <w:r>
            <w:rPr>
              <w:noProof/>
            </w:rPr>
            <w:t>2.1.3</w:t>
          </w:r>
          <w:r>
            <w:rPr>
              <w:rFonts w:eastAsiaTheme="minorEastAsia" w:cstheme="minorBidi"/>
              <w:i w:val="0"/>
              <w:iCs w:val="0"/>
              <w:noProof/>
              <w:kern w:val="2"/>
              <w:sz w:val="24"/>
              <w:szCs w:val="24"/>
              <w14:ligatures w14:val="standardContextual"/>
            </w:rPr>
            <w:tab/>
          </w:r>
          <w:r>
            <w:rPr>
              <w:noProof/>
            </w:rPr>
            <w:t>PN 3: Zelena preobrazba za podnebno nevtralnost</w:t>
          </w:r>
          <w:r>
            <w:rPr>
              <w:noProof/>
            </w:rPr>
            <w:tab/>
          </w:r>
          <w:r>
            <w:rPr>
              <w:noProof/>
            </w:rPr>
            <w:fldChar w:fldCharType="begin"/>
          </w:r>
          <w:r>
            <w:rPr>
              <w:noProof/>
            </w:rPr>
            <w:instrText xml:space="preserve"> PAGEREF _Toc192681984 \h </w:instrText>
          </w:r>
          <w:r>
            <w:rPr>
              <w:noProof/>
            </w:rPr>
          </w:r>
          <w:r>
            <w:rPr>
              <w:noProof/>
            </w:rPr>
            <w:fldChar w:fldCharType="separate"/>
          </w:r>
          <w:r>
            <w:rPr>
              <w:noProof/>
            </w:rPr>
            <w:t>19</w:t>
          </w:r>
          <w:r>
            <w:rPr>
              <w:noProof/>
            </w:rPr>
            <w:fldChar w:fldCharType="end"/>
          </w:r>
        </w:p>
        <w:p w14:paraId="2081B264" w14:textId="5370DF6A" w:rsidR="008012A2" w:rsidRDefault="008012A2">
          <w:pPr>
            <w:pStyle w:val="Kazalovsebine3"/>
            <w:tabs>
              <w:tab w:val="left" w:pos="1200"/>
              <w:tab w:val="right" w:leader="dot" w:pos="9060"/>
            </w:tabs>
            <w:rPr>
              <w:rFonts w:eastAsiaTheme="minorEastAsia" w:cstheme="minorBidi"/>
              <w:i w:val="0"/>
              <w:iCs w:val="0"/>
              <w:noProof/>
              <w:kern w:val="2"/>
              <w:sz w:val="24"/>
              <w:szCs w:val="24"/>
              <w14:ligatures w14:val="standardContextual"/>
            </w:rPr>
          </w:pPr>
          <w:r>
            <w:rPr>
              <w:noProof/>
            </w:rPr>
            <w:t>2.1.4</w:t>
          </w:r>
          <w:r>
            <w:rPr>
              <w:rFonts w:eastAsiaTheme="minorEastAsia" w:cstheme="minorBidi"/>
              <w:i w:val="0"/>
              <w:iCs w:val="0"/>
              <w:noProof/>
              <w:kern w:val="2"/>
              <w:sz w:val="24"/>
              <w:szCs w:val="24"/>
              <w14:ligatures w14:val="standardContextual"/>
            </w:rPr>
            <w:tab/>
          </w:r>
          <w:r>
            <w:rPr>
              <w:noProof/>
            </w:rPr>
            <w:t>PN 4: Trajnostna urbana mobilnost</w:t>
          </w:r>
          <w:r>
            <w:rPr>
              <w:noProof/>
            </w:rPr>
            <w:tab/>
          </w:r>
          <w:r>
            <w:rPr>
              <w:noProof/>
            </w:rPr>
            <w:fldChar w:fldCharType="begin"/>
          </w:r>
          <w:r>
            <w:rPr>
              <w:noProof/>
            </w:rPr>
            <w:instrText xml:space="preserve"> PAGEREF _Toc192681985 \h </w:instrText>
          </w:r>
          <w:r>
            <w:rPr>
              <w:noProof/>
            </w:rPr>
          </w:r>
          <w:r>
            <w:rPr>
              <w:noProof/>
            </w:rPr>
            <w:fldChar w:fldCharType="separate"/>
          </w:r>
          <w:r>
            <w:rPr>
              <w:noProof/>
            </w:rPr>
            <w:t>23</w:t>
          </w:r>
          <w:r>
            <w:rPr>
              <w:noProof/>
            </w:rPr>
            <w:fldChar w:fldCharType="end"/>
          </w:r>
        </w:p>
        <w:p w14:paraId="2AA575FB" w14:textId="64E3C924" w:rsidR="008012A2" w:rsidRDefault="008012A2">
          <w:pPr>
            <w:pStyle w:val="Kazalovsebine3"/>
            <w:tabs>
              <w:tab w:val="left" w:pos="1200"/>
              <w:tab w:val="right" w:leader="dot" w:pos="9060"/>
            </w:tabs>
            <w:rPr>
              <w:rFonts w:eastAsiaTheme="minorEastAsia" w:cstheme="minorBidi"/>
              <w:i w:val="0"/>
              <w:iCs w:val="0"/>
              <w:noProof/>
              <w:kern w:val="2"/>
              <w:sz w:val="24"/>
              <w:szCs w:val="24"/>
              <w14:ligatures w14:val="standardContextual"/>
            </w:rPr>
          </w:pPr>
          <w:r>
            <w:rPr>
              <w:noProof/>
            </w:rPr>
            <w:t>2.1.5</w:t>
          </w:r>
          <w:r>
            <w:rPr>
              <w:rFonts w:eastAsiaTheme="minorEastAsia" w:cstheme="minorBidi"/>
              <w:i w:val="0"/>
              <w:iCs w:val="0"/>
              <w:noProof/>
              <w:kern w:val="2"/>
              <w:sz w:val="24"/>
              <w:szCs w:val="24"/>
              <w14:ligatures w14:val="standardContextual"/>
            </w:rPr>
            <w:tab/>
          </w:r>
          <w:r>
            <w:rPr>
              <w:noProof/>
            </w:rPr>
            <w:t>PN 5: Trajnostna (čez)regionalna mobilnost in povezljivost</w:t>
          </w:r>
          <w:r>
            <w:rPr>
              <w:noProof/>
            </w:rPr>
            <w:tab/>
          </w:r>
          <w:r>
            <w:rPr>
              <w:noProof/>
            </w:rPr>
            <w:fldChar w:fldCharType="begin"/>
          </w:r>
          <w:r>
            <w:rPr>
              <w:noProof/>
            </w:rPr>
            <w:instrText xml:space="preserve"> PAGEREF _Toc192681986 \h </w:instrText>
          </w:r>
          <w:r>
            <w:rPr>
              <w:noProof/>
            </w:rPr>
          </w:r>
          <w:r>
            <w:rPr>
              <w:noProof/>
            </w:rPr>
            <w:fldChar w:fldCharType="separate"/>
          </w:r>
          <w:r>
            <w:rPr>
              <w:noProof/>
            </w:rPr>
            <w:t>24</w:t>
          </w:r>
          <w:r>
            <w:rPr>
              <w:noProof/>
            </w:rPr>
            <w:fldChar w:fldCharType="end"/>
          </w:r>
        </w:p>
        <w:p w14:paraId="28ABD4E2" w14:textId="1CABC81C" w:rsidR="008012A2" w:rsidRDefault="008012A2">
          <w:pPr>
            <w:pStyle w:val="Kazalovsebine3"/>
            <w:tabs>
              <w:tab w:val="left" w:pos="1200"/>
              <w:tab w:val="right" w:leader="dot" w:pos="9060"/>
            </w:tabs>
            <w:rPr>
              <w:rFonts w:eastAsiaTheme="minorEastAsia" w:cstheme="minorBidi"/>
              <w:i w:val="0"/>
              <w:iCs w:val="0"/>
              <w:noProof/>
              <w:kern w:val="2"/>
              <w:sz w:val="24"/>
              <w:szCs w:val="24"/>
              <w14:ligatures w14:val="standardContextual"/>
            </w:rPr>
          </w:pPr>
          <w:r>
            <w:rPr>
              <w:noProof/>
            </w:rPr>
            <w:t>2.1.6</w:t>
          </w:r>
          <w:r>
            <w:rPr>
              <w:rFonts w:eastAsiaTheme="minorEastAsia" w:cstheme="minorBidi"/>
              <w:i w:val="0"/>
              <w:iCs w:val="0"/>
              <w:noProof/>
              <w:kern w:val="2"/>
              <w:sz w:val="24"/>
              <w:szCs w:val="24"/>
              <w14:ligatures w14:val="standardContextual"/>
            </w:rPr>
            <w:tab/>
          </w:r>
          <w:r>
            <w:rPr>
              <w:noProof/>
            </w:rPr>
            <w:t>PN 6: Znanja in spretnosti ter odzivni trg dela</w:t>
          </w:r>
          <w:r>
            <w:rPr>
              <w:noProof/>
            </w:rPr>
            <w:tab/>
          </w:r>
          <w:r>
            <w:rPr>
              <w:noProof/>
            </w:rPr>
            <w:fldChar w:fldCharType="begin"/>
          </w:r>
          <w:r>
            <w:rPr>
              <w:noProof/>
            </w:rPr>
            <w:instrText xml:space="preserve"> PAGEREF _Toc192681987 \h </w:instrText>
          </w:r>
          <w:r>
            <w:rPr>
              <w:noProof/>
            </w:rPr>
          </w:r>
          <w:r>
            <w:rPr>
              <w:noProof/>
            </w:rPr>
            <w:fldChar w:fldCharType="separate"/>
          </w:r>
          <w:r>
            <w:rPr>
              <w:noProof/>
            </w:rPr>
            <w:t>26</w:t>
          </w:r>
          <w:r>
            <w:rPr>
              <w:noProof/>
            </w:rPr>
            <w:fldChar w:fldCharType="end"/>
          </w:r>
        </w:p>
        <w:p w14:paraId="6312AC81" w14:textId="06FFAAA7" w:rsidR="008012A2" w:rsidRDefault="008012A2">
          <w:pPr>
            <w:pStyle w:val="Kazalovsebine3"/>
            <w:tabs>
              <w:tab w:val="left" w:pos="1200"/>
              <w:tab w:val="right" w:leader="dot" w:pos="9060"/>
            </w:tabs>
            <w:rPr>
              <w:rFonts w:eastAsiaTheme="minorEastAsia" w:cstheme="minorBidi"/>
              <w:i w:val="0"/>
              <w:iCs w:val="0"/>
              <w:noProof/>
              <w:kern w:val="2"/>
              <w:sz w:val="24"/>
              <w:szCs w:val="24"/>
              <w14:ligatures w14:val="standardContextual"/>
            </w:rPr>
          </w:pPr>
          <w:r>
            <w:rPr>
              <w:noProof/>
            </w:rPr>
            <w:t>2.1.7</w:t>
          </w:r>
          <w:r>
            <w:rPr>
              <w:rFonts w:eastAsiaTheme="minorEastAsia" w:cstheme="minorBidi"/>
              <w:i w:val="0"/>
              <w:iCs w:val="0"/>
              <w:noProof/>
              <w:kern w:val="2"/>
              <w:sz w:val="24"/>
              <w:szCs w:val="24"/>
              <w14:ligatures w14:val="standardContextual"/>
            </w:rPr>
            <w:tab/>
          </w:r>
          <w:r>
            <w:rPr>
              <w:noProof/>
            </w:rPr>
            <w:t>PN 7: Dolgotrajna oskrba in zdravje ter socialna vključenost</w:t>
          </w:r>
          <w:r>
            <w:rPr>
              <w:noProof/>
            </w:rPr>
            <w:tab/>
          </w:r>
          <w:r>
            <w:rPr>
              <w:noProof/>
            </w:rPr>
            <w:fldChar w:fldCharType="begin"/>
          </w:r>
          <w:r>
            <w:rPr>
              <w:noProof/>
            </w:rPr>
            <w:instrText xml:space="preserve"> PAGEREF _Toc192681988 \h </w:instrText>
          </w:r>
          <w:r>
            <w:rPr>
              <w:noProof/>
            </w:rPr>
          </w:r>
          <w:r>
            <w:rPr>
              <w:noProof/>
            </w:rPr>
            <w:fldChar w:fldCharType="separate"/>
          </w:r>
          <w:r>
            <w:rPr>
              <w:noProof/>
            </w:rPr>
            <w:t>29</w:t>
          </w:r>
          <w:r>
            <w:rPr>
              <w:noProof/>
            </w:rPr>
            <w:fldChar w:fldCharType="end"/>
          </w:r>
        </w:p>
        <w:p w14:paraId="5E70B8DD" w14:textId="256E5DF3" w:rsidR="008012A2" w:rsidRDefault="008012A2">
          <w:pPr>
            <w:pStyle w:val="Kazalovsebine3"/>
            <w:tabs>
              <w:tab w:val="left" w:pos="1200"/>
              <w:tab w:val="right" w:leader="dot" w:pos="9060"/>
            </w:tabs>
            <w:rPr>
              <w:rFonts w:eastAsiaTheme="minorEastAsia" w:cstheme="minorBidi"/>
              <w:i w:val="0"/>
              <w:iCs w:val="0"/>
              <w:noProof/>
              <w:kern w:val="2"/>
              <w:sz w:val="24"/>
              <w:szCs w:val="24"/>
              <w14:ligatures w14:val="standardContextual"/>
            </w:rPr>
          </w:pPr>
          <w:r>
            <w:rPr>
              <w:noProof/>
            </w:rPr>
            <w:t>2.1.8</w:t>
          </w:r>
          <w:r>
            <w:rPr>
              <w:rFonts w:eastAsiaTheme="minorEastAsia" w:cstheme="minorBidi"/>
              <w:i w:val="0"/>
              <w:iCs w:val="0"/>
              <w:noProof/>
              <w:kern w:val="2"/>
              <w:sz w:val="24"/>
              <w:szCs w:val="24"/>
              <w14:ligatures w14:val="standardContextual"/>
            </w:rPr>
            <w:tab/>
          </w:r>
          <w:r>
            <w:rPr>
              <w:noProof/>
            </w:rPr>
            <w:t>PN 8: Trajnostna turizem in kultura</w:t>
          </w:r>
          <w:r>
            <w:rPr>
              <w:noProof/>
            </w:rPr>
            <w:tab/>
          </w:r>
          <w:r>
            <w:rPr>
              <w:noProof/>
            </w:rPr>
            <w:fldChar w:fldCharType="begin"/>
          </w:r>
          <w:r>
            <w:rPr>
              <w:noProof/>
            </w:rPr>
            <w:instrText xml:space="preserve"> PAGEREF _Toc192681989 \h </w:instrText>
          </w:r>
          <w:r>
            <w:rPr>
              <w:noProof/>
            </w:rPr>
          </w:r>
          <w:r>
            <w:rPr>
              <w:noProof/>
            </w:rPr>
            <w:fldChar w:fldCharType="separate"/>
          </w:r>
          <w:r>
            <w:rPr>
              <w:noProof/>
            </w:rPr>
            <w:t>32</w:t>
          </w:r>
          <w:r>
            <w:rPr>
              <w:noProof/>
            </w:rPr>
            <w:fldChar w:fldCharType="end"/>
          </w:r>
        </w:p>
        <w:p w14:paraId="2570D49F" w14:textId="23B8958A" w:rsidR="008012A2" w:rsidRDefault="008012A2">
          <w:pPr>
            <w:pStyle w:val="Kazalovsebine3"/>
            <w:tabs>
              <w:tab w:val="left" w:pos="1200"/>
              <w:tab w:val="right" w:leader="dot" w:pos="9060"/>
            </w:tabs>
            <w:rPr>
              <w:rFonts w:eastAsiaTheme="minorEastAsia" w:cstheme="minorBidi"/>
              <w:i w:val="0"/>
              <w:iCs w:val="0"/>
              <w:noProof/>
              <w:kern w:val="2"/>
              <w:sz w:val="24"/>
              <w:szCs w:val="24"/>
              <w14:ligatures w14:val="standardContextual"/>
            </w:rPr>
          </w:pPr>
          <w:r>
            <w:rPr>
              <w:noProof/>
            </w:rPr>
            <w:t>2.1.9</w:t>
          </w:r>
          <w:r>
            <w:rPr>
              <w:rFonts w:eastAsiaTheme="minorEastAsia" w:cstheme="minorBidi"/>
              <w:i w:val="0"/>
              <w:iCs w:val="0"/>
              <w:noProof/>
              <w:kern w:val="2"/>
              <w:sz w:val="24"/>
              <w:szCs w:val="24"/>
              <w14:ligatures w14:val="standardContextual"/>
            </w:rPr>
            <w:tab/>
          </w:r>
          <w:r>
            <w:rPr>
              <w:noProof/>
            </w:rPr>
            <w:t>PN 9: Trajnostni razvoj lokalnih območij</w:t>
          </w:r>
          <w:r>
            <w:rPr>
              <w:noProof/>
            </w:rPr>
            <w:tab/>
          </w:r>
          <w:r>
            <w:rPr>
              <w:noProof/>
            </w:rPr>
            <w:fldChar w:fldCharType="begin"/>
          </w:r>
          <w:r>
            <w:rPr>
              <w:noProof/>
            </w:rPr>
            <w:instrText xml:space="preserve"> PAGEREF _Toc192681990 \h </w:instrText>
          </w:r>
          <w:r>
            <w:rPr>
              <w:noProof/>
            </w:rPr>
          </w:r>
          <w:r>
            <w:rPr>
              <w:noProof/>
            </w:rPr>
            <w:fldChar w:fldCharType="separate"/>
          </w:r>
          <w:r>
            <w:rPr>
              <w:noProof/>
            </w:rPr>
            <w:t>33</w:t>
          </w:r>
          <w:r>
            <w:rPr>
              <w:noProof/>
            </w:rPr>
            <w:fldChar w:fldCharType="end"/>
          </w:r>
        </w:p>
        <w:p w14:paraId="7499A589" w14:textId="7E52DF05" w:rsidR="008012A2" w:rsidRDefault="008012A2">
          <w:pPr>
            <w:pStyle w:val="Kazalovsebine3"/>
            <w:tabs>
              <w:tab w:val="left" w:pos="1200"/>
              <w:tab w:val="right" w:leader="dot" w:pos="9060"/>
            </w:tabs>
            <w:rPr>
              <w:rFonts w:eastAsiaTheme="minorEastAsia" w:cstheme="minorBidi"/>
              <w:i w:val="0"/>
              <w:iCs w:val="0"/>
              <w:noProof/>
              <w:kern w:val="2"/>
              <w:sz w:val="24"/>
              <w:szCs w:val="24"/>
              <w14:ligatures w14:val="standardContextual"/>
            </w:rPr>
          </w:pPr>
          <w:r>
            <w:rPr>
              <w:noProof/>
            </w:rPr>
            <w:t>2.1.10</w:t>
          </w:r>
          <w:r>
            <w:rPr>
              <w:rFonts w:eastAsiaTheme="minorEastAsia" w:cstheme="minorBidi"/>
              <w:i w:val="0"/>
              <w:iCs w:val="0"/>
              <w:noProof/>
              <w:kern w:val="2"/>
              <w:sz w:val="24"/>
              <w:szCs w:val="24"/>
              <w14:ligatures w14:val="standardContextual"/>
            </w:rPr>
            <w:tab/>
          </w:r>
          <w:r>
            <w:rPr>
              <w:noProof/>
            </w:rPr>
            <w:t>PN 10: Prestrukturiranje premogovnih regij</w:t>
          </w:r>
          <w:r>
            <w:rPr>
              <w:noProof/>
            </w:rPr>
            <w:tab/>
          </w:r>
          <w:r>
            <w:rPr>
              <w:noProof/>
            </w:rPr>
            <w:fldChar w:fldCharType="begin"/>
          </w:r>
          <w:r>
            <w:rPr>
              <w:noProof/>
            </w:rPr>
            <w:instrText xml:space="preserve"> PAGEREF _Toc192681991 \h </w:instrText>
          </w:r>
          <w:r>
            <w:rPr>
              <w:noProof/>
            </w:rPr>
          </w:r>
          <w:r>
            <w:rPr>
              <w:noProof/>
            </w:rPr>
            <w:fldChar w:fldCharType="separate"/>
          </w:r>
          <w:r>
            <w:rPr>
              <w:noProof/>
            </w:rPr>
            <w:t>34</w:t>
          </w:r>
          <w:r>
            <w:rPr>
              <w:noProof/>
            </w:rPr>
            <w:fldChar w:fldCharType="end"/>
          </w:r>
        </w:p>
        <w:p w14:paraId="45706770" w14:textId="538E58A9" w:rsidR="008012A2" w:rsidRDefault="008012A2">
          <w:pPr>
            <w:pStyle w:val="Kazalovsebine2"/>
            <w:tabs>
              <w:tab w:val="left" w:pos="800"/>
              <w:tab w:val="right" w:leader="dot" w:pos="9060"/>
            </w:tabs>
            <w:rPr>
              <w:rFonts w:eastAsiaTheme="minorEastAsia" w:cstheme="minorBidi"/>
              <w:smallCaps w:val="0"/>
              <w:noProof/>
              <w:kern w:val="2"/>
              <w:sz w:val="24"/>
              <w:szCs w:val="24"/>
              <w14:ligatures w14:val="standardContextual"/>
            </w:rPr>
          </w:pPr>
          <w:r w:rsidRPr="004E28C6">
            <w:rPr>
              <w:rFonts w:cs="Arial"/>
              <w:noProof/>
              <w:color w:val="2E74B5"/>
            </w:rPr>
            <w:t>2.2</w:t>
          </w:r>
          <w:r>
            <w:rPr>
              <w:rFonts w:eastAsiaTheme="minorEastAsia" w:cstheme="minorBidi"/>
              <w:smallCaps w:val="0"/>
              <w:noProof/>
              <w:kern w:val="2"/>
              <w:sz w:val="24"/>
              <w:szCs w:val="24"/>
              <w14:ligatures w14:val="standardContextual"/>
            </w:rPr>
            <w:tab/>
          </w:r>
          <w:r w:rsidRPr="004E28C6">
            <w:rPr>
              <w:rFonts w:cs="Arial"/>
              <w:noProof/>
              <w:color w:val="2E74B5"/>
            </w:rPr>
            <w:t>TERITORIALNI PRISTOPI IN INSTRUMENTI ZA PODPORO IZVAJANJU</w:t>
          </w:r>
          <w:r>
            <w:rPr>
              <w:noProof/>
            </w:rPr>
            <w:tab/>
          </w:r>
          <w:r>
            <w:rPr>
              <w:noProof/>
            </w:rPr>
            <w:fldChar w:fldCharType="begin"/>
          </w:r>
          <w:r>
            <w:rPr>
              <w:noProof/>
            </w:rPr>
            <w:instrText xml:space="preserve"> PAGEREF _Toc192681992 \h </w:instrText>
          </w:r>
          <w:r>
            <w:rPr>
              <w:noProof/>
            </w:rPr>
          </w:r>
          <w:r>
            <w:rPr>
              <w:noProof/>
            </w:rPr>
            <w:fldChar w:fldCharType="separate"/>
          </w:r>
          <w:r>
            <w:rPr>
              <w:noProof/>
            </w:rPr>
            <w:t>35</w:t>
          </w:r>
          <w:r>
            <w:rPr>
              <w:noProof/>
            </w:rPr>
            <w:fldChar w:fldCharType="end"/>
          </w:r>
        </w:p>
        <w:p w14:paraId="043D1878" w14:textId="71261BF3" w:rsidR="008012A2" w:rsidRDefault="008012A2">
          <w:pPr>
            <w:pStyle w:val="Kazalovsebine3"/>
            <w:tabs>
              <w:tab w:val="left" w:pos="1200"/>
              <w:tab w:val="right" w:leader="dot" w:pos="9060"/>
            </w:tabs>
            <w:rPr>
              <w:rFonts w:eastAsiaTheme="minorEastAsia" w:cstheme="minorBidi"/>
              <w:i w:val="0"/>
              <w:iCs w:val="0"/>
              <w:noProof/>
              <w:kern w:val="2"/>
              <w:sz w:val="24"/>
              <w:szCs w:val="24"/>
              <w14:ligatures w14:val="standardContextual"/>
            </w:rPr>
          </w:pPr>
          <w:r w:rsidRPr="004E28C6">
            <w:rPr>
              <w:rFonts w:cs="Arial"/>
              <w:noProof/>
              <w:color w:val="0070C0"/>
            </w:rPr>
            <w:t>2.2.1</w:t>
          </w:r>
          <w:r>
            <w:rPr>
              <w:rFonts w:eastAsiaTheme="minorEastAsia" w:cstheme="minorBidi"/>
              <w:i w:val="0"/>
              <w:iCs w:val="0"/>
              <w:noProof/>
              <w:kern w:val="2"/>
              <w:sz w:val="24"/>
              <w:szCs w:val="24"/>
              <w14:ligatures w14:val="standardContextual"/>
            </w:rPr>
            <w:tab/>
          </w:r>
          <w:r w:rsidRPr="004E28C6">
            <w:rPr>
              <w:rFonts w:cs="Arial"/>
              <w:noProof/>
              <w:color w:val="0070C0"/>
            </w:rPr>
            <w:t>Lokalni razvoj, ki ga vodi skupnost (CLLD)</w:t>
          </w:r>
          <w:r>
            <w:rPr>
              <w:noProof/>
            </w:rPr>
            <w:tab/>
          </w:r>
          <w:r>
            <w:rPr>
              <w:noProof/>
            </w:rPr>
            <w:fldChar w:fldCharType="begin"/>
          </w:r>
          <w:r>
            <w:rPr>
              <w:noProof/>
            </w:rPr>
            <w:instrText xml:space="preserve"> PAGEREF _Toc192681993 \h </w:instrText>
          </w:r>
          <w:r>
            <w:rPr>
              <w:noProof/>
            </w:rPr>
          </w:r>
          <w:r>
            <w:rPr>
              <w:noProof/>
            </w:rPr>
            <w:fldChar w:fldCharType="separate"/>
          </w:r>
          <w:r>
            <w:rPr>
              <w:noProof/>
            </w:rPr>
            <w:t>35</w:t>
          </w:r>
          <w:r>
            <w:rPr>
              <w:noProof/>
            </w:rPr>
            <w:fldChar w:fldCharType="end"/>
          </w:r>
        </w:p>
        <w:p w14:paraId="36E072D6" w14:textId="7CC3CD01" w:rsidR="008012A2" w:rsidRDefault="008012A2">
          <w:pPr>
            <w:pStyle w:val="Kazalovsebine3"/>
            <w:tabs>
              <w:tab w:val="left" w:pos="1200"/>
              <w:tab w:val="right" w:leader="dot" w:pos="9060"/>
            </w:tabs>
            <w:rPr>
              <w:rFonts w:eastAsiaTheme="minorEastAsia" w:cstheme="minorBidi"/>
              <w:i w:val="0"/>
              <w:iCs w:val="0"/>
              <w:noProof/>
              <w:kern w:val="2"/>
              <w:sz w:val="24"/>
              <w:szCs w:val="24"/>
              <w14:ligatures w14:val="standardContextual"/>
            </w:rPr>
          </w:pPr>
          <w:r w:rsidRPr="004E28C6">
            <w:rPr>
              <w:rFonts w:cs="Arial"/>
              <w:noProof/>
              <w:color w:val="0070C0"/>
            </w:rPr>
            <w:t>2.2.2</w:t>
          </w:r>
          <w:r>
            <w:rPr>
              <w:rFonts w:eastAsiaTheme="minorEastAsia" w:cstheme="minorBidi"/>
              <w:i w:val="0"/>
              <w:iCs w:val="0"/>
              <w:noProof/>
              <w:kern w:val="2"/>
              <w:sz w:val="24"/>
              <w:szCs w:val="24"/>
              <w14:ligatures w14:val="standardContextual"/>
            </w:rPr>
            <w:tab/>
          </w:r>
          <w:r w:rsidRPr="004E28C6">
            <w:rPr>
              <w:rFonts w:cs="Arial"/>
              <w:noProof/>
              <w:color w:val="0070C0"/>
            </w:rPr>
            <w:t>Celostne teritorialne naložbe (CTN)</w:t>
          </w:r>
          <w:r>
            <w:rPr>
              <w:noProof/>
            </w:rPr>
            <w:tab/>
          </w:r>
          <w:r>
            <w:rPr>
              <w:noProof/>
            </w:rPr>
            <w:fldChar w:fldCharType="begin"/>
          </w:r>
          <w:r>
            <w:rPr>
              <w:noProof/>
            </w:rPr>
            <w:instrText xml:space="preserve"> PAGEREF _Toc192681994 \h </w:instrText>
          </w:r>
          <w:r>
            <w:rPr>
              <w:noProof/>
            </w:rPr>
          </w:r>
          <w:r>
            <w:rPr>
              <w:noProof/>
            </w:rPr>
            <w:fldChar w:fldCharType="separate"/>
          </w:r>
          <w:r>
            <w:rPr>
              <w:noProof/>
            </w:rPr>
            <w:t>35</w:t>
          </w:r>
          <w:r>
            <w:rPr>
              <w:noProof/>
            </w:rPr>
            <w:fldChar w:fldCharType="end"/>
          </w:r>
        </w:p>
        <w:p w14:paraId="5BA23AE8" w14:textId="5A1CE7DC" w:rsidR="008012A2" w:rsidRDefault="008012A2">
          <w:pPr>
            <w:pStyle w:val="Kazalovsebine3"/>
            <w:tabs>
              <w:tab w:val="left" w:pos="1200"/>
              <w:tab w:val="right" w:leader="dot" w:pos="9060"/>
            </w:tabs>
            <w:rPr>
              <w:rFonts w:eastAsiaTheme="minorEastAsia" w:cstheme="minorBidi"/>
              <w:i w:val="0"/>
              <w:iCs w:val="0"/>
              <w:noProof/>
              <w:kern w:val="2"/>
              <w:sz w:val="24"/>
              <w:szCs w:val="24"/>
              <w14:ligatures w14:val="standardContextual"/>
            </w:rPr>
          </w:pPr>
          <w:r w:rsidRPr="004E28C6">
            <w:rPr>
              <w:rFonts w:cs="Arial"/>
              <w:noProof/>
              <w:color w:val="0070C0"/>
            </w:rPr>
            <w:t>2.2.3</w:t>
          </w:r>
          <w:r>
            <w:rPr>
              <w:rFonts w:eastAsiaTheme="minorEastAsia" w:cstheme="minorBidi"/>
              <w:i w:val="0"/>
              <w:iCs w:val="0"/>
              <w:noProof/>
              <w:kern w:val="2"/>
              <w:sz w:val="24"/>
              <w:szCs w:val="24"/>
              <w14:ligatures w14:val="standardContextual"/>
            </w:rPr>
            <w:tab/>
          </w:r>
          <w:r w:rsidRPr="004E28C6">
            <w:rPr>
              <w:rFonts w:cs="Arial"/>
              <w:noProof/>
              <w:color w:val="0070C0"/>
            </w:rPr>
            <w:t>Dogovor za razvoj regij (DRR)</w:t>
          </w:r>
          <w:r>
            <w:rPr>
              <w:noProof/>
            </w:rPr>
            <w:tab/>
          </w:r>
          <w:r>
            <w:rPr>
              <w:noProof/>
            </w:rPr>
            <w:fldChar w:fldCharType="begin"/>
          </w:r>
          <w:r>
            <w:rPr>
              <w:noProof/>
            </w:rPr>
            <w:instrText xml:space="preserve"> PAGEREF _Toc192681995 \h </w:instrText>
          </w:r>
          <w:r>
            <w:rPr>
              <w:noProof/>
            </w:rPr>
          </w:r>
          <w:r>
            <w:rPr>
              <w:noProof/>
            </w:rPr>
            <w:fldChar w:fldCharType="separate"/>
          </w:r>
          <w:r>
            <w:rPr>
              <w:noProof/>
            </w:rPr>
            <w:t>36</w:t>
          </w:r>
          <w:r>
            <w:rPr>
              <w:noProof/>
            </w:rPr>
            <w:fldChar w:fldCharType="end"/>
          </w:r>
        </w:p>
        <w:p w14:paraId="79BAB4D6" w14:textId="0DBA45BA" w:rsidR="008012A2" w:rsidRDefault="008012A2">
          <w:pPr>
            <w:pStyle w:val="Kazalovsebine3"/>
            <w:tabs>
              <w:tab w:val="left" w:pos="1200"/>
              <w:tab w:val="right" w:leader="dot" w:pos="9060"/>
            </w:tabs>
            <w:rPr>
              <w:rFonts w:eastAsiaTheme="minorEastAsia" w:cstheme="minorBidi"/>
              <w:i w:val="0"/>
              <w:iCs w:val="0"/>
              <w:noProof/>
              <w:kern w:val="2"/>
              <w:sz w:val="24"/>
              <w:szCs w:val="24"/>
              <w14:ligatures w14:val="standardContextual"/>
            </w:rPr>
          </w:pPr>
          <w:r w:rsidRPr="004E28C6">
            <w:rPr>
              <w:noProof/>
              <w:color w:val="0070C0"/>
            </w:rPr>
            <w:t>2.2.4</w:t>
          </w:r>
          <w:r>
            <w:rPr>
              <w:rFonts w:eastAsiaTheme="minorEastAsia" w:cstheme="minorBidi"/>
              <w:i w:val="0"/>
              <w:iCs w:val="0"/>
              <w:noProof/>
              <w:kern w:val="2"/>
              <w:sz w:val="24"/>
              <w:szCs w:val="24"/>
              <w14:ligatures w14:val="standardContextual"/>
            </w:rPr>
            <w:tab/>
          </w:r>
          <w:r w:rsidRPr="004E28C6">
            <w:rPr>
              <w:noProof/>
              <w:color w:val="0070C0"/>
            </w:rPr>
            <w:t>Finančni instrumenti (FI)</w:t>
          </w:r>
          <w:r>
            <w:rPr>
              <w:noProof/>
            </w:rPr>
            <w:tab/>
          </w:r>
          <w:r>
            <w:rPr>
              <w:noProof/>
            </w:rPr>
            <w:fldChar w:fldCharType="begin"/>
          </w:r>
          <w:r>
            <w:rPr>
              <w:noProof/>
            </w:rPr>
            <w:instrText xml:space="preserve"> PAGEREF _Toc192681996 \h </w:instrText>
          </w:r>
          <w:r>
            <w:rPr>
              <w:noProof/>
            </w:rPr>
          </w:r>
          <w:r>
            <w:rPr>
              <w:noProof/>
            </w:rPr>
            <w:fldChar w:fldCharType="separate"/>
          </w:r>
          <w:r>
            <w:rPr>
              <w:noProof/>
            </w:rPr>
            <w:t>37</w:t>
          </w:r>
          <w:r>
            <w:rPr>
              <w:noProof/>
            </w:rPr>
            <w:fldChar w:fldCharType="end"/>
          </w:r>
        </w:p>
        <w:p w14:paraId="0AB87ECA" w14:textId="622548EB" w:rsidR="008012A2" w:rsidRDefault="008012A2">
          <w:pPr>
            <w:pStyle w:val="Kazalovsebine2"/>
            <w:tabs>
              <w:tab w:val="left" w:pos="800"/>
              <w:tab w:val="right" w:leader="dot" w:pos="9060"/>
            </w:tabs>
            <w:rPr>
              <w:rFonts w:eastAsiaTheme="minorEastAsia" w:cstheme="minorBidi"/>
              <w:smallCaps w:val="0"/>
              <w:noProof/>
              <w:kern w:val="2"/>
              <w:sz w:val="24"/>
              <w:szCs w:val="24"/>
              <w14:ligatures w14:val="standardContextual"/>
            </w:rPr>
          </w:pPr>
          <w:r w:rsidRPr="004E28C6">
            <w:rPr>
              <w:rFonts w:cs="Arial"/>
              <w:noProof/>
              <w:color w:val="2E74B5"/>
            </w:rPr>
            <w:t>2.3</w:t>
          </w:r>
          <w:r>
            <w:rPr>
              <w:rFonts w:eastAsiaTheme="minorEastAsia" w:cstheme="minorBidi"/>
              <w:smallCaps w:val="0"/>
              <w:noProof/>
              <w:kern w:val="2"/>
              <w:sz w:val="24"/>
              <w:szCs w:val="24"/>
              <w14:ligatures w14:val="standardContextual"/>
            </w:rPr>
            <w:tab/>
          </w:r>
          <w:r w:rsidRPr="004E28C6">
            <w:rPr>
              <w:rFonts w:cs="Arial"/>
              <w:noProof/>
              <w:color w:val="2E74B5"/>
            </w:rPr>
            <w:t>VKLJUČEVANJE HORIZONTALNIH NAČEL</w:t>
          </w:r>
          <w:r>
            <w:rPr>
              <w:noProof/>
            </w:rPr>
            <w:tab/>
          </w:r>
          <w:r>
            <w:rPr>
              <w:noProof/>
            </w:rPr>
            <w:fldChar w:fldCharType="begin"/>
          </w:r>
          <w:r>
            <w:rPr>
              <w:noProof/>
            </w:rPr>
            <w:instrText xml:space="preserve"> PAGEREF _Toc192681997 \h </w:instrText>
          </w:r>
          <w:r>
            <w:rPr>
              <w:noProof/>
            </w:rPr>
          </w:r>
          <w:r>
            <w:rPr>
              <w:noProof/>
            </w:rPr>
            <w:fldChar w:fldCharType="separate"/>
          </w:r>
          <w:r>
            <w:rPr>
              <w:noProof/>
            </w:rPr>
            <w:t>38</w:t>
          </w:r>
          <w:r>
            <w:rPr>
              <w:noProof/>
            </w:rPr>
            <w:fldChar w:fldCharType="end"/>
          </w:r>
        </w:p>
        <w:p w14:paraId="62E4C766" w14:textId="0ABB5E5D" w:rsidR="008012A2" w:rsidRDefault="008012A2">
          <w:pPr>
            <w:pStyle w:val="Kazalovsebine3"/>
            <w:tabs>
              <w:tab w:val="left" w:pos="1200"/>
              <w:tab w:val="right" w:leader="dot" w:pos="9060"/>
            </w:tabs>
            <w:rPr>
              <w:rFonts w:eastAsiaTheme="minorEastAsia" w:cstheme="minorBidi"/>
              <w:i w:val="0"/>
              <w:iCs w:val="0"/>
              <w:noProof/>
              <w:kern w:val="2"/>
              <w:sz w:val="24"/>
              <w:szCs w:val="24"/>
              <w14:ligatures w14:val="standardContextual"/>
            </w:rPr>
          </w:pPr>
          <w:r>
            <w:rPr>
              <w:noProof/>
            </w:rPr>
            <w:t>2.3.1</w:t>
          </w:r>
          <w:r>
            <w:rPr>
              <w:rFonts w:eastAsiaTheme="minorEastAsia" w:cstheme="minorBidi"/>
              <w:i w:val="0"/>
              <w:iCs w:val="0"/>
              <w:noProof/>
              <w:kern w:val="2"/>
              <w:sz w:val="24"/>
              <w:szCs w:val="24"/>
              <w14:ligatures w14:val="standardContextual"/>
            </w:rPr>
            <w:tab/>
          </w:r>
          <w:r>
            <w:rPr>
              <w:noProof/>
            </w:rPr>
            <w:t>Izvajanje Listine Evropske unije o temeljnih pravicah in načela nediskriminacije</w:t>
          </w:r>
          <w:r>
            <w:rPr>
              <w:noProof/>
            </w:rPr>
            <w:tab/>
          </w:r>
          <w:r>
            <w:rPr>
              <w:noProof/>
            </w:rPr>
            <w:fldChar w:fldCharType="begin"/>
          </w:r>
          <w:r>
            <w:rPr>
              <w:noProof/>
            </w:rPr>
            <w:instrText xml:space="preserve"> PAGEREF _Toc192681998 \h </w:instrText>
          </w:r>
          <w:r>
            <w:rPr>
              <w:noProof/>
            </w:rPr>
          </w:r>
          <w:r>
            <w:rPr>
              <w:noProof/>
            </w:rPr>
            <w:fldChar w:fldCharType="separate"/>
          </w:r>
          <w:r>
            <w:rPr>
              <w:noProof/>
            </w:rPr>
            <w:t>38</w:t>
          </w:r>
          <w:r>
            <w:rPr>
              <w:noProof/>
            </w:rPr>
            <w:fldChar w:fldCharType="end"/>
          </w:r>
        </w:p>
        <w:p w14:paraId="7DC280D9" w14:textId="6990589A" w:rsidR="008012A2" w:rsidRDefault="008012A2">
          <w:pPr>
            <w:pStyle w:val="Kazalovsebine3"/>
            <w:tabs>
              <w:tab w:val="left" w:pos="1200"/>
              <w:tab w:val="right" w:leader="dot" w:pos="9060"/>
            </w:tabs>
            <w:rPr>
              <w:rFonts w:eastAsiaTheme="minorEastAsia" w:cstheme="minorBidi"/>
              <w:i w:val="0"/>
              <w:iCs w:val="0"/>
              <w:noProof/>
              <w:kern w:val="2"/>
              <w:sz w:val="24"/>
              <w:szCs w:val="24"/>
              <w14:ligatures w14:val="standardContextual"/>
            </w:rPr>
          </w:pPr>
          <w:r>
            <w:rPr>
              <w:noProof/>
            </w:rPr>
            <w:t>2.3.2</w:t>
          </w:r>
          <w:r>
            <w:rPr>
              <w:rFonts w:eastAsiaTheme="minorEastAsia" w:cstheme="minorBidi"/>
              <w:i w:val="0"/>
              <w:iCs w:val="0"/>
              <w:noProof/>
              <w:kern w:val="2"/>
              <w:sz w:val="24"/>
              <w:szCs w:val="24"/>
              <w14:ligatures w14:val="standardContextual"/>
            </w:rPr>
            <w:tab/>
          </w:r>
          <w:r>
            <w:rPr>
              <w:noProof/>
            </w:rPr>
            <w:t>Vključevanje načela enakosti spolov</w:t>
          </w:r>
          <w:r>
            <w:rPr>
              <w:noProof/>
            </w:rPr>
            <w:tab/>
          </w:r>
          <w:r>
            <w:rPr>
              <w:noProof/>
            </w:rPr>
            <w:fldChar w:fldCharType="begin"/>
          </w:r>
          <w:r>
            <w:rPr>
              <w:noProof/>
            </w:rPr>
            <w:instrText xml:space="preserve"> PAGEREF _Toc192681999 \h </w:instrText>
          </w:r>
          <w:r>
            <w:rPr>
              <w:noProof/>
            </w:rPr>
          </w:r>
          <w:r>
            <w:rPr>
              <w:noProof/>
            </w:rPr>
            <w:fldChar w:fldCharType="separate"/>
          </w:r>
          <w:r>
            <w:rPr>
              <w:noProof/>
            </w:rPr>
            <w:t>39</w:t>
          </w:r>
          <w:r>
            <w:rPr>
              <w:noProof/>
            </w:rPr>
            <w:fldChar w:fldCharType="end"/>
          </w:r>
        </w:p>
        <w:p w14:paraId="29D5FB25" w14:textId="61529348" w:rsidR="008012A2" w:rsidRDefault="008012A2">
          <w:pPr>
            <w:pStyle w:val="Kazalovsebine3"/>
            <w:tabs>
              <w:tab w:val="left" w:pos="1200"/>
              <w:tab w:val="right" w:leader="dot" w:pos="9060"/>
            </w:tabs>
            <w:rPr>
              <w:rFonts w:eastAsiaTheme="minorEastAsia" w:cstheme="minorBidi"/>
              <w:i w:val="0"/>
              <w:iCs w:val="0"/>
              <w:noProof/>
              <w:kern w:val="2"/>
              <w:sz w:val="24"/>
              <w:szCs w:val="24"/>
              <w14:ligatures w14:val="standardContextual"/>
            </w:rPr>
          </w:pPr>
          <w:r>
            <w:rPr>
              <w:noProof/>
            </w:rPr>
            <w:t>2.3.3</w:t>
          </w:r>
          <w:r>
            <w:rPr>
              <w:rFonts w:eastAsiaTheme="minorEastAsia" w:cstheme="minorBidi"/>
              <w:i w:val="0"/>
              <w:iCs w:val="0"/>
              <w:noProof/>
              <w:kern w:val="2"/>
              <w:sz w:val="24"/>
              <w:szCs w:val="24"/>
              <w14:ligatures w14:val="standardContextual"/>
            </w:rPr>
            <w:tab/>
          </w:r>
          <w:r>
            <w:rPr>
              <w:noProof/>
            </w:rPr>
            <w:t>Vključevanje načela, da se ne škoduje bistveno</w:t>
          </w:r>
          <w:r>
            <w:rPr>
              <w:noProof/>
            </w:rPr>
            <w:tab/>
          </w:r>
          <w:r>
            <w:rPr>
              <w:noProof/>
            </w:rPr>
            <w:fldChar w:fldCharType="begin"/>
          </w:r>
          <w:r>
            <w:rPr>
              <w:noProof/>
            </w:rPr>
            <w:instrText xml:space="preserve"> PAGEREF _Toc192682000 \h </w:instrText>
          </w:r>
          <w:r>
            <w:rPr>
              <w:noProof/>
            </w:rPr>
          </w:r>
          <w:r>
            <w:rPr>
              <w:noProof/>
            </w:rPr>
            <w:fldChar w:fldCharType="separate"/>
          </w:r>
          <w:r>
            <w:rPr>
              <w:noProof/>
            </w:rPr>
            <w:t>40</w:t>
          </w:r>
          <w:r>
            <w:rPr>
              <w:noProof/>
            </w:rPr>
            <w:fldChar w:fldCharType="end"/>
          </w:r>
        </w:p>
        <w:p w14:paraId="11108D17" w14:textId="7997E1B9" w:rsidR="008012A2" w:rsidRDefault="008012A2">
          <w:pPr>
            <w:pStyle w:val="Kazalovsebine2"/>
            <w:tabs>
              <w:tab w:val="left" w:pos="800"/>
              <w:tab w:val="right" w:leader="dot" w:pos="9060"/>
            </w:tabs>
            <w:rPr>
              <w:rFonts w:eastAsiaTheme="minorEastAsia" w:cstheme="minorBidi"/>
              <w:smallCaps w:val="0"/>
              <w:noProof/>
              <w:kern w:val="2"/>
              <w:sz w:val="24"/>
              <w:szCs w:val="24"/>
              <w14:ligatures w14:val="standardContextual"/>
            </w:rPr>
          </w:pPr>
          <w:r>
            <w:rPr>
              <w:noProof/>
            </w:rPr>
            <w:t>2.4</w:t>
          </w:r>
          <w:r>
            <w:rPr>
              <w:rFonts w:eastAsiaTheme="minorEastAsia" w:cstheme="minorBidi"/>
              <w:smallCaps w:val="0"/>
              <w:noProof/>
              <w:kern w:val="2"/>
              <w:sz w:val="24"/>
              <w:szCs w:val="24"/>
              <w14:ligatures w14:val="standardContextual"/>
            </w:rPr>
            <w:tab/>
          </w:r>
          <w:r>
            <w:rPr>
              <w:noProof/>
            </w:rPr>
            <w:t>ZAGOTAVLJANJE KREPITVE PODNEBNE ODPORNOSTI PODPRTIH NALOŽB V INFRASTRUKTURO</w:t>
          </w:r>
          <w:r>
            <w:rPr>
              <w:noProof/>
            </w:rPr>
            <w:tab/>
          </w:r>
          <w:r>
            <w:rPr>
              <w:noProof/>
            </w:rPr>
            <w:fldChar w:fldCharType="begin"/>
          </w:r>
          <w:r>
            <w:rPr>
              <w:noProof/>
            </w:rPr>
            <w:instrText xml:space="preserve"> PAGEREF _Toc192682001 \h </w:instrText>
          </w:r>
          <w:r>
            <w:rPr>
              <w:noProof/>
            </w:rPr>
          </w:r>
          <w:r>
            <w:rPr>
              <w:noProof/>
            </w:rPr>
            <w:fldChar w:fldCharType="separate"/>
          </w:r>
          <w:r>
            <w:rPr>
              <w:noProof/>
            </w:rPr>
            <w:t>40</w:t>
          </w:r>
          <w:r>
            <w:rPr>
              <w:noProof/>
            </w:rPr>
            <w:fldChar w:fldCharType="end"/>
          </w:r>
        </w:p>
        <w:p w14:paraId="43016C3E" w14:textId="32BDC363" w:rsidR="008012A2" w:rsidRDefault="008012A2">
          <w:pPr>
            <w:pStyle w:val="Kazalovsebine2"/>
            <w:tabs>
              <w:tab w:val="left" w:pos="800"/>
              <w:tab w:val="right" w:leader="dot" w:pos="9060"/>
            </w:tabs>
            <w:rPr>
              <w:rFonts w:eastAsiaTheme="minorEastAsia" w:cstheme="minorBidi"/>
              <w:smallCaps w:val="0"/>
              <w:noProof/>
              <w:kern w:val="2"/>
              <w:sz w:val="24"/>
              <w:szCs w:val="24"/>
              <w14:ligatures w14:val="standardContextual"/>
            </w:rPr>
          </w:pPr>
          <w:r>
            <w:rPr>
              <w:noProof/>
            </w:rPr>
            <w:t>2.5</w:t>
          </w:r>
          <w:r>
            <w:rPr>
              <w:rFonts w:eastAsiaTheme="minorEastAsia" w:cstheme="minorBidi"/>
              <w:smallCaps w:val="0"/>
              <w:noProof/>
              <w:kern w:val="2"/>
              <w:sz w:val="24"/>
              <w:szCs w:val="24"/>
              <w14:ligatures w14:val="standardContextual"/>
            </w:rPr>
            <w:tab/>
          </w:r>
          <w:r>
            <w:rPr>
              <w:noProof/>
            </w:rPr>
            <w:t>KOMUNICIRANJE IN PREPOZNAVNOST</w:t>
          </w:r>
          <w:r>
            <w:rPr>
              <w:noProof/>
            </w:rPr>
            <w:tab/>
          </w:r>
          <w:r>
            <w:rPr>
              <w:noProof/>
            </w:rPr>
            <w:fldChar w:fldCharType="begin"/>
          </w:r>
          <w:r>
            <w:rPr>
              <w:noProof/>
            </w:rPr>
            <w:instrText xml:space="preserve"> PAGEREF _Toc192682002 \h </w:instrText>
          </w:r>
          <w:r>
            <w:rPr>
              <w:noProof/>
            </w:rPr>
          </w:r>
          <w:r>
            <w:rPr>
              <w:noProof/>
            </w:rPr>
            <w:fldChar w:fldCharType="separate"/>
          </w:r>
          <w:r>
            <w:rPr>
              <w:noProof/>
            </w:rPr>
            <w:t>40</w:t>
          </w:r>
          <w:r>
            <w:rPr>
              <w:noProof/>
            </w:rPr>
            <w:fldChar w:fldCharType="end"/>
          </w:r>
        </w:p>
        <w:p w14:paraId="28A26BE7" w14:textId="747F5EBB" w:rsidR="008012A2" w:rsidRDefault="008012A2">
          <w:pPr>
            <w:pStyle w:val="Kazalovsebine2"/>
            <w:tabs>
              <w:tab w:val="left" w:pos="800"/>
              <w:tab w:val="right" w:leader="dot" w:pos="9060"/>
            </w:tabs>
            <w:rPr>
              <w:rFonts w:eastAsiaTheme="minorEastAsia" w:cstheme="minorBidi"/>
              <w:smallCaps w:val="0"/>
              <w:noProof/>
              <w:kern w:val="2"/>
              <w:sz w:val="24"/>
              <w:szCs w:val="24"/>
              <w14:ligatures w14:val="standardContextual"/>
            </w:rPr>
          </w:pPr>
          <w:r>
            <w:rPr>
              <w:noProof/>
            </w:rPr>
            <w:t>2.6</w:t>
          </w:r>
          <w:r>
            <w:rPr>
              <w:rFonts w:eastAsiaTheme="minorEastAsia" w:cstheme="minorBidi"/>
              <w:smallCaps w:val="0"/>
              <w:noProof/>
              <w:kern w:val="2"/>
              <w:sz w:val="24"/>
              <w:szCs w:val="24"/>
              <w14:ligatures w14:val="standardContextual"/>
            </w:rPr>
            <w:tab/>
          </w:r>
          <w:r>
            <w:rPr>
              <w:noProof/>
            </w:rPr>
            <w:t xml:space="preserve"> IZVAJANJE OPERACIJ STRATEŠKEGA POMENA</w:t>
          </w:r>
          <w:r>
            <w:rPr>
              <w:noProof/>
            </w:rPr>
            <w:tab/>
          </w:r>
          <w:r>
            <w:rPr>
              <w:noProof/>
            </w:rPr>
            <w:fldChar w:fldCharType="begin"/>
          </w:r>
          <w:r>
            <w:rPr>
              <w:noProof/>
            </w:rPr>
            <w:instrText xml:space="preserve"> PAGEREF _Toc192682003 \h </w:instrText>
          </w:r>
          <w:r>
            <w:rPr>
              <w:noProof/>
            </w:rPr>
          </w:r>
          <w:r>
            <w:rPr>
              <w:noProof/>
            </w:rPr>
            <w:fldChar w:fldCharType="separate"/>
          </w:r>
          <w:r>
            <w:rPr>
              <w:noProof/>
            </w:rPr>
            <w:t>43</w:t>
          </w:r>
          <w:r>
            <w:rPr>
              <w:noProof/>
            </w:rPr>
            <w:fldChar w:fldCharType="end"/>
          </w:r>
        </w:p>
        <w:p w14:paraId="7A124D8A" w14:textId="6DDE3CB0" w:rsidR="008012A2" w:rsidRDefault="008012A2">
          <w:pPr>
            <w:pStyle w:val="Kazalovsebine1"/>
            <w:tabs>
              <w:tab w:val="right" w:leader="dot" w:pos="9060"/>
            </w:tabs>
            <w:rPr>
              <w:rFonts w:eastAsiaTheme="minorEastAsia" w:cstheme="minorBidi"/>
              <w:b w:val="0"/>
              <w:bCs w:val="0"/>
              <w:caps w:val="0"/>
              <w:noProof/>
              <w:kern w:val="2"/>
              <w:sz w:val="24"/>
              <w:szCs w:val="24"/>
              <w14:ligatures w14:val="standardContextual"/>
            </w:rPr>
          </w:pPr>
          <w:r w:rsidRPr="004E28C6">
            <w:rPr>
              <w:rFonts w:cs="Arial"/>
              <w:noProof/>
            </w:rPr>
            <w:t xml:space="preserve">3. </w:t>
          </w:r>
          <w:r w:rsidRPr="004E28C6">
            <w:rPr>
              <w:rFonts w:cs="Arial"/>
              <w:caps w:val="0"/>
              <w:noProof/>
            </w:rPr>
            <w:t>IZZIVI, OPREDELJENI V PRIPOROČILU SVETA O EKONOMSKIH IN SOCIALNIH POLITIKAH, POLITIKAH ZAPOSLOVANJA IN SOCIALNO EKONOMSKIH POLITIKAH SLOVENIJE</w:t>
          </w:r>
          <w:r>
            <w:rPr>
              <w:noProof/>
            </w:rPr>
            <w:tab/>
          </w:r>
          <w:r>
            <w:rPr>
              <w:noProof/>
            </w:rPr>
            <w:fldChar w:fldCharType="begin"/>
          </w:r>
          <w:r>
            <w:rPr>
              <w:noProof/>
            </w:rPr>
            <w:instrText xml:space="preserve"> PAGEREF _Toc192682004 \h </w:instrText>
          </w:r>
          <w:r>
            <w:rPr>
              <w:noProof/>
            </w:rPr>
          </w:r>
          <w:r>
            <w:rPr>
              <w:noProof/>
            </w:rPr>
            <w:fldChar w:fldCharType="separate"/>
          </w:r>
          <w:r>
            <w:rPr>
              <w:noProof/>
            </w:rPr>
            <w:t>44</w:t>
          </w:r>
          <w:r>
            <w:rPr>
              <w:noProof/>
            </w:rPr>
            <w:fldChar w:fldCharType="end"/>
          </w:r>
        </w:p>
        <w:p w14:paraId="2B35920F" w14:textId="471D2B54" w:rsidR="008012A2" w:rsidRDefault="008012A2">
          <w:pPr>
            <w:pStyle w:val="Kazalovsebine2"/>
            <w:tabs>
              <w:tab w:val="left" w:pos="800"/>
              <w:tab w:val="right" w:leader="dot" w:pos="9060"/>
            </w:tabs>
            <w:rPr>
              <w:rFonts w:eastAsiaTheme="minorEastAsia" w:cstheme="minorBidi"/>
              <w:smallCaps w:val="0"/>
              <w:noProof/>
              <w:kern w:val="2"/>
              <w:sz w:val="24"/>
              <w:szCs w:val="24"/>
              <w14:ligatures w14:val="standardContextual"/>
            </w:rPr>
          </w:pPr>
          <w:r>
            <w:rPr>
              <w:noProof/>
            </w:rPr>
            <w:t>3.1</w:t>
          </w:r>
          <w:r>
            <w:rPr>
              <w:rFonts w:eastAsiaTheme="minorEastAsia" w:cstheme="minorBidi"/>
              <w:smallCaps w:val="0"/>
              <w:noProof/>
              <w:kern w:val="2"/>
              <w:sz w:val="24"/>
              <w:szCs w:val="24"/>
              <w14:ligatures w14:val="standardContextual"/>
            </w:rPr>
            <w:tab/>
          </w:r>
          <w:r>
            <w:rPr>
              <w:noProof/>
            </w:rPr>
            <w:t>ZAŠČITA PRED POPLAVAMI IN UKREPI ZA BLAŽITEV PODNEBNIH SPREMEMB, VKLJUČNO S SONARAVNIMI REŠITVAM (NATURE-BASED SOLUTIONS)</w:t>
          </w:r>
          <w:r>
            <w:rPr>
              <w:noProof/>
            </w:rPr>
            <w:tab/>
          </w:r>
          <w:r>
            <w:rPr>
              <w:noProof/>
            </w:rPr>
            <w:fldChar w:fldCharType="begin"/>
          </w:r>
          <w:r>
            <w:rPr>
              <w:noProof/>
            </w:rPr>
            <w:instrText xml:space="preserve"> PAGEREF _Toc192682005 \h </w:instrText>
          </w:r>
          <w:r>
            <w:rPr>
              <w:noProof/>
            </w:rPr>
          </w:r>
          <w:r>
            <w:rPr>
              <w:noProof/>
            </w:rPr>
            <w:fldChar w:fldCharType="separate"/>
          </w:r>
          <w:r>
            <w:rPr>
              <w:noProof/>
            </w:rPr>
            <w:t>44</w:t>
          </w:r>
          <w:r>
            <w:rPr>
              <w:noProof/>
            </w:rPr>
            <w:fldChar w:fldCharType="end"/>
          </w:r>
        </w:p>
        <w:p w14:paraId="413104B8" w14:textId="47741729" w:rsidR="008012A2" w:rsidRDefault="008012A2">
          <w:pPr>
            <w:pStyle w:val="Kazalovsebine2"/>
            <w:tabs>
              <w:tab w:val="left" w:pos="800"/>
              <w:tab w:val="right" w:leader="dot" w:pos="9060"/>
            </w:tabs>
            <w:rPr>
              <w:rFonts w:eastAsiaTheme="minorEastAsia" w:cstheme="minorBidi"/>
              <w:smallCaps w:val="0"/>
              <w:noProof/>
              <w:kern w:val="2"/>
              <w:sz w:val="24"/>
              <w:szCs w:val="24"/>
              <w14:ligatures w14:val="standardContextual"/>
            </w:rPr>
          </w:pPr>
          <w:r w:rsidRPr="004E28C6">
            <w:rPr>
              <w:rFonts w:cs="Arial"/>
              <w:noProof/>
              <w:color w:val="2E74B5"/>
            </w:rPr>
            <w:t>3.2</w:t>
          </w:r>
          <w:r>
            <w:rPr>
              <w:rFonts w:eastAsiaTheme="minorEastAsia" w:cstheme="minorBidi"/>
              <w:smallCaps w:val="0"/>
              <w:noProof/>
              <w:kern w:val="2"/>
              <w:sz w:val="24"/>
              <w:szCs w:val="24"/>
              <w14:ligatures w14:val="standardContextual"/>
            </w:rPr>
            <w:tab/>
          </w:r>
          <w:r>
            <w:rPr>
              <w:noProof/>
            </w:rPr>
            <w:t>TRAJNOSTNA MOBILNOST S POUDARKOM NA ZMANJŠANJU PROMETA Z OSEBNIMI AVTOMOBILI PRI PREVOZU NA DELO</w:t>
          </w:r>
          <w:r>
            <w:rPr>
              <w:noProof/>
            </w:rPr>
            <w:tab/>
          </w:r>
          <w:r>
            <w:rPr>
              <w:noProof/>
            </w:rPr>
            <w:fldChar w:fldCharType="begin"/>
          </w:r>
          <w:r>
            <w:rPr>
              <w:noProof/>
            </w:rPr>
            <w:instrText xml:space="preserve"> PAGEREF _Toc192682006 \h </w:instrText>
          </w:r>
          <w:r>
            <w:rPr>
              <w:noProof/>
            </w:rPr>
          </w:r>
          <w:r>
            <w:rPr>
              <w:noProof/>
            </w:rPr>
            <w:fldChar w:fldCharType="separate"/>
          </w:r>
          <w:r>
            <w:rPr>
              <w:noProof/>
            </w:rPr>
            <w:t>47</w:t>
          </w:r>
          <w:r>
            <w:rPr>
              <w:noProof/>
            </w:rPr>
            <w:fldChar w:fldCharType="end"/>
          </w:r>
        </w:p>
        <w:p w14:paraId="108ED453" w14:textId="098AC0AA" w:rsidR="008012A2" w:rsidRDefault="008012A2">
          <w:pPr>
            <w:pStyle w:val="Kazalovsebine3"/>
            <w:tabs>
              <w:tab w:val="left" w:pos="1200"/>
              <w:tab w:val="right" w:leader="dot" w:pos="9060"/>
            </w:tabs>
            <w:rPr>
              <w:rFonts w:eastAsiaTheme="minorEastAsia" w:cstheme="minorBidi"/>
              <w:i w:val="0"/>
              <w:iCs w:val="0"/>
              <w:noProof/>
              <w:kern w:val="2"/>
              <w:sz w:val="24"/>
              <w:szCs w:val="24"/>
              <w14:ligatures w14:val="standardContextual"/>
            </w:rPr>
          </w:pPr>
          <w:r>
            <w:rPr>
              <w:noProof/>
            </w:rPr>
            <w:t>3.2.1</w:t>
          </w:r>
          <w:r>
            <w:rPr>
              <w:rFonts w:eastAsiaTheme="minorEastAsia" w:cstheme="minorBidi"/>
              <w:i w:val="0"/>
              <w:iCs w:val="0"/>
              <w:noProof/>
              <w:kern w:val="2"/>
              <w:sz w:val="24"/>
              <w:szCs w:val="24"/>
              <w14:ligatures w14:val="standardContextual"/>
            </w:rPr>
            <w:tab/>
          </w:r>
          <w:r>
            <w:rPr>
              <w:noProof/>
            </w:rPr>
            <w:t>Aktivnosti za povečanje uporabe javnega prevoza z opiranjem na ukrepe, kot sta izdajanje enotnih vozovnic in usklajevanje voznih redov</w:t>
          </w:r>
          <w:r>
            <w:rPr>
              <w:noProof/>
            </w:rPr>
            <w:tab/>
          </w:r>
          <w:r>
            <w:rPr>
              <w:noProof/>
            </w:rPr>
            <w:fldChar w:fldCharType="begin"/>
          </w:r>
          <w:r>
            <w:rPr>
              <w:noProof/>
            </w:rPr>
            <w:instrText xml:space="preserve"> PAGEREF _Toc192682007 \h </w:instrText>
          </w:r>
          <w:r>
            <w:rPr>
              <w:noProof/>
            </w:rPr>
          </w:r>
          <w:r>
            <w:rPr>
              <w:noProof/>
            </w:rPr>
            <w:fldChar w:fldCharType="separate"/>
          </w:r>
          <w:r>
            <w:rPr>
              <w:noProof/>
            </w:rPr>
            <w:t>47</w:t>
          </w:r>
          <w:r>
            <w:rPr>
              <w:noProof/>
            </w:rPr>
            <w:fldChar w:fldCharType="end"/>
          </w:r>
        </w:p>
        <w:p w14:paraId="52742096" w14:textId="005DF7CB" w:rsidR="008012A2" w:rsidRDefault="008012A2">
          <w:pPr>
            <w:pStyle w:val="Kazalovsebine3"/>
            <w:tabs>
              <w:tab w:val="left" w:pos="1200"/>
              <w:tab w:val="right" w:leader="dot" w:pos="9060"/>
            </w:tabs>
            <w:rPr>
              <w:rFonts w:eastAsiaTheme="minorEastAsia" w:cstheme="minorBidi"/>
              <w:i w:val="0"/>
              <w:iCs w:val="0"/>
              <w:noProof/>
              <w:kern w:val="2"/>
              <w:sz w:val="24"/>
              <w:szCs w:val="24"/>
              <w14:ligatures w14:val="standardContextual"/>
            </w:rPr>
          </w:pPr>
          <w:r>
            <w:rPr>
              <w:noProof/>
            </w:rPr>
            <w:t>3.2.2</w:t>
          </w:r>
          <w:r>
            <w:rPr>
              <w:rFonts w:eastAsiaTheme="minorEastAsia" w:cstheme="minorBidi"/>
              <w:i w:val="0"/>
              <w:iCs w:val="0"/>
              <w:noProof/>
              <w:kern w:val="2"/>
              <w:sz w:val="24"/>
              <w:szCs w:val="24"/>
              <w14:ligatures w14:val="standardContextual"/>
            </w:rPr>
            <w:tab/>
          </w:r>
          <w:r>
            <w:rPr>
              <w:noProof/>
            </w:rPr>
            <w:t xml:space="preserve"> Uporaba trajnostnih prevoznih sredstev</w:t>
          </w:r>
          <w:r>
            <w:rPr>
              <w:noProof/>
            </w:rPr>
            <w:tab/>
          </w:r>
          <w:r>
            <w:rPr>
              <w:noProof/>
            </w:rPr>
            <w:fldChar w:fldCharType="begin"/>
          </w:r>
          <w:r>
            <w:rPr>
              <w:noProof/>
            </w:rPr>
            <w:instrText xml:space="preserve"> PAGEREF _Toc192682008 \h </w:instrText>
          </w:r>
          <w:r>
            <w:rPr>
              <w:noProof/>
            </w:rPr>
          </w:r>
          <w:r>
            <w:rPr>
              <w:noProof/>
            </w:rPr>
            <w:fldChar w:fldCharType="separate"/>
          </w:r>
          <w:r>
            <w:rPr>
              <w:noProof/>
            </w:rPr>
            <w:t>50</w:t>
          </w:r>
          <w:r>
            <w:rPr>
              <w:noProof/>
            </w:rPr>
            <w:fldChar w:fldCharType="end"/>
          </w:r>
        </w:p>
        <w:p w14:paraId="4C12E951" w14:textId="498BC008" w:rsidR="008012A2" w:rsidRDefault="008012A2">
          <w:pPr>
            <w:pStyle w:val="Kazalovsebine3"/>
            <w:tabs>
              <w:tab w:val="left" w:pos="1200"/>
              <w:tab w:val="right" w:leader="dot" w:pos="9060"/>
            </w:tabs>
            <w:rPr>
              <w:rFonts w:eastAsiaTheme="minorEastAsia" w:cstheme="minorBidi"/>
              <w:i w:val="0"/>
              <w:iCs w:val="0"/>
              <w:noProof/>
              <w:kern w:val="2"/>
              <w:sz w:val="24"/>
              <w:szCs w:val="24"/>
              <w14:ligatures w14:val="standardContextual"/>
            </w:rPr>
          </w:pPr>
          <w:r>
            <w:rPr>
              <w:noProof/>
            </w:rPr>
            <w:t>3.2.3</w:t>
          </w:r>
          <w:r>
            <w:rPr>
              <w:rFonts w:eastAsiaTheme="minorEastAsia" w:cstheme="minorBidi"/>
              <w:i w:val="0"/>
              <w:iCs w:val="0"/>
              <w:noProof/>
              <w:kern w:val="2"/>
              <w:sz w:val="24"/>
              <w:szCs w:val="24"/>
              <w14:ligatures w14:val="standardContextual"/>
            </w:rPr>
            <w:tab/>
          </w:r>
          <w:r>
            <w:rPr>
              <w:noProof/>
            </w:rPr>
            <w:t>Morebitni ukrepi za zmanjšanje odvisnosti od osebnih avtomobilov z namenom doseganja cilja EU glede zmanjšanja porabe končne energije za 11,7 % do leta 2030</w:t>
          </w:r>
          <w:r>
            <w:rPr>
              <w:noProof/>
            </w:rPr>
            <w:tab/>
          </w:r>
          <w:r>
            <w:rPr>
              <w:noProof/>
            </w:rPr>
            <w:fldChar w:fldCharType="begin"/>
          </w:r>
          <w:r>
            <w:rPr>
              <w:noProof/>
            </w:rPr>
            <w:instrText xml:space="preserve"> PAGEREF _Toc192682009 \h </w:instrText>
          </w:r>
          <w:r>
            <w:rPr>
              <w:noProof/>
            </w:rPr>
          </w:r>
          <w:r>
            <w:rPr>
              <w:noProof/>
            </w:rPr>
            <w:fldChar w:fldCharType="separate"/>
          </w:r>
          <w:r>
            <w:rPr>
              <w:noProof/>
            </w:rPr>
            <w:t>50</w:t>
          </w:r>
          <w:r>
            <w:rPr>
              <w:noProof/>
            </w:rPr>
            <w:fldChar w:fldCharType="end"/>
          </w:r>
        </w:p>
        <w:p w14:paraId="0C8DA591" w14:textId="1AA558DE" w:rsidR="008012A2" w:rsidRDefault="008012A2">
          <w:pPr>
            <w:pStyle w:val="Kazalovsebine2"/>
            <w:tabs>
              <w:tab w:val="left" w:pos="800"/>
              <w:tab w:val="right" w:leader="dot" w:pos="9060"/>
            </w:tabs>
            <w:rPr>
              <w:rFonts w:eastAsiaTheme="minorEastAsia" w:cstheme="minorBidi"/>
              <w:smallCaps w:val="0"/>
              <w:noProof/>
              <w:kern w:val="2"/>
              <w:sz w:val="24"/>
              <w:szCs w:val="24"/>
              <w14:ligatures w14:val="standardContextual"/>
            </w:rPr>
          </w:pPr>
          <w:r w:rsidRPr="004E28C6">
            <w:rPr>
              <w:rFonts w:cs="Arial"/>
              <w:noProof/>
              <w:color w:val="2E74B5"/>
            </w:rPr>
            <w:t>3.3</w:t>
          </w:r>
          <w:r>
            <w:rPr>
              <w:rFonts w:eastAsiaTheme="minorEastAsia" w:cstheme="minorBidi"/>
              <w:smallCaps w:val="0"/>
              <w:noProof/>
              <w:kern w:val="2"/>
              <w:sz w:val="24"/>
              <w:szCs w:val="24"/>
              <w14:ligatures w14:val="standardContextual"/>
            </w:rPr>
            <w:tab/>
          </w:r>
          <w:r>
            <w:rPr>
              <w:noProof/>
            </w:rPr>
            <w:t>OBMOČNA NAČRTA SKLADA ZA PRAVIČEN PREHOD - SPODBUJANJE »IZSTOPA IZ PREMOGA«</w:t>
          </w:r>
          <w:r>
            <w:rPr>
              <w:noProof/>
            </w:rPr>
            <w:tab/>
          </w:r>
          <w:r>
            <w:rPr>
              <w:noProof/>
            </w:rPr>
            <w:fldChar w:fldCharType="begin"/>
          </w:r>
          <w:r>
            <w:rPr>
              <w:noProof/>
            </w:rPr>
            <w:instrText xml:space="preserve"> PAGEREF _Toc192682010 \h </w:instrText>
          </w:r>
          <w:r>
            <w:rPr>
              <w:noProof/>
            </w:rPr>
          </w:r>
          <w:r>
            <w:rPr>
              <w:noProof/>
            </w:rPr>
            <w:fldChar w:fldCharType="separate"/>
          </w:r>
          <w:r>
            <w:rPr>
              <w:noProof/>
            </w:rPr>
            <w:t>51</w:t>
          </w:r>
          <w:r>
            <w:rPr>
              <w:noProof/>
            </w:rPr>
            <w:fldChar w:fldCharType="end"/>
          </w:r>
        </w:p>
        <w:p w14:paraId="311556B0" w14:textId="28B04C1C" w:rsidR="008012A2" w:rsidRDefault="008012A2">
          <w:pPr>
            <w:pStyle w:val="Kazalovsebine2"/>
            <w:tabs>
              <w:tab w:val="left" w:pos="800"/>
              <w:tab w:val="right" w:leader="dot" w:pos="9060"/>
            </w:tabs>
            <w:rPr>
              <w:rFonts w:eastAsiaTheme="minorEastAsia" w:cstheme="minorBidi"/>
              <w:smallCaps w:val="0"/>
              <w:noProof/>
              <w:kern w:val="2"/>
              <w:sz w:val="24"/>
              <w:szCs w:val="24"/>
              <w14:ligatures w14:val="standardContextual"/>
            </w:rPr>
          </w:pPr>
          <w:r w:rsidRPr="004E28C6">
            <w:rPr>
              <w:rFonts w:cs="Arial"/>
              <w:noProof/>
              <w:color w:val="2E74B5"/>
            </w:rPr>
            <w:t>3.4</w:t>
          </w:r>
          <w:r>
            <w:rPr>
              <w:rFonts w:eastAsiaTheme="minorEastAsia" w:cstheme="minorBidi"/>
              <w:smallCaps w:val="0"/>
              <w:noProof/>
              <w:kern w:val="2"/>
              <w:sz w:val="24"/>
              <w:szCs w:val="24"/>
              <w14:ligatures w14:val="standardContextual"/>
            </w:rPr>
            <w:tab/>
          </w:r>
          <w:r>
            <w:rPr>
              <w:noProof/>
            </w:rPr>
            <w:t>JAVNO – ZASEBNO R&amp;D PARTNERSTVO ZA KREPITEV KONKURENČNOSTI DELA</w:t>
          </w:r>
          <w:r>
            <w:rPr>
              <w:noProof/>
            </w:rPr>
            <w:tab/>
          </w:r>
          <w:r>
            <w:rPr>
              <w:noProof/>
            </w:rPr>
            <w:fldChar w:fldCharType="begin"/>
          </w:r>
          <w:r>
            <w:rPr>
              <w:noProof/>
            </w:rPr>
            <w:instrText xml:space="preserve"> PAGEREF _Toc192682011 \h </w:instrText>
          </w:r>
          <w:r>
            <w:rPr>
              <w:noProof/>
            </w:rPr>
          </w:r>
          <w:r>
            <w:rPr>
              <w:noProof/>
            </w:rPr>
            <w:fldChar w:fldCharType="separate"/>
          </w:r>
          <w:r>
            <w:rPr>
              <w:noProof/>
            </w:rPr>
            <w:t>52</w:t>
          </w:r>
          <w:r>
            <w:rPr>
              <w:noProof/>
            </w:rPr>
            <w:fldChar w:fldCharType="end"/>
          </w:r>
        </w:p>
        <w:p w14:paraId="1AAB5B75" w14:textId="70217FB8" w:rsidR="008012A2" w:rsidRDefault="008012A2">
          <w:pPr>
            <w:pStyle w:val="Kazalovsebine2"/>
            <w:tabs>
              <w:tab w:val="left" w:pos="800"/>
              <w:tab w:val="right" w:leader="dot" w:pos="9060"/>
            </w:tabs>
            <w:rPr>
              <w:rFonts w:eastAsiaTheme="minorEastAsia" w:cstheme="minorBidi"/>
              <w:smallCaps w:val="0"/>
              <w:noProof/>
              <w:kern w:val="2"/>
              <w:sz w:val="24"/>
              <w:szCs w:val="24"/>
              <w14:ligatures w14:val="standardContextual"/>
            </w:rPr>
          </w:pPr>
          <w:r w:rsidRPr="004E28C6">
            <w:rPr>
              <w:i/>
              <w:iCs/>
              <w:noProof/>
            </w:rPr>
            <w:t>3.5</w:t>
          </w:r>
          <w:r>
            <w:rPr>
              <w:rFonts w:eastAsiaTheme="minorEastAsia" w:cstheme="minorBidi"/>
              <w:smallCaps w:val="0"/>
              <w:noProof/>
              <w:kern w:val="2"/>
              <w:sz w:val="24"/>
              <w:szCs w:val="24"/>
              <w14:ligatures w14:val="standardContextual"/>
            </w:rPr>
            <w:tab/>
          </w:r>
          <w:r>
            <w:rPr>
              <w:noProof/>
            </w:rPr>
            <w:t>VSEŽIVLJENJSKO UČENJE OB UPOŠTEVANJU PODJETNIŠKIH IN DIGITALNIH VEŠČIN, BOLJŠE PREDVIDEVANJE SPREMEMB IN ZAHTEV PO NOVIH VEŠČINAH NA PODLAGI POTREB TRGA DELA</w:t>
          </w:r>
          <w:r>
            <w:rPr>
              <w:noProof/>
            </w:rPr>
            <w:tab/>
          </w:r>
          <w:r>
            <w:rPr>
              <w:noProof/>
            </w:rPr>
            <w:fldChar w:fldCharType="begin"/>
          </w:r>
          <w:r>
            <w:rPr>
              <w:noProof/>
            </w:rPr>
            <w:instrText xml:space="preserve"> PAGEREF _Toc192682012 \h </w:instrText>
          </w:r>
          <w:r>
            <w:rPr>
              <w:noProof/>
            </w:rPr>
          </w:r>
          <w:r>
            <w:rPr>
              <w:noProof/>
            </w:rPr>
            <w:fldChar w:fldCharType="separate"/>
          </w:r>
          <w:r>
            <w:rPr>
              <w:noProof/>
            </w:rPr>
            <w:t>55</w:t>
          </w:r>
          <w:r>
            <w:rPr>
              <w:noProof/>
            </w:rPr>
            <w:fldChar w:fldCharType="end"/>
          </w:r>
        </w:p>
        <w:p w14:paraId="3AE04FDA" w14:textId="510DE2C0" w:rsidR="008012A2" w:rsidRDefault="008012A2">
          <w:pPr>
            <w:pStyle w:val="Kazalovsebine2"/>
            <w:tabs>
              <w:tab w:val="left" w:pos="800"/>
              <w:tab w:val="right" w:leader="dot" w:pos="9060"/>
            </w:tabs>
            <w:rPr>
              <w:rFonts w:eastAsiaTheme="minorEastAsia" w:cstheme="minorBidi"/>
              <w:smallCaps w:val="0"/>
              <w:noProof/>
              <w:kern w:val="2"/>
              <w:sz w:val="24"/>
              <w:szCs w:val="24"/>
              <w14:ligatures w14:val="standardContextual"/>
            </w:rPr>
          </w:pPr>
          <w:r w:rsidRPr="004E28C6">
            <w:rPr>
              <w:rFonts w:cs="Arial"/>
              <w:noProof/>
              <w:color w:val="4F81BD"/>
            </w:rPr>
            <w:t>3.6</w:t>
          </w:r>
          <w:r>
            <w:rPr>
              <w:rFonts w:eastAsiaTheme="minorEastAsia" w:cstheme="minorBidi"/>
              <w:smallCaps w:val="0"/>
              <w:noProof/>
              <w:kern w:val="2"/>
              <w:sz w:val="24"/>
              <w:szCs w:val="24"/>
              <w14:ligatures w14:val="standardContextual"/>
            </w:rPr>
            <w:tab/>
          </w:r>
          <w:r>
            <w:rPr>
              <w:noProof/>
            </w:rPr>
            <w:t>MODERNIZACIJA IN DIGITALIZACIJA NA PODROČJU SOCIALNIH STORITEV IN STORITEV NA TRGU DELA</w:t>
          </w:r>
          <w:r>
            <w:rPr>
              <w:noProof/>
            </w:rPr>
            <w:tab/>
          </w:r>
          <w:r>
            <w:rPr>
              <w:noProof/>
            </w:rPr>
            <w:fldChar w:fldCharType="begin"/>
          </w:r>
          <w:r>
            <w:rPr>
              <w:noProof/>
            </w:rPr>
            <w:instrText xml:space="preserve"> PAGEREF _Toc192682013 \h </w:instrText>
          </w:r>
          <w:r>
            <w:rPr>
              <w:noProof/>
            </w:rPr>
          </w:r>
          <w:r>
            <w:rPr>
              <w:noProof/>
            </w:rPr>
            <w:fldChar w:fldCharType="separate"/>
          </w:r>
          <w:r>
            <w:rPr>
              <w:noProof/>
            </w:rPr>
            <w:t>57</w:t>
          </w:r>
          <w:r>
            <w:rPr>
              <w:noProof/>
            </w:rPr>
            <w:fldChar w:fldCharType="end"/>
          </w:r>
        </w:p>
        <w:p w14:paraId="4A642873" w14:textId="751656A8" w:rsidR="008012A2" w:rsidRDefault="008012A2">
          <w:pPr>
            <w:pStyle w:val="Kazalovsebine2"/>
            <w:tabs>
              <w:tab w:val="left" w:pos="800"/>
              <w:tab w:val="right" w:leader="dot" w:pos="9060"/>
            </w:tabs>
            <w:rPr>
              <w:rFonts w:eastAsiaTheme="minorEastAsia" w:cstheme="minorBidi"/>
              <w:smallCaps w:val="0"/>
              <w:noProof/>
              <w:kern w:val="2"/>
              <w:sz w:val="24"/>
              <w:szCs w:val="24"/>
              <w14:ligatures w14:val="standardContextual"/>
            </w:rPr>
          </w:pPr>
          <w:r w:rsidRPr="004E28C6">
            <w:rPr>
              <w:rFonts w:cs="Arial"/>
              <w:noProof/>
              <w:color w:val="2E74B5"/>
            </w:rPr>
            <w:t>3.7</w:t>
          </w:r>
          <w:r>
            <w:rPr>
              <w:rFonts w:eastAsiaTheme="minorEastAsia" w:cstheme="minorBidi"/>
              <w:smallCaps w:val="0"/>
              <w:noProof/>
              <w:kern w:val="2"/>
              <w:sz w:val="24"/>
              <w:szCs w:val="24"/>
              <w14:ligatures w14:val="standardContextual"/>
            </w:rPr>
            <w:tab/>
          </w:r>
          <w:r>
            <w:rPr>
              <w:noProof/>
            </w:rPr>
            <w:t>POSPEŠITEV INTEGRACIJE MIGRANTOV V DRUŽBO IN V TRG DELA</w:t>
          </w:r>
          <w:r>
            <w:rPr>
              <w:noProof/>
            </w:rPr>
            <w:tab/>
          </w:r>
          <w:r>
            <w:rPr>
              <w:noProof/>
            </w:rPr>
            <w:fldChar w:fldCharType="begin"/>
          </w:r>
          <w:r>
            <w:rPr>
              <w:noProof/>
            </w:rPr>
            <w:instrText xml:space="preserve"> PAGEREF _Toc192682014 \h </w:instrText>
          </w:r>
          <w:r>
            <w:rPr>
              <w:noProof/>
            </w:rPr>
          </w:r>
          <w:r>
            <w:rPr>
              <w:noProof/>
            </w:rPr>
            <w:fldChar w:fldCharType="separate"/>
          </w:r>
          <w:r>
            <w:rPr>
              <w:noProof/>
            </w:rPr>
            <w:t>59</w:t>
          </w:r>
          <w:r>
            <w:rPr>
              <w:noProof/>
            </w:rPr>
            <w:fldChar w:fldCharType="end"/>
          </w:r>
        </w:p>
        <w:p w14:paraId="7F709DD6" w14:textId="3BA011D7" w:rsidR="008012A2" w:rsidRDefault="008012A2">
          <w:pPr>
            <w:pStyle w:val="Kazalovsebine3"/>
            <w:tabs>
              <w:tab w:val="left" w:pos="1200"/>
              <w:tab w:val="right" w:leader="dot" w:pos="9060"/>
            </w:tabs>
            <w:rPr>
              <w:rFonts w:eastAsiaTheme="minorEastAsia" w:cstheme="minorBidi"/>
              <w:i w:val="0"/>
              <w:iCs w:val="0"/>
              <w:noProof/>
              <w:kern w:val="2"/>
              <w:sz w:val="24"/>
              <w:szCs w:val="24"/>
              <w14:ligatures w14:val="standardContextual"/>
            </w:rPr>
          </w:pPr>
          <w:r>
            <w:rPr>
              <w:noProof/>
            </w:rPr>
            <w:t>3.7.1</w:t>
          </w:r>
          <w:r>
            <w:rPr>
              <w:rFonts w:eastAsiaTheme="minorEastAsia" w:cstheme="minorBidi"/>
              <w:i w:val="0"/>
              <w:iCs w:val="0"/>
              <w:noProof/>
              <w:kern w:val="2"/>
              <w:sz w:val="24"/>
              <w:szCs w:val="24"/>
              <w14:ligatures w14:val="standardContextual"/>
            </w:rPr>
            <w:tab/>
          </w:r>
          <w:r>
            <w:rPr>
              <w:noProof/>
            </w:rPr>
            <w:t>Prosilci za mednarodno zaščito</w:t>
          </w:r>
          <w:r>
            <w:rPr>
              <w:noProof/>
            </w:rPr>
            <w:tab/>
          </w:r>
          <w:r>
            <w:rPr>
              <w:noProof/>
            </w:rPr>
            <w:fldChar w:fldCharType="begin"/>
          </w:r>
          <w:r>
            <w:rPr>
              <w:noProof/>
            </w:rPr>
            <w:instrText xml:space="preserve"> PAGEREF _Toc192682015 \h </w:instrText>
          </w:r>
          <w:r>
            <w:rPr>
              <w:noProof/>
            </w:rPr>
          </w:r>
          <w:r>
            <w:rPr>
              <w:noProof/>
            </w:rPr>
            <w:fldChar w:fldCharType="separate"/>
          </w:r>
          <w:r>
            <w:rPr>
              <w:noProof/>
            </w:rPr>
            <w:t>59</w:t>
          </w:r>
          <w:r>
            <w:rPr>
              <w:noProof/>
            </w:rPr>
            <w:fldChar w:fldCharType="end"/>
          </w:r>
        </w:p>
        <w:p w14:paraId="1E6427AF" w14:textId="13D670EC" w:rsidR="008012A2" w:rsidRDefault="008012A2">
          <w:pPr>
            <w:pStyle w:val="Kazalovsebine3"/>
            <w:tabs>
              <w:tab w:val="left" w:pos="1200"/>
              <w:tab w:val="right" w:leader="dot" w:pos="9060"/>
            </w:tabs>
            <w:rPr>
              <w:rFonts w:eastAsiaTheme="minorEastAsia" w:cstheme="minorBidi"/>
              <w:i w:val="0"/>
              <w:iCs w:val="0"/>
              <w:noProof/>
              <w:kern w:val="2"/>
              <w:sz w:val="24"/>
              <w:szCs w:val="24"/>
              <w14:ligatures w14:val="standardContextual"/>
            </w:rPr>
          </w:pPr>
          <w:r>
            <w:rPr>
              <w:noProof/>
            </w:rPr>
            <w:t>3.7.2</w:t>
          </w:r>
          <w:r>
            <w:rPr>
              <w:rFonts w:eastAsiaTheme="minorEastAsia" w:cstheme="minorBidi"/>
              <w:i w:val="0"/>
              <w:iCs w:val="0"/>
              <w:noProof/>
              <w:kern w:val="2"/>
              <w:sz w:val="24"/>
              <w:szCs w:val="24"/>
              <w14:ligatures w14:val="standardContextual"/>
            </w:rPr>
            <w:tab/>
          </w:r>
          <w:r>
            <w:rPr>
              <w:noProof/>
            </w:rPr>
            <w:t>Osebe z mednarodno zaščito</w:t>
          </w:r>
          <w:r>
            <w:rPr>
              <w:noProof/>
            </w:rPr>
            <w:tab/>
          </w:r>
          <w:r>
            <w:rPr>
              <w:noProof/>
            </w:rPr>
            <w:fldChar w:fldCharType="begin"/>
          </w:r>
          <w:r>
            <w:rPr>
              <w:noProof/>
            </w:rPr>
            <w:instrText xml:space="preserve"> PAGEREF _Toc192682016 \h </w:instrText>
          </w:r>
          <w:r>
            <w:rPr>
              <w:noProof/>
            </w:rPr>
          </w:r>
          <w:r>
            <w:rPr>
              <w:noProof/>
            </w:rPr>
            <w:fldChar w:fldCharType="separate"/>
          </w:r>
          <w:r>
            <w:rPr>
              <w:noProof/>
            </w:rPr>
            <w:t>59</w:t>
          </w:r>
          <w:r>
            <w:rPr>
              <w:noProof/>
            </w:rPr>
            <w:fldChar w:fldCharType="end"/>
          </w:r>
        </w:p>
        <w:p w14:paraId="035331AE" w14:textId="1C265F76" w:rsidR="008012A2" w:rsidRDefault="008012A2">
          <w:pPr>
            <w:pStyle w:val="Kazalovsebine3"/>
            <w:tabs>
              <w:tab w:val="left" w:pos="1200"/>
              <w:tab w:val="right" w:leader="dot" w:pos="9060"/>
            </w:tabs>
            <w:rPr>
              <w:rFonts w:eastAsiaTheme="minorEastAsia" w:cstheme="minorBidi"/>
              <w:i w:val="0"/>
              <w:iCs w:val="0"/>
              <w:noProof/>
              <w:kern w:val="2"/>
              <w:sz w:val="24"/>
              <w:szCs w:val="24"/>
              <w14:ligatures w14:val="standardContextual"/>
            </w:rPr>
          </w:pPr>
          <w:r>
            <w:rPr>
              <w:noProof/>
            </w:rPr>
            <w:t>3.7.3.</w:t>
          </w:r>
          <w:r>
            <w:rPr>
              <w:rFonts w:eastAsiaTheme="minorEastAsia" w:cstheme="minorBidi"/>
              <w:i w:val="0"/>
              <w:iCs w:val="0"/>
              <w:noProof/>
              <w:kern w:val="2"/>
              <w:sz w:val="24"/>
              <w:szCs w:val="24"/>
              <w14:ligatures w14:val="standardContextual"/>
            </w:rPr>
            <w:tab/>
          </w:r>
          <w:r>
            <w:rPr>
              <w:noProof/>
            </w:rPr>
            <w:t>Državljani tretjih držav</w:t>
          </w:r>
          <w:r>
            <w:rPr>
              <w:noProof/>
            </w:rPr>
            <w:tab/>
          </w:r>
          <w:r>
            <w:rPr>
              <w:noProof/>
            </w:rPr>
            <w:fldChar w:fldCharType="begin"/>
          </w:r>
          <w:r>
            <w:rPr>
              <w:noProof/>
            </w:rPr>
            <w:instrText xml:space="preserve"> PAGEREF _Toc192682017 \h </w:instrText>
          </w:r>
          <w:r>
            <w:rPr>
              <w:noProof/>
            </w:rPr>
          </w:r>
          <w:r>
            <w:rPr>
              <w:noProof/>
            </w:rPr>
            <w:fldChar w:fldCharType="separate"/>
          </w:r>
          <w:r>
            <w:rPr>
              <w:noProof/>
            </w:rPr>
            <w:t>60</w:t>
          </w:r>
          <w:r>
            <w:rPr>
              <w:noProof/>
            </w:rPr>
            <w:fldChar w:fldCharType="end"/>
          </w:r>
        </w:p>
        <w:p w14:paraId="29A5902B" w14:textId="579687DB" w:rsidR="008012A2" w:rsidRDefault="008012A2">
          <w:pPr>
            <w:pStyle w:val="Kazalovsebine2"/>
            <w:tabs>
              <w:tab w:val="left" w:pos="800"/>
              <w:tab w:val="right" w:leader="dot" w:pos="9060"/>
            </w:tabs>
            <w:rPr>
              <w:rFonts w:eastAsiaTheme="minorEastAsia" w:cstheme="minorBidi"/>
              <w:smallCaps w:val="0"/>
              <w:noProof/>
              <w:kern w:val="2"/>
              <w:sz w:val="24"/>
              <w:szCs w:val="24"/>
              <w14:ligatures w14:val="standardContextual"/>
            </w:rPr>
          </w:pPr>
          <w:r>
            <w:rPr>
              <w:noProof/>
            </w:rPr>
            <w:t>3.8</w:t>
          </w:r>
          <w:r>
            <w:rPr>
              <w:rFonts w:eastAsiaTheme="minorEastAsia" w:cstheme="minorBidi"/>
              <w:smallCaps w:val="0"/>
              <w:noProof/>
              <w:kern w:val="2"/>
              <w:sz w:val="24"/>
              <w:szCs w:val="24"/>
              <w14:ligatures w14:val="standardContextual"/>
            </w:rPr>
            <w:tab/>
          </w:r>
          <w:r>
            <w:rPr>
              <w:noProof/>
            </w:rPr>
            <w:t xml:space="preserve"> POSPEŠITEV DEINSTITUCIONALIZACIJE IN RAZVOJ PRIMERNIH KVALITETNIH IN DOSTOPNIH SOCIALNIH STORITEV</w:t>
          </w:r>
          <w:r>
            <w:rPr>
              <w:noProof/>
            </w:rPr>
            <w:tab/>
          </w:r>
          <w:r>
            <w:rPr>
              <w:noProof/>
            </w:rPr>
            <w:fldChar w:fldCharType="begin"/>
          </w:r>
          <w:r>
            <w:rPr>
              <w:noProof/>
            </w:rPr>
            <w:instrText xml:space="preserve"> PAGEREF _Toc192682018 \h </w:instrText>
          </w:r>
          <w:r>
            <w:rPr>
              <w:noProof/>
            </w:rPr>
          </w:r>
          <w:r>
            <w:rPr>
              <w:noProof/>
            </w:rPr>
            <w:fldChar w:fldCharType="separate"/>
          </w:r>
          <w:r>
            <w:rPr>
              <w:noProof/>
            </w:rPr>
            <w:t>61</w:t>
          </w:r>
          <w:r>
            <w:rPr>
              <w:noProof/>
            </w:rPr>
            <w:fldChar w:fldCharType="end"/>
          </w:r>
        </w:p>
        <w:p w14:paraId="4F987EB0" w14:textId="6F4A705D" w:rsidR="008012A2" w:rsidRDefault="008012A2">
          <w:pPr>
            <w:pStyle w:val="Kazalovsebine1"/>
            <w:tabs>
              <w:tab w:val="left" w:pos="600"/>
              <w:tab w:val="right" w:leader="dot" w:pos="9060"/>
            </w:tabs>
            <w:rPr>
              <w:rFonts w:eastAsiaTheme="minorEastAsia" w:cstheme="minorBidi"/>
              <w:b w:val="0"/>
              <w:bCs w:val="0"/>
              <w:caps w:val="0"/>
              <w:noProof/>
              <w:kern w:val="2"/>
              <w:sz w:val="24"/>
              <w:szCs w:val="24"/>
              <w14:ligatures w14:val="standardContextual"/>
            </w:rPr>
          </w:pPr>
          <w:r w:rsidRPr="004E28C6">
            <w:rPr>
              <w:rFonts w:cs="Arial"/>
              <w:noProof/>
              <w:color w:val="2E74B5"/>
            </w:rPr>
            <w:lastRenderedPageBreak/>
            <w:t>4.</w:t>
          </w:r>
          <w:r>
            <w:rPr>
              <w:rFonts w:eastAsiaTheme="minorEastAsia" w:cstheme="minorBidi"/>
              <w:b w:val="0"/>
              <w:bCs w:val="0"/>
              <w:caps w:val="0"/>
              <w:noProof/>
              <w:kern w:val="2"/>
              <w:sz w:val="24"/>
              <w:szCs w:val="24"/>
              <w14:ligatures w14:val="standardContextual"/>
            </w:rPr>
            <w:tab/>
          </w:r>
          <w:r w:rsidRPr="004E28C6">
            <w:rPr>
              <w:caps w:val="0"/>
              <w:noProof/>
            </w:rPr>
            <w:t>NAPREDEK PRI IZVAJANJU NEPN, VKLJUČNO Z OCENO IZPOLNJEVANJA CILJEV ENERGETSKE UNIJE IN IZVAJANJA POLITIK TER UKREPOV NEPN</w:t>
          </w:r>
          <w:r>
            <w:rPr>
              <w:noProof/>
            </w:rPr>
            <w:tab/>
          </w:r>
          <w:r>
            <w:rPr>
              <w:noProof/>
            </w:rPr>
            <w:fldChar w:fldCharType="begin"/>
          </w:r>
          <w:r>
            <w:rPr>
              <w:noProof/>
            </w:rPr>
            <w:instrText xml:space="preserve"> PAGEREF _Toc192682019 \h </w:instrText>
          </w:r>
          <w:r>
            <w:rPr>
              <w:noProof/>
            </w:rPr>
          </w:r>
          <w:r>
            <w:rPr>
              <w:noProof/>
            </w:rPr>
            <w:fldChar w:fldCharType="separate"/>
          </w:r>
          <w:r>
            <w:rPr>
              <w:noProof/>
            </w:rPr>
            <w:t>65</w:t>
          </w:r>
          <w:r>
            <w:rPr>
              <w:noProof/>
            </w:rPr>
            <w:fldChar w:fldCharType="end"/>
          </w:r>
        </w:p>
        <w:p w14:paraId="28411834" w14:textId="5506733F" w:rsidR="008012A2" w:rsidRDefault="008012A2">
          <w:pPr>
            <w:pStyle w:val="Kazalovsebine2"/>
            <w:tabs>
              <w:tab w:val="left" w:pos="800"/>
              <w:tab w:val="right" w:leader="dot" w:pos="9060"/>
            </w:tabs>
            <w:rPr>
              <w:rFonts w:eastAsiaTheme="minorEastAsia" w:cstheme="minorBidi"/>
              <w:smallCaps w:val="0"/>
              <w:noProof/>
              <w:kern w:val="2"/>
              <w:sz w:val="24"/>
              <w:szCs w:val="24"/>
              <w14:ligatures w14:val="standardContextual"/>
            </w:rPr>
          </w:pPr>
          <w:r>
            <w:rPr>
              <w:noProof/>
            </w:rPr>
            <w:t>4.1</w:t>
          </w:r>
          <w:r>
            <w:rPr>
              <w:rFonts w:eastAsiaTheme="minorEastAsia" w:cstheme="minorBidi"/>
              <w:smallCaps w:val="0"/>
              <w:noProof/>
              <w:kern w:val="2"/>
              <w:sz w:val="24"/>
              <w:szCs w:val="24"/>
              <w14:ligatures w14:val="standardContextual"/>
            </w:rPr>
            <w:tab/>
          </w:r>
          <w:r>
            <w:rPr>
              <w:noProof/>
            </w:rPr>
            <w:t>PREGLED NALOŽBENIH POTREB</w:t>
          </w:r>
          <w:r>
            <w:rPr>
              <w:noProof/>
            </w:rPr>
            <w:tab/>
          </w:r>
          <w:r>
            <w:rPr>
              <w:noProof/>
            </w:rPr>
            <w:fldChar w:fldCharType="begin"/>
          </w:r>
          <w:r>
            <w:rPr>
              <w:noProof/>
            </w:rPr>
            <w:instrText xml:space="preserve"> PAGEREF _Toc192682020 \h </w:instrText>
          </w:r>
          <w:r>
            <w:rPr>
              <w:noProof/>
            </w:rPr>
          </w:r>
          <w:r>
            <w:rPr>
              <w:noProof/>
            </w:rPr>
            <w:fldChar w:fldCharType="separate"/>
          </w:r>
          <w:r>
            <w:rPr>
              <w:noProof/>
            </w:rPr>
            <w:t>68</w:t>
          </w:r>
          <w:r>
            <w:rPr>
              <w:noProof/>
            </w:rPr>
            <w:fldChar w:fldCharType="end"/>
          </w:r>
        </w:p>
        <w:p w14:paraId="644A5CCD" w14:textId="3CFEECD2" w:rsidR="008012A2" w:rsidRDefault="008012A2">
          <w:pPr>
            <w:pStyle w:val="Kazalovsebine2"/>
            <w:tabs>
              <w:tab w:val="left" w:pos="800"/>
              <w:tab w:val="right" w:leader="dot" w:pos="9060"/>
            </w:tabs>
            <w:rPr>
              <w:rFonts w:eastAsiaTheme="minorEastAsia" w:cstheme="minorBidi"/>
              <w:smallCaps w:val="0"/>
              <w:noProof/>
              <w:kern w:val="2"/>
              <w:sz w:val="24"/>
              <w:szCs w:val="24"/>
              <w14:ligatures w14:val="standardContextual"/>
            </w:rPr>
          </w:pPr>
          <w:r>
            <w:rPr>
              <w:noProof/>
            </w:rPr>
            <w:t>4.2</w:t>
          </w:r>
          <w:r>
            <w:rPr>
              <w:rFonts w:eastAsiaTheme="minorEastAsia" w:cstheme="minorBidi"/>
              <w:smallCaps w:val="0"/>
              <w:noProof/>
              <w:kern w:val="2"/>
              <w:sz w:val="24"/>
              <w:szCs w:val="24"/>
              <w14:ligatures w14:val="standardContextual"/>
            </w:rPr>
            <w:tab/>
          </w:r>
          <w:r>
            <w:rPr>
              <w:noProof/>
            </w:rPr>
            <w:t>OBSTOJEČI NALOŽBENI TOKOVI IN PREDPOSTAVKE O NALOŽBAH V PRIHODNOSTI, OB UPOŠTEVANJU NAČRTOVANIH POLITIK IN UKREPOV</w:t>
          </w:r>
          <w:r>
            <w:rPr>
              <w:noProof/>
            </w:rPr>
            <w:tab/>
          </w:r>
          <w:r>
            <w:rPr>
              <w:noProof/>
            </w:rPr>
            <w:fldChar w:fldCharType="begin"/>
          </w:r>
          <w:r>
            <w:rPr>
              <w:noProof/>
            </w:rPr>
            <w:instrText xml:space="preserve"> PAGEREF _Toc192682021 \h </w:instrText>
          </w:r>
          <w:r>
            <w:rPr>
              <w:noProof/>
            </w:rPr>
          </w:r>
          <w:r>
            <w:rPr>
              <w:noProof/>
            </w:rPr>
            <w:fldChar w:fldCharType="separate"/>
          </w:r>
          <w:r>
            <w:rPr>
              <w:noProof/>
            </w:rPr>
            <w:t>70</w:t>
          </w:r>
          <w:r>
            <w:rPr>
              <w:noProof/>
            </w:rPr>
            <w:fldChar w:fldCharType="end"/>
          </w:r>
        </w:p>
        <w:p w14:paraId="13D7237B" w14:textId="725B9343" w:rsidR="008012A2" w:rsidRDefault="008012A2">
          <w:pPr>
            <w:pStyle w:val="Kazalovsebine1"/>
            <w:tabs>
              <w:tab w:val="left" w:pos="600"/>
              <w:tab w:val="right" w:leader="dot" w:pos="9060"/>
            </w:tabs>
            <w:rPr>
              <w:rFonts w:eastAsiaTheme="minorEastAsia" w:cstheme="minorBidi"/>
              <w:b w:val="0"/>
              <w:bCs w:val="0"/>
              <w:caps w:val="0"/>
              <w:noProof/>
              <w:kern w:val="2"/>
              <w:sz w:val="24"/>
              <w:szCs w:val="24"/>
              <w14:ligatures w14:val="standardContextual"/>
            </w:rPr>
          </w:pPr>
          <w:r w:rsidRPr="004E28C6">
            <w:rPr>
              <w:rFonts w:cs="Arial"/>
              <w:noProof/>
            </w:rPr>
            <w:t>5.</w:t>
          </w:r>
          <w:r>
            <w:rPr>
              <w:rFonts w:eastAsiaTheme="minorEastAsia" w:cstheme="minorBidi"/>
              <w:b w:val="0"/>
              <w:bCs w:val="0"/>
              <w:caps w:val="0"/>
              <w:noProof/>
              <w:kern w:val="2"/>
              <w:sz w:val="24"/>
              <w:szCs w:val="24"/>
              <w14:ligatures w14:val="standardContextual"/>
            </w:rPr>
            <w:tab/>
          </w:r>
          <w:r w:rsidRPr="004E28C6">
            <w:rPr>
              <w:rFonts w:cs="Arial"/>
              <w:noProof/>
            </w:rPr>
            <w:t xml:space="preserve"> </w:t>
          </w:r>
          <w:r w:rsidRPr="004E28C6">
            <w:rPr>
              <w:rFonts w:cs="Arial"/>
              <w:caps w:val="0"/>
              <w:noProof/>
            </w:rPr>
            <w:t>NAPREDEK PRI IZVAJANJU NAČEL EVROPSKEGA STEBRA SOCIALNIH PRAVIC</w:t>
          </w:r>
          <w:r>
            <w:rPr>
              <w:noProof/>
            </w:rPr>
            <w:tab/>
          </w:r>
          <w:r>
            <w:rPr>
              <w:noProof/>
            </w:rPr>
            <w:fldChar w:fldCharType="begin"/>
          </w:r>
          <w:r>
            <w:rPr>
              <w:noProof/>
            </w:rPr>
            <w:instrText xml:space="preserve"> PAGEREF _Toc192682022 \h </w:instrText>
          </w:r>
          <w:r>
            <w:rPr>
              <w:noProof/>
            </w:rPr>
          </w:r>
          <w:r>
            <w:rPr>
              <w:noProof/>
            </w:rPr>
            <w:fldChar w:fldCharType="separate"/>
          </w:r>
          <w:r>
            <w:rPr>
              <w:noProof/>
            </w:rPr>
            <w:t>75</w:t>
          </w:r>
          <w:r>
            <w:rPr>
              <w:noProof/>
            </w:rPr>
            <w:fldChar w:fldCharType="end"/>
          </w:r>
        </w:p>
        <w:p w14:paraId="3F78D497" w14:textId="43D8B440" w:rsidR="008012A2" w:rsidRDefault="008012A2">
          <w:pPr>
            <w:pStyle w:val="Kazalovsebine2"/>
            <w:tabs>
              <w:tab w:val="left" w:pos="800"/>
              <w:tab w:val="right" w:leader="dot" w:pos="9060"/>
            </w:tabs>
            <w:rPr>
              <w:rFonts w:eastAsiaTheme="minorEastAsia" w:cstheme="minorBidi"/>
              <w:smallCaps w:val="0"/>
              <w:noProof/>
              <w:kern w:val="2"/>
              <w:sz w:val="24"/>
              <w:szCs w:val="24"/>
              <w14:ligatures w14:val="standardContextual"/>
            </w:rPr>
          </w:pPr>
          <w:r>
            <w:rPr>
              <w:noProof/>
            </w:rPr>
            <w:t>5.1</w:t>
          </w:r>
          <w:r>
            <w:rPr>
              <w:rFonts w:eastAsiaTheme="minorEastAsia" w:cstheme="minorBidi"/>
              <w:smallCaps w:val="0"/>
              <w:noProof/>
              <w:kern w:val="2"/>
              <w:sz w:val="24"/>
              <w:szCs w:val="24"/>
              <w14:ligatures w14:val="standardContextual"/>
            </w:rPr>
            <w:tab/>
          </w:r>
          <w:r>
            <w:rPr>
              <w:noProof/>
            </w:rPr>
            <w:t>ODPRAVA POMANJKANJA DELOVNE SILE IN SPRETNOSTI, UDELEŽBA V IZOBRAŽEVANJU ODRASLIH</w:t>
          </w:r>
          <w:r>
            <w:rPr>
              <w:noProof/>
            </w:rPr>
            <w:tab/>
          </w:r>
          <w:r>
            <w:rPr>
              <w:noProof/>
            </w:rPr>
            <w:fldChar w:fldCharType="begin"/>
          </w:r>
          <w:r>
            <w:rPr>
              <w:noProof/>
            </w:rPr>
            <w:instrText xml:space="preserve"> PAGEREF _Toc192682023 \h </w:instrText>
          </w:r>
          <w:r>
            <w:rPr>
              <w:noProof/>
            </w:rPr>
          </w:r>
          <w:r>
            <w:rPr>
              <w:noProof/>
            </w:rPr>
            <w:fldChar w:fldCharType="separate"/>
          </w:r>
          <w:r>
            <w:rPr>
              <w:noProof/>
            </w:rPr>
            <w:t>75</w:t>
          </w:r>
          <w:r>
            <w:rPr>
              <w:noProof/>
            </w:rPr>
            <w:fldChar w:fldCharType="end"/>
          </w:r>
        </w:p>
        <w:p w14:paraId="19807375" w14:textId="245BE9B5" w:rsidR="008012A2" w:rsidRDefault="008012A2">
          <w:pPr>
            <w:pStyle w:val="Kazalovsebine2"/>
            <w:tabs>
              <w:tab w:val="left" w:pos="800"/>
              <w:tab w:val="right" w:leader="dot" w:pos="9060"/>
            </w:tabs>
            <w:rPr>
              <w:rFonts w:eastAsiaTheme="minorEastAsia" w:cstheme="minorBidi"/>
              <w:smallCaps w:val="0"/>
              <w:noProof/>
              <w:kern w:val="2"/>
              <w:sz w:val="24"/>
              <w:szCs w:val="24"/>
              <w14:ligatures w14:val="standardContextual"/>
            </w:rPr>
          </w:pPr>
          <w:r>
            <w:rPr>
              <w:noProof/>
            </w:rPr>
            <w:t>5.2</w:t>
          </w:r>
          <w:r>
            <w:rPr>
              <w:rFonts w:eastAsiaTheme="minorEastAsia" w:cstheme="minorBidi"/>
              <w:smallCaps w:val="0"/>
              <w:noProof/>
              <w:kern w:val="2"/>
              <w:sz w:val="24"/>
              <w:szCs w:val="24"/>
              <w14:ligatures w14:val="standardContextual"/>
            </w:rPr>
            <w:tab/>
          </w:r>
          <w:r>
            <w:rPr>
              <w:noProof/>
            </w:rPr>
            <w:t>ODPRAVA REVŠČINE MED STAREJŠIMI</w:t>
          </w:r>
          <w:r>
            <w:rPr>
              <w:noProof/>
            </w:rPr>
            <w:tab/>
          </w:r>
          <w:r>
            <w:rPr>
              <w:noProof/>
            </w:rPr>
            <w:fldChar w:fldCharType="begin"/>
          </w:r>
          <w:r>
            <w:rPr>
              <w:noProof/>
            </w:rPr>
            <w:instrText xml:space="preserve"> PAGEREF _Toc192682024 \h </w:instrText>
          </w:r>
          <w:r>
            <w:rPr>
              <w:noProof/>
            </w:rPr>
          </w:r>
          <w:r>
            <w:rPr>
              <w:noProof/>
            </w:rPr>
            <w:fldChar w:fldCharType="separate"/>
          </w:r>
          <w:r>
            <w:rPr>
              <w:noProof/>
            </w:rPr>
            <w:t>77</w:t>
          </w:r>
          <w:r>
            <w:rPr>
              <w:noProof/>
            </w:rPr>
            <w:fldChar w:fldCharType="end"/>
          </w:r>
        </w:p>
        <w:p w14:paraId="6FDA17BB" w14:textId="143D7A07" w:rsidR="008012A2" w:rsidRDefault="008012A2">
          <w:pPr>
            <w:pStyle w:val="Kazalovsebine2"/>
            <w:tabs>
              <w:tab w:val="left" w:pos="800"/>
              <w:tab w:val="right" w:leader="dot" w:pos="9060"/>
            </w:tabs>
            <w:rPr>
              <w:rFonts w:eastAsiaTheme="minorEastAsia" w:cstheme="minorBidi"/>
              <w:smallCaps w:val="0"/>
              <w:noProof/>
              <w:kern w:val="2"/>
              <w:sz w:val="24"/>
              <w:szCs w:val="24"/>
              <w14:ligatures w14:val="standardContextual"/>
            </w:rPr>
          </w:pPr>
          <w:r>
            <w:rPr>
              <w:noProof/>
            </w:rPr>
            <w:t>5.3</w:t>
          </w:r>
          <w:r>
            <w:rPr>
              <w:rFonts w:eastAsiaTheme="minorEastAsia" w:cstheme="minorBidi"/>
              <w:smallCaps w:val="0"/>
              <w:noProof/>
              <w:kern w:val="2"/>
              <w:sz w:val="24"/>
              <w:szCs w:val="24"/>
              <w14:ligatures w14:val="standardContextual"/>
            </w:rPr>
            <w:tab/>
          </w:r>
          <w:r>
            <w:rPr>
              <w:noProof/>
            </w:rPr>
            <w:t>DOSTOPNOST DO STANOVANJ ZA RANLJIVE SKUPINE PREBIVALSTVA</w:t>
          </w:r>
          <w:r>
            <w:rPr>
              <w:noProof/>
            </w:rPr>
            <w:tab/>
          </w:r>
          <w:r>
            <w:rPr>
              <w:noProof/>
            </w:rPr>
            <w:fldChar w:fldCharType="begin"/>
          </w:r>
          <w:r>
            <w:rPr>
              <w:noProof/>
            </w:rPr>
            <w:instrText xml:space="preserve"> PAGEREF _Toc192682025 \h </w:instrText>
          </w:r>
          <w:r>
            <w:rPr>
              <w:noProof/>
            </w:rPr>
          </w:r>
          <w:r>
            <w:rPr>
              <w:noProof/>
            </w:rPr>
            <w:fldChar w:fldCharType="separate"/>
          </w:r>
          <w:r>
            <w:rPr>
              <w:noProof/>
            </w:rPr>
            <w:t>78</w:t>
          </w:r>
          <w:r>
            <w:rPr>
              <w:noProof/>
            </w:rPr>
            <w:fldChar w:fldCharType="end"/>
          </w:r>
        </w:p>
        <w:p w14:paraId="1CCD6509" w14:textId="39027541" w:rsidR="008012A2" w:rsidRDefault="008012A2">
          <w:pPr>
            <w:pStyle w:val="Kazalovsebine1"/>
            <w:tabs>
              <w:tab w:val="left" w:pos="600"/>
              <w:tab w:val="right" w:leader="dot" w:pos="9060"/>
            </w:tabs>
            <w:rPr>
              <w:rFonts w:eastAsiaTheme="minorEastAsia" w:cstheme="minorBidi"/>
              <w:b w:val="0"/>
              <w:bCs w:val="0"/>
              <w:caps w:val="0"/>
              <w:noProof/>
              <w:kern w:val="2"/>
              <w:sz w:val="24"/>
              <w:szCs w:val="24"/>
              <w14:ligatures w14:val="standardContextual"/>
            </w:rPr>
          </w:pPr>
          <w:r w:rsidRPr="004E28C6">
            <w:rPr>
              <w:rFonts w:cs="Arial"/>
              <w:noProof/>
              <w:color w:val="4F81BD"/>
            </w:rPr>
            <w:t>6.</w:t>
          </w:r>
          <w:r>
            <w:rPr>
              <w:rFonts w:eastAsiaTheme="minorEastAsia" w:cstheme="minorBidi"/>
              <w:b w:val="0"/>
              <w:bCs w:val="0"/>
              <w:caps w:val="0"/>
              <w:noProof/>
              <w:kern w:val="2"/>
              <w:sz w:val="24"/>
              <w:szCs w:val="24"/>
              <w14:ligatures w14:val="standardContextual"/>
            </w:rPr>
            <w:tab/>
          </w:r>
          <w:r w:rsidRPr="004E28C6">
            <w:rPr>
              <w:caps w:val="0"/>
              <w:noProof/>
            </w:rPr>
            <w:t>GLAVNI REZULTATI VREDNOTENJ PROGRAMA</w:t>
          </w:r>
          <w:r>
            <w:rPr>
              <w:noProof/>
            </w:rPr>
            <w:tab/>
          </w:r>
          <w:r>
            <w:rPr>
              <w:noProof/>
            </w:rPr>
            <w:fldChar w:fldCharType="begin"/>
          </w:r>
          <w:r>
            <w:rPr>
              <w:noProof/>
            </w:rPr>
            <w:instrText xml:space="preserve"> PAGEREF _Toc192682026 \h </w:instrText>
          </w:r>
          <w:r>
            <w:rPr>
              <w:noProof/>
            </w:rPr>
          </w:r>
          <w:r>
            <w:rPr>
              <w:noProof/>
            </w:rPr>
            <w:fldChar w:fldCharType="separate"/>
          </w:r>
          <w:r>
            <w:rPr>
              <w:noProof/>
            </w:rPr>
            <w:t>79</w:t>
          </w:r>
          <w:r>
            <w:rPr>
              <w:noProof/>
            </w:rPr>
            <w:fldChar w:fldCharType="end"/>
          </w:r>
        </w:p>
        <w:p w14:paraId="0EA9C6BD" w14:textId="03A09E2B" w:rsidR="008012A2" w:rsidRDefault="008012A2">
          <w:pPr>
            <w:pStyle w:val="Kazalovsebine1"/>
            <w:tabs>
              <w:tab w:val="right" w:leader="dot" w:pos="9060"/>
            </w:tabs>
            <w:rPr>
              <w:rFonts w:eastAsiaTheme="minorEastAsia" w:cstheme="minorBidi"/>
              <w:b w:val="0"/>
              <w:bCs w:val="0"/>
              <w:caps w:val="0"/>
              <w:noProof/>
              <w:kern w:val="2"/>
              <w:sz w:val="24"/>
              <w:szCs w:val="24"/>
              <w14:ligatures w14:val="standardContextual"/>
            </w:rPr>
          </w:pPr>
          <w:r w:rsidRPr="004E28C6">
            <w:rPr>
              <w:rFonts w:cs="Arial"/>
              <w:noProof/>
            </w:rPr>
            <w:t xml:space="preserve">7. </w:t>
          </w:r>
          <w:r w:rsidRPr="004E28C6">
            <w:rPr>
              <w:rFonts w:cs="Arial"/>
              <w:caps w:val="0"/>
              <w:noProof/>
            </w:rPr>
            <w:t>PREGLED DOSEGANJA MEJNIKOV IN CILJEV</w:t>
          </w:r>
          <w:r>
            <w:rPr>
              <w:noProof/>
            </w:rPr>
            <w:tab/>
          </w:r>
          <w:r>
            <w:rPr>
              <w:noProof/>
            </w:rPr>
            <w:fldChar w:fldCharType="begin"/>
          </w:r>
          <w:r>
            <w:rPr>
              <w:noProof/>
            </w:rPr>
            <w:instrText xml:space="preserve"> PAGEREF _Toc192682027 \h </w:instrText>
          </w:r>
          <w:r>
            <w:rPr>
              <w:noProof/>
            </w:rPr>
          </w:r>
          <w:r>
            <w:rPr>
              <w:noProof/>
            </w:rPr>
            <w:fldChar w:fldCharType="separate"/>
          </w:r>
          <w:r>
            <w:rPr>
              <w:noProof/>
            </w:rPr>
            <w:t>81</w:t>
          </w:r>
          <w:r>
            <w:rPr>
              <w:noProof/>
            </w:rPr>
            <w:fldChar w:fldCharType="end"/>
          </w:r>
        </w:p>
        <w:p w14:paraId="223A0A8B" w14:textId="02B6CE90" w:rsidR="008012A2" w:rsidRDefault="008012A2">
          <w:pPr>
            <w:pStyle w:val="Kazalovsebine2"/>
            <w:tabs>
              <w:tab w:val="left" w:pos="800"/>
              <w:tab w:val="right" w:leader="dot" w:pos="9060"/>
            </w:tabs>
            <w:rPr>
              <w:rFonts w:eastAsiaTheme="minorEastAsia" w:cstheme="minorBidi"/>
              <w:smallCaps w:val="0"/>
              <w:noProof/>
              <w:kern w:val="2"/>
              <w:sz w:val="24"/>
              <w:szCs w:val="24"/>
              <w14:ligatures w14:val="standardContextual"/>
            </w:rPr>
          </w:pPr>
          <w:r>
            <w:rPr>
              <w:noProof/>
            </w:rPr>
            <w:t>7.1</w:t>
          </w:r>
          <w:r>
            <w:rPr>
              <w:rFonts w:eastAsiaTheme="minorEastAsia" w:cstheme="minorBidi"/>
              <w:smallCaps w:val="0"/>
              <w:noProof/>
              <w:kern w:val="2"/>
              <w:sz w:val="24"/>
              <w:szCs w:val="24"/>
              <w14:ligatures w14:val="standardContextual"/>
            </w:rPr>
            <w:tab/>
          </w:r>
          <w:r>
            <w:rPr>
              <w:noProof/>
            </w:rPr>
            <w:t>NAPREDEK PRI DOSEGANJU MEJNIKOV IN CILJEV</w:t>
          </w:r>
          <w:r>
            <w:rPr>
              <w:noProof/>
            </w:rPr>
            <w:tab/>
          </w:r>
          <w:r>
            <w:rPr>
              <w:noProof/>
            </w:rPr>
            <w:fldChar w:fldCharType="begin"/>
          </w:r>
          <w:r>
            <w:rPr>
              <w:noProof/>
            </w:rPr>
            <w:instrText xml:space="preserve"> PAGEREF _Toc192682028 \h </w:instrText>
          </w:r>
          <w:r>
            <w:rPr>
              <w:noProof/>
            </w:rPr>
          </w:r>
          <w:r>
            <w:rPr>
              <w:noProof/>
            </w:rPr>
            <w:fldChar w:fldCharType="separate"/>
          </w:r>
          <w:r>
            <w:rPr>
              <w:noProof/>
            </w:rPr>
            <w:t>81</w:t>
          </w:r>
          <w:r>
            <w:rPr>
              <w:noProof/>
            </w:rPr>
            <w:fldChar w:fldCharType="end"/>
          </w:r>
        </w:p>
        <w:p w14:paraId="27B32DB8" w14:textId="6DDC6AA9" w:rsidR="008012A2" w:rsidRDefault="008012A2">
          <w:pPr>
            <w:pStyle w:val="Kazalovsebine2"/>
            <w:tabs>
              <w:tab w:val="left" w:pos="800"/>
              <w:tab w:val="right" w:leader="dot" w:pos="9060"/>
            </w:tabs>
            <w:rPr>
              <w:rFonts w:eastAsiaTheme="minorEastAsia" w:cstheme="minorBidi"/>
              <w:smallCaps w:val="0"/>
              <w:noProof/>
              <w:kern w:val="2"/>
              <w:sz w:val="24"/>
              <w:szCs w:val="24"/>
              <w14:ligatures w14:val="standardContextual"/>
            </w:rPr>
          </w:pPr>
          <w:r>
            <w:rPr>
              <w:noProof/>
            </w:rPr>
            <w:t>7.2</w:t>
          </w:r>
          <w:r>
            <w:rPr>
              <w:rFonts w:eastAsiaTheme="minorEastAsia" w:cstheme="minorBidi"/>
              <w:smallCaps w:val="0"/>
              <w:noProof/>
              <w:kern w:val="2"/>
              <w:sz w:val="24"/>
              <w:szCs w:val="24"/>
              <w14:ligatures w14:val="standardContextual"/>
            </w:rPr>
            <w:tab/>
          </w:r>
          <w:r>
            <w:rPr>
              <w:noProof/>
            </w:rPr>
            <w:t>PREGLED USPEŠNOSTI IZVAJANJA PEKP 21–27</w:t>
          </w:r>
          <w:r>
            <w:rPr>
              <w:noProof/>
            </w:rPr>
            <w:tab/>
          </w:r>
          <w:r>
            <w:rPr>
              <w:noProof/>
            </w:rPr>
            <w:fldChar w:fldCharType="begin"/>
          </w:r>
          <w:r>
            <w:rPr>
              <w:noProof/>
            </w:rPr>
            <w:instrText xml:space="preserve"> PAGEREF _Toc192682029 \h </w:instrText>
          </w:r>
          <w:r>
            <w:rPr>
              <w:noProof/>
            </w:rPr>
          </w:r>
          <w:r>
            <w:rPr>
              <w:noProof/>
            </w:rPr>
            <w:fldChar w:fldCharType="separate"/>
          </w:r>
          <w:r>
            <w:rPr>
              <w:noProof/>
            </w:rPr>
            <w:t>88</w:t>
          </w:r>
          <w:r>
            <w:rPr>
              <w:noProof/>
            </w:rPr>
            <w:fldChar w:fldCharType="end"/>
          </w:r>
        </w:p>
        <w:p w14:paraId="1FEDC0AA" w14:textId="424FFAFE" w:rsidR="008012A2" w:rsidRDefault="008012A2">
          <w:pPr>
            <w:pStyle w:val="Kazalovsebine2"/>
            <w:tabs>
              <w:tab w:val="left" w:pos="800"/>
              <w:tab w:val="right" w:leader="dot" w:pos="9060"/>
            </w:tabs>
            <w:rPr>
              <w:rFonts w:eastAsiaTheme="minorEastAsia" w:cstheme="minorBidi"/>
              <w:smallCaps w:val="0"/>
              <w:noProof/>
              <w:kern w:val="2"/>
              <w:sz w:val="24"/>
              <w:szCs w:val="24"/>
              <w14:ligatures w14:val="standardContextual"/>
            </w:rPr>
          </w:pPr>
          <w:r>
            <w:rPr>
              <w:noProof/>
            </w:rPr>
            <w:t>7.3</w:t>
          </w:r>
          <w:r>
            <w:rPr>
              <w:rFonts w:eastAsiaTheme="minorEastAsia" w:cstheme="minorBidi"/>
              <w:smallCaps w:val="0"/>
              <w:noProof/>
              <w:kern w:val="2"/>
              <w:sz w:val="24"/>
              <w:szCs w:val="24"/>
              <w14:ligatures w14:val="standardContextual"/>
            </w:rPr>
            <w:tab/>
          </w:r>
          <w:r>
            <w:rPr>
              <w:noProof/>
            </w:rPr>
            <w:t>DOSEGANJE PRAVILA N+3</w:t>
          </w:r>
          <w:r>
            <w:rPr>
              <w:noProof/>
            </w:rPr>
            <w:tab/>
          </w:r>
          <w:r>
            <w:rPr>
              <w:noProof/>
            </w:rPr>
            <w:fldChar w:fldCharType="begin"/>
          </w:r>
          <w:r>
            <w:rPr>
              <w:noProof/>
            </w:rPr>
            <w:instrText xml:space="preserve"> PAGEREF _Toc192682030 \h </w:instrText>
          </w:r>
          <w:r>
            <w:rPr>
              <w:noProof/>
            </w:rPr>
          </w:r>
          <w:r>
            <w:rPr>
              <w:noProof/>
            </w:rPr>
            <w:fldChar w:fldCharType="separate"/>
          </w:r>
          <w:r>
            <w:rPr>
              <w:noProof/>
            </w:rPr>
            <w:t>88</w:t>
          </w:r>
          <w:r>
            <w:rPr>
              <w:noProof/>
            </w:rPr>
            <w:fldChar w:fldCharType="end"/>
          </w:r>
        </w:p>
        <w:p w14:paraId="7F0504E8" w14:textId="3000D03C" w:rsidR="008012A2" w:rsidRDefault="008012A2">
          <w:pPr>
            <w:pStyle w:val="Kazalovsebine2"/>
            <w:tabs>
              <w:tab w:val="left" w:pos="800"/>
              <w:tab w:val="right" w:leader="dot" w:pos="9060"/>
            </w:tabs>
            <w:rPr>
              <w:rFonts w:eastAsiaTheme="minorEastAsia" w:cstheme="minorBidi"/>
              <w:smallCaps w:val="0"/>
              <w:noProof/>
              <w:kern w:val="2"/>
              <w:sz w:val="24"/>
              <w:szCs w:val="24"/>
              <w14:ligatures w14:val="standardContextual"/>
            </w:rPr>
          </w:pPr>
          <w:r>
            <w:rPr>
              <w:noProof/>
            </w:rPr>
            <w:t>7.4</w:t>
          </w:r>
          <w:r>
            <w:rPr>
              <w:rFonts w:eastAsiaTheme="minorEastAsia" w:cstheme="minorBidi"/>
              <w:smallCaps w:val="0"/>
              <w:noProof/>
              <w:kern w:val="2"/>
              <w:sz w:val="24"/>
              <w:szCs w:val="24"/>
              <w14:ligatures w14:val="standardContextual"/>
            </w:rPr>
            <w:tab/>
          </w:r>
          <w:r>
            <w:rPr>
              <w:noProof/>
            </w:rPr>
            <w:t>OMOGOČITVENI POGOJI</w:t>
          </w:r>
          <w:r>
            <w:rPr>
              <w:noProof/>
            </w:rPr>
            <w:tab/>
          </w:r>
          <w:r>
            <w:rPr>
              <w:noProof/>
            </w:rPr>
            <w:fldChar w:fldCharType="begin"/>
          </w:r>
          <w:r>
            <w:rPr>
              <w:noProof/>
            </w:rPr>
            <w:instrText xml:space="preserve"> PAGEREF _Toc192682031 \h </w:instrText>
          </w:r>
          <w:r>
            <w:rPr>
              <w:noProof/>
            </w:rPr>
          </w:r>
          <w:r>
            <w:rPr>
              <w:noProof/>
            </w:rPr>
            <w:fldChar w:fldCharType="separate"/>
          </w:r>
          <w:r>
            <w:rPr>
              <w:noProof/>
            </w:rPr>
            <w:t>89</w:t>
          </w:r>
          <w:r>
            <w:rPr>
              <w:noProof/>
            </w:rPr>
            <w:fldChar w:fldCharType="end"/>
          </w:r>
        </w:p>
        <w:p w14:paraId="7E9A3F99" w14:textId="48B9B3C5" w:rsidR="008012A2" w:rsidRDefault="008012A2">
          <w:pPr>
            <w:pStyle w:val="Kazalovsebine1"/>
            <w:tabs>
              <w:tab w:val="left" w:pos="600"/>
              <w:tab w:val="right" w:leader="dot" w:pos="9060"/>
            </w:tabs>
            <w:rPr>
              <w:rFonts w:eastAsiaTheme="minorEastAsia" w:cstheme="minorBidi"/>
              <w:b w:val="0"/>
              <w:bCs w:val="0"/>
              <w:caps w:val="0"/>
              <w:noProof/>
              <w:kern w:val="2"/>
              <w:sz w:val="24"/>
              <w:szCs w:val="24"/>
              <w14:ligatures w14:val="standardContextual"/>
            </w:rPr>
          </w:pPr>
          <w:r w:rsidRPr="004E28C6">
            <w:rPr>
              <w:rFonts w:cs="Arial"/>
              <w:noProof/>
            </w:rPr>
            <w:t xml:space="preserve">8. </w:t>
          </w:r>
          <w:r>
            <w:rPr>
              <w:rFonts w:eastAsiaTheme="minorEastAsia" w:cstheme="minorBidi"/>
              <w:b w:val="0"/>
              <w:bCs w:val="0"/>
              <w:caps w:val="0"/>
              <w:noProof/>
              <w:kern w:val="2"/>
              <w:sz w:val="24"/>
              <w:szCs w:val="24"/>
              <w14:ligatures w14:val="standardContextual"/>
            </w:rPr>
            <w:tab/>
          </w:r>
          <w:r w:rsidRPr="004E28C6">
            <w:rPr>
              <w:rFonts w:cs="Arial"/>
              <w:caps w:val="0"/>
              <w:noProof/>
            </w:rPr>
            <w:t>IZVAJANJE UREDBE O VZPOSTAVITVI PLATFORME ZA STRATEŠKE TEHNOLOGIJE ZA EVROPO (STEP) V SLOVENIJI IN PREDVIDENI UKREPI</w:t>
          </w:r>
          <w:r>
            <w:rPr>
              <w:noProof/>
            </w:rPr>
            <w:tab/>
          </w:r>
          <w:r>
            <w:rPr>
              <w:noProof/>
            </w:rPr>
            <w:fldChar w:fldCharType="begin"/>
          </w:r>
          <w:r>
            <w:rPr>
              <w:noProof/>
            </w:rPr>
            <w:instrText xml:space="preserve"> PAGEREF _Toc192682032 \h </w:instrText>
          </w:r>
          <w:r>
            <w:rPr>
              <w:noProof/>
            </w:rPr>
          </w:r>
          <w:r>
            <w:rPr>
              <w:noProof/>
            </w:rPr>
            <w:fldChar w:fldCharType="separate"/>
          </w:r>
          <w:r>
            <w:rPr>
              <w:noProof/>
            </w:rPr>
            <w:t>90</w:t>
          </w:r>
          <w:r>
            <w:rPr>
              <w:noProof/>
            </w:rPr>
            <w:fldChar w:fldCharType="end"/>
          </w:r>
        </w:p>
        <w:p w14:paraId="7E86D294" w14:textId="6AB36417" w:rsidR="008012A2" w:rsidRDefault="008012A2">
          <w:pPr>
            <w:pStyle w:val="Kazalovsebine1"/>
            <w:tabs>
              <w:tab w:val="left" w:pos="600"/>
              <w:tab w:val="right" w:leader="dot" w:pos="9060"/>
            </w:tabs>
            <w:rPr>
              <w:rFonts w:eastAsiaTheme="minorEastAsia" w:cstheme="minorBidi"/>
              <w:b w:val="0"/>
              <w:bCs w:val="0"/>
              <w:caps w:val="0"/>
              <w:noProof/>
              <w:kern w:val="2"/>
              <w:sz w:val="24"/>
              <w:szCs w:val="24"/>
              <w14:ligatures w14:val="standardContextual"/>
            </w:rPr>
          </w:pPr>
          <w:r w:rsidRPr="004E28C6">
            <w:rPr>
              <w:rFonts w:cs="Arial"/>
              <w:noProof/>
            </w:rPr>
            <w:t>9.</w:t>
          </w:r>
          <w:r>
            <w:rPr>
              <w:rFonts w:eastAsiaTheme="minorEastAsia" w:cstheme="minorBidi"/>
              <w:b w:val="0"/>
              <w:bCs w:val="0"/>
              <w:caps w:val="0"/>
              <w:noProof/>
              <w:kern w:val="2"/>
              <w:sz w:val="24"/>
              <w:szCs w:val="24"/>
              <w14:ligatures w14:val="standardContextual"/>
            </w:rPr>
            <w:tab/>
          </w:r>
          <w:r w:rsidRPr="004E28C6">
            <w:rPr>
              <w:rFonts w:cs="Arial"/>
              <w:caps w:val="0"/>
              <w:noProof/>
            </w:rPr>
            <w:t>FINANČNE PRERAZPOREDITVE MED PREDNOSTNIMI NALOGAMI S PREDLOGOM ZA DOKONČNO DODELITEV ZNESKA PROŽNOSTI</w:t>
          </w:r>
          <w:r>
            <w:rPr>
              <w:noProof/>
            </w:rPr>
            <w:tab/>
          </w:r>
          <w:r>
            <w:rPr>
              <w:noProof/>
            </w:rPr>
            <w:fldChar w:fldCharType="begin"/>
          </w:r>
          <w:r>
            <w:rPr>
              <w:noProof/>
            </w:rPr>
            <w:instrText xml:space="preserve"> PAGEREF _Toc192682033 \h </w:instrText>
          </w:r>
          <w:r>
            <w:rPr>
              <w:noProof/>
            </w:rPr>
          </w:r>
          <w:r>
            <w:rPr>
              <w:noProof/>
            </w:rPr>
            <w:fldChar w:fldCharType="separate"/>
          </w:r>
          <w:r>
            <w:rPr>
              <w:noProof/>
            </w:rPr>
            <w:t>93</w:t>
          </w:r>
          <w:r>
            <w:rPr>
              <w:noProof/>
            </w:rPr>
            <w:fldChar w:fldCharType="end"/>
          </w:r>
        </w:p>
        <w:p w14:paraId="15497DAA" w14:textId="7E822EFC" w:rsidR="008012A2" w:rsidRDefault="008012A2">
          <w:pPr>
            <w:pStyle w:val="Kazalovsebine2"/>
            <w:tabs>
              <w:tab w:val="right" w:leader="dot" w:pos="9060"/>
            </w:tabs>
            <w:rPr>
              <w:rFonts w:eastAsiaTheme="minorEastAsia" w:cstheme="minorBidi"/>
              <w:smallCaps w:val="0"/>
              <w:noProof/>
              <w:kern w:val="2"/>
              <w:sz w:val="24"/>
              <w:szCs w:val="24"/>
              <w14:ligatures w14:val="standardContextual"/>
            </w:rPr>
          </w:pPr>
          <w:r>
            <w:rPr>
              <w:noProof/>
            </w:rPr>
            <w:t>9.1 FINANČNE PRERAZPOREDITVE MED PREDNOSTNIMI NALOGAMI</w:t>
          </w:r>
          <w:r>
            <w:rPr>
              <w:noProof/>
            </w:rPr>
            <w:tab/>
          </w:r>
          <w:r>
            <w:rPr>
              <w:noProof/>
            </w:rPr>
            <w:fldChar w:fldCharType="begin"/>
          </w:r>
          <w:r>
            <w:rPr>
              <w:noProof/>
            </w:rPr>
            <w:instrText xml:space="preserve"> PAGEREF _Toc192682034 \h </w:instrText>
          </w:r>
          <w:r>
            <w:rPr>
              <w:noProof/>
            </w:rPr>
          </w:r>
          <w:r>
            <w:rPr>
              <w:noProof/>
            </w:rPr>
            <w:fldChar w:fldCharType="separate"/>
          </w:r>
          <w:r>
            <w:rPr>
              <w:noProof/>
            </w:rPr>
            <w:t>93</w:t>
          </w:r>
          <w:r>
            <w:rPr>
              <w:noProof/>
            </w:rPr>
            <w:fldChar w:fldCharType="end"/>
          </w:r>
        </w:p>
        <w:p w14:paraId="3F66AD03" w14:textId="221292F8" w:rsidR="008012A2" w:rsidRDefault="008012A2">
          <w:pPr>
            <w:pStyle w:val="Kazalovsebine2"/>
            <w:tabs>
              <w:tab w:val="right" w:leader="dot" w:pos="9060"/>
            </w:tabs>
            <w:rPr>
              <w:rFonts w:eastAsiaTheme="minorEastAsia" w:cstheme="minorBidi"/>
              <w:smallCaps w:val="0"/>
              <w:noProof/>
              <w:kern w:val="2"/>
              <w:sz w:val="24"/>
              <w:szCs w:val="24"/>
              <w14:ligatures w14:val="standardContextual"/>
            </w:rPr>
          </w:pPr>
          <w:r>
            <w:rPr>
              <w:noProof/>
            </w:rPr>
            <w:t>9.2 PREDLOG ZA DOKONČNO DODELITEV ZNESKA PROŽNOSTI</w:t>
          </w:r>
          <w:r>
            <w:rPr>
              <w:noProof/>
            </w:rPr>
            <w:tab/>
          </w:r>
          <w:r>
            <w:rPr>
              <w:noProof/>
            </w:rPr>
            <w:fldChar w:fldCharType="begin"/>
          </w:r>
          <w:r>
            <w:rPr>
              <w:noProof/>
            </w:rPr>
            <w:instrText xml:space="preserve"> PAGEREF _Toc192682035 \h </w:instrText>
          </w:r>
          <w:r>
            <w:rPr>
              <w:noProof/>
            </w:rPr>
          </w:r>
          <w:r>
            <w:rPr>
              <w:noProof/>
            </w:rPr>
            <w:fldChar w:fldCharType="separate"/>
          </w:r>
          <w:r>
            <w:rPr>
              <w:noProof/>
            </w:rPr>
            <w:t>95</w:t>
          </w:r>
          <w:r>
            <w:rPr>
              <w:noProof/>
            </w:rPr>
            <w:fldChar w:fldCharType="end"/>
          </w:r>
        </w:p>
        <w:p w14:paraId="61082627" w14:textId="11138C8C" w:rsidR="008012A2" w:rsidRDefault="008012A2">
          <w:pPr>
            <w:pStyle w:val="Kazalovsebine2"/>
            <w:tabs>
              <w:tab w:val="right" w:leader="dot" w:pos="9060"/>
            </w:tabs>
            <w:rPr>
              <w:rFonts w:eastAsiaTheme="minorEastAsia" w:cstheme="minorBidi"/>
              <w:smallCaps w:val="0"/>
              <w:noProof/>
              <w:kern w:val="2"/>
              <w:sz w:val="24"/>
              <w:szCs w:val="24"/>
              <w14:ligatures w14:val="standardContextual"/>
            </w:rPr>
          </w:pPr>
          <w:r>
            <w:rPr>
              <w:noProof/>
            </w:rPr>
            <w:t>9.3 OCENA DOSEGANJA PODNEBNIH CILJEV IN DRUGIH CILJEV PROGRAMA</w:t>
          </w:r>
          <w:r>
            <w:rPr>
              <w:noProof/>
            </w:rPr>
            <w:tab/>
          </w:r>
          <w:r>
            <w:rPr>
              <w:noProof/>
            </w:rPr>
            <w:fldChar w:fldCharType="begin"/>
          </w:r>
          <w:r>
            <w:rPr>
              <w:noProof/>
            </w:rPr>
            <w:instrText xml:space="preserve"> PAGEREF _Toc192682036 \h </w:instrText>
          </w:r>
          <w:r>
            <w:rPr>
              <w:noProof/>
            </w:rPr>
          </w:r>
          <w:r>
            <w:rPr>
              <w:noProof/>
            </w:rPr>
            <w:fldChar w:fldCharType="separate"/>
          </w:r>
          <w:r>
            <w:rPr>
              <w:noProof/>
            </w:rPr>
            <w:t>96</w:t>
          </w:r>
          <w:r>
            <w:rPr>
              <w:noProof/>
            </w:rPr>
            <w:fldChar w:fldCharType="end"/>
          </w:r>
        </w:p>
        <w:p w14:paraId="10AC8CBF" w14:textId="633BB782" w:rsidR="008012A2" w:rsidRDefault="008012A2">
          <w:pPr>
            <w:pStyle w:val="Kazalovsebine2"/>
            <w:tabs>
              <w:tab w:val="right" w:leader="dot" w:pos="9060"/>
            </w:tabs>
            <w:rPr>
              <w:rFonts w:eastAsiaTheme="minorEastAsia" w:cstheme="minorBidi"/>
              <w:smallCaps w:val="0"/>
              <w:noProof/>
              <w:kern w:val="2"/>
              <w:sz w:val="24"/>
              <w:szCs w:val="24"/>
              <w14:ligatures w14:val="standardContextual"/>
            </w:rPr>
          </w:pPr>
          <w:r>
            <w:rPr>
              <w:noProof/>
            </w:rPr>
            <w:t>9.4 IZHODIŠČA ZA SPREMEMBO PEKP 21–27</w:t>
          </w:r>
          <w:r>
            <w:rPr>
              <w:noProof/>
            </w:rPr>
            <w:tab/>
          </w:r>
          <w:r>
            <w:rPr>
              <w:noProof/>
            </w:rPr>
            <w:fldChar w:fldCharType="begin"/>
          </w:r>
          <w:r>
            <w:rPr>
              <w:noProof/>
            </w:rPr>
            <w:instrText xml:space="preserve"> PAGEREF _Toc192682037 \h </w:instrText>
          </w:r>
          <w:r>
            <w:rPr>
              <w:noProof/>
            </w:rPr>
          </w:r>
          <w:r>
            <w:rPr>
              <w:noProof/>
            </w:rPr>
            <w:fldChar w:fldCharType="separate"/>
          </w:r>
          <w:r>
            <w:rPr>
              <w:noProof/>
            </w:rPr>
            <w:t>96</w:t>
          </w:r>
          <w:r>
            <w:rPr>
              <w:noProof/>
            </w:rPr>
            <w:fldChar w:fldCharType="end"/>
          </w:r>
        </w:p>
        <w:p w14:paraId="46A0486A" w14:textId="25D8A5BB" w:rsidR="008012A2" w:rsidRDefault="008012A2">
          <w:pPr>
            <w:pStyle w:val="Kazalovsebine1"/>
            <w:tabs>
              <w:tab w:val="left" w:pos="600"/>
              <w:tab w:val="right" w:leader="dot" w:pos="9060"/>
            </w:tabs>
            <w:rPr>
              <w:rFonts w:eastAsiaTheme="minorEastAsia" w:cstheme="minorBidi"/>
              <w:b w:val="0"/>
              <w:bCs w:val="0"/>
              <w:caps w:val="0"/>
              <w:noProof/>
              <w:kern w:val="2"/>
              <w:sz w:val="24"/>
              <w:szCs w:val="24"/>
              <w14:ligatures w14:val="standardContextual"/>
            </w:rPr>
          </w:pPr>
          <w:r w:rsidRPr="004E28C6">
            <w:rPr>
              <w:rFonts w:cs="Arial"/>
              <w:noProof/>
            </w:rPr>
            <w:t>10.</w:t>
          </w:r>
          <w:r>
            <w:rPr>
              <w:rFonts w:eastAsiaTheme="minorEastAsia" w:cstheme="minorBidi"/>
              <w:b w:val="0"/>
              <w:bCs w:val="0"/>
              <w:caps w:val="0"/>
              <w:noProof/>
              <w:kern w:val="2"/>
              <w:sz w:val="24"/>
              <w:szCs w:val="24"/>
              <w14:ligatures w14:val="standardContextual"/>
            </w:rPr>
            <w:tab/>
          </w:r>
          <w:r w:rsidRPr="004E28C6">
            <w:rPr>
              <w:rFonts w:cs="Arial"/>
              <w:noProof/>
            </w:rPr>
            <w:t>VIRI IN LITERATURA</w:t>
          </w:r>
          <w:r>
            <w:rPr>
              <w:noProof/>
            </w:rPr>
            <w:tab/>
          </w:r>
          <w:r>
            <w:rPr>
              <w:noProof/>
            </w:rPr>
            <w:fldChar w:fldCharType="begin"/>
          </w:r>
          <w:r>
            <w:rPr>
              <w:noProof/>
            </w:rPr>
            <w:instrText xml:space="preserve"> PAGEREF _Toc192682038 \h </w:instrText>
          </w:r>
          <w:r>
            <w:rPr>
              <w:noProof/>
            </w:rPr>
          </w:r>
          <w:r>
            <w:rPr>
              <w:noProof/>
            </w:rPr>
            <w:fldChar w:fldCharType="separate"/>
          </w:r>
          <w:r>
            <w:rPr>
              <w:noProof/>
            </w:rPr>
            <w:t>98</w:t>
          </w:r>
          <w:r>
            <w:rPr>
              <w:noProof/>
            </w:rPr>
            <w:fldChar w:fldCharType="end"/>
          </w:r>
        </w:p>
        <w:p w14:paraId="0E06D9DC" w14:textId="63BFE1C6" w:rsidR="008012A2" w:rsidRDefault="008012A2">
          <w:pPr>
            <w:pStyle w:val="Kazalovsebine1"/>
            <w:tabs>
              <w:tab w:val="left" w:pos="600"/>
              <w:tab w:val="right" w:leader="dot" w:pos="9060"/>
            </w:tabs>
            <w:rPr>
              <w:rFonts w:eastAsiaTheme="minorEastAsia" w:cstheme="minorBidi"/>
              <w:b w:val="0"/>
              <w:bCs w:val="0"/>
              <w:caps w:val="0"/>
              <w:noProof/>
              <w:kern w:val="2"/>
              <w:sz w:val="24"/>
              <w:szCs w:val="24"/>
              <w14:ligatures w14:val="standardContextual"/>
            </w:rPr>
          </w:pPr>
          <w:r>
            <w:rPr>
              <w:noProof/>
            </w:rPr>
            <w:t>11.</w:t>
          </w:r>
          <w:r>
            <w:rPr>
              <w:rFonts w:eastAsiaTheme="minorEastAsia" w:cstheme="minorBidi"/>
              <w:b w:val="0"/>
              <w:bCs w:val="0"/>
              <w:caps w:val="0"/>
              <w:noProof/>
              <w:kern w:val="2"/>
              <w:sz w:val="24"/>
              <w:szCs w:val="24"/>
              <w14:ligatures w14:val="standardContextual"/>
            </w:rPr>
            <w:tab/>
          </w:r>
          <w:r>
            <w:rPr>
              <w:noProof/>
            </w:rPr>
            <w:t>PRILOGE</w:t>
          </w:r>
          <w:r>
            <w:rPr>
              <w:noProof/>
            </w:rPr>
            <w:tab/>
          </w:r>
          <w:r>
            <w:rPr>
              <w:noProof/>
            </w:rPr>
            <w:fldChar w:fldCharType="begin"/>
          </w:r>
          <w:r>
            <w:rPr>
              <w:noProof/>
            </w:rPr>
            <w:instrText xml:space="preserve"> PAGEREF _Toc192682039 \h </w:instrText>
          </w:r>
          <w:r>
            <w:rPr>
              <w:noProof/>
            </w:rPr>
          </w:r>
          <w:r>
            <w:rPr>
              <w:noProof/>
            </w:rPr>
            <w:fldChar w:fldCharType="separate"/>
          </w:r>
          <w:r>
            <w:rPr>
              <w:noProof/>
            </w:rPr>
            <w:t>100</w:t>
          </w:r>
          <w:r>
            <w:rPr>
              <w:noProof/>
            </w:rPr>
            <w:fldChar w:fldCharType="end"/>
          </w:r>
        </w:p>
        <w:p w14:paraId="529DAD43" w14:textId="37E08E1C" w:rsidR="005A12CC" w:rsidRPr="00C57B56" w:rsidRDefault="00E9688F" w:rsidP="006759FE">
          <w:pPr>
            <w:pStyle w:val="Kazalovsebine1"/>
            <w:tabs>
              <w:tab w:val="left" w:pos="400"/>
              <w:tab w:val="right" w:leader="dot" w:pos="9060"/>
            </w:tabs>
            <w:spacing w:before="0" w:after="0" w:line="276" w:lineRule="auto"/>
            <w:jc w:val="both"/>
            <w:rPr>
              <w:rFonts w:ascii="Arial" w:hAnsi="Arial" w:cs="Arial"/>
              <w:b w:val="0"/>
              <w:lang w:eastAsia="zh-CN"/>
            </w:rPr>
          </w:pPr>
          <w:r w:rsidRPr="00C471CD">
            <w:rPr>
              <w:rFonts w:ascii="Arial" w:hAnsi="Arial" w:cs="Arial"/>
              <w:b w:val="0"/>
              <w:lang w:eastAsia="zh-CN"/>
            </w:rPr>
            <w:fldChar w:fldCharType="end"/>
          </w:r>
        </w:p>
      </w:sdtContent>
    </w:sdt>
    <w:bookmarkEnd w:id="0"/>
    <w:bookmarkEnd w:id="1"/>
    <w:bookmarkEnd w:id="2"/>
    <w:bookmarkEnd w:id="3"/>
    <w:p w14:paraId="6453285E" w14:textId="77777777" w:rsidR="006759FE" w:rsidRDefault="006759FE">
      <w:pPr>
        <w:suppressAutoHyphens w:val="0"/>
        <w:spacing w:after="0" w:line="240" w:lineRule="auto"/>
        <w:rPr>
          <w:rFonts w:cs="Arial"/>
          <w:color w:val="0070C0"/>
          <w:sz w:val="24"/>
          <w:szCs w:val="24"/>
        </w:rPr>
      </w:pPr>
      <w:r>
        <w:rPr>
          <w:rFonts w:cs="Arial"/>
          <w:color w:val="0070C0"/>
          <w:sz w:val="24"/>
          <w:szCs w:val="24"/>
        </w:rPr>
        <w:br w:type="page"/>
      </w:r>
    </w:p>
    <w:p w14:paraId="12326117" w14:textId="1A30FC7E" w:rsidR="00D07111" w:rsidRPr="00D07111" w:rsidRDefault="00D07111" w:rsidP="00D07111">
      <w:pPr>
        <w:shd w:val="clear" w:color="auto" w:fill="FFFFFF" w:themeFill="background1"/>
        <w:rPr>
          <w:rFonts w:cs="Arial"/>
          <w:color w:val="0070C0"/>
          <w:sz w:val="24"/>
          <w:szCs w:val="24"/>
        </w:rPr>
      </w:pPr>
      <w:r w:rsidRPr="00D07111">
        <w:rPr>
          <w:rFonts w:cs="Arial"/>
          <w:color w:val="0070C0"/>
          <w:sz w:val="24"/>
          <w:szCs w:val="24"/>
        </w:rPr>
        <w:lastRenderedPageBreak/>
        <w:t>KAZALO TABEL</w:t>
      </w:r>
    </w:p>
    <w:p w14:paraId="2AD996FB" w14:textId="47D9A353" w:rsidR="00064E01" w:rsidRPr="00064E01" w:rsidRDefault="00B6179D">
      <w:pPr>
        <w:pStyle w:val="Kazaloslik"/>
        <w:tabs>
          <w:tab w:val="right" w:leader="dot" w:pos="9060"/>
        </w:tabs>
        <w:rPr>
          <w:rFonts w:asciiTheme="minorHAnsi" w:eastAsiaTheme="minorEastAsia" w:hAnsiTheme="minorHAnsi" w:cstheme="minorBidi"/>
          <w:noProof/>
          <w:kern w:val="2"/>
          <w:sz w:val="20"/>
          <w:szCs w:val="20"/>
          <w:lang w:val="sl-SI" w:eastAsia="sl-SI"/>
          <w14:ligatures w14:val="standardContextual"/>
        </w:rPr>
      </w:pPr>
      <w:r>
        <w:rPr>
          <w:rFonts w:cs="Arial"/>
          <w:color w:val="0070C0"/>
          <w:sz w:val="24"/>
          <w:szCs w:val="24"/>
        </w:rPr>
        <w:fldChar w:fldCharType="begin"/>
      </w:r>
      <w:r>
        <w:rPr>
          <w:rFonts w:cs="Arial"/>
          <w:color w:val="0070C0"/>
          <w:sz w:val="24"/>
          <w:szCs w:val="24"/>
        </w:rPr>
        <w:instrText xml:space="preserve"> TOC \h \z \c "Tabela" </w:instrText>
      </w:r>
      <w:r>
        <w:rPr>
          <w:rFonts w:cs="Arial"/>
          <w:color w:val="0070C0"/>
          <w:sz w:val="24"/>
          <w:szCs w:val="24"/>
        </w:rPr>
        <w:fldChar w:fldCharType="separate"/>
      </w:r>
      <w:hyperlink w:anchor="_Toc191379190" w:history="1">
        <w:r w:rsidR="00064E01" w:rsidRPr="00064E01">
          <w:rPr>
            <w:rStyle w:val="Hiperpovezava"/>
            <w:rFonts w:cs="Arial"/>
            <w:noProof/>
            <w:sz w:val="20"/>
            <w:szCs w:val="20"/>
          </w:rPr>
          <w:t>Tabela 1: Izvajanje PEKP 2021–2027 po skladih in regijah skupaj: obdobje od 1. 1. 2021 do 31. 12. 2024</w:t>
        </w:r>
        <w:r w:rsidR="00064E01" w:rsidRPr="00064E01">
          <w:rPr>
            <w:noProof/>
            <w:webHidden/>
            <w:sz w:val="20"/>
            <w:szCs w:val="20"/>
          </w:rPr>
          <w:tab/>
        </w:r>
        <w:r w:rsidR="00064E01" w:rsidRPr="00064E01">
          <w:rPr>
            <w:noProof/>
            <w:webHidden/>
            <w:sz w:val="20"/>
            <w:szCs w:val="20"/>
          </w:rPr>
          <w:fldChar w:fldCharType="begin"/>
        </w:r>
        <w:r w:rsidR="00064E01" w:rsidRPr="00064E01">
          <w:rPr>
            <w:noProof/>
            <w:webHidden/>
            <w:sz w:val="20"/>
            <w:szCs w:val="20"/>
          </w:rPr>
          <w:instrText xml:space="preserve"> PAGEREF _Toc191379190 \h </w:instrText>
        </w:r>
        <w:r w:rsidR="00064E01" w:rsidRPr="00064E01">
          <w:rPr>
            <w:noProof/>
            <w:webHidden/>
            <w:sz w:val="20"/>
            <w:szCs w:val="20"/>
          </w:rPr>
        </w:r>
        <w:r w:rsidR="00064E01" w:rsidRPr="00064E01">
          <w:rPr>
            <w:noProof/>
            <w:webHidden/>
            <w:sz w:val="20"/>
            <w:szCs w:val="20"/>
          </w:rPr>
          <w:fldChar w:fldCharType="separate"/>
        </w:r>
        <w:r w:rsidR="00064E01" w:rsidRPr="00064E01">
          <w:rPr>
            <w:noProof/>
            <w:webHidden/>
            <w:sz w:val="20"/>
            <w:szCs w:val="20"/>
          </w:rPr>
          <w:t>12</w:t>
        </w:r>
        <w:r w:rsidR="00064E01" w:rsidRPr="00064E01">
          <w:rPr>
            <w:noProof/>
            <w:webHidden/>
            <w:sz w:val="20"/>
            <w:szCs w:val="20"/>
          </w:rPr>
          <w:fldChar w:fldCharType="end"/>
        </w:r>
      </w:hyperlink>
    </w:p>
    <w:p w14:paraId="7881E18A" w14:textId="614DF754" w:rsidR="00064E01" w:rsidRPr="00064E01" w:rsidRDefault="008012A2">
      <w:pPr>
        <w:pStyle w:val="Kazaloslik"/>
        <w:tabs>
          <w:tab w:val="right" w:leader="dot" w:pos="9060"/>
        </w:tabs>
        <w:rPr>
          <w:rFonts w:asciiTheme="minorHAnsi" w:eastAsiaTheme="minorEastAsia" w:hAnsiTheme="minorHAnsi" w:cstheme="minorBidi"/>
          <w:noProof/>
          <w:kern w:val="2"/>
          <w:sz w:val="20"/>
          <w:szCs w:val="20"/>
          <w:lang w:val="sl-SI" w:eastAsia="sl-SI"/>
          <w14:ligatures w14:val="standardContextual"/>
        </w:rPr>
      </w:pPr>
      <w:hyperlink w:anchor="_Toc191379191" w:history="1">
        <w:r w:rsidR="00064E01" w:rsidRPr="00064E01">
          <w:rPr>
            <w:rStyle w:val="Hiperpovezava"/>
            <w:rFonts w:cs="Arial"/>
            <w:noProof/>
            <w:sz w:val="20"/>
            <w:szCs w:val="20"/>
          </w:rPr>
          <w:t>Tabela 2: Izvajanje PEKP 2021–2027 po prednostnih nalogah skupaj: obdobje od 1. 1. 2021 do 31. 12. 2024</w:t>
        </w:r>
        <w:r w:rsidR="00064E01" w:rsidRPr="00064E01">
          <w:rPr>
            <w:noProof/>
            <w:webHidden/>
            <w:sz w:val="20"/>
            <w:szCs w:val="20"/>
          </w:rPr>
          <w:tab/>
        </w:r>
        <w:r w:rsidR="00064E01" w:rsidRPr="00064E01">
          <w:rPr>
            <w:noProof/>
            <w:webHidden/>
            <w:sz w:val="20"/>
            <w:szCs w:val="20"/>
          </w:rPr>
          <w:fldChar w:fldCharType="begin"/>
        </w:r>
        <w:r w:rsidR="00064E01" w:rsidRPr="00064E01">
          <w:rPr>
            <w:noProof/>
            <w:webHidden/>
            <w:sz w:val="20"/>
            <w:szCs w:val="20"/>
          </w:rPr>
          <w:instrText xml:space="preserve"> PAGEREF _Toc191379191 \h </w:instrText>
        </w:r>
        <w:r w:rsidR="00064E01" w:rsidRPr="00064E01">
          <w:rPr>
            <w:noProof/>
            <w:webHidden/>
            <w:sz w:val="20"/>
            <w:szCs w:val="20"/>
          </w:rPr>
        </w:r>
        <w:r w:rsidR="00064E01" w:rsidRPr="00064E01">
          <w:rPr>
            <w:noProof/>
            <w:webHidden/>
            <w:sz w:val="20"/>
            <w:szCs w:val="20"/>
          </w:rPr>
          <w:fldChar w:fldCharType="separate"/>
        </w:r>
        <w:r w:rsidR="00064E01" w:rsidRPr="00064E01">
          <w:rPr>
            <w:noProof/>
            <w:webHidden/>
            <w:sz w:val="20"/>
            <w:szCs w:val="20"/>
          </w:rPr>
          <w:t>15</w:t>
        </w:r>
        <w:r w:rsidR="00064E01" w:rsidRPr="00064E01">
          <w:rPr>
            <w:noProof/>
            <w:webHidden/>
            <w:sz w:val="20"/>
            <w:szCs w:val="20"/>
          </w:rPr>
          <w:fldChar w:fldCharType="end"/>
        </w:r>
      </w:hyperlink>
    </w:p>
    <w:p w14:paraId="29B65A7A" w14:textId="24D8FE25" w:rsidR="00064E01" w:rsidRPr="00064E01" w:rsidRDefault="008012A2">
      <w:pPr>
        <w:pStyle w:val="Kazaloslik"/>
        <w:tabs>
          <w:tab w:val="right" w:leader="dot" w:pos="9060"/>
        </w:tabs>
        <w:rPr>
          <w:rFonts w:asciiTheme="minorHAnsi" w:eastAsiaTheme="minorEastAsia" w:hAnsiTheme="minorHAnsi" w:cstheme="minorBidi"/>
          <w:noProof/>
          <w:kern w:val="2"/>
          <w:sz w:val="20"/>
          <w:szCs w:val="20"/>
          <w:lang w:val="sl-SI" w:eastAsia="sl-SI"/>
          <w14:ligatures w14:val="standardContextual"/>
        </w:rPr>
      </w:pPr>
      <w:hyperlink w:anchor="_Toc191379192" w:history="1">
        <w:r w:rsidR="00064E01" w:rsidRPr="00064E01">
          <w:rPr>
            <w:rStyle w:val="Hiperpovezava"/>
            <w:rFonts w:cs="Arial"/>
            <w:noProof/>
            <w:sz w:val="20"/>
            <w:szCs w:val="20"/>
          </w:rPr>
          <w:t>Tabela 3: Število potnikov v medkrajevnem linijskem avtobusnem potniškem prometu, brez imetnikov brezplačnih vozovnic</w:t>
        </w:r>
        <w:r w:rsidR="00064E01" w:rsidRPr="00064E01">
          <w:rPr>
            <w:noProof/>
            <w:webHidden/>
            <w:sz w:val="20"/>
            <w:szCs w:val="20"/>
          </w:rPr>
          <w:tab/>
        </w:r>
        <w:r w:rsidR="00064E01" w:rsidRPr="00064E01">
          <w:rPr>
            <w:noProof/>
            <w:webHidden/>
            <w:sz w:val="20"/>
            <w:szCs w:val="20"/>
          </w:rPr>
          <w:fldChar w:fldCharType="begin"/>
        </w:r>
        <w:r w:rsidR="00064E01" w:rsidRPr="00064E01">
          <w:rPr>
            <w:noProof/>
            <w:webHidden/>
            <w:sz w:val="20"/>
            <w:szCs w:val="20"/>
          </w:rPr>
          <w:instrText xml:space="preserve"> PAGEREF _Toc191379192 \h </w:instrText>
        </w:r>
        <w:r w:rsidR="00064E01" w:rsidRPr="00064E01">
          <w:rPr>
            <w:noProof/>
            <w:webHidden/>
            <w:sz w:val="20"/>
            <w:szCs w:val="20"/>
          </w:rPr>
        </w:r>
        <w:r w:rsidR="00064E01" w:rsidRPr="00064E01">
          <w:rPr>
            <w:noProof/>
            <w:webHidden/>
            <w:sz w:val="20"/>
            <w:szCs w:val="20"/>
          </w:rPr>
          <w:fldChar w:fldCharType="separate"/>
        </w:r>
        <w:r w:rsidR="00064E01" w:rsidRPr="00064E01">
          <w:rPr>
            <w:noProof/>
            <w:webHidden/>
            <w:sz w:val="20"/>
            <w:szCs w:val="20"/>
          </w:rPr>
          <w:t>49</w:t>
        </w:r>
        <w:r w:rsidR="00064E01" w:rsidRPr="00064E01">
          <w:rPr>
            <w:noProof/>
            <w:webHidden/>
            <w:sz w:val="20"/>
            <w:szCs w:val="20"/>
          </w:rPr>
          <w:fldChar w:fldCharType="end"/>
        </w:r>
      </w:hyperlink>
    </w:p>
    <w:p w14:paraId="53B9D129" w14:textId="10F8044C" w:rsidR="00064E01" w:rsidRPr="00064E01" w:rsidRDefault="008012A2">
      <w:pPr>
        <w:pStyle w:val="Kazaloslik"/>
        <w:tabs>
          <w:tab w:val="right" w:leader="dot" w:pos="9060"/>
        </w:tabs>
        <w:rPr>
          <w:rFonts w:asciiTheme="minorHAnsi" w:eastAsiaTheme="minorEastAsia" w:hAnsiTheme="minorHAnsi" w:cstheme="minorBidi"/>
          <w:noProof/>
          <w:kern w:val="2"/>
          <w:sz w:val="20"/>
          <w:szCs w:val="20"/>
          <w:lang w:val="sl-SI" w:eastAsia="sl-SI"/>
          <w14:ligatures w14:val="standardContextual"/>
        </w:rPr>
      </w:pPr>
      <w:hyperlink w:anchor="_Toc191379193" w:history="1">
        <w:r w:rsidR="00064E01" w:rsidRPr="00064E01">
          <w:rPr>
            <w:rStyle w:val="Hiperpovezava"/>
            <w:rFonts w:cs="Arial"/>
            <w:noProof/>
            <w:sz w:val="20"/>
            <w:szCs w:val="20"/>
          </w:rPr>
          <w:t>Tabela 4: Število potnikov na železnici</w:t>
        </w:r>
        <w:r w:rsidR="00064E01" w:rsidRPr="00064E01">
          <w:rPr>
            <w:noProof/>
            <w:webHidden/>
            <w:sz w:val="20"/>
            <w:szCs w:val="20"/>
          </w:rPr>
          <w:tab/>
        </w:r>
        <w:r w:rsidR="00064E01" w:rsidRPr="00064E01">
          <w:rPr>
            <w:noProof/>
            <w:webHidden/>
            <w:sz w:val="20"/>
            <w:szCs w:val="20"/>
          </w:rPr>
          <w:fldChar w:fldCharType="begin"/>
        </w:r>
        <w:r w:rsidR="00064E01" w:rsidRPr="00064E01">
          <w:rPr>
            <w:noProof/>
            <w:webHidden/>
            <w:sz w:val="20"/>
            <w:szCs w:val="20"/>
          </w:rPr>
          <w:instrText xml:space="preserve"> PAGEREF _Toc191379193 \h </w:instrText>
        </w:r>
        <w:r w:rsidR="00064E01" w:rsidRPr="00064E01">
          <w:rPr>
            <w:noProof/>
            <w:webHidden/>
            <w:sz w:val="20"/>
            <w:szCs w:val="20"/>
          </w:rPr>
        </w:r>
        <w:r w:rsidR="00064E01" w:rsidRPr="00064E01">
          <w:rPr>
            <w:noProof/>
            <w:webHidden/>
            <w:sz w:val="20"/>
            <w:szCs w:val="20"/>
          </w:rPr>
          <w:fldChar w:fldCharType="separate"/>
        </w:r>
        <w:r w:rsidR="00064E01" w:rsidRPr="00064E01">
          <w:rPr>
            <w:noProof/>
            <w:webHidden/>
            <w:sz w:val="20"/>
            <w:szCs w:val="20"/>
          </w:rPr>
          <w:t>49</w:t>
        </w:r>
        <w:r w:rsidR="00064E01" w:rsidRPr="00064E01">
          <w:rPr>
            <w:noProof/>
            <w:webHidden/>
            <w:sz w:val="20"/>
            <w:szCs w:val="20"/>
          </w:rPr>
          <w:fldChar w:fldCharType="end"/>
        </w:r>
      </w:hyperlink>
    </w:p>
    <w:p w14:paraId="1A99FFBE" w14:textId="0D4EEDA5" w:rsidR="00064E01" w:rsidRPr="00064E01" w:rsidRDefault="008012A2">
      <w:pPr>
        <w:pStyle w:val="Kazaloslik"/>
        <w:tabs>
          <w:tab w:val="right" w:leader="dot" w:pos="9060"/>
        </w:tabs>
        <w:rPr>
          <w:rFonts w:asciiTheme="minorHAnsi" w:eastAsiaTheme="minorEastAsia" w:hAnsiTheme="minorHAnsi" w:cstheme="minorBidi"/>
          <w:noProof/>
          <w:kern w:val="2"/>
          <w:sz w:val="20"/>
          <w:szCs w:val="20"/>
          <w:lang w:val="sl-SI" w:eastAsia="sl-SI"/>
          <w14:ligatures w14:val="standardContextual"/>
        </w:rPr>
      </w:pPr>
      <w:hyperlink w:anchor="_Toc191379194" w:history="1">
        <w:r w:rsidR="00064E01" w:rsidRPr="00064E01">
          <w:rPr>
            <w:rStyle w:val="Hiperpovezava"/>
            <w:rFonts w:cs="Arial"/>
            <w:noProof/>
            <w:sz w:val="20"/>
            <w:szCs w:val="20"/>
          </w:rPr>
          <w:t>Tabela 5: Število upravičencev do brezplačnih vozovnic (upokojenci, starejši od 65 let, vojni veterani, imetniki evropske kartice ugodnosti invalida)</w:t>
        </w:r>
        <w:r w:rsidR="00064E01" w:rsidRPr="00064E01">
          <w:rPr>
            <w:noProof/>
            <w:webHidden/>
            <w:sz w:val="20"/>
            <w:szCs w:val="20"/>
          </w:rPr>
          <w:tab/>
        </w:r>
        <w:r w:rsidR="00064E01" w:rsidRPr="00064E01">
          <w:rPr>
            <w:noProof/>
            <w:webHidden/>
            <w:sz w:val="20"/>
            <w:szCs w:val="20"/>
          </w:rPr>
          <w:fldChar w:fldCharType="begin"/>
        </w:r>
        <w:r w:rsidR="00064E01" w:rsidRPr="00064E01">
          <w:rPr>
            <w:noProof/>
            <w:webHidden/>
            <w:sz w:val="20"/>
            <w:szCs w:val="20"/>
          </w:rPr>
          <w:instrText xml:space="preserve"> PAGEREF _Toc191379194 \h </w:instrText>
        </w:r>
        <w:r w:rsidR="00064E01" w:rsidRPr="00064E01">
          <w:rPr>
            <w:noProof/>
            <w:webHidden/>
            <w:sz w:val="20"/>
            <w:szCs w:val="20"/>
          </w:rPr>
        </w:r>
        <w:r w:rsidR="00064E01" w:rsidRPr="00064E01">
          <w:rPr>
            <w:noProof/>
            <w:webHidden/>
            <w:sz w:val="20"/>
            <w:szCs w:val="20"/>
          </w:rPr>
          <w:fldChar w:fldCharType="separate"/>
        </w:r>
        <w:r w:rsidR="00064E01" w:rsidRPr="00064E01">
          <w:rPr>
            <w:noProof/>
            <w:webHidden/>
            <w:sz w:val="20"/>
            <w:szCs w:val="20"/>
          </w:rPr>
          <w:t>50</w:t>
        </w:r>
        <w:r w:rsidR="00064E01" w:rsidRPr="00064E01">
          <w:rPr>
            <w:noProof/>
            <w:webHidden/>
            <w:sz w:val="20"/>
            <w:szCs w:val="20"/>
          </w:rPr>
          <w:fldChar w:fldCharType="end"/>
        </w:r>
      </w:hyperlink>
    </w:p>
    <w:p w14:paraId="20F4DA71" w14:textId="77EC1141" w:rsidR="00064E01" w:rsidRPr="00064E01" w:rsidRDefault="008012A2">
      <w:pPr>
        <w:pStyle w:val="Kazaloslik"/>
        <w:tabs>
          <w:tab w:val="right" w:leader="dot" w:pos="9060"/>
        </w:tabs>
        <w:rPr>
          <w:rFonts w:asciiTheme="minorHAnsi" w:eastAsiaTheme="minorEastAsia" w:hAnsiTheme="minorHAnsi" w:cstheme="minorBidi"/>
          <w:noProof/>
          <w:kern w:val="2"/>
          <w:sz w:val="20"/>
          <w:szCs w:val="20"/>
          <w:lang w:val="sl-SI" w:eastAsia="sl-SI"/>
          <w14:ligatures w14:val="standardContextual"/>
        </w:rPr>
      </w:pPr>
      <w:hyperlink w:anchor="_Toc191379195" w:history="1">
        <w:r w:rsidR="00064E01" w:rsidRPr="00064E01">
          <w:rPr>
            <w:rStyle w:val="Hiperpovezava"/>
            <w:rFonts w:cs="Arial"/>
            <w:noProof/>
            <w:sz w:val="20"/>
            <w:szCs w:val="20"/>
          </w:rPr>
          <w:t>Tabela 6: Prikaz rasti JPP</w:t>
        </w:r>
        <w:r w:rsidR="00064E01" w:rsidRPr="00064E01">
          <w:rPr>
            <w:noProof/>
            <w:webHidden/>
            <w:sz w:val="20"/>
            <w:szCs w:val="20"/>
          </w:rPr>
          <w:tab/>
        </w:r>
        <w:r w:rsidR="00064E01" w:rsidRPr="00064E01">
          <w:rPr>
            <w:noProof/>
            <w:webHidden/>
            <w:sz w:val="20"/>
            <w:szCs w:val="20"/>
          </w:rPr>
          <w:fldChar w:fldCharType="begin"/>
        </w:r>
        <w:r w:rsidR="00064E01" w:rsidRPr="00064E01">
          <w:rPr>
            <w:noProof/>
            <w:webHidden/>
            <w:sz w:val="20"/>
            <w:szCs w:val="20"/>
          </w:rPr>
          <w:instrText xml:space="preserve"> PAGEREF _Toc191379195 \h </w:instrText>
        </w:r>
        <w:r w:rsidR="00064E01" w:rsidRPr="00064E01">
          <w:rPr>
            <w:noProof/>
            <w:webHidden/>
            <w:sz w:val="20"/>
            <w:szCs w:val="20"/>
          </w:rPr>
        </w:r>
        <w:r w:rsidR="00064E01" w:rsidRPr="00064E01">
          <w:rPr>
            <w:noProof/>
            <w:webHidden/>
            <w:sz w:val="20"/>
            <w:szCs w:val="20"/>
          </w:rPr>
          <w:fldChar w:fldCharType="separate"/>
        </w:r>
        <w:r w:rsidR="00064E01" w:rsidRPr="00064E01">
          <w:rPr>
            <w:noProof/>
            <w:webHidden/>
            <w:sz w:val="20"/>
            <w:szCs w:val="20"/>
          </w:rPr>
          <w:t>50</w:t>
        </w:r>
        <w:r w:rsidR="00064E01" w:rsidRPr="00064E01">
          <w:rPr>
            <w:noProof/>
            <w:webHidden/>
            <w:sz w:val="20"/>
            <w:szCs w:val="20"/>
          </w:rPr>
          <w:fldChar w:fldCharType="end"/>
        </w:r>
      </w:hyperlink>
    </w:p>
    <w:p w14:paraId="6C6CE04A" w14:textId="29D0CBCC" w:rsidR="00064E01" w:rsidRPr="00064E01" w:rsidRDefault="008012A2">
      <w:pPr>
        <w:pStyle w:val="Kazaloslik"/>
        <w:tabs>
          <w:tab w:val="right" w:leader="dot" w:pos="9060"/>
        </w:tabs>
        <w:rPr>
          <w:rFonts w:asciiTheme="minorHAnsi" w:eastAsiaTheme="minorEastAsia" w:hAnsiTheme="minorHAnsi" w:cstheme="minorBidi"/>
          <w:noProof/>
          <w:kern w:val="2"/>
          <w:sz w:val="20"/>
          <w:szCs w:val="20"/>
          <w:lang w:val="sl-SI" w:eastAsia="sl-SI"/>
          <w14:ligatures w14:val="standardContextual"/>
        </w:rPr>
      </w:pPr>
      <w:hyperlink w:anchor="_Toc191379196" w:history="1">
        <w:r w:rsidR="00064E01" w:rsidRPr="00064E01">
          <w:rPr>
            <w:rStyle w:val="Hiperpovezava"/>
            <w:rFonts w:cs="Arial"/>
            <w:noProof/>
            <w:sz w:val="20"/>
            <w:szCs w:val="20"/>
          </w:rPr>
          <w:t>Tabela 7: Pregled doseganja glavnih ciljev na vseh petih razsežnostih NEPN v letu 2021</w:t>
        </w:r>
        <w:r w:rsidR="00064E01" w:rsidRPr="00064E01">
          <w:rPr>
            <w:noProof/>
            <w:webHidden/>
            <w:sz w:val="20"/>
            <w:szCs w:val="20"/>
          </w:rPr>
          <w:tab/>
        </w:r>
        <w:r w:rsidR="00064E01" w:rsidRPr="00064E01">
          <w:rPr>
            <w:noProof/>
            <w:webHidden/>
            <w:sz w:val="20"/>
            <w:szCs w:val="20"/>
          </w:rPr>
          <w:fldChar w:fldCharType="begin"/>
        </w:r>
        <w:r w:rsidR="00064E01" w:rsidRPr="00064E01">
          <w:rPr>
            <w:noProof/>
            <w:webHidden/>
            <w:sz w:val="20"/>
            <w:szCs w:val="20"/>
          </w:rPr>
          <w:instrText xml:space="preserve"> PAGEREF _Toc191379196 \h </w:instrText>
        </w:r>
        <w:r w:rsidR="00064E01" w:rsidRPr="00064E01">
          <w:rPr>
            <w:noProof/>
            <w:webHidden/>
            <w:sz w:val="20"/>
            <w:szCs w:val="20"/>
          </w:rPr>
        </w:r>
        <w:r w:rsidR="00064E01" w:rsidRPr="00064E01">
          <w:rPr>
            <w:noProof/>
            <w:webHidden/>
            <w:sz w:val="20"/>
            <w:szCs w:val="20"/>
          </w:rPr>
          <w:fldChar w:fldCharType="separate"/>
        </w:r>
        <w:r w:rsidR="00064E01" w:rsidRPr="00064E01">
          <w:rPr>
            <w:noProof/>
            <w:webHidden/>
            <w:sz w:val="20"/>
            <w:szCs w:val="20"/>
          </w:rPr>
          <w:t>66</w:t>
        </w:r>
        <w:r w:rsidR="00064E01" w:rsidRPr="00064E01">
          <w:rPr>
            <w:noProof/>
            <w:webHidden/>
            <w:sz w:val="20"/>
            <w:szCs w:val="20"/>
          </w:rPr>
          <w:fldChar w:fldCharType="end"/>
        </w:r>
      </w:hyperlink>
    </w:p>
    <w:p w14:paraId="27E55C6A" w14:textId="562B0E86" w:rsidR="00064E01" w:rsidRPr="00064E01" w:rsidRDefault="008012A2">
      <w:pPr>
        <w:pStyle w:val="Kazaloslik"/>
        <w:tabs>
          <w:tab w:val="right" w:leader="dot" w:pos="9060"/>
        </w:tabs>
        <w:rPr>
          <w:rFonts w:asciiTheme="minorHAnsi" w:eastAsiaTheme="minorEastAsia" w:hAnsiTheme="minorHAnsi" w:cstheme="minorBidi"/>
          <w:noProof/>
          <w:kern w:val="2"/>
          <w:sz w:val="20"/>
          <w:szCs w:val="20"/>
          <w:lang w:val="sl-SI" w:eastAsia="sl-SI"/>
          <w14:ligatures w14:val="standardContextual"/>
        </w:rPr>
      </w:pPr>
      <w:hyperlink w:anchor="_Toc191379197" w:history="1">
        <w:r w:rsidR="00064E01" w:rsidRPr="00064E01">
          <w:rPr>
            <w:rStyle w:val="Hiperpovezava"/>
            <w:rFonts w:cs="Arial"/>
            <w:noProof/>
            <w:sz w:val="20"/>
            <w:szCs w:val="20"/>
          </w:rPr>
          <w:t>Tabela 8: Delež OVE</w:t>
        </w:r>
        <w:r w:rsidR="00064E01" w:rsidRPr="00064E01">
          <w:rPr>
            <w:noProof/>
            <w:webHidden/>
            <w:sz w:val="20"/>
            <w:szCs w:val="20"/>
          </w:rPr>
          <w:tab/>
        </w:r>
        <w:r w:rsidR="00064E01" w:rsidRPr="00064E01">
          <w:rPr>
            <w:noProof/>
            <w:webHidden/>
            <w:sz w:val="20"/>
            <w:szCs w:val="20"/>
          </w:rPr>
          <w:fldChar w:fldCharType="begin"/>
        </w:r>
        <w:r w:rsidR="00064E01" w:rsidRPr="00064E01">
          <w:rPr>
            <w:noProof/>
            <w:webHidden/>
            <w:sz w:val="20"/>
            <w:szCs w:val="20"/>
          </w:rPr>
          <w:instrText xml:space="preserve"> PAGEREF _Toc191379197 \h </w:instrText>
        </w:r>
        <w:r w:rsidR="00064E01" w:rsidRPr="00064E01">
          <w:rPr>
            <w:noProof/>
            <w:webHidden/>
            <w:sz w:val="20"/>
            <w:szCs w:val="20"/>
          </w:rPr>
        </w:r>
        <w:r w:rsidR="00064E01" w:rsidRPr="00064E01">
          <w:rPr>
            <w:noProof/>
            <w:webHidden/>
            <w:sz w:val="20"/>
            <w:szCs w:val="20"/>
          </w:rPr>
          <w:fldChar w:fldCharType="separate"/>
        </w:r>
        <w:r w:rsidR="00064E01" w:rsidRPr="00064E01">
          <w:rPr>
            <w:noProof/>
            <w:webHidden/>
            <w:sz w:val="20"/>
            <w:szCs w:val="20"/>
          </w:rPr>
          <w:t>67</w:t>
        </w:r>
        <w:r w:rsidR="00064E01" w:rsidRPr="00064E01">
          <w:rPr>
            <w:noProof/>
            <w:webHidden/>
            <w:sz w:val="20"/>
            <w:szCs w:val="20"/>
          </w:rPr>
          <w:fldChar w:fldCharType="end"/>
        </w:r>
      </w:hyperlink>
    </w:p>
    <w:p w14:paraId="251706C8" w14:textId="352BFEA2" w:rsidR="00064E01" w:rsidRPr="00064E01" w:rsidRDefault="008012A2">
      <w:pPr>
        <w:pStyle w:val="Kazaloslik"/>
        <w:tabs>
          <w:tab w:val="right" w:leader="dot" w:pos="9060"/>
        </w:tabs>
        <w:rPr>
          <w:rFonts w:asciiTheme="minorHAnsi" w:eastAsiaTheme="minorEastAsia" w:hAnsiTheme="minorHAnsi" w:cstheme="minorBidi"/>
          <w:noProof/>
          <w:kern w:val="2"/>
          <w:sz w:val="20"/>
          <w:szCs w:val="20"/>
          <w:lang w:val="sl-SI" w:eastAsia="sl-SI"/>
          <w14:ligatures w14:val="standardContextual"/>
        </w:rPr>
      </w:pPr>
      <w:hyperlink w:anchor="_Toc191379198" w:history="1">
        <w:r w:rsidR="00064E01" w:rsidRPr="00064E01">
          <w:rPr>
            <w:rStyle w:val="Hiperpovezava"/>
            <w:rFonts w:cs="Arial"/>
            <w:noProof/>
            <w:sz w:val="20"/>
            <w:szCs w:val="20"/>
          </w:rPr>
          <w:t>Tabela 9: Podatki o rabi končne energiji (november 2024)</w:t>
        </w:r>
        <w:r w:rsidR="00064E01" w:rsidRPr="00064E01">
          <w:rPr>
            <w:noProof/>
            <w:webHidden/>
            <w:sz w:val="20"/>
            <w:szCs w:val="20"/>
          </w:rPr>
          <w:tab/>
        </w:r>
        <w:r w:rsidR="00064E01" w:rsidRPr="00064E01">
          <w:rPr>
            <w:noProof/>
            <w:webHidden/>
            <w:sz w:val="20"/>
            <w:szCs w:val="20"/>
          </w:rPr>
          <w:fldChar w:fldCharType="begin"/>
        </w:r>
        <w:r w:rsidR="00064E01" w:rsidRPr="00064E01">
          <w:rPr>
            <w:noProof/>
            <w:webHidden/>
            <w:sz w:val="20"/>
            <w:szCs w:val="20"/>
          </w:rPr>
          <w:instrText xml:space="preserve"> PAGEREF _Toc191379198 \h </w:instrText>
        </w:r>
        <w:r w:rsidR="00064E01" w:rsidRPr="00064E01">
          <w:rPr>
            <w:noProof/>
            <w:webHidden/>
            <w:sz w:val="20"/>
            <w:szCs w:val="20"/>
          </w:rPr>
        </w:r>
        <w:r w:rsidR="00064E01" w:rsidRPr="00064E01">
          <w:rPr>
            <w:noProof/>
            <w:webHidden/>
            <w:sz w:val="20"/>
            <w:szCs w:val="20"/>
          </w:rPr>
          <w:fldChar w:fldCharType="separate"/>
        </w:r>
        <w:r w:rsidR="00064E01" w:rsidRPr="00064E01">
          <w:rPr>
            <w:noProof/>
            <w:webHidden/>
            <w:sz w:val="20"/>
            <w:szCs w:val="20"/>
          </w:rPr>
          <w:t>68</w:t>
        </w:r>
        <w:r w:rsidR="00064E01" w:rsidRPr="00064E01">
          <w:rPr>
            <w:noProof/>
            <w:webHidden/>
            <w:sz w:val="20"/>
            <w:szCs w:val="20"/>
          </w:rPr>
          <w:fldChar w:fldCharType="end"/>
        </w:r>
      </w:hyperlink>
    </w:p>
    <w:p w14:paraId="7F6BE9F0" w14:textId="12EB7B71" w:rsidR="00064E01" w:rsidRPr="00064E01" w:rsidRDefault="008012A2">
      <w:pPr>
        <w:pStyle w:val="Kazaloslik"/>
        <w:tabs>
          <w:tab w:val="right" w:leader="dot" w:pos="9060"/>
        </w:tabs>
        <w:rPr>
          <w:rFonts w:asciiTheme="minorHAnsi" w:eastAsiaTheme="minorEastAsia" w:hAnsiTheme="minorHAnsi" w:cstheme="minorBidi"/>
          <w:noProof/>
          <w:kern w:val="2"/>
          <w:sz w:val="20"/>
          <w:szCs w:val="20"/>
          <w:lang w:val="sl-SI" w:eastAsia="sl-SI"/>
          <w14:ligatures w14:val="standardContextual"/>
        </w:rPr>
      </w:pPr>
      <w:hyperlink w:anchor="_Toc191379199" w:history="1">
        <w:r w:rsidR="00064E01" w:rsidRPr="00064E01">
          <w:rPr>
            <w:rStyle w:val="Hiperpovezava"/>
            <w:rFonts w:cs="Arial"/>
            <w:noProof/>
            <w:sz w:val="20"/>
            <w:szCs w:val="20"/>
          </w:rPr>
          <w:t>Tabela 10: Ocenjene skupne investicije v obdobju 2021–2030 po scenariju DU</w:t>
        </w:r>
        <w:r w:rsidR="00064E01" w:rsidRPr="00064E01">
          <w:rPr>
            <w:noProof/>
            <w:webHidden/>
            <w:sz w:val="20"/>
            <w:szCs w:val="20"/>
          </w:rPr>
          <w:tab/>
        </w:r>
        <w:r w:rsidR="00064E01" w:rsidRPr="00064E01">
          <w:rPr>
            <w:noProof/>
            <w:webHidden/>
            <w:sz w:val="20"/>
            <w:szCs w:val="20"/>
          </w:rPr>
          <w:fldChar w:fldCharType="begin"/>
        </w:r>
        <w:r w:rsidR="00064E01" w:rsidRPr="00064E01">
          <w:rPr>
            <w:noProof/>
            <w:webHidden/>
            <w:sz w:val="20"/>
            <w:szCs w:val="20"/>
          </w:rPr>
          <w:instrText xml:space="preserve"> PAGEREF _Toc191379199 \h </w:instrText>
        </w:r>
        <w:r w:rsidR="00064E01" w:rsidRPr="00064E01">
          <w:rPr>
            <w:noProof/>
            <w:webHidden/>
            <w:sz w:val="20"/>
            <w:szCs w:val="20"/>
          </w:rPr>
        </w:r>
        <w:r w:rsidR="00064E01" w:rsidRPr="00064E01">
          <w:rPr>
            <w:noProof/>
            <w:webHidden/>
            <w:sz w:val="20"/>
            <w:szCs w:val="20"/>
          </w:rPr>
          <w:fldChar w:fldCharType="separate"/>
        </w:r>
        <w:r w:rsidR="00064E01" w:rsidRPr="00064E01">
          <w:rPr>
            <w:noProof/>
            <w:webHidden/>
            <w:sz w:val="20"/>
            <w:szCs w:val="20"/>
          </w:rPr>
          <w:t>72</w:t>
        </w:r>
        <w:r w:rsidR="00064E01" w:rsidRPr="00064E01">
          <w:rPr>
            <w:noProof/>
            <w:webHidden/>
            <w:sz w:val="20"/>
            <w:szCs w:val="20"/>
          </w:rPr>
          <w:fldChar w:fldCharType="end"/>
        </w:r>
      </w:hyperlink>
    </w:p>
    <w:p w14:paraId="69FAA0BC" w14:textId="70F008DF" w:rsidR="00064E01" w:rsidRPr="00064E01" w:rsidRDefault="008012A2">
      <w:pPr>
        <w:pStyle w:val="Kazaloslik"/>
        <w:tabs>
          <w:tab w:val="right" w:leader="dot" w:pos="9060"/>
        </w:tabs>
        <w:rPr>
          <w:rFonts w:asciiTheme="minorHAnsi" w:eastAsiaTheme="minorEastAsia" w:hAnsiTheme="minorHAnsi" w:cstheme="minorBidi"/>
          <w:noProof/>
          <w:kern w:val="2"/>
          <w:sz w:val="20"/>
          <w:szCs w:val="20"/>
          <w:lang w:val="sl-SI" w:eastAsia="sl-SI"/>
          <w14:ligatures w14:val="standardContextual"/>
        </w:rPr>
      </w:pPr>
      <w:hyperlink w:anchor="_Toc191379200" w:history="1">
        <w:r w:rsidR="00064E01" w:rsidRPr="00064E01">
          <w:rPr>
            <w:rStyle w:val="Hiperpovezava"/>
            <w:rFonts w:cs="Arial"/>
            <w:noProof/>
            <w:sz w:val="20"/>
            <w:szCs w:val="20"/>
          </w:rPr>
          <w:t>Tabela 11: Stanje izvajanja na dan 31. 12. 2024</w:t>
        </w:r>
        <w:r w:rsidR="00064E01" w:rsidRPr="00064E01">
          <w:rPr>
            <w:noProof/>
            <w:webHidden/>
            <w:sz w:val="20"/>
            <w:szCs w:val="20"/>
          </w:rPr>
          <w:tab/>
        </w:r>
        <w:r w:rsidR="00064E01" w:rsidRPr="00064E01">
          <w:rPr>
            <w:noProof/>
            <w:webHidden/>
            <w:sz w:val="20"/>
            <w:szCs w:val="20"/>
          </w:rPr>
          <w:fldChar w:fldCharType="begin"/>
        </w:r>
        <w:r w:rsidR="00064E01" w:rsidRPr="00064E01">
          <w:rPr>
            <w:noProof/>
            <w:webHidden/>
            <w:sz w:val="20"/>
            <w:szCs w:val="20"/>
          </w:rPr>
          <w:instrText xml:space="preserve"> PAGEREF _Toc191379200 \h </w:instrText>
        </w:r>
        <w:r w:rsidR="00064E01" w:rsidRPr="00064E01">
          <w:rPr>
            <w:noProof/>
            <w:webHidden/>
            <w:sz w:val="20"/>
            <w:szCs w:val="20"/>
          </w:rPr>
        </w:r>
        <w:r w:rsidR="00064E01" w:rsidRPr="00064E01">
          <w:rPr>
            <w:noProof/>
            <w:webHidden/>
            <w:sz w:val="20"/>
            <w:szCs w:val="20"/>
          </w:rPr>
          <w:fldChar w:fldCharType="separate"/>
        </w:r>
        <w:r w:rsidR="00064E01" w:rsidRPr="00064E01">
          <w:rPr>
            <w:noProof/>
            <w:webHidden/>
            <w:sz w:val="20"/>
            <w:szCs w:val="20"/>
          </w:rPr>
          <w:t>81</w:t>
        </w:r>
        <w:r w:rsidR="00064E01" w:rsidRPr="00064E01">
          <w:rPr>
            <w:noProof/>
            <w:webHidden/>
            <w:sz w:val="20"/>
            <w:szCs w:val="20"/>
          </w:rPr>
          <w:fldChar w:fldCharType="end"/>
        </w:r>
      </w:hyperlink>
    </w:p>
    <w:p w14:paraId="4EF53293" w14:textId="23DC4E70" w:rsidR="00064E01" w:rsidRPr="00064E01" w:rsidRDefault="008012A2">
      <w:pPr>
        <w:pStyle w:val="Kazaloslik"/>
        <w:tabs>
          <w:tab w:val="right" w:leader="dot" w:pos="9060"/>
        </w:tabs>
        <w:rPr>
          <w:rFonts w:asciiTheme="minorHAnsi" w:eastAsiaTheme="minorEastAsia" w:hAnsiTheme="minorHAnsi" w:cstheme="minorBidi"/>
          <w:noProof/>
          <w:kern w:val="2"/>
          <w:sz w:val="20"/>
          <w:szCs w:val="20"/>
          <w:lang w:val="sl-SI" w:eastAsia="sl-SI"/>
          <w14:ligatures w14:val="standardContextual"/>
        </w:rPr>
      </w:pPr>
      <w:hyperlink w:anchor="_Toc191379201" w:history="1">
        <w:r w:rsidR="00064E01" w:rsidRPr="00064E01">
          <w:rPr>
            <w:rStyle w:val="Hiperpovezava"/>
            <w:rFonts w:cs="Arial"/>
            <w:noProof/>
            <w:sz w:val="20"/>
            <w:szCs w:val="20"/>
          </w:rPr>
          <w:t>Tabela 12: Pregled doseganja mejnikov na ravni specifičnih ciljev ESRR/KS/SPP/ESS+</w:t>
        </w:r>
        <w:r w:rsidR="00064E01" w:rsidRPr="00064E01">
          <w:rPr>
            <w:noProof/>
            <w:webHidden/>
            <w:sz w:val="20"/>
            <w:szCs w:val="20"/>
          </w:rPr>
          <w:tab/>
        </w:r>
        <w:r w:rsidR="00064E01" w:rsidRPr="00064E01">
          <w:rPr>
            <w:noProof/>
            <w:webHidden/>
            <w:sz w:val="20"/>
            <w:szCs w:val="20"/>
          </w:rPr>
          <w:fldChar w:fldCharType="begin"/>
        </w:r>
        <w:r w:rsidR="00064E01" w:rsidRPr="00064E01">
          <w:rPr>
            <w:noProof/>
            <w:webHidden/>
            <w:sz w:val="20"/>
            <w:szCs w:val="20"/>
          </w:rPr>
          <w:instrText xml:space="preserve"> PAGEREF _Toc191379201 \h </w:instrText>
        </w:r>
        <w:r w:rsidR="00064E01" w:rsidRPr="00064E01">
          <w:rPr>
            <w:noProof/>
            <w:webHidden/>
            <w:sz w:val="20"/>
            <w:szCs w:val="20"/>
          </w:rPr>
        </w:r>
        <w:r w:rsidR="00064E01" w:rsidRPr="00064E01">
          <w:rPr>
            <w:noProof/>
            <w:webHidden/>
            <w:sz w:val="20"/>
            <w:szCs w:val="20"/>
          </w:rPr>
          <w:fldChar w:fldCharType="separate"/>
        </w:r>
        <w:r w:rsidR="00064E01" w:rsidRPr="00064E01">
          <w:rPr>
            <w:noProof/>
            <w:webHidden/>
            <w:sz w:val="20"/>
            <w:szCs w:val="20"/>
          </w:rPr>
          <w:t>85</w:t>
        </w:r>
        <w:r w:rsidR="00064E01" w:rsidRPr="00064E01">
          <w:rPr>
            <w:noProof/>
            <w:webHidden/>
            <w:sz w:val="20"/>
            <w:szCs w:val="20"/>
          </w:rPr>
          <w:fldChar w:fldCharType="end"/>
        </w:r>
      </w:hyperlink>
    </w:p>
    <w:p w14:paraId="2FA208EB" w14:textId="662EA6C3" w:rsidR="00064E01" w:rsidRPr="00064E01" w:rsidRDefault="008012A2">
      <w:pPr>
        <w:pStyle w:val="Kazaloslik"/>
        <w:tabs>
          <w:tab w:val="right" w:leader="dot" w:pos="9060"/>
        </w:tabs>
        <w:rPr>
          <w:rFonts w:asciiTheme="minorHAnsi" w:eastAsiaTheme="minorEastAsia" w:hAnsiTheme="minorHAnsi" w:cstheme="minorBidi"/>
          <w:noProof/>
          <w:kern w:val="2"/>
          <w:sz w:val="20"/>
          <w:szCs w:val="20"/>
          <w:lang w:val="sl-SI" w:eastAsia="sl-SI"/>
          <w14:ligatures w14:val="standardContextual"/>
        </w:rPr>
      </w:pPr>
      <w:hyperlink w:anchor="_Toc191379202" w:history="1">
        <w:r w:rsidR="00064E01" w:rsidRPr="00064E01">
          <w:rPr>
            <w:rStyle w:val="Hiperpovezava"/>
            <w:rFonts w:cs="Arial"/>
            <w:noProof/>
            <w:sz w:val="20"/>
            <w:szCs w:val="20"/>
          </w:rPr>
          <w:t>Tabela 13:</w:t>
        </w:r>
        <w:r w:rsidR="00064E01" w:rsidRPr="00064E01">
          <w:rPr>
            <w:noProof/>
            <w:webHidden/>
            <w:sz w:val="20"/>
            <w:szCs w:val="20"/>
          </w:rPr>
          <w:tab/>
        </w:r>
        <w:r w:rsidR="00064E01" w:rsidRPr="00064E01">
          <w:rPr>
            <w:noProof/>
            <w:webHidden/>
            <w:sz w:val="20"/>
            <w:szCs w:val="20"/>
          </w:rPr>
          <w:fldChar w:fldCharType="begin"/>
        </w:r>
        <w:r w:rsidR="00064E01" w:rsidRPr="00064E01">
          <w:rPr>
            <w:noProof/>
            <w:webHidden/>
            <w:sz w:val="20"/>
            <w:szCs w:val="20"/>
          </w:rPr>
          <w:instrText xml:space="preserve"> PAGEREF _Toc191379202 \h </w:instrText>
        </w:r>
        <w:r w:rsidR="00064E01" w:rsidRPr="00064E01">
          <w:rPr>
            <w:noProof/>
            <w:webHidden/>
            <w:sz w:val="20"/>
            <w:szCs w:val="20"/>
          </w:rPr>
        </w:r>
        <w:r w:rsidR="00064E01" w:rsidRPr="00064E01">
          <w:rPr>
            <w:noProof/>
            <w:webHidden/>
            <w:sz w:val="20"/>
            <w:szCs w:val="20"/>
          </w:rPr>
          <w:fldChar w:fldCharType="separate"/>
        </w:r>
        <w:r w:rsidR="00064E01" w:rsidRPr="00064E01">
          <w:rPr>
            <w:noProof/>
            <w:webHidden/>
            <w:sz w:val="20"/>
            <w:szCs w:val="20"/>
          </w:rPr>
          <w:t>101</w:t>
        </w:r>
        <w:r w:rsidR="00064E01" w:rsidRPr="00064E01">
          <w:rPr>
            <w:noProof/>
            <w:webHidden/>
            <w:sz w:val="20"/>
            <w:szCs w:val="20"/>
          </w:rPr>
          <w:fldChar w:fldCharType="end"/>
        </w:r>
      </w:hyperlink>
    </w:p>
    <w:p w14:paraId="5CEA6286" w14:textId="763CFF34" w:rsidR="006759FE" w:rsidRDefault="00B6179D" w:rsidP="00B6179D">
      <w:pPr>
        <w:shd w:val="clear" w:color="auto" w:fill="FFFFFF" w:themeFill="background1"/>
        <w:spacing w:after="0"/>
        <w:rPr>
          <w:rFonts w:cs="Arial"/>
          <w:color w:val="0070C0"/>
          <w:sz w:val="24"/>
          <w:szCs w:val="24"/>
        </w:rPr>
      </w:pPr>
      <w:r>
        <w:rPr>
          <w:rFonts w:cs="Arial"/>
          <w:color w:val="0070C0"/>
          <w:sz w:val="24"/>
          <w:szCs w:val="24"/>
        </w:rPr>
        <w:fldChar w:fldCharType="end"/>
      </w:r>
    </w:p>
    <w:p w14:paraId="3A600F55" w14:textId="77777777" w:rsidR="006759FE" w:rsidRDefault="006759FE">
      <w:pPr>
        <w:suppressAutoHyphens w:val="0"/>
        <w:spacing w:after="0" w:line="240" w:lineRule="auto"/>
        <w:rPr>
          <w:rFonts w:cs="Arial"/>
          <w:color w:val="0070C0"/>
          <w:sz w:val="24"/>
          <w:szCs w:val="24"/>
        </w:rPr>
      </w:pPr>
      <w:r>
        <w:rPr>
          <w:rFonts w:cs="Arial"/>
          <w:color w:val="0070C0"/>
          <w:sz w:val="24"/>
          <w:szCs w:val="24"/>
        </w:rPr>
        <w:br w:type="page"/>
      </w:r>
    </w:p>
    <w:p w14:paraId="3F3F5223" w14:textId="16B42112" w:rsidR="00D07111" w:rsidRPr="00D07111" w:rsidRDefault="00D07111" w:rsidP="00D07111">
      <w:pPr>
        <w:shd w:val="clear" w:color="auto" w:fill="FFFFFF" w:themeFill="background1"/>
        <w:rPr>
          <w:rFonts w:cs="Arial"/>
          <w:color w:val="0070C0"/>
          <w:sz w:val="24"/>
          <w:szCs w:val="24"/>
        </w:rPr>
      </w:pPr>
      <w:r w:rsidRPr="00D07111">
        <w:rPr>
          <w:rFonts w:cs="Arial"/>
          <w:color w:val="0070C0"/>
          <w:sz w:val="24"/>
          <w:szCs w:val="24"/>
        </w:rPr>
        <w:lastRenderedPageBreak/>
        <w:t>KAZALO SLIK</w:t>
      </w:r>
    </w:p>
    <w:p w14:paraId="442E7602" w14:textId="34327D16" w:rsidR="00064E01" w:rsidRPr="00064E01" w:rsidRDefault="00B6179D">
      <w:pPr>
        <w:pStyle w:val="Kazaloslik"/>
        <w:tabs>
          <w:tab w:val="right" w:leader="dot" w:pos="9060"/>
        </w:tabs>
        <w:rPr>
          <w:rFonts w:asciiTheme="minorHAnsi" w:eastAsiaTheme="minorEastAsia" w:hAnsiTheme="minorHAnsi" w:cstheme="minorBidi"/>
          <w:noProof/>
          <w:kern w:val="2"/>
          <w:sz w:val="20"/>
          <w:szCs w:val="20"/>
          <w:lang w:val="sl-SI" w:eastAsia="sl-SI"/>
          <w14:ligatures w14:val="standardContextual"/>
        </w:rPr>
      </w:pPr>
      <w:r>
        <w:rPr>
          <w:rFonts w:cs="Arial"/>
          <w:lang w:val="pl-PL"/>
        </w:rPr>
        <w:fldChar w:fldCharType="begin"/>
      </w:r>
      <w:r>
        <w:rPr>
          <w:rFonts w:cs="Arial"/>
          <w:lang w:val="pl-PL"/>
        </w:rPr>
        <w:instrText xml:space="preserve"> TOC \h \z \c "Slika" </w:instrText>
      </w:r>
      <w:r>
        <w:rPr>
          <w:rFonts w:cs="Arial"/>
          <w:lang w:val="pl-PL"/>
        </w:rPr>
        <w:fldChar w:fldCharType="separate"/>
      </w:r>
      <w:hyperlink w:anchor="_Toc191379178" w:history="1">
        <w:r w:rsidR="00064E01" w:rsidRPr="00064E01">
          <w:rPr>
            <w:rStyle w:val="Hiperpovezava"/>
            <w:rFonts w:cs="Arial"/>
            <w:noProof/>
            <w:sz w:val="20"/>
            <w:szCs w:val="20"/>
          </w:rPr>
          <w:t>Slika 1: Primerjava skupnih investicij v scenarijih OU in DU za obdobje 2021–2030</w:t>
        </w:r>
        <w:r w:rsidR="00064E01" w:rsidRPr="00064E01">
          <w:rPr>
            <w:noProof/>
            <w:webHidden/>
            <w:sz w:val="20"/>
            <w:szCs w:val="20"/>
          </w:rPr>
          <w:tab/>
        </w:r>
        <w:r w:rsidR="00064E01" w:rsidRPr="00064E01">
          <w:rPr>
            <w:noProof/>
            <w:webHidden/>
            <w:sz w:val="20"/>
            <w:szCs w:val="20"/>
          </w:rPr>
          <w:fldChar w:fldCharType="begin"/>
        </w:r>
        <w:r w:rsidR="00064E01" w:rsidRPr="00064E01">
          <w:rPr>
            <w:noProof/>
            <w:webHidden/>
            <w:sz w:val="20"/>
            <w:szCs w:val="20"/>
          </w:rPr>
          <w:instrText xml:space="preserve"> PAGEREF _Toc191379178 \h </w:instrText>
        </w:r>
        <w:r w:rsidR="00064E01" w:rsidRPr="00064E01">
          <w:rPr>
            <w:noProof/>
            <w:webHidden/>
            <w:sz w:val="20"/>
            <w:szCs w:val="20"/>
          </w:rPr>
        </w:r>
        <w:r w:rsidR="00064E01" w:rsidRPr="00064E01">
          <w:rPr>
            <w:noProof/>
            <w:webHidden/>
            <w:sz w:val="20"/>
            <w:szCs w:val="20"/>
          </w:rPr>
          <w:fldChar w:fldCharType="separate"/>
        </w:r>
        <w:r w:rsidR="00064E01" w:rsidRPr="00064E01">
          <w:rPr>
            <w:noProof/>
            <w:webHidden/>
            <w:sz w:val="20"/>
            <w:szCs w:val="20"/>
          </w:rPr>
          <w:t>69</w:t>
        </w:r>
        <w:r w:rsidR="00064E01" w:rsidRPr="00064E01">
          <w:rPr>
            <w:noProof/>
            <w:webHidden/>
            <w:sz w:val="20"/>
            <w:szCs w:val="20"/>
          </w:rPr>
          <w:fldChar w:fldCharType="end"/>
        </w:r>
      </w:hyperlink>
    </w:p>
    <w:p w14:paraId="45720BC2" w14:textId="683113BB" w:rsidR="00064E01" w:rsidRPr="00064E01" w:rsidRDefault="008012A2">
      <w:pPr>
        <w:pStyle w:val="Kazaloslik"/>
        <w:tabs>
          <w:tab w:val="right" w:leader="dot" w:pos="9060"/>
        </w:tabs>
        <w:rPr>
          <w:rFonts w:asciiTheme="minorHAnsi" w:eastAsiaTheme="minorEastAsia" w:hAnsiTheme="minorHAnsi" w:cstheme="minorBidi"/>
          <w:noProof/>
          <w:kern w:val="2"/>
          <w:sz w:val="20"/>
          <w:szCs w:val="20"/>
          <w:lang w:val="sl-SI" w:eastAsia="sl-SI"/>
          <w14:ligatures w14:val="standardContextual"/>
        </w:rPr>
      </w:pPr>
      <w:hyperlink w:anchor="_Toc191379179" w:history="1">
        <w:r w:rsidR="00064E01" w:rsidRPr="00064E01">
          <w:rPr>
            <w:rStyle w:val="Hiperpovezava"/>
            <w:noProof/>
            <w:sz w:val="20"/>
            <w:szCs w:val="20"/>
          </w:rPr>
          <w:t>Slika 2: Primerjava energetskega dela investicij v scenarijih OU in DU za obdobje 2021–2030</w:t>
        </w:r>
        <w:r w:rsidR="00064E01" w:rsidRPr="00064E01">
          <w:rPr>
            <w:noProof/>
            <w:webHidden/>
            <w:sz w:val="20"/>
            <w:szCs w:val="20"/>
          </w:rPr>
          <w:tab/>
        </w:r>
        <w:r w:rsidR="00064E01" w:rsidRPr="00064E01">
          <w:rPr>
            <w:noProof/>
            <w:webHidden/>
            <w:sz w:val="20"/>
            <w:szCs w:val="20"/>
          </w:rPr>
          <w:fldChar w:fldCharType="begin"/>
        </w:r>
        <w:r w:rsidR="00064E01" w:rsidRPr="00064E01">
          <w:rPr>
            <w:noProof/>
            <w:webHidden/>
            <w:sz w:val="20"/>
            <w:szCs w:val="20"/>
          </w:rPr>
          <w:instrText xml:space="preserve"> PAGEREF _Toc191379179 \h </w:instrText>
        </w:r>
        <w:r w:rsidR="00064E01" w:rsidRPr="00064E01">
          <w:rPr>
            <w:noProof/>
            <w:webHidden/>
            <w:sz w:val="20"/>
            <w:szCs w:val="20"/>
          </w:rPr>
        </w:r>
        <w:r w:rsidR="00064E01" w:rsidRPr="00064E01">
          <w:rPr>
            <w:noProof/>
            <w:webHidden/>
            <w:sz w:val="20"/>
            <w:szCs w:val="20"/>
          </w:rPr>
          <w:fldChar w:fldCharType="separate"/>
        </w:r>
        <w:r w:rsidR="00064E01" w:rsidRPr="00064E01">
          <w:rPr>
            <w:noProof/>
            <w:webHidden/>
            <w:sz w:val="20"/>
            <w:szCs w:val="20"/>
          </w:rPr>
          <w:t>69</w:t>
        </w:r>
        <w:r w:rsidR="00064E01" w:rsidRPr="00064E01">
          <w:rPr>
            <w:noProof/>
            <w:webHidden/>
            <w:sz w:val="20"/>
            <w:szCs w:val="20"/>
          </w:rPr>
          <w:fldChar w:fldCharType="end"/>
        </w:r>
      </w:hyperlink>
    </w:p>
    <w:p w14:paraId="4339F3EF" w14:textId="25A3E26B" w:rsidR="00064E01" w:rsidRPr="00064E01" w:rsidRDefault="008012A2">
      <w:pPr>
        <w:pStyle w:val="Kazaloslik"/>
        <w:tabs>
          <w:tab w:val="right" w:leader="dot" w:pos="9060"/>
        </w:tabs>
        <w:rPr>
          <w:rFonts w:asciiTheme="minorHAnsi" w:eastAsiaTheme="minorEastAsia" w:hAnsiTheme="minorHAnsi" w:cstheme="minorBidi"/>
          <w:noProof/>
          <w:kern w:val="2"/>
          <w:sz w:val="20"/>
          <w:szCs w:val="20"/>
          <w:lang w:val="sl-SI" w:eastAsia="sl-SI"/>
          <w14:ligatures w14:val="standardContextual"/>
        </w:rPr>
      </w:pPr>
      <w:hyperlink w:anchor="_Toc191379180" w:history="1">
        <w:r w:rsidR="00064E01" w:rsidRPr="00064E01">
          <w:rPr>
            <w:rStyle w:val="Hiperpovezava"/>
            <w:rFonts w:cs="Arial"/>
            <w:noProof/>
            <w:sz w:val="20"/>
            <w:szCs w:val="20"/>
          </w:rPr>
          <w:t>Slika 3: Struktura skupnih investicij v scenariju DU za obdobje 2021-2030</w:t>
        </w:r>
        <w:r w:rsidR="00064E01" w:rsidRPr="00064E01">
          <w:rPr>
            <w:noProof/>
            <w:webHidden/>
            <w:sz w:val="20"/>
            <w:szCs w:val="20"/>
          </w:rPr>
          <w:tab/>
        </w:r>
        <w:r w:rsidR="00064E01" w:rsidRPr="00064E01">
          <w:rPr>
            <w:noProof/>
            <w:webHidden/>
            <w:sz w:val="20"/>
            <w:szCs w:val="20"/>
          </w:rPr>
          <w:fldChar w:fldCharType="begin"/>
        </w:r>
        <w:r w:rsidR="00064E01" w:rsidRPr="00064E01">
          <w:rPr>
            <w:noProof/>
            <w:webHidden/>
            <w:sz w:val="20"/>
            <w:szCs w:val="20"/>
          </w:rPr>
          <w:instrText xml:space="preserve"> PAGEREF _Toc191379180 \h </w:instrText>
        </w:r>
        <w:r w:rsidR="00064E01" w:rsidRPr="00064E01">
          <w:rPr>
            <w:noProof/>
            <w:webHidden/>
            <w:sz w:val="20"/>
            <w:szCs w:val="20"/>
          </w:rPr>
        </w:r>
        <w:r w:rsidR="00064E01" w:rsidRPr="00064E01">
          <w:rPr>
            <w:noProof/>
            <w:webHidden/>
            <w:sz w:val="20"/>
            <w:szCs w:val="20"/>
          </w:rPr>
          <w:fldChar w:fldCharType="separate"/>
        </w:r>
        <w:r w:rsidR="00064E01" w:rsidRPr="00064E01">
          <w:rPr>
            <w:noProof/>
            <w:webHidden/>
            <w:sz w:val="20"/>
            <w:szCs w:val="20"/>
          </w:rPr>
          <w:t>71</w:t>
        </w:r>
        <w:r w:rsidR="00064E01" w:rsidRPr="00064E01">
          <w:rPr>
            <w:noProof/>
            <w:webHidden/>
            <w:sz w:val="20"/>
            <w:szCs w:val="20"/>
          </w:rPr>
          <w:fldChar w:fldCharType="end"/>
        </w:r>
      </w:hyperlink>
    </w:p>
    <w:p w14:paraId="214FE53A" w14:textId="23E1DF1D" w:rsidR="00064E01" w:rsidRPr="00064E01" w:rsidRDefault="008012A2">
      <w:pPr>
        <w:pStyle w:val="Kazaloslik"/>
        <w:tabs>
          <w:tab w:val="right" w:leader="dot" w:pos="9060"/>
        </w:tabs>
        <w:rPr>
          <w:rFonts w:asciiTheme="minorHAnsi" w:eastAsiaTheme="minorEastAsia" w:hAnsiTheme="minorHAnsi" w:cstheme="minorBidi"/>
          <w:noProof/>
          <w:kern w:val="2"/>
          <w:sz w:val="20"/>
          <w:szCs w:val="20"/>
          <w:lang w:val="sl-SI" w:eastAsia="sl-SI"/>
          <w14:ligatures w14:val="standardContextual"/>
        </w:rPr>
      </w:pPr>
      <w:hyperlink w:anchor="_Toc191379181" w:history="1">
        <w:r w:rsidR="00064E01" w:rsidRPr="00064E01">
          <w:rPr>
            <w:rStyle w:val="Hiperpovezava"/>
            <w:rFonts w:cs="Arial"/>
            <w:noProof/>
            <w:sz w:val="20"/>
            <w:szCs w:val="20"/>
          </w:rPr>
          <w:t>Slika 4: Struktura energetskega dela investicij v scenariju DU za obdobje 2021-2030</w:t>
        </w:r>
        <w:r w:rsidR="00064E01" w:rsidRPr="00064E01">
          <w:rPr>
            <w:noProof/>
            <w:webHidden/>
            <w:sz w:val="20"/>
            <w:szCs w:val="20"/>
          </w:rPr>
          <w:tab/>
        </w:r>
        <w:r w:rsidR="00064E01" w:rsidRPr="00064E01">
          <w:rPr>
            <w:noProof/>
            <w:webHidden/>
            <w:sz w:val="20"/>
            <w:szCs w:val="20"/>
          </w:rPr>
          <w:fldChar w:fldCharType="begin"/>
        </w:r>
        <w:r w:rsidR="00064E01" w:rsidRPr="00064E01">
          <w:rPr>
            <w:noProof/>
            <w:webHidden/>
            <w:sz w:val="20"/>
            <w:szCs w:val="20"/>
          </w:rPr>
          <w:instrText xml:space="preserve"> PAGEREF _Toc191379181 \h </w:instrText>
        </w:r>
        <w:r w:rsidR="00064E01" w:rsidRPr="00064E01">
          <w:rPr>
            <w:noProof/>
            <w:webHidden/>
            <w:sz w:val="20"/>
            <w:szCs w:val="20"/>
          </w:rPr>
        </w:r>
        <w:r w:rsidR="00064E01" w:rsidRPr="00064E01">
          <w:rPr>
            <w:noProof/>
            <w:webHidden/>
            <w:sz w:val="20"/>
            <w:szCs w:val="20"/>
          </w:rPr>
          <w:fldChar w:fldCharType="separate"/>
        </w:r>
        <w:r w:rsidR="00064E01" w:rsidRPr="00064E01">
          <w:rPr>
            <w:noProof/>
            <w:webHidden/>
            <w:sz w:val="20"/>
            <w:szCs w:val="20"/>
          </w:rPr>
          <w:t>71</w:t>
        </w:r>
        <w:r w:rsidR="00064E01" w:rsidRPr="00064E01">
          <w:rPr>
            <w:noProof/>
            <w:webHidden/>
            <w:sz w:val="20"/>
            <w:szCs w:val="20"/>
          </w:rPr>
          <w:fldChar w:fldCharType="end"/>
        </w:r>
      </w:hyperlink>
    </w:p>
    <w:p w14:paraId="1119ADE7" w14:textId="3930AEE9" w:rsidR="00064E01" w:rsidRPr="00064E01" w:rsidRDefault="008012A2">
      <w:pPr>
        <w:pStyle w:val="Kazaloslik"/>
        <w:tabs>
          <w:tab w:val="right" w:leader="dot" w:pos="9060"/>
        </w:tabs>
        <w:rPr>
          <w:rFonts w:asciiTheme="minorHAnsi" w:eastAsiaTheme="minorEastAsia" w:hAnsiTheme="minorHAnsi" w:cstheme="minorBidi"/>
          <w:noProof/>
          <w:kern w:val="2"/>
          <w:sz w:val="20"/>
          <w:szCs w:val="20"/>
          <w:lang w:val="sl-SI" w:eastAsia="sl-SI"/>
          <w14:ligatures w14:val="standardContextual"/>
        </w:rPr>
      </w:pPr>
      <w:hyperlink w:anchor="_Toc191379182" w:history="1">
        <w:r w:rsidR="00064E01" w:rsidRPr="00064E01">
          <w:rPr>
            <w:rStyle w:val="Hiperpovezava"/>
            <w:rFonts w:cs="Arial"/>
            <w:noProof/>
            <w:sz w:val="20"/>
            <w:szCs w:val="20"/>
          </w:rPr>
          <w:t>Slika 5: Struktura ocenjenih skupnih investicij v javnem sektorju v scenariju DU za obdobje 2021–2030</w:t>
        </w:r>
        <w:r w:rsidR="00064E01" w:rsidRPr="00064E01">
          <w:rPr>
            <w:noProof/>
            <w:webHidden/>
            <w:sz w:val="20"/>
            <w:szCs w:val="20"/>
          </w:rPr>
          <w:tab/>
        </w:r>
        <w:r w:rsidR="00064E01" w:rsidRPr="00064E01">
          <w:rPr>
            <w:noProof/>
            <w:webHidden/>
            <w:sz w:val="20"/>
            <w:szCs w:val="20"/>
          </w:rPr>
          <w:fldChar w:fldCharType="begin"/>
        </w:r>
        <w:r w:rsidR="00064E01" w:rsidRPr="00064E01">
          <w:rPr>
            <w:noProof/>
            <w:webHidden/>
            <w:sz w:val="20"/>
            <w:szCs w:val="20"/>
          </w:rPr>
          <w:instrText xml:space="preserve"> PAGEREF _Toc191379182 \h </w:instrText>
        </w:r>
        <w:r w:rsidR="00064E01" w:rsidRPr="00064E01">
          <w:rPr>
            <w:noProof/>
            <w:webHidden/>
            <w:sz w:val="20"/>
            <w:szCs w:val="20"/>
          </w:rPr>
        </w:r>
        <w:r w:rsidR="00064E01" w:rsidRPr="00064E01">
          <w:rPr>
            <w:noProof/>
            <w:webHidden/>
            <w:sz w:val="20"/>
            <w:szCs w:val="20"/>
          </w:rPr>
          <w:fldChar w:fldCharType="separate"/>
        </w:r>
        <w:r w:rsidR="00064E01" w:rsidRPr="00064E01">
          <w:rPr>
            <w:noProof/>
            <w:webHidden/>
            <w:sz w:val="20"/>
            <w:szCs w:val="20"/>
          </w:rPr>
          <w:t>72</w:t>
        </w:r>
        <w:r w:rsidR="00064E01" w:rsidRPr="00064E01">
          <w:rPr>
            <w:noProof/>
            <w:webHidden/>
            <w:sz w:val="20"/>
            <w:szCs w:val="20"/>
          </w:rPr>
          <w:fldChar w:fldCharType="end"/>
        </w:r>
      </w:hyperlink>
    </w:p>
    <w:p w14:paraId="21312381" w14:textId="7EB4BF8C" w:rsidR="00064E01" w:rsidRPr="00064E01" w:rsidRDefault="008012A2">
      <w:pPr>
        <w:pStyle w:val="Kazaloslik"/>
        <w:tabs>
          <w:tab w:val="right" w:leader="dot" w:pos="9060"/>
        </w:tabs>
        <w:rPr>
          <w:rFonts w:asciiTheme="minorHAnsi" w:eastAsiaTheme="minorEastAsia" w:hAnsiTheme="minorHAnsi" w:cstheme="minorBidi"/>
          <w:noProof/>
          <w:kern w:val="2"/>
          <w:sz w:val="20"/>
          <w:szCs w:val="20"/>
          <w:lang w:val="sl-SI" w:eastAsia="sl-SI"/>
          <w14:ligatures w14:val="standardContextual"/>
        </w:rPr>
      </w:pPr>
      <w:hyperlink w:anchor="_Toc191379183" w:history="1">
        <w:r w:rsidR="00064E01" w:rsidRPr="00064E01">
          <w:rPr>
            <w:rStyle w:val="Hiperpovezava"/>
            <w:rFonts w:cs="Arial"/>
            <w:noProof/>
            <w:sz w:val="20"/>
            <w:szCs w:val="20"/>
          </w:rPr>
          <w:t>Slika 6: Dinamika energetskega dela investicij – povprečne letne investicije v letu 2020 ter v obdobjih do leta 2030 za scenarij OU in DU</w:t>
        </w:r>
        <w:r w:rsidR="00064E01" w:rsidRPr="00064E01">
          <w:rPr>
            <w:noProof/>
            <w:webHidden/>
            <w:sz w:val="20"/>
            <w:szCs w:val="20"/>
          </w:rPr>
          <w:tab/>
        </w:r>
        <w:r w:rsidR="00064E01" w:rsidRPr="00064E01">
          <w:rPr>
            <w:noProof/>
            <w:webHidden/>
            <w:sz w:val="20"/>
            <w:szCs w:val="20"/>
          </w:rPr>
          <w:fldChar w:fldCharType="begin"/>
        </w:r>
        <w:r w:rsidR="00064E01" w:rsidRPr="00064E01">
          <w:rPr>
            <w:noProof/>
            <w:webHidden/>
            <w:sz w:val="20"/>
            <w:szCs w:val="20"/>
          </w:rPr>
          <w:instrText xml:space="preserve"> PAGEREF _Toc191379183 \h </w:instrText>
        </w:r>
        <w:r w:rsidR="00064E01" w:rsidRPr="00064E01">
          <w:rPr>
            <w:noProof/>
            <w:webHidden/>
            <w:sz w:val="20"/>
            <w:szCs w:val="20"/>
          </w:rPr>
        </w:r>
        <w:r w:rsidR="00064E01" w:rsidRPr="00064E01">
          <w:rPr>
            <w:noProof/>
            <w:webHidden/>
            <w:sz w:val="20"/>
            <w:szCs w:val="20"/>
          </w:rPr>
          <w:fldChar w:fldCharType="separate"/>
        </w:r>
        <w:r w:rsidR="00064E01" w:rsidRPr="00064E01">
          <w:rPr>
            <w:noProof/>
            <w:webHidden/>
            <w:sz w:val="20"/>
            <w:szCs w:val="20"/>
          </w:rPr>
          <w:t>73</w:t>
        </w:r>
        <w:r w:rsidR="00064E01" w:rsidRPr="00064E01">
          <w:rPr>
            <w:noProof/>
            <w:webHidden/>
            <w:sz w:val="20"/>
            <w:szCs w:val="20"/>
          </w:rPr>
          <w:fldChar w:fldCharType="end"/>
        </w:r>
      </w:hyperlink>
    </w:p>
    <w:p w14:paraId="752BC242" w14:textId="7C9F3B05" w:rsidR="00064E01" w:rsidRPr="00064E01" w:rsidRDefault="008012A2">
      <w:pPr>
        <w:pStyle w:val="Kazaloslik"/>
        <w:tabs>
          <w:tab w:val="right" w:leader="dot" w:pos="9060"/>
        </w:tabs>
        <w:rPr>
          <w:rFonts w:asciiTheme="minorHAnsi" w:eastAsiaTheme="minorEastAsia" w:hAnsiTheme="minorHAnsi" w:cstheme="minorBidi"/>
          <w:noProof/>
          <w:kern w:val="2"/>
          <w:sz w:val="20"/>
          <w:szCs w:val="20"/>
          <w:lang w:val="sl-SI" w:eastAsia="sl-SI"/>
          <w14:ligatures w14:val="standardContextual"/>
        </w:rPr>
      </w:pPr>
      <w:hyperlink w:anchor="_Toc191379184" w:history="1">
        <w:r w:rsidR="00064E01" w:rsidRPr="00064E01">
          <w:rPr>
            <w:rStyle w:val="Hiperpovezava"/>
            <w:rFonts w:cs="Arial"/>
            <w:noProof/>
            <w:sz w:val="20"/>
            <w:szCs w:val="20"/>
          </w:rPr>
          <w:t>Slika 7: Deleži doseganja mejnikov kazalnikov PEKP 21–27</w:t>
        </w:r>
        <w:r w:rsidR="00064E01" w:rsidRPr="00064E01">
          <w:rPr>
            <w:noProof/>
            <w:webHidden/>
            <w:sz w:val="20"/>
            <w:szCs w:val="20"/>
          </w:rPr>
          <w:tab/>
        </w:r>
        <w:r w:rsidR="00064E01" w:rsidRPr="00064E01">
          <w:rPr>
            <w:noProof/>
            <w:webHidden/>
            <w:sz w:val="20"/>
            <w:szCs w:val="20"/>
          </w:rPr>
          <w:fldChar w:fldCharType="begin"/>
        </w:r>
        <w:r w:rsidR="00064E01" w:rsidRPr="00064E01">
          <w:rPr>
            <w:noProof/>
            <w:webHidden/>
            <w:sz w:val="20"/>
            <w:szCs w:val="20"/>
          </w:rPr>
          <w:instrText xml:space="preserve"> PAGEREF _Toc191379184 \h </w:instrText>
        </w:r>
        <w:r w:rsidR="00064E01" w:rsidRPr="00064E01">
          <w:rPr>
            <w:noProof/>
            <w:webHidden/>
            <w:sz w:val="20"/>
            <w:szCs w:val="20"/>
          </w:rPr>
        </w:r>
        <w:r w:rsidR="00064E01" w:rsidRPr="00064E01">
          <w:rPr>
            <w:noProof/>
            <w:webHidden/>
            <w:sz w:val="20"/>
            <w:szCs w:val="20"/>
          </w:rPr>
          <w:fldChar w:fldCharType="separate"/>
        </w:r>
        <w:r w:rsidR="00064E01" w:rsidRPr="00064E01">
          <w:rPr>
            <w:noProof/>
            <w:webHidden/>
            <w:sz w:val="20"/>
            <w:szCs w:val="20"/>
          </w:rPr>
          <w:t>88</w:t>
        </w:r>
        <w:r w:rsidR="00064E01" w:rsidRPr="00064E01">
          <w:rPr>
            <w:noProof/>
            <w:webHidden/>
            <w:sz w:val="20"/>
            <w:szCs w:val="20"/>
          </w:rPr>
          <w:fldChar w:fldCharType="end"/>
        </w:r>
      </w:hyperlink>
    </w:p>
    <w:p w14:paraId="1FCE84DE" w14:textId="2AC8593C" w:rsidR="006759FE" w:rsidRDefault="00B6179D" w:rsidP="00D21D77">
      <w:pPr>
        <w:pStyle w:val="Kazaloslik"/>
        <w:tabs>
          <w:tab w:val="right" w:leader="dot" w:pos="9490"/>
        </w:tabs>
        <w:spacing w:after="0" w:line="276" w:lineRule="auto"/>
        <w:jc w:val="both"/>
        <w:rPr>
          <w:rFonts w:cs="Arial"/>
          <w:lang w:val="pl-PL"/>
        </w:rPr>
      </w:pPr>
      <w:r>
        <w:rPr>
          <w:rFonts w:cs="Arial"/>
          <w:lang w:val="pl-PL"/>
        </w:rPr>
        <w:fldChar w:fldCharType="end"/>
      </w:r>
      <w:bookmarkStart w:id="12" w:name="_Toc400455575"/>
      <w:bookmarkStart w:id="13" w:name="_Toc18664634"/>
      <w:bookmarkStart w:id="14" w:name="_Toc18666775"/>
      <w:bookmarkStart w:id="15" w:name="_Toc18666850"/>
      <w:bookmarkStart w:id="16" w:name="_Toc18671906"/>
    </w:p>
    <w:p w14:paraId="512DCC49" w14:textId="77777777" w:rsidR="006759FE" w:rsidRDefault="006759FE">
      <w:pPr>
        <w:suppressAutoHyphens w:val="0"/>
        <w:spacing w:after="0" w:line="240" w:lineRule="auto"/>
        <w:rPr>
          <w:rFonts w:eastAsia="HGSMinchoE" w:cs="Arial"/>
          <w:color w:val="4472C4" w:themeColor="accent1"/>
          <w:sz w:val="24"/>
          <w:szCs w:val="24"/>
          <w:lang w:val="en-US" w:eastAsia="zh-CN"/>
        </w:rPr>
      </w:pPr>
      <w:r>
        <w:rPr>
          <w:rFonts w:cs="Arial"/>
          <w:color w:val="4472C4" w:themeColor="accent1"/>
          <w:sz w:val="24"/>
          <w:szCs w:val="24"/>
          <w:lang w:eastAsia="zh-CN"/>
        </w:rPr>
        <w:br w:type="page"/>
      </w:r>
    </w:p>
    <w:p w14:paraId="3DFFFD45" w14:textId="4AC05FF3" w:rsidR="000E7A5A" w:rsidRPr="00F425EA" w:rsidRDefault="00306071" w:rsidP="00D21D77">
      <w:pPr>
        <w:pStyle w:val="Kazaloslik"/>
        <w:tabs>
          <w:tab w:val="right" w:leader="dot" w:pos="9490"/>
        </w:tabs>
        <w:spacing w:after="0" w:line="276" w:lineRule="auto"/>
        <w:jc w:val="both"/>
        <w:rPr>
          <w:rFonts w:cs="Arial"/>
          <w:color w:val="4472C4" w:themeColor="accent1"/>
          <w:sz w:val="24"/>
          <w:szCs w:val="24"/>
        </w:rPr>
      </w:pPr>
      <w:r w:rsidRPr="00F425EA">
        <w:rPr>
          <w:rFonts w:cs="Arial"/>
          <w:color w:val="4472C4" w:themeColor="accent1"/>
          <w:sz w:val="24"/>
          <w:szCs w:val="24"/>
          <w:lang w:eastAsia="zh-CN"/>
        </w:rPr>
        <w:lastRenderedPageBreak/>
        <w:t xml:space="preserve">KRATICE, OKRAJŠAVE IN </w:t>
      </w:r>
      <w:bookmarkEnd w:id="12"/>
      <w:r w:rsidRPr="00F425EA">
        <w:rPr>
          <w:rFonts w:cs="Arial"/>
          <w:color w:val="4472C4" w:themeColor="accent1"/>
          <w:sz w:val="24"/>
          <w:szCs w:val="24"/>
          <w:lang w:eastAsia="zh-CN"/>
        </w:rPr>
        <w:t>POMEN IZRAZOV</w:t>
      </w:r>
      <w:bookmarkEnd w:id="13"/>
      <w:bookmarkEnd w:id="14"/>
      <w:bookmarkEnd w:id="15"/>
      <w:bookmarkEnd w:id="16"/>
    </w:p>
    <w:tbl>
      <w:tblPr>
        <w:tblW w:w="8606" w:type="dxa"/>
        <w:tblInd w:w="108" w:type="dxa"/>
        <w:tblCellMar>
          <w:left w:w="10" w:type="dxa"/>
          <w:right w:w="10" w:type="dxa"/>
        </w:tblCellMar>
        <w:tblLook w:val="04A0" w:firstRow="1" w:lastRow="0" w:firstColumn="1" w:lastColumn="0" w:noHBand="0" w:noVBand="1"/>
      </w:tblPr>
      <w:tblGrid>
        <w:gridCol w:w="2127"/>
        <w:gridCol w:w="6479"/>
      </w:tblGrid>
      <w:tr w:rsidR="007B17F6" w:rsidRPr="00F425EA" w14:paraId="3F458BA3" w14:textId="77777777" w:rsidTr="00F7FCEE">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703E3CB" w14:textId="32E4A5EB" w:rsidR="007B17F6" w:rsidRPr="00536400" w:rsidRDefault="007B17F6"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ARIS IT</w:t>
            </w:r>
          </w:p>
        </w:tc>
        <w:tc>
          <w:tcPr>
            <w:tcW w:w="6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B469EC3" w14:textId="4B2AC83E" w:rsidR="007B17F6" w:rsidRPr="00536400" w:rsidRDefault="002D135D" w:rsidP="00E247FF">
            <w:pPr>
              <w:spacing w:after="0" w:line="276" w:lineRule="auto"/>
              <w:jc w:val="both"/>
              <w:rPr>
                <w:rFonts w:eastAsia="SimSun" w:cs="Arial"/>
                <w:szCs w:val="20"/>
                <w:lang w:eastAsia="zh-CN"/>
              </w:rPr>
            </w:pPr>
            <w:r w:rsidRPr="00536400">
              <w:rPr>
                <w:rFonts w:eastAsia="SimSun" w:cs="Arial"/>
                <w:szCs w:val="20"/>
                <w:lang w:eastAsia="zh-CN"/>
              </w:rPr>
              <w:t>Ja</w:t>
            </w:r>
            <w:r w:rsidR="002E72B3" w:rsidRPr="00536400">
              <w:rPr>
                <w:rFonts w:eastAsia="SimSun" w:cs="Arial"/>
                <w:szCs w:val="20"/>
                <w:lang w:eastAsia="zh-CN"/>
              </w:rPr>
              <w:t>v</w:t>
            </w:r>
            <w:r w:rsidRPr="00536400">
              <w:rPr>
                <w:rFonts w:eastAsia="SimSun" w:cs="Arial"/>
                <w:szCs w:val="20"/>
                <w:lang w:eastAsia="zh-CN"/>
              </w:rPr>
              <w:t>na agencija za znanstvenoraziskovalno in inovacijsko dejavnost Republike Slovenije</w:t>
            </w:r>
          </w:p>
        </w:tc>
      </w:tr>
      <w:tr w:rsidR="002A1D8C" w:rsidRPr="00F425EA" w14:paraId="58715FD7" w14:textId="77777777" w:rsidTr="00F7FCEE">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F4C5060" w14:textId="521F8CDD" w:rsidR="002A1D8C" w:rsidRPr="00536400" w:rsidRDefault="002A1D8C"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BDP</w:t>
            </w:r>
          </w:p>
        </w:tc>
        <w:tc>
          <w:tcPr>
            <w:tcW w:w="6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DB4496C" w14:textId="00366858" w:rsidR="002A1D8C" w:rsidRPr="00536400" w:rsidRDefault="003E51B4" w:rsidP="00E247FF">
            <w:pPr>
              <w:spacing w:after="0" w:line="276" w:lineRule="auto"/>
              <w:jc w:val="both"/>
              <w:rPr>
                <w:rFonts w:eastAsia="SimSun" w:cs="Arial"/>
                <w:szCs w:val="20"/>
                <w:lang w:eastAsia="zh-CN"/>
              </w:rPr>
            </w:pPr>
            <w:r w:rsidRPr="00536400">
              <w:rPr>
                <w:rFonts w:eastAsia="SimSun" w:cs="Arial"/>
                <w:szCs w:val="20"/>
                <w:lang w:eastAsia="zh-CN"/>
              </w:rPr>
              <w:t>bruto domači proizvod</w:t>
            </w:r>
          </w:p>
        </w:tc>
      </w:tr>
      <w:tr w:rsidR="000E7A5A" w:rsidRPr="00F425EA" w14:paraId="0E2A4FC1" w14:textId="77777777" w:rsidTr="00F7FCEE">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1C4F37D" w14:textId="77777777" w:rsidR="000E7A5A" w:rsidRPr="00536400" w:rsidRDefault="00306071"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certificirani izdatki</w:t>
            </w:r>
          </w:p>
        </w:tc>
        <w:tc>
          <w:tcPr>
            <w:tcW w:w="6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BBDDF40" w14:textId="77777777" w:rsidR="000E7A5A" w:rsidRPr="00536400" w:rsidRDefault="00306071" w:rsidP="00E247FF">
            <w:pPr>
              <w:spacing w:after="0" w:line="276" w:lineRule="auto"/>
              <w:jc w:val="both"/>
              <w:rPr>
                <w:rFonts w:eastAsia="SimSun" w:cs="Arial"/>
                <w:szCs w:val="20"/>
                <w:lang w:eastAsia="zh-CN"/>
              </w:rPr>
            </w:pPr>
            <w:r w:rsidRPr="00536400">
              <w:rPr>
                <w:rFonts w:eastAsia="SimSun" w:cs="Arial"/>
                <w:szCs w:val="20"/>
                <w:lang w:eastAsia="zh-CN"/>
              </w:rPr>
              <w:t>zahtevki za povračilo iz EU</w:t>
            </w:r>
          </w:p>
        </w:tc>
      </w:tr>
      <w:tr w:rsidR="000E7A5A" w:rsidRPr="00F425EA" w14:paraId="4B1485B5" w14:textId="77777777" w:rsidTr="00F7FCEE">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84246C1" w14:textId="77777777" w:rsidR="000E7A5A" w:rsidRPr="00536400" w:rsidRDefault="00306071"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CLLD</w:t>
            </w:r>
          </w:p>
        </w:tc>
        <w:tc>
          <w:tcPr>
            <w:tcW w:w="6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1A110F5" w14:textId="77777777" w:rsidR="000E7A5A" w:rsidRPr="00536400" w:rsidRDefault="00306071"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lokalni razvoj, ki ga vodi skupnost</w:t>
            </w:r>
          </w:p>
        </w:tc>
      </w:tr>
      <w:tr w:rsidR="002A1D8C" w:rsidRPr="00F425EA" w14:paraId="23C27A66" w14:textId="77777777" w:rsidTr="00F7FCEE">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233304A" w14:textId="4E850EE2" w:rsidR="002A1D8C" w:rsidRPr="00536400" w:rsidRDefault="002A1D8C"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CP</w:t>
            </w:r>
          </w:p>
        </w:tc>
        <w:tc>
          <w:tcPr>
            <w:tcW w:w="6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0D057BC" w14:textId="16B330D5" w:rsidR="002A1D8C" w:rsidRPr="00536400" w:rsidRDefault="00B56768"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cilj politike</w:t>
            </w:r>
          </w:p>
        </w:tc>
      </w:tr>
      <w:tr w:rsidR="000E7A5A" w:rsidRPr="00F425EA" w14:paraId="70346D9E" w14:textId="77777777" w:rsidTr="00F7FCEE">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D5A5096" w14:textId="77777777" w:rsidR="000E7A5A" w:rsidRPr="00536400" w:rsidRDefault="00306071" w:rsidP="00E247FF">
            <w:pPr>
              <w:spacing w:after="0" w:line="276" w:lineRule="auto"/>
              <w:jc w:val="both"/>
              <w:rPr>
                <w:rFonts w:eastAsia="MS Mincho" w:cs="Arial"/>
                <w:szCs w:val="20"/>
              </w:rPr>
            </w:pPr>
            <w:r w:rsidRPr="00536400">
              <w:rPr>
                <w:rFonts w:eastAsia="MS Mincho" w:cs="Arial"/>
                <w:szCs w:val="20"/>
              </w:rPr>
              <w:t>CTN</w:t>
            </w:r>
          </w:p>
        </w:tc>
        <w:tc>
          <w:tcPr>
            <w:tcW w:w="6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CD2708C" w14:textId="77777777" w:rsidR="000E7A5A" w:rsidRPr="00536400" w:rsidRDefault="00306071"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celostne teritorialne naložbe</w:t>
            </w:r>
          </w:p>
        </w:tc>
      </w:tr>
      <w:tr w:rsidR="000E7A5A" w:rsidRPr="00F425EA" w14:paraId="5A9DEC62" w14:textId="77777777" w:rsidTr="00F7FCEE">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65E4089" w14:textId="77777777" w:rsidR="000E7A5A" w:rsidRPr="00536400" w:rsidRDefault="00306071"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DNSH</w:t>
            </w:r>
          </w:p>
        </w:tc>
        <w:tc>
          <w:tcPr>
            <w:tcW w:w="6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8DE7E3F" w14:textId="77777777" w:rsidR="000E7A5A" w:rsidRPr="00536400" w:rsidRDefault="00306071"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Načelo, da se ne škoduje bistveno</w:t>
            </w:r>
          </w:p>
        </w:tc>
      </w:tr>
      <w:tr w:rsidR="000E7A5A" w:rsidRPr="00F425EA" w14:paraId="5A0EECE4" w14:textId="77777777" w:rsidTr="00F7FCEE">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7825FF6" w14:textId="77777777" w:rsidR="000E7A5A" w:rsidRPr="00536400" w:rsidRDefault="00306071"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dodeljena sredstva</w:t>
            </w:r>
          </w:p>
        </w:tc>
        <w:tc>
          <w:tcPr>
            <w:tcW w:w="6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FA863F1" w14:textId="77777777" w:rsidR="000E7A5A" w:rsidRPr="00536400" w:rsidRDefault="00306071"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izdane odločitve o podpori/vrednost potrjenih NIO</w:t>
            </w:r>
          </w:p>
        </w:tc>
      </w:tr>
      <w:tr w:rsidR="000E7A5A" w:rsidRPr="00F425EA" w14:paraId="2D2BBF80" w14:textId="77777777" w:rsidTr="00F7FCEE">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9A2C697" w14:textId="77777777" w:rsidR="000E7A5A" w:rsidRPr="00536400" w:rsidRDefault="00306071"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DRR</w:t>
            </w:r>
          </w:p>
        </w:tc>
        <w:tc>
          <w:tcPr>
            <w:tcW w:w="6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4A94794" w14:textId="77777777" w:rsidR="000E7A5A" w:rsidRPr="00536400" w:rsidRDefault="00306071"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Dogovor za razvoj regij</w:t>
            </w:r>
          </w:p>
        </w:tc>
      </w:tr>
      <w:tr w:rsidR="000E7A5A" w:rsidRPr="00F425EA" w14:paraId="054E8CEE" w14:textId="77777777" w:rsidTr="00F7FCEE">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25E56F6" w14:textId="77777777" w:rsidR="000E7A5A" w:rsidRPr="00536400" w:rsidRDefault="00306071"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e-CA</w:t>
            </w:r>
          </w:p>
        </w:tc>
        <w:tc>
          <w:tcPr>
            <w:tcW w:w="6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83ADD73" w14:textId="77777777" w:rsidR="000E7A5A" w:rsidRPr="00536400" w:rsidRDefault="00306071"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informacijski sistem organa za potrjevanje</w:t>
            </w:r>
          </w:p>
        </w:tc>
      </w:tr>
      <w:tr w:rsidR="000E7A5A" w:rsidRPr="00F425EA" w14:paraId="43851E6E" w14:textId="77777777" w:rsidTr="00F7FCEE">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1812C27" w14:textId="77777777" w:rsidR="000E7A5A" w:rsidRPr="00536400" w:rsidRDefault="00306071"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EK</w:t>
            </w:r>
          </w:p>
        </w:tc>
        <w:tc>
          <w:tcPr>
            <w:tcW w:w="6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38795A8" w14:textId="77777777" w:rsidR="000E7A5A" w:rsidRPr="00536400" w:rsidRDefault="00306071"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Evropska komisija</w:t>
            </w:r>
          </w:p>
        </w:tc>
      </w:tr>
      <w:tr w:rsidR="000E7A5A" w:rsidRPr="00F425EA" w14:paraId="602AC168" w14:textId="77777777" w:rsidTr="00F7FCEE">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4ED37FA" w14:textId="77777777" w:rsidR="000E7A5A" w:rsidRPr="00536400" w:rsidRDefault="00306071"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EKP</w:t>
            </w:r>
          </w:p>
        </w:tc>
        <w:tc>
          <w:tcPr>
            <w:tcW w:w="6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B895FBD" w14:textId="77777777" w:rsidR="000E7A5A" w:rsidRPr="00536400" w:rsidRDefault="00306071"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evropska kohezijska politika</w:t>
            </w:r>
          </w:p>
        </w:tc>
      </w:tr>
      <w:tr w:rsidR="000E7A5A" w:rsidRPr="00F425EA" w14:paraId="276A5D58" w14:textId="77777777" w:rsidTr="00F7FCEE">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34A9469" w14:textId="77777777" w:rsidR="000E7A5A" w:rsidRPr="00536400" w:rsidRDefault="00306071"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EKSRP</w:t>
            </w:r>
          </w:p>
        </w:tc>
        <w:tc>
          <w:tcPr>
            <w:tcW w:w="6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F2C73FC" w14:textId="77777777" w:rsidR="000E7A5A" w:rsidRPr="00536400" w:rsidRDefault="00306071"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Evropski kmetijski sklad za razvoj podeželja</w:t>
            </w:r>
          </w:p>
        </w:tc>
      </w:tr>
      <w:tr w:rsidR="000E7A5A" w:rsidRPr="00F425EA" w14:paraId="65421679" w14:textId="77777777" w:rsidTr="00F7FCEE">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68BC7CB" w14:textId="5E7A8795" w:rsidR="000E7A5A" w:rsidRPr="00536400" w:rsidRDefault="00306071"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e-MA</w:t>
            </w:r>
            <w:r w:rsidR="008E751E" w:rsidRPr="00536400">
              <w:rPr>
                <w:rFonts w:eastAsia="SimSun" w:cs="Arial"/>
                <w:bCs/>
                <w:szCs w:val="20"/>
                <w:lang w:eastAsia="zh-CN"/>
              </w:rPr>
              <w:t>2</w:t>
            </w:r>
          </w:p>
        </w:tc>
        <w:tc>
          <w:tcPr>
            <w:tcW w:w="6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B7C93E2" w14:textId="77777777" w:rsidR="000E7A5A" w:rsidRPr="00536400" w:rsidRDefault="00306071" w:rsidP="00E247FF">
            <w:pPr>
              <w:tabs>
                <w:tab w:val="left" w:pos="567"/>
              </w:tabs>
              <w:spacing w:after="0" w:line="276" w:lineRule="auto"/>
              <w:jc w:val="both"/>
              <w:rPr>
                <w:rFonts w:cs="Arial"/>
                <w:szCs w:val="20"/>
              </w:rPr>
            </w:pPr>
            <w:r w:rsidRPr="00536400">
              <w:rPr>
                <w:rFonts w:cs="Arial"/>
                <w:szCs w:val="20"/>
              </w:rPr>
              <w:t>informacijski sistem organa upravljanja</w:t>
            </w:r>
          </w:p>
        </w:tc>
      </w:tr>
      <w:tr w:rsidR="000E7A5A" w:rsidRPr="00F425EA" w14:paraId="676377C1" w14:textId="77777777" w:rsidTr="00F7FCEE">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36503D6" w14:textId="77777777" w:rsidR="000E7A5A" w:rsidRPr="00536400" w:rsidRDefault="00306071"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ESIF</w:t>
            </w:r>
          </w:p>
        </w:tc>
        <w:tc>
          <w:tcPr>
            <w:tcW w:w="6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097B765" w14:textId="249BD181" w:rsidR="000E7A5A" w:rsidRPr="00536400" w:rsidRDefault="00306071" w:rsidP="00B53156">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evropski strukturni in investicijski skladi kot viri financiranja OP:</w:t>
            </w:r>
            <w:r w:rsidR="00B53156" w:rsidRPr="00536400">
              <w:rPr>
                <w:rFonts w:eastAsia="SimSun" w:cs="Arial"/>
                <w:bCs/>
                <w:szCs w:val="20"/>
                <w:lang w:eastAsia="zh-CN"/>
              </w:rPr>
              <w:t xml:space="preserve"> </w:t>
            </w:r>
            <w:r w:rsidRPr="00536400">
              <w:rPr>
                <w:rFonts w:eastAsia="SimSun" w:cs="Arial"/>
                <w:bCs/>
                <w:szCs w:val="20"/>
                <w:lang w:eastAsia="zh-CN"/>
              </w:rPr>
              <w:t>Evropski sklad za regionalni razvoj (ESRR), Evropski socialni sklad (ESS) in Kohezijski sklad (KS)</w:t>
            </w:r>
          </w:p>
        </w:tc>
      </w:tr>
      <w:tr w:rsidR="0008326A" w:rsidRPr="00F425EA" w14:paraId="3B5885CA" w14:textId="77777777" w:rsidTr="00F7FCEE">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3B8AEED" w14:textId="39152E35" w:rsidR="0008326A" w:rsidRPr="00536400" w:rsidRDefault="0008326A"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ESS+</w:t>
            </w:r>
          </w:p>
        </w:tc>
        <w:tc>
          <w:tcPr>
            <w:tcW w:w="6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F1B74B1" w14:textId="042B9B0F" w:rsidR="0008326A" w:rsidRPr="00536400" w:rsidRDefault="0008326A" w:rsidP="00B53156">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Evropski socialni sklad</w:t>
            </w:r>
          </w:p>
        </w:tc>
      </w:tr>
      <w:tr w:rsidR="000E7A5A" w:rsidRPr="00F425EA" w14:paraId="7F7DC1DC" w14:textId="77777777" w:rsidTr="00F7FCEE">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DF60DB0" w14:textId="77777777" w:rsidR="000E7A5A" w:rsidRPr="00536400" w:rsidRDefault="00306071"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ERS</w:t>
            </w:r>
          </w:p>
        </w:tc>
        <w:tc>
          <w:tcPr>
            <w:tcW w:w="6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3780C55" w14:textId="77777777" w:rsidR="000E7A5A" w:rsidRPr="00536400" w:rsidRDefault="00306071"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Evropsko računsko sodišče</w:t>
            </w:r>
          </w:p>
        </w:tc>
      </w:tr>
      <w:tr w:rsidR="000E7A5A" w:rsidRPr="00F425EA" w14:paraId="009434BC" w14:textId="77777777" w:rsidTr="00F7FCEE">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68322D7" w14:textId="77777777" w:rsidR="000E7A5A" w:rsidRPr="00536400" w:rsidRDefault="00306071"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ESPR</w:t>
            </w:r>
          </w:p>
        </w:tc>
        <w:tc>
          <w:tcPr>
            <w:tcW w:w="6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FDC46C8" w14:textId="77777777" w:rsidR="000E7A5A" w:rsidRPr="00536400" w:rsidRDefault="00306071"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Evropski sklad za pomorstvo in ribištvo</w:t>
            </w:r>
          </w:p>
        </w:tc>
      </w:tr>
      <w:tr w:rsidR="000E7A5A" w:rsidRPr="00F425EA" w14:paraId="425591B6" w14:textId="77777777" w:rsidTr="00F7FCEE">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0B7CE1D" w14:textId="77777777" w:rsidR="000E7A5A" w:rsidRPr="00536400" w:rsidRDefault="00306071"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EU</w:t>
            </w:r>
          </w:p>
        </w:tc>
        <w:tc>
          <w:tcPr>
            <w:tcW w:w="6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66B02C2" w14:textId="77777777" w:rsidR="000E7A5A" w:rsidRPr="00536400" w:rsidRDefault="00306071"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Evropska unija</w:t>
            </w:r>
          </w:p>
        </w:tc>
      </w:tr>
      <w:tr w:rsidR="00E03293" w:rsidRPr="00F425EA" w14:paraId="6C821873" w14:textId="77777777" w:rsidTr="00F7FCEE">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C826882" w14:textId="208003AE" w:rsidR="00E03293" w:rsidRPr="00536400" w:rsidRDefault="00E03293" w:rsidP="00E247FF">
            <w:pPr>
              <w:tabs>
                <w:tab w:val="left" w:pos="567"/>
              </w:tabs>
              <w:spacing w:after="0" w:line="276" w:lineRule="auto"/>
              <w:jc w:val="both"/>
              <w:rPr>
                <w:rFonts w:eastAsia="SimSun" w:cs="Arial"/>
                <w:bCs/>
                <w:szCs w:val="20"/>
                <w:lang w:eastAsia="zh-CN"/>
              </w:rPr>
            </w:pPr>
            <w:proofErr w:type="spellStart"/>
            <w:r w:rsidRPr="00536400">
              <w:rPr>
                <w:rFonts w:eastAsia="SimSun" w:cs="Arial"/>
                <w:bCs/>
                <w:szCs w:val="20"/>
                <w:lang w:eastAsia="zh-CN"/>
              </w:rPr>
              <w:t>Euratom</w:t>
            </w:r>
            <w:proofErr w:type="spellEnd"/>
          </w:p>
        </w:tc>
        <w:tc>
          <w:tcPr>
            <w:tcW w:w="6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1EFEDCA" w14:textId="1472A142" w:rsidR="00E03293" w:rsidRPr="00536400" w:rsidRDefault="001C5C72"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 xml:space="preserve">Pogodba </w:t>
            </w:r>
            <w:proofErr w:type="spellStart"/>
            <w:r w:rsidRPr="00536400">
              <w:rPr>
                <w:rFonts w:eastAsia="SimSun" w:cs="Arial"/>
                <w:bCs/>
                <w:szCs w:val="20"/>
                <w:lang w:eastAsia="zh-CN"/>
              </w:rPr>
              <w:t>Euratom</w:t>
            </w:r>
            <w:proofErr w:type="spellEnd"/>
          </w:p>
        </w:tc>
      </w:tr>
      <w:tr w:rsidR="000E7A5A" w:rsidRPr="00F425EA" w14:paraId="61919B6B" w14:textId="77777777" w:rsidTr="00F7FCEE">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7C3C6A9" w14:textId="77777777" w:rsidR="000E7A5A" w:rsidRPr="00536400" w:rsidRDefault="00306071"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FI</w:t>
            </w:r>
          </w:p>
        </w:tc>
        <w:tc>
          <w:tcPr>
            <w:tcW w:w="6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CA92F8A" w14:textId="77777777" w:rsidR="000E7A5A" w:rsidRPr="00536400" w:rsidRDefault="00306071"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finančni instrumenti</w:t>
            </w:r>
          </w:p>
        </w:tc>
      </w:tr>
      <w:tr w:rsidR="00B53156" w:rsidRPr="00F425EA" w14:paraId="0EABE5FC" w14:textId="77777777" w:rsidTr="00F7FCEE">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DE48708" w14:textId="4D82B725" w:rsidR="00B53156" w:rsidRPr="00536400" w:rsidRDefault="00B53156"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JASPER</w:t>
            </w:r>
          </w:p>
        </w:tc>
        <w:tc>
          <w:tcPr>
            <w:tcW w:w="6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31D1B45" w14:textId="006EF56B" w:rsidR="00B53156" w:rsidRPr="00536400" w:rsidRDefault="006A20E7" w:rsidP="00E247FF">
            <w:pPr>
              <w:tabs>
                <w:tab w:val="left" w:pos="567"/>
              </w:tabs>
              <w:spacing w:after="0" w:line="276" w:lineRule="auto"/>
              <w:jc w:val="both"/>
              <w:rPr>
                <w:rFonts w:eastAsia="MS Mincho" w:cs="Arial"/>
                <w:szCs w:val="20"/>
              </w:rPr>
            </w:pPr>
            <w:proofErr w:type="spellStart"/>
            <w:r w:rsidRPr="00536400">
              <w:rPr>
                <w:rFonts w:eastAsia="MS Mincho" w:cs="Arial"/>
                <w:szCs w:val="20"/>
              </w:rPr>
              <w:t>Joint</w:t>
            </w:r>
            <w:proofErr w:type="spellEnd"/>
            <w:r w:rsidRPr="00536400">
              <w:rPr>
                <w:rFonts w:eastAsia="MS Mincho" w:cs="Arial"/>
                <w:szCs w:val="20"/>
              </w:rPr>
              <w:t xml:space="preserve"> </w:t>
            </w:r>
            <w:proofErr w:type="spellStart"/>
            <w:r w:rsidRPr="00536400">
              <w:rPr>
                <w:rFonts w:eastAsia="MS Mincho" w:cs="Arial"/>
                <w:szCs w:val="20"/>
              </w:rPr>
              <w:t>Assistance</w:t>
            </w:r>
            <w:proofErr w:type="spellEnd"/>
            <w:r w:rsidRPr="00536400">
              <w:rPr>
                <w:rFonts w:eastAsia="MS Mincho" w:cs="Arial"/>
                <w:szCs w:val="20"/>
              </w:rPr>
              <w:t xml:space="preserve"> to </w:t>
            </w:r>
            <w:proofErr w:type="spellStart"/>
            <w:r w:rsidRPr="00536400">
              <w:rPr>
                <w:rFonts w:eastAsia="MS Mincho" w:cs="Arial"/>
                <w:szCs w:val="20"/>
              </w:rPr>
              <w:t>Support</w:t>
            </w:r>
            <w:proofErr w:type="spellEnd"/>
            <w:r w:rsidRPr="00536400">
              <w:rPr>
                <w:rFonts w:eastAsia="MS Mincho" w:cs="Arial"/>
                <w:szCs w:val="20"/>
              </w:rPr>
              <w:t xml:space="preserve"> </w:t>
            </w:r>
            <w:proofErr w:type="spellStart"/>
            <w:r w:rsidRPr="00536400">
              <w:rPr>
                <w:rFonts w:eastAsia="MS Mincho" w:cs="Arial"/>
                <w:szCs w:val="20"/>
              </w:rPr>
              <w:t>Projects</w:t>
            </w:r>
            <w:proofErr w:type="spellEnd"/>
            <w:r w:rsidRPr="00536400">
              <w:rPr>
                <w:rFonts w:eastAsia="MS Mincho" w:cs="Arial"/>
                <w:szCs w:val="20"/>
              </w:rPr>
              <w:t xml:space="preserve"> in </w:t>
            </w:r>
            <w:proofErr w:type="spellStart"/>
            <w:r w:rsidRPr="00536400">
              <w:rPr>
                <w:rFonts w:eastAsia="MS Mincho" w:cs="Arial"/>
                <w:szCs w:val="20"/>
              </w:rPr>
              <w:t>European</w:t>
            </w:r>
            <w:proofErr w:type="spellEnd"/>
            <w:r w:rsidRPr="00536400">
              <w:rPr>
                <w:rFonts w:eastAsia="MS Mincho" w:cs="Arial"/>
                <w:szCs w:val="20"/>
              </w:rPr>
              <w:t xml:space="preserve"> </w:t>
            </w:r>
            <w:proofErr w:type="spellStart"/>
            <w:r w:rsidRPr="00536400">
              <w:rPr>
                <w:rFonts w:eastAsia="MS Mincho" w:cs="Arial"/>
                <w:szCs w:val="20"/>
              </w:rPr>
              <w:t>Regions</w:t>
            </w:r>
            <w:proofErr w:type="spellEnd"/>
          </w:p>
        </w:tc>
      </w:tr>
      <w:tr w:rsidR="002A1D8C" w:rsidRPr="00F425EA" w14:paraId="24570F02" w14:textId="77777777" w:rsidTr="00F7FCEE">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F62E482" w14:textId="618197E4" w:rsidR="002A1D8C" w:rsidRPr="00536400" w:rsidRDefault="002A1D8C"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JPP</w:t>
            </w:r>
          </w:p>
        </w:tc>
        <w:tc>
          <w:tcPr>
            <w:tcW w:w="6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FE52206" w14:textId="5F7763CA" w:rsidR="002A1D8C" w:rsidRPr="00536400" w:rsidRDefault="006A20E7" w:rsidP="00E247FF">
            <w:pPr>
              <w:tabs>
                <w:tab w:val="left" w:pos="567"/>
              </w:tabs>
              <w:spacing w:after="0" w:line="276" w:lineRule="auto"/>
              <w:jc w:val="both"/>
              <w:rPr>
                <w:rFonts w:eastAsia="MS Mincho" w:cs="Arial"/>
                <w:szCs w:val="20"/>
              </w:rPr>
            </w:pPr>
            <w:r w:rsidRPr="00536400">
              <w:rPr>
                <w:rFonts w:eastAsia="MS Mincho" w:cs="Arial"/>
                <w:szCs w:val="20"/>
              </w:rPr>
              <w:t>Javni potniški promet</w:t>
            </w:r>
          </w:p>
        </w:tc>
      </w:tr>
      <w:tr w:rsidR="000E7A5A" w:rsidRPr="00F425EA" w14:paraId="7A1CABAD" w14:textId="77777777" w:rsidTr="00F7FCEE">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04535B" w14:textId="77777777" w:rsidR="000E7A5A" w:rsidRPr="00536400" w:rsidRDefault="00306071"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JR</w:t>
            </w:r>
          </w:p>
        </w:tc>
        <w:tc>
          <w:tcPr>
            <w:tcW w:w="6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2FE8ABA" w14:textId="77777777" w:rsidR="000E7A5A" w:rsidRPr="00536400" w:rsidRDefault="00306071" w:rsidP="00E247FF">
            <w:pPr>
              <w:tabs>
                <w:tab w:val="left" w:pos="567"/>
              </w:tabs>
              <w:spacing w:after="0" w:line="276" w:lineRule="auto"/>
              <w:jc w:val="both"/>
              <w:rPr>
                <w:rFonts w:eastAsia="MS Mincho" w:cs="Arial"/>
                <w:szCs w:val="20"/>
              </w:rPr>
            </w:pPr>
            <w:r w:rsidRPr="00536400">
              <w:rPr>
                <w:rFonts w:eastAsia="MS Mincho" w:cs="Arial"/>
                <w:szCs w:val="20"/>
              </w:rPr>
              <w:t>javni razpis</w:t>
            </w:r>
          </w:p>
        </w:tc>
      </w:tr>
      <w:tr w:rsidR="002A1D8C" w:rsidRPr="00F425EA" w14:paraId="1B86600A" w14:textId="77777777" w:rsidTr="00F7FCEE">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A43C809" w14:textId="2F4E7E19" w:rsidR="002A1D8C" w:rsidRPr="00536400" w:rsidRDefault="002A1D8C"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KTO</w:t>
            </w:r>
          </w:p>
        </w:tc>
        <w:tc>
          <w:tcPr>
            <w:tcW w:w="6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55DD378" w14:textId="2768FC95" w:rsidR="002A1D8C" w:rsidRPr="00536400" w:rsidRDefault="006A20E7" w:rsidP="00E247FF">
            <w:pPr>
              <w:tabs>
                <w:tab w:val="left" w:pos="567"/>
              </w:tabs>
              <w:spacing w:after="0" w:line="276" w:lineRule="auto"/>
              <w:jc w:val="both"/>
              <w:rPr>
                <w:rFonts w:eastAsia="MS Mincho" w:cs="Arial"/>
                <w:szCs w:val="20"/>
              </w:rPr>
            </w:pPr>
            <w:r w:rsidRPr="00536400">
              <w:rPr>
                <w:rFonts w:eastAsia="MS Mincho" w:cs="Arial"/>
                <w:szCs w:val="20"/>
              </w:rPr>
              <w:t>nadgradnja pisarn za prenos znanja</w:t>
            </w:r>
          </w:p>
        </w:tc>
      </w:tr>
      <w:tr w:rsidR="002A1D8C" w:rsidRPr="00F425EA" w14:paraId="570A4D1D" w14:textId="77777777" w:rsidTr="00F7FCEE">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13538CD" w14:textId="0566F274" w:rsidR="002A1D8C" w:rsidRPr="00536400" w:rsidRDefault="002A1D8C"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KRVS</w:t>
            </w:r>
          </w:p>
        </w:tc>
        <w:tc>
          <w:tcPr>
            <w:tcW w:w="6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1D0EC69" w14:textId="43C5CCF0" w:rsidR="002A1D8C" w:rsidRPr="00536400" w:rsidRDefault="002F2790" w:rsidP="00E247FF">
            <w:pPr>
              <w:tabs>
                <w:tab w:val="left" w:pos="567"/>
              </w:tabs>
              <w:spacing w:after="0" w:line="276" w:lineRule="auto"/>
              <w:jc w:val="both"/>
              <w:rPr>
                <w:rFonts w:eastAsia="MS Mincho" w:cs="Arial"/>
                <w:szCs w:val="20"/>
              </w:rPr>
            </w:pPr>
            <w:r w:rsidRPr="00536400">
              <w:rPr>
                <w:rFonts w:eastAsia="MS Mincho" w:cs="Arial"/>
                <w:szCs w:val="20"/>
              </w:rPr>
              <w:t>Kohezijska regija vzhodne Slovenije</w:t>
            </w:r>
          </w:p>
        </w:tc>
      </w:tr>
      <w:tr w:rsidR="002A1D8C" w:rsidRPr="00F425EA" w14:paraId="52DB11F8" w14:textId="77777777" w:rsidTr="00F7FCEE">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81AC313" w14:textId="51108568" w:rsidR="002A1D8C" w:rsidRPr="00536400" w:rsidRDefault="002A1D8C"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KRZS</w:t>
            </w:r>
          </w:p>
        </w:tc>
        <w:tc>
          <w:tcPr>
            <w:tcW w:w="6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5BA9B0D" w14:textId="36CB2FC9" w:rsidR="002A1D8C" w:rsidRPr="00536400" w:rsidRDefault="002F2790" w:rsidP="00E247FF">
            <w:pPr>
              <w:tabs>
                <w:tab w:val="left" w:pos="567"/>
              </w:tabs>
              <w:spacing w:after="0" w:line="276" w:lineRule="auto"/>
              <w:jc w:val="both"/>
              <w:rPr>
                <w:rFonts w:eastAsia="MS Mincho" w:cs="Arial"/>
                <w:szCs w:val="20"/>
              </w:rPr>
            </w:pPr>
            <w:r w:rsidRPr="00536400">
              <w:rPr>
                <w:rFonts w:eastAsia="MS Mincho" w:cs="Arial"/>
                <w:szCs w:val="20"/>
              </w:rPr>
              <w:t>Kohezijska regija zahodne Slovenije</w:t>
            </w:r>
          </w:p>
        </w:tc>
      </w:tr>
      <w:tr w:rsidR="00CA6C0E" w:rsidRPr="00F425EA" w14:paraId="60FBB67F" w14:textId="77777777" w:rsidTr="00F7FCEE">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18619E5" w14:textId="0B2793A3" w:rsidR="00CA6C0E" w:rsidRPr="00536400" w:rsidRDefault="00CA6C0E"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KS</w:t>
            </w:r>
          </w:p>
        </w:tc>
        <w:tc>
          <w:tcPr>
            <w:tcW w:w="6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09C231B" w14:textId="2EB4B944" w:rsidR="00CA6C0E" w:rsidRPr="00536400" w:rsidRDefault="006A20E7" w:rsidP="00E247FF">
            <w:pPr>
              <w:tabs>
                <w:tab w:val="left" w:pos="567"/>
              </w:tabs>
              <w:spacing w:after="0" w:line="276" w:lineRule="auto"/>
              <w:jc w:val="both"/>
              <w:rPr>
                <w:rFonts w:eastAsia="MS Mincho" w:cs="Arial"/>
                <w:szCs w:val="20"/>
              </w:rPr>
            </w:pPr>
            <w:r w:rsidRPr="00536400">
              <w:rPr>
                <w:rFonts w:eastAsia="MS Mincho" w:cs="Arial"/>
                <w:szCs w:val="20"/>
              </w:rPr>
              <w:t>Kohezijski sklad</w:t>
            </w:r>
          </w:p>
        </w:tc>
      </w:tr>
      <w:tr w:rsidR="000E7A5A" w:rsidRPr="00F425EA" w14:paraId="564173C9" w14:textId="77777777" w:rsidTr="00F7FCEE">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8F30F33" w14:textId="77777777" w:rsidR="000E7A5A" w:rsidRPr="00536400" w:rsidRDefault="00306071"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LAS</w:t>
            </w:r>
          </w:p>
        </w:tc>
        <w:tc>
          <w:tcPr>
            <w:tcW w:w="6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F9AF1F7" w14:textId="77777777" w:rsidR="000E7A5A" w:rsidRPr="00536400" w:rsidRDefault="00306071" w:rsidP="00E247FF">
            <w:pPr>
              <w:tabs>
                <w:tab w:val="left" w:pos="567"/>
              </w:tabs>
              <w:spacing w:after="0" w:line="276" w:lineRule="auto"/>
              <w:jc w:val="both"/>
              <w:rPr>
                <w:rFonts w:cs="Arial"/>
                <w:szCs w:val="20"/>
              </w:rPr>
            </w:pPr>
            <w:r w:rsidRPr="00536400">
              <w:rPr>
                <w:rFonts w:eastAsia="MS Mincho" w:cs="Arial"/>
                <w:szCs w:val="20"/>
              </w:rPr>
              <w:t>lokalne akcijske skupine</w:t>
            </w:r>
          </w:p>
        </w:tc>
      </w:tr>
      <w:tr w:rsidR="000E7A5A" w:rsidRPr="00F425EA" w14:paraId="64B6E964" w14:textId="77777777" w:rsidTr="00F7FCEE">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03C4CE" w14:textId="77777777" w:rsidR="000E7A5A" w:rsidRPr="00536400" w:rsidRDefault="00306071" w:rsidP="00E247FF">
            <w:pPr>
              <w:tabs>
                <w:tab w:val="left" w:pos="567"/>
              </w:tabs>
              <w:spacing w:after="0" w:line="276" w:lineRule="auto"/>
              <w:jc w:val="both"/>
              <w:rPr>
                <w:rFonts w:eastAsia="SimSun" w:cs="Arial"/>
                <w:bCs/>
                <w:szCs w:val="20"/>
                <w:lang w:eastAsia="zh-CN"/>
              </w:rPr>
            </w:pPr>
            <w:proofErr w:type="spellStart"/>
            <w:r w:rsidRPr="00536400">
              <w:rPr>
                <w:rFonts w:eastAsia="SimSun" w:cs="Arial"/>
                <w:bCs/>
                <w:szCs w:val="20"/>
                <w:lang w:eastAsia="zh-CN"/>
              </w:rPr>
              <w:t>MFeRAC</w:t>
            </w:r>
            <w:proofErr w:type="spellEnd"/>
          </w:p>
        </w:tc>
        <w:tc>
          <w:tcPr>
            <w:tcW w:w="6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3A1E40F" w14:textId="77777777" w:rsidR="000E7A5A" w:rsidRPr="00536400" w:rsidRDefault="00306071" w:rsidP="00E247FF">
            <w:pPr>
              <w:tabs>
                <w:tab w:val="left" w:pos="567"/>
              </w:tabs>
              <w:spacing w:after="0" w:line="276" w:lineRule="auto"/>
              <w:jc w:val="both"/>
              <w:rPr>
                <w:rFonts w:cs="Arial"/>
                <w:szCs w:val="20"/>
              </w:rPr>
            </w:pPr>
            <w:r w:rsidRPr="00536400">
              <w:rPr>
                <w:rFonts w:cs="Arial"/>
                <w:szCs w:val="20"/>
              </w:rPr>
              <w:t xml:space="preserve">enoten, računalniško podprt računovodski sistem za izvrševanje državnega proračuna </w:t>
            </w:r>
          </w:p>
        </w:tc>
      </w:tr>
      <w:tr w:rsidR="000E7A5A" w:rsidRPr="00F425EA" w14:paraId="179F6381" w14:textId="77777777" w:rsidTr="00F7FCEE">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248847" w14:textId="77777777" w:rsidR="000E7A5A" w:rsidRPr="00536400" w:rsidRDefault="00306071"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MDP</w:t>
            </w:r>
          </w:p>
        </w:tc>
        <w:tc>
          <w:tcPr>
            <w:tcW w:w="6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C8CFBAA" w14:textId="77777777" w:rsidR="000E7A5A" w:rsidRPr="00536400" w:rsidRDefault="00306071" w:rsidP="00E247FF">
            <w:pPr>
              <w:tabs>
                <w:tab w:val="left" w:pos="567"/>
              </w:tabs>
              <w:spacing w:after="0" w:line="276" w:lineRule="auto"/>
              <w:jc w:val="both"/>
              <w:rPr>
                <w:rFonts w:cs="Arial"/>
                <w:szCs w:val="20"/>
              </w:rPr>
            </w:pPr>
            <w:r w:rsidRPr="00536400">
              <w:rPr>
                <w:rFonts w:cs="Arial"/>
                <w:szCs w:val="20"/>
              </w:rPr>
              <w:t xml:space="preserve">Ministrstvo za digitalno preobrazbo </w:t>
            </w:r>
          </w:p>
        </w:tc>
      </w:tr>
      <w:tr w:rsidR="000E7A5A" w:rsidRPr="00F425EA" w14:paraId="61B74C70" w14:textId="77777777" w:rsidTr="00F7FCEE">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B90EEC" w14:textId="77777777" w:rsidR="000E7A5A" w:rsidRPr="00536400" w:rsidRDefault="00306071"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MDDSZ</w:t>
            </w:r>
          </w:p>
        </w:tc>
        <w:tc>
          <w:tcPr>
            <w:tcW w:w="6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E7E6361" w14:textId="77777777" w:rsidR="000E7A5A" w:rsidRPr="00536400" w:rsidRDefault="00306071" w:rsidP="00E247FF">
            <w:pPr>
              <w:tabs>
                <w:tab w:val="left" w:pos="567"/>
              </w:tabs>
              <w:spacing w:after="0" w:line="276" w:lineRule="auto"/>
              <w:jc w:val="both"/>
              <w:rPr>
                <w:rFonts w:cs="Arial"/>
                <w:szCs w:val="20"/>
              </w:rPr>
            </w:pPr>
            <w:r w:rsidRPr="00536400">
              <w:rPr>
                <w:rFonts w:eastAsia="SimSun" w:cs="Arial"/>
                <w:bCs/>
                <w:szCs w:val="20"/>
                <w:lang w:eastAsia="zh-CN"/>
              </w:rPr>
              <w:t>Ministrstvo za delo, družino, socialne zadeve in enake možnosti</w:t>
            </w:r>
          </w:p>
        </w:tc>
      </w:tr>
      <w:tr w:rsidR="000E7A5A" w:rsidRPr="00F425EA" w14:paraId="535C9916" w14:textId="77777777" w:rsidTr="00F7FCEE">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FFC5A79" w14:textId="77777777" w:rsidR="000E7A5A" w:rsidRPr="00536400" w:rsidRDefault="00306071" w:rsidP="00E247FF">
            <w:pPr>
              <w:tabs>
                <w:tab w:val="left" w:pos="567"/>
              </w:tabs>
              <w:spacing w:after="0" w:line="276" w:lineRule="auto"/>
              <w:jc w:val="both"/>
              <w:rPr>
                <w:rFonts w:cs="Arial"/>
                <w:szCs w:val="20"/>
              </w:rPr>
            </w:pPr>
            <w:r w:rsidRPr="00536400">
              <w:rPr>
                <w:rFonts w:cs="Arial"/>
                <w:szCs w:val="20"/>
              </w:rPr>
              <w:t>MF</w:t>
            </w:r>
          </w:p>
        </w:tc>
        <w:tc>
          <w:tcPr>
            <w:tcW w:w="6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F27C27B" w14:textId="77777777" w:rsidR="000E7A5A" w:rsidRPr="00536400" w:rsidRDefault="00306071"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Ministrstvo za finance</w:t>
            </w:r>
          </w:p>
        </w:tc>
      </w:tr>
      <w:tr w:rsidR="000E7A5A" w:rsidRPr="00F425EA" w14:paraId="6B8E7816" w14:textId="77777777" w:rsidTr="00F7FCEE">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269C7DF" w14:textId="77777777" w:rsidR="000E7A5A" w:rsidRPr="00536400" w:rsidRDefault="00306071"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MGTŠ</w:t>
            </w:r>
          </w:p>
        </w:tc>
        <w:tc>
          <w:tcPr>
            <w:tcW w:w="6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F25788C" w14:textId="77777777" w:rsidR="000E7A5A" w:rsidRPr="00536400" w:rsidRDefault="00306071"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Ministrstvo za gospodarstvo, turizem in šport</w:t>
            </w:r>
          </w:p>
        </w:tc>
      </w:tr>
      <w:tr w:rsidR="000E7A5A" w:rsidRPr="00F425EA" w14:paraId="25BF91A9" w14:textId="77777777" w:rsidTr="00F7FCEE">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3A1CD0A" w14:textId="77777777" w:rsidR="000E7A5A" w:rsidRPr="00536400" w:rsidRDefault="00306071"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MSP</w:t>
            </w:r>
          </w:p>
        </w:tc>
        <w:tc>
          <w:tcPr>
            <w:tcW w:w="6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143EBF4" w14:textId="28B01454" w:rsidR="000E7A5A" w:rsidRPr="00536400" w:rsidRDefault="00B53156"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Ministrstvo</w:t>
            </w:r>
            <w:r w:rsidR="00306071" w:rsidRPr="00536400">
              <w:rPr>
                <w:rFonts w:eastAsia="SimSun" w:cs="Arial"/>
                <w:bCs/>
                <w:szCs w:val="20"/>
                <w:lang w:eastAsia="zh-CN"/>
              </w:rPr>
              <w:t xml:space="preserve"> za solidarno prihodnost </w:t>
            </w:r>
          </w:p>
        </w:tc>
      </w:tr>
      <w:tr w:rsidR="000E7A5A" w:rsidRPr="00F425EA" w14:paraId="4DA37F2C" w14:textId="77777777" w:rsidTr="00F7FCEE">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7BB203E" w14:textId="77777777" w:rsidR="000E7A5A" w:rsidRPr="00536400" w:rsidRDefault="00306071"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MKRR</w:t>
            </w:r>
          </w:p>
        </w:tc>
        <w:tc>
          <w:tcPr>
            <w:tcW w:w="6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0D099A8" w14:textId="77777777" w:rsidR="000E7A5A" w:rsidRPr="00536400" w:rsidRDefault="00306071"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Ministrstvo za kohezijo in regionalni razvoj</w:t>
            </w:r>
          </w:p>
        </w:tc>
      </w:tr>
      <w:tr w:rsidR="00B53156" w:rsidRPr="00F425EA" w14:paraId="3D771D6E" w14:textId="77777777" w:rsidTr="00F7FCEE">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C5B9C4C" w14:textId="7F23DDA1" w:rsidR="00B53156" w:rsidRPr="00536400" w:rsidRDefault="00B53156"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MKPI</w:t>
            </w:r>
          </w:p>
        </w:tc>
        <w:tc>
          <w:tcPr>
            <w:tcW w:w="6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1881AC0" w14:textId="2D4AAEF4" w:rsidR="00B53156" w:rsidRPr="00536400" w:rsidRDefault="002B2290"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Konvencijo o pravicah invalidov in Izbirnim protokolom h Konvenciji o pravicah invalidov</w:t>
            </w:r>
          </w:p>
        </w:tc>
      </w:tr>
      <w:tr w:rsidR="000E7A5A" w:rsidRPr="00F425EA" w14:paraId="29C6814C" w14:textId="77777777" w:rsidTr="00F7FCEE">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4529D38" w14:textId="77777777" w:rsidR="000E7A5A" w:rsidRPr="00536400" w:rsidRDefault="00306071" w:rsidP="00E247FF">
            <w:pPr>
              <w:tabs>
                <w:tab w:val="left" w:pos="567"/>
              </w:tabs>
              <w:spacing w:after="0" w:line="276" w:lineRule="auto"/>
              <w:jc w:val="both"/>
              <w:rPr>
                <w:rFonts w:cs="Arial"/>
                <w:szCs w:val="20"/>
              </w:rPr>
            </w:pPr>
            <w:r w:rsidRPr="00536400">
              <w:rPr>
                <w:rFonts w:cs="Arial"/>
                <w:szCs w:val="20"/>
              </w:rPr>
              <w:t>MNVP</w:t>
            </w:r>
          </w:p>
        </w:tc>
        <w:tc>
          <w:tcPr>
            <w:tcW w:w="6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06625D7" w14:textId="77777777" w:rsidR="000E7A5A" w:rsidRPr="00536400" w:rsidRDefault="00306071"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Ministrstvo za naravne vire in prostor</w:t>
            </w:r>
          </w:p>
        </w:tc>
      </w:tr>
      <w:tr w:rsidR="000E7A5A" w:rsidRPr="00F425EA" w14:paraId="3A41F5DE" w14:textId="77777777" w:rsidTr="00F7FCEE">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F5B126E" w14:textId="77777777" w:rsidR="000E7A5A" w:rsidRPr="00536400" w:rsidRDefault="00306071"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MOPE</w:t>
            </w:r>
          </w:p>
        </w:tc>
        <w:tc>
          <w:tcPr>
            <w:tcW w:w="6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3DEED4A" w14:textId="77777777" w:rsidR="000E7A5A" w:rsidRPr="00536400" w:rsidRDefault="00306071"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Ministrstvo za okolje, podnebje in energijo</w:t>
            </w:r>
          </w:p>
        </w:tc>
      </w:tr>
      <w:tr w:rsidR="000E7A5A" w:rsidRPr="00F425EA" w14:paraId="568BEE7B" w14:textId="77777777" w:rsidTr="00F7FCEE">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F821227" w14:textId="77777777" w:rsidR="000E7A5A" w:rsidRPr="00536400" w:rsidRDefault="00306071"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MP</w:t>
            </w:r>
          </w:p>
        </w:tc>
        <w:tc>
          <w:tcPr>
            <w:tcW w:w="6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BFF271B" w14:textId="77777777" w:rsidR="000E7A5A" w:rsidRPr="00536400" w:rsidRDefault="00306071"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Ministrstvo za pravosodje</w:t>
            </w:r>
          </w:p>
        </w:tc>
      </w:tr>
      <w:tr w:rsidR="000E7A5A" w:rsidRPr="00F425EA" w14:paraId="14CE6262" w14:textId="77777777" w:rsidTr="00F7FCEE">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148BCF3" w14:textId="77777777" w:rsidR="000E7A5A" w:rsidRPr="00536400" w:rsidRDefault="00306071"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MVI</w:t>
            </w:r>
          </w:p>
        </w:tc>
        <w:tc>
          <w:tcPr>
            <w:tcW w:w="6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E858F11" w14:textId="77777777" w:rsidR="000E7A5A" w:rsidRPr="00536400" w:rsidRDefault="00306071"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Ministrstvo za vzgojo in izobraževanje</w:t>
            </w:r>
          </w:p>
        </w:tc>
      </w:tr>
      <w:tr w:rsidR="000E7A5A" w:rsidRPr="00F425EA" w14:paraId="1E4F4207" w14:textId="77777777" w:rsidTr="00F7FCEE">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CA10FF5" w14:textId="77777777" w:rsidR="000E7A5A" w:rsidRPr="00536400" w:rsidRDefault="00306071"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MVZI</w:t>
            </w:r>
          </w:p>
        </w:tc>
        <w:tc>
          <w:tcPr>
            <w:tcW w:w="6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9EE1959" w14:textId="77777777" w:rsidR="000E7A5A" w:rsidRPr="00536400" w:rsidRDefault="00306071"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Ministrstvo za visoko šolstvo, znanost in inovacije</w:t>
            </w:r>
          </w:p>
        </w:tc>
      </w:tr>
      <w:tr w:rsidR="000E7A5A" w:rsidRPr="00F425EA" w14:paraId="6482CCF1" w14:textId="77777777" w:rsidTr="00F7FCEE">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1A4C016" w14:textId="77777777" w:rsidR="000E7A5A" w:rsidRPr="00536400" w:rsidRDefault="00306071"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MZ</w:t>
            </w:r>
          </w:p>
        </w:tc>
        <w:tc>
          <w:tcPr>
            <w:tcW w:w="6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869F904" w14:textId="77777777" w:rsidR="000E7A5A" w:rsidRPr="00536400" w:rsidRDefault="00306071"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Ministrstvo za zdravje</w:t>
            </w:r>
          </w:p>
        </w:tc>
      </w:tr>
      <w:tr w:rsidR="000E7A5A" w:rsidRPr="00F425EA" w14:paraId="5839030E" w14:textId="77777777" w:rsidTr="00F7FCEE">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8FD2620" w14:textId="77777777" w:rsidR="000E7A5A" w:rsidRPr="00536400" w:rsidRDefault="00306071"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 xml:space="preserve">MZEZ </w:t>
            </w:r>
          </w:p>
        </w:tc>
        <w:tc>
          <w:tcPr>
            <w:tcW w:w="6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2AC54AA" w14:textId="77777777" w:rsidR="000E7A5A" w:rsidRPr="00536400" w:rsidRDefault="00306071"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Ministrstvo za zunanje in evropske zadeve</w:t>
            </w:r>
          </w:p>
        </w:tc>
      </w:tr>
      <w:tr w:rsidR="000E7A5A" w:rsidRPr="00F425EA" w14:paraId="3E001916" w14:textId="77777777" w:rsidTr="00F7FCEE">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E370F52" w14:textId="77777777" w:rsidR="000E7A5A" w:rsidRPr="00536400" w:rsidRDefault="00306071" w:rsidP="00E247FF">
            <w:pPr>
              <w:spacing w:after="0" w:line="276" w:lineRule="auto"/>
              <w:jc w:val="both"/>
              <w:rPr>
                <w:rFonts w:cs="Arial"/>
                <w:szCs w:val="20"/>
              </w:rPr>
            </w:pPr>
            <w:r w:rsidRPr="00536400">
              <w:rPr>
                <w:rFonts w:cs="Arial"/>
                <w:szCs w:val="20"/>
              </w:rPr>
              <w:t>MZI</w:t>
            </w:r>
          </w:p>
        </w:tc>
        <w:tc>
          <w:tcPr>
            <w:tcW w:w="6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1539175" w14:textId="77777777" w:rsidR="000E7A5A" w:rsidRPr="00536400" w:rsidRDefault="00306071"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Ministrstvo za infrastrukturo</w:t>
            </w:r>
          </w:p>
        </w:tc>
      </w:tr>
      <w:tr w:rsidR="000E7A5A" w:rsidRPr="00F425EA" w14:paraId="0A7302AF" w14:textId="77777777" w:rsidTr="00F7FCEE">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4CF23D5" w14:textId="77777777" w:rsidR="000E7A5A" w:rsidRPr="00536400" w:rsidRDefault="00306071"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lastRenderedPageBreak/>
              <w:t>NEPN</w:t>
            </w:r>
          </w:p>
        </w:tc>
        <w:tc>
          <w:tcPr>
            <w:tcW w:w="6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99E56C1" w14:textId="77777777" w:rsidR="000E7A5A" w:rsidRPr="00536400" w:rsidRDefault="00306071"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Celoviti nacionalni energetski in podnebni načrt</w:t>
            </w:r>
          </w:p>
        </w:tc>
      </w:tr>
      <w:tr w:rsidR="000E7A5A" w:rsidRPr="00F425EA" w14:paraId="5F8D9BEB" w14:textId="77777777" w:rsidTr="00F7FCEE">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93A9B82" w14:textId="77777777" w:rsidR="000E7A5A" w:rsidRPr="00536400" w:rsidRDefault="00306071"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NIO</w:t>
            </w:r>
          </w:p>
        </w:tc>
        <w:tc>
          <w:tcPr>
            <w:tcW w:w="6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6CC34F" w14:textId="77777777" w:rsidR="000E7A5A" w:rsidRPr="00536400" w:rsidRDefault="00306071"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način izbora operacije: javni razpis, javni poziv ali neposredna potrditev operacije, programa</w:t>
            </w:r>
          </w:p>
        </w:tc>
      </w:tr>
      <w:tr w:rsidR="000E7A5A" w:rsidRPr="00F425EA" w14:paraId="75A7E872" w14:textId="77777777" w:rsidTr="00F7FCEE">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6A367A1" w14:textId="77777777" w:rsidR="000E7A5A" w:rsidRPr="00536400" w:rsidRDefault="00306071"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NPO</w:t>
            </w:r>
          </w:p>
        </w:tc>
        <w:tc>
          <w:tcPr>
            <w:tcW w:w="6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5CB5C7C" w14:textId="77777777" w:rsidR="000E7A5A" w:rsidRPr="00536400" w:rsidRDefault="00306071"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neposredna potrditev operacije</w:t>
            </w:r>
          </w:p>
        </w:tc>
      </w:tr>
      <w:tr w:rsidR="000E7A5A" w:rsidRPr="00F425EA" w14:paraId="0D833C91" w14:textId="77777777" w:rsidTr="00F7FCEE">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43CB503" w14:textId="77777777" w:rsidR="000E7A5A" w:rsidRPr="00536400" w:rsidRDefault="00306071"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operacija</w:t>
            </w:r>
          </w:p>
        </w:tc>
        <w:tc>
          <w:tcPr>
            <w:tcW w:w="6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7F92EBF" w14:textId="77777777" w:rsidR="000E7A5A" w:rsidRPr="00536400" w:rsidRDefault="00306071"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potrjen projekt ali skupina projektov, ki jo izvaja en upravičenec ali več teh, ali potrjen program, ki ga izvaja upravičenec za doseganje ciljev prednostnih osi</w:t>
            </w:r>
          </w:p>
        </w:tc>
      </w:tr>
      <w:tr w:rsidR="002A1D8C" w:rsidRPr="00F425EA" w14:paraId="6E78F908" w14:textId="77777777" w:rsidTr="00F7FCEE">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925B7C8" w14:textId="3FEBE12A" w:rsidR="002A1D8C" w:rsidRPr="00536400" w:rsidRDefault="002A1D8C"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ONPP</w:t>
            </w:r>
          </w:p>
        </w:tc>
        <w:tc>
          <w:tcPr>
            <w:tcW w:w="6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70824CF" w14:textId="0DDA145C" w:rsidR="002A1D8C" w:rsidRPr="00536400" w:rsidRDefault="002F2790"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Območni načrt za pravični prehod</w:t>
            </w:r>
          </w:p>
        </w:tc>
      </w:tr>
      <w:tr w:rsidR="000E7A5A" w:rsidRPr="00F425EA" w14:paraId="06803BE7" w14:textId="77777777" w:rsidTr="00F7FCEE">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EB73EB8" w14:textId="77777777" w:rsidR="000E7A5A" w:rsidRPr="00536400" w:rsidRDefault="00306071"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OU</w:t>
            </w:r>
          </w:p>
        </w:tc>
        <w:tc>
          <w:tcPr>
            <w:tcW w:w="6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6EE13F3" w14:textId="77777777" w:rsidR="000E7A5A" w:rsidRPr="00536400" w:rsidRDefault="00306071"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organ upravljanja</w:t>
            </w:r>
          </w:p>
        </w:tc>
      </w:tr>
      <w:tr w:rsidR="002A1D8C" w:rsidRPr="00F425EA" w14:paraId="428CA523" w14:textId="77777777" w:rsidTr="00F7FCEE">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F4B99AE" w14:textId="26488779" w:rsidR="002A1D8C" w:rsidRPr="00536400" w:rsidRDefault="002A1D8C"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OVE</w:t>
            </w:r>
          </w:p>
        </w:tc>
        <w:tc>
          <w:tcPr>
            <w:tcW w:w="6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2535911" w14:textId="76DF0848" w:rsidR="002A1D8C" w:rsidRPr="00536400" w:rsidRDefault="0008326A"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obnovljivi viri energije</w:t>
            </w:r>
          </w:p>
        </w:tc>
      </w:tr>
      <w:tr w:rsidR="000E7A5A" w:rsidRPr="00F425EA" w14:paraId="6CDDB09B" w14:textId="77777777" w:rsidTr="00F7FCEE">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086D29B" w14:textId="77777777" w:rsidR="000E7A5A" w:rsidRPr="00536400" w:rsidRDefault="00306071" w:rsidP="00E247FF">
            <w:pPr>
              <w:tabs>
                <w:tab w:val="left" w:pos="567"/>
              </w:tabs>
              <w:spacing w:after="0" w:line="276" w:lineRule="auto"/>
              <w:jc w:val="both"/>
              <w:rPr>
                <w:rFonts w:eastAsia="SimSun" w:cs="Arial"/>
                <w:bCs/>
                <w:szCs w:val="20"/>
                <w:lang w:eastAsia="zh-CN"/>
              </w:rPr>
            </w:pPr>
            <w:proofErr w:type="spellStart"/>
            <w:r w:rsidRPr="00536400">
              <w:rPr>
                <w:rFonts w:eastAsia="SimSun" w:cs="Arial"/>
                <w:bCs/>
                <w:szCs w:val="20"/>
                <w:lang w:eastAsia="zh-CN"/>
              </w:rPr>
              <w:t>OzS</w:t>
            </w:r>
            <w:proofErr w:type="spellEnd"/>
          </w:p>
        </w:tc>
        <w:tc>
          <w:tcPr>
            <w:tcW w:w="6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F4A34F0" w14:textId="6DB7F362" w:rsidR="000E7A5A" w:rsidRPr="00536400" w:rsidRDefault="1ECD1B8B" w:rsidP="431E93DE">
            <w:pPr>
              <w:tabs>
                <w:tab w:val="left" w:pos="567"/>
              </w:tabs>
              <w:spacing w:after="0" w:line="276" w:lineRule="auto"/>
              <w:jc w:val="both"/>
              <w:rPr>
                <w:rFonts w:eastAsia="SimSun" w:cs="Arial"/>
                <w:lang w:eastAsia="zh-CN"/>
              </w:rPr>
            </w:pPr>
            <w:r w:rsidRPr="00F7FCEE">
              <w:rPr>
                <w:rFonts w:eastAsia="SimSun" w:cs="Arial"/>
                <w:lang w:eastAsia="zh-CN"/>
              </w:rPr>
              <w:t xml:space="preserve">Odbor za spremljanje </w:t>
            </w:r>
            <w:r w:rsidR="5C8FEFA8" w:rsidRPr="00F7FCEE">
              <w:rPr>
                <w:rFonts w:eastAsia="SimSun" w:cs="Arial"/>
                <w:lang w:eastAsia="zh-CN"/>
              </w:rPr>
              <w:t>Programa evropske kohezijske politike v obdobju 2021–2027 v Sloveniji</w:t>
            </w:r>
          </w:p>
        </w:tc>
      </w:tr>
      <w:tr w:rsidR="000E7A5A" w:rsidRPr="00F425EA" w14:paraId="5A330A0B" w14:textId="77777777" w:rsidTr="00F7FCEE">
        <w:trPr>
          <w:trHeight w:val="300"/>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FCD1250" w14:textId="0D3227AA" w:rsidR="000E7A5A" w:rsidRPr="00536400" w:rsidRDefault="00306071" w:rsidP="00E247FF">
            <w:pPr>
              <w:tabs>
                <w:tab w:val="left" w:pos="567"/>
              </w:tabs>
              <w:spacing w:after="0" w:line="276" w:lineRule="auto"/>
              <w:jc w:val="both"/>
              <w:rPr>
                <w:rFonts w:eastAsia="SimSun" w:cs="Arial"/>
                <w:szCs w:val="20"/>
                <w:lang w:eastAsia="zh-CN"/>
              </w:rPr>
            </w:pPr>
            <w:r w:rsidRPr="00536400">
              <w:rPr>
                <w:rFonts w:eastAsia="SimSun" w:cs="Arial"/>
                <w:szCs w:val="20"/>
                <w:lang w:eastAsia="zh-CN"/>
              </w:rPr>
              <w:t>PEKP 21</w:t>
            </w:r>
            <w:r w:rsidR="003037F8" w:rsidRPr="00536400">
              <w:rPr>
                <w:rFonts w:eastAsia="SimSun" w:cs="Arial"/>
                <w:szCs w:val="20"/>
                <w:lang w:eastAsia="zh-CN"/>
              </w:rPr>
              <w:t>–</w:t>
            </w:r>
            <w:r w:rsidRPr="00536400">
              <w:rPr>
                <w:rFonts w:eastAsia="SimSun" w:cs="Arial"/>
                <w:szCs w:val="20"/>
                <w:lang w:eastAsia="zh-CN"/>
              </w:rPr>
              <w:t>27</w:t>
            </w:r>
          </w:p>
        </w:tc>
        <w:tc>
          <w:tcPr>
            <w:tcW w:w="6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9443F09" w14:textId="43FD63C9" w:rsidR="000E7A5A" w:rsidRPr="00536400" w:rsidRDefault="1ECD1B8B" w:rsidP="431E93DE">
            <w:pPr>
              <w:tabs>
                <w:tab w:val="left" w:pos="567"/>
              </w:tabs>
              <w:spacing w:after="0" w:line="276" w:lineRule="auto"/>
              <w:jc w:val="both"/>
              <w:rPr>
                <w:rFonts w:eastAsia="SimSun" w:cs="Arial"/>
                <w:lang w:eastAsia="zh-CN"/>
              </w:rPr>
            </w:pPr>
            <w:r w:rsidRPr="00F7FCEE">
              <w:rPr>
                <w:rFonts w:eastAsia="SimSun" w:cs="Arial"/>
                <w:lang w:eastAsia="zh-CN"/>
              </w:rPr>
              <w:t>Program evropske kohezijske politike v obdobju 2021–2027</w:t>
            </w:r>
            <w:r w:rsidR="5E0AEC10" w:rsidRPr="00F7FCEE">
              <w:rPr>
                <w:rFonts w:eastAsia="SimSun" w:cs="Arial"/>
                <w:lang w:eastAsia="zh-CN"/>
              </w:rPr>
              <w:t xml:space="preserve"> v Sloveniji</w:t>
            </w:r>
          </w:p>
        </w:tc>
      </w:tr>
      <w:tr w:rsidR="000E7A5A" w:rsidRPr="00F425EA" w14:paraId="78881980" w14:textId="77777777" w:rsidTr="00F7FCEE">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31536AA" w14:textId="77777777" w:rsidR="000E7A5A" w:rsidRPr="00536400" w:rsidRDefault="00306071"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PN</w:t>
            </w:r>
          </w:p>
        </w:tc>
        <w:tc>
          <w:tcPr>
            <w:tcW w:w="6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FDEFC77" w14:textId="77777777" w:rsidR="000E7A5A" w:rsidRPr="00536400" w:rsidRDefault="00306071"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prednostna naloga</w:t>
            </w:r>
          </w:p>
        </w:tc>
      </w:tr>
      <w:tr w:rsidR="000E7A5A" w:rsidRPr="00F425EA" w14:paraId="614BD7DA" w14:textId="77777777" w:rsidTr="00F7FCEE">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8472D27" w14:textId="77777777" w:rsidR="000E7A5A" w:rsidRPr="00536400" w:rsidRDefault="00306071" w:rsidP="00E247FF">
            <w:pPr>
              <w:tabs>
                <w:tab w:val="left" w:pos="567"/>
              </w:tabs>
              <w:spacing w:after="0" w:line="276" w:lineRule="auto"/>
              <w:jc w:val="both"/>
              <w:rPr>
                <w:rFonts w:eastAsia="SimSun" w:cs="Arial"/>
                <w:szCs w:val="20"/>
                <w:lang w:eastAsia="zh-CN"/>
              </w:rPr>
            </w:pPr>
            <w:r w:rsidRPr="00536400">
              <w:rPr>
                <w:rFonts w:eastAsia="SimSun" w:cs="Arial"/>
                <w:szCs w:val="20"/>
                <w:lang w:eastAsia="zh-CN"/>
              </w:rPr>
              <w:t xml:space="preserve">Poročilo o državi </w:t>
            </w:r>
          </w:p>
        </w:tc>
        <w:tc>
          <w:tcPr>
            <w:tcW w:w="6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D9BE923" w14:textId="77777777" w:rsidR="000E7A5A" w:rsidRPr="00536400" w:rsidRDefault="00306071" w:rsidP="00E247FF">
            <w:pPr>
              <w:tabs>
                <w:tab w:val="left" w:pos="567"/>
              </w:tabs>
              <w:spacing w:after="0" w:line="276" w:lineRule="auto"/>
              <w:jc w:val="both"/>
              <w:rPr>
                <w:rFonts w:cs="Arial"/>
                <w:szCs w:val="20"/>
              </w:rPr>
            </w:pPr>
            <w:r w:rsidRPr="00536400">
              <w:rPr>
                <w:rFonts w:cs="Arial"/>
                <w:szCs w:val="20"/>
              </w:rPr>
              <w:t xml:space="preserve">Priporočilo Evropske komisije za Priporočilo Sveta o ekonomskih politikah zaposlovanja ter strukturnih in proračunskih politikah Slovenije (COM(2024) 624 </w:t>
            </w:r>
            <w:proofErr w:type="spellStart"/>
            <w:r w:rsidRPr="00536400">
              <w:rPr>
                <w:rFonts w:cs="Arial"/>
                <w:szCs w:val="20"/>
              </w:rPr>
              <w:t>final</w:t>
            </w:r>
            <w:proofErr w:type="spellEnd"/>
            <w:r w:rsidRPr="00536400">
              <w:rPr>
                <w:rFonts w:cs="Arial"/>
                <w:szCs w:val="20"/>
              </w:rPr>
              <w:t>)</w:t>
            </w:r>
          </w:p>
        </w:tc>
      </w:tr>
      <w:tr w:rsidR="000E7A5A" w:rsidRPr="00F425EA" w14:paraId="2EF7AA54" w14:textId="77777777" w:rsidTr="00F7FCEE">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5A4B504" w14:textId="77777777" w:rsidR="000E7A5A" w:rsidRPr="00536400" w:rsidRDefault="00306071"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POS</w:t>
            </w:r>
          </w:p>
        </w:tc>
        <w:tc>
          <w:tcPr>
            <w:tcW w:w="6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AC126BC" w14:textId="77777777" w:rsidR="000E7A5A" w:rsidRPr="00536400" w:rsidRDefault="00306071" w:rsidP="00E247FF">
            <w:pPr>
              <w:tabs>
                <w:tab w:val="left" w:pos="567"/>
              </w:tabs>
              <w:spacing w:after="0" w:line="276" w:lineRule="auto"/>
              <w:jc w:val="both"/>
              <w:rPr>
                <w:rFonts w:cs="Arial"/>
                <w:szCs w:val="20"/>
              </w:rPr>
            </w:pPr>
            <w:r w:rsidRPr="00536400">
              <w:rPr>
                <w:rFonts w:cs="Arial"/>
                <w:szCs w:val="20"/>
              </w:rPr>
              <w:t>poenostavljene oblike stroškov</w:t>
            </w:r>
          </w:p>
        </w:tc>
      </w:tr>
      <w:tr w:rsidR="000E7A5A" w:rsidRPr="00F425EA" w14:paraId="2B41E737" w14:textId="77777777" w:rsidTr="00F7FCEE">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E4E1C8C" w14:textId="77777777" w:rsidR="000E7A5A" w:rsidRPr="00536400" w:rsidRDefault="00306071"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pravice porabe</w:t>
            </w:r>
          </w:p>
        </w:tc>
        <w:tc>
          <w:tcPr>
            <w:tcW w:w="6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5AA245D" w14:textId="77777777" w:rsidR="000E7A5A" w:rsidRPr="00536400" w:rsidRDefault="00306071" w:rsidP="00E247FF">
            <w:pPr>
              <w:autoSpaceDE w:val="0"/>
              <w:spacing w:after="0" w:line="276" w:lineRule="auto"/>
              <w:jc w:val="both"/>
              <w:rPr>
                <w:rFonts w:cs="Arial"/>
                <w:szCs w:val="20"/>
              </w:rPr>
            </w:pPr>
            <w:r w:rsidRPr="00536400">
              <w:rPr>
                <w:rFonts w:cs="Arial"/>
                <w:szCs w:val="20"/>
              </w:rPr>
              <w:t xml:space="preserve">razpoložljiva sredstva evropske kohezijske politike za obdobje 2014–2020 za cilj naložbe za rast in delovna mesta </w:t>
            </w:r>
          </w:p>
        </w:tc>
      </w:tr>
      <w:tr w:rsidR="000E7A5A" w:rsidRPr="00F425EA" w14:paraId="74A3A9AD" w14:textId="77777777" w:rsidTr="00F7FCEE">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A50043F" w14:textId="77777777" w:rsidR="000E7A5A" w:rsidRPr="00536400" w:rsidRDefault="00306071"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prednostna os</w:t>
            </w:r>
          </w:p>
        </w:tc>
        <w:tc>
          <w:tcPr>
            <w:tcW w:w="6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ABFA182" w14:textId="77777777" w:rsidR="000E7A5A" w:rsidRPr="00536400" w:rsidRDefault="00306071"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tematski cilj</w:t>
            </w:r>
          </w:p>
        </w:tc>
      </w:tr>
      <w:tr w:rsidR="000E7A5A" w:rsidRPr="00F425EA" w14:paraId="17D6A084" w14:textId="77777777" w:rsidTr="00F7FCEE">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5B14D8E" w14:textId="77777777" w:rsidR="000E7A5A" w:rsidRPr="00536400" w:rsidRDefault="00306071" w:rsidP="00E247FF">
            <w:pPr>
              <w:tabs>
                <w:tab w:val="left" w:pos="567"/>
              </w:tabs>
              <w:spacing w:after="0" w:line="276" w:lineRule="auto"/>
              <w:jc w:val="both"/>
              <w:rPr>
                <w:rFonts w:eastAsia="SimSun" w:cs="Arial"/>
                <w:szCs w:val="20"/>
                <w:lang w:eastAsia="zh-CN"/>
              </w:rPr>
            </w:pPr>
            <w:r w:rsidRPr="00536400">
              <w:rPr>
                <w:rFonts w:eastAsia="SimSun" w:cs="Arial"/>
                <w:szCs w:val="20"/>
                <w:lang w:eastAsia="zh-CN"/>
              </w:rPr>
              <w:t>PT</w:t>
            </w:r>
          </w:p>
        </w:tc>
        <w:tc>
          <w:tcPr>
            <w:tcW w:w="6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DF9163B" w14:textId="77777777" w:rsidR="000E7A5A" w:rsidRPr="00536400" w:rsidRDefault="00306071" w:rsidP="00E247FF">
            <w:pPr>
              <w:tabs>
                <w:tab w:val="left" w:pos="567"/>
              </w:tabs>
              <w:spacing w:after="0" w:line="276" w:lineRule="auto"/>
              <w:jc w:val="both"/>
              <w:rPr>
                <w:rFonts w:cs="Arial"/>
                <w:szCs w:val="20"/>
              </w:rPr>
            </w:pPr>
            <w:r w:rsidRPr="00536400">
              <w:rPr>
                <w:rFonts w:cs="Arial"/>
                <w:szCs w:val="20"/>
              </w:rPr>
              <w:t>posredniški telo</w:t>
            </w:r>
          </w:p>
        </w:tc>
      </w:tr>
      <w:tr w:rsidR="003E51B4" w:rsidRPr="00F425EA" w14:paraId="69CB5F8D" w14:textId="77777777" w:rsidTr="00F7FCEE">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9393455" w14:textId="440712BD" w:rsidR="003E51B4" w:rsidRPr="00536400" w:rsidRDefault="003E51B4" w:rsidP="00E247FF">
            <w:pPr>
              <w:tabs>
                <w:tab w:val="left" w:pos="567"/>
              </w:tabs>
              <w:spacing w:after="0" w:line="276" w:lineRule="auto"/>
              <w:jc w:val="both"/>
              <w:rPr>
                <w:rFonts w:eastAsia="SimSun" w:cs="Arial"/>
                <w:szCs w:val="20"/>
                <w:lang w:eastAsia="zh-CN"/>
              </w:rPr>
            </w:pPr>
            <w:r w:rsidRPr="00536400">
              <w:rPr>
                <w:rFonts w:eastAsia="SimSun" w:cs="Arial"/>
                <w:szCs w:val="20"/>
                <w:lang w:eastAsia="zh-CN"/>
              </w:rPr>
              <w:t>RRI</w:t>
            </w:r>
          </w:p>
        </w:tc>
        <w:tc>
          <w:tcPr>
            <w:tcW w:w="6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2999A90" w14:textId="0D232CB0" w:rsidR="003E51B4" w:rsidRPr="00536400" w:rsidRDefault="0008326A" w:rsidP="00E247FF">
            <w:pPr>
              <w:tabs>
                <w:tab w:val="left" w:pos="567"/>
              </w:tabs>
              <w:spacing w:after="0" w:line="276" w:lineRule="auto"/>
              <w:jc w:val="both"/>
              <w:rPr>
                <w:rFonts w:cs="Arial"/>
                <w:szCs w:val="20"/>
              </w:rPr>
            </w:pPr>
            <w:r w:rsidRPr="00536400">
              <w:rPr>
                <w:rFonts w:cs="Arial"/>
                <w:szCs w:val="20"/>
              </w:rPr>
              <w:t>raziskave, razvoj in inovacije</w:t>
            </w:r>
          </w:p>
        </w:tc>
      </w:tr>
      <w:tr w:rsidR="002A1D8C" w:rsidRPr="00F425EA" w14:paraId="41B0B13E" w14:textId="77777777" w:rsidTr="00F7FCEE">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9830616" w14:textId="7ACA54BC" w:rsidR="002A1D8C" w:rsidRPr="00536400" w:rsidRDefault="002A1D8C"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SAŠA</w:t>
            </w:r>
          </w:p>
        </w:tc>
        <w:tc>
          <w:tcPr>
            <w:tcW w:w="6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8D4C30" w14:textId="26C4607A" w:rsidR="002A1D8C" w:rsidRPr="00536400" w:rsidRDefault="0008326A"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regija – Savinjsko-šaleška regija</w:t>
            </w:r>
          </w:p>
        </w:tc>
      </w:tr>
      <w:tr w:rsidR="000E7A5A" w:rsidRPr="00F425EA" w14:paraId="3B45A006" w14:textId="77777777" w:rsidTr="00F7FCEE">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FD89B95" w14:textId="77777777" w:rsidR="000E7A5A" w:rsidRPr="00536400" w:rsidRDefault="00306071"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SID</w:t>
            </w:r>
          </w:p>
        </w:tc>
        <w:tc>
          <w:tcPr>
            <w:tcW w:w="6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3D55C60" w14:textId="77777777" w:rsidR="000E7A5A" w:rsidRPr="00536400" w:rsidRDefault="00306071"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Slovenska izvozna in razvojna banka d. d., Ljubljana</w:t>
            </w:r>
          </w:p>
        </w:tc>
      </w:tr>
      <w:tr w:rsidR="008D7A5D" w:rsidRPr="00F425EA" w14:paraId="55C6FBFE" w14:textId="77777777" w:rsidTr="00F7FCEE">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6585897" w14:textId="4ED2AFEE" w:rsidR="008D7A5D" w:rsidRPr="00536400" w:rsidRDefault="008D7A5D"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SIO</w:t>
            </w:r>
          </w:p>
        </w:tc>
        <w:tc>
          <w:tcPr>
            <w:tcW w:w="6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64B674E" w14:textId="4F84A3A8" w:rsidR="008D7A5D" w:rsidRPr="00536400" w:rsidRDefault="00A92A24"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Slovensko izobraževalno omrežje</w:t>
            </w:r>
          </w:p>
        </w:tc>
      </w:tr>
      <w:tr w:rsidR="000E7A5A" w:rsidRPr="00F425EA" w14:paraId="0E9927BB" w14:textId="77777777" w:rsidTr="00F7FCEE">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918D527" w14:textId="77777777" w:rsidR="000E7A5A" w:rsidRPr="00536400" w:rsidRDefault="00306071"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S4/S5</w:t>
            </w:r>
          </w:p>
        </w:tc>
        <w:tc>
          <w:tcPr>
            <w:tcW w:w="6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8B6243E" w14:textId="77777777" w:rsidR="000E7A5A" w:rsidRPr="00536400" w:rsidRDefault="00306071"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Slovenska strategija pametne specializacije</w:t>
            </w:r>
          </w:p>
        </w:tc>
      </w:tr>
      <w:tr w:rsidR="000E7A5A" w:rsidRPr="00F425EA" w14:paraId="47AD7067" w14:textId="77777777" w:rsidTr="00F7FCEE">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495F62B" w14:textId="77777777" w:rsidR="000E7A5A" w:rsidRPr="00536400" w:rsidRDefault="00306071" w:rsidP="00E247FF">
            <w:pPr>
              <w:tabs>
                <w:tab w:val="left" w:pos="567"/>
              </w:tabs>
              <w:spacing w:after="0" w:line="276" w:lineRule="auto"/>
              <w:jc w:val="both"/>
              <w:rPr>
                <w:rFonts w:cs="Arial"/>
                <w:szCs w:val="20"/>
              </w:rPr>
            </w:pPr>
            <w:r w:rsidRPr="00536400">
              <w:rPr>
                <w:rFonts w:eastAsia="MS Mincho" w:cs="Arial"/>
                <w:szCs w:val="20"/>
              </w:rPr>
              <w:t>SLR</w:t>
            </w:r>
          </w:p>
        </w:tc>
        <w:tc>
          <w:tcPr>
            <w:tcW w:w="6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11A32B" w14:textId="77777777" w:rsidR="000E7A5A" w:rsidRPr="00536400" w:rsidRDefault="00306071"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strategija lokalnega razvoja</w:t>
            </w:r>
          </w:p>
        </w:tc>
      </w:tr>
      <w:tr w:rsidR="000E7A5A" w:rsidRPr="00F425EA" w14:paraId="3EE7770A" w14:textId="77777777" w:rsidTr="00F7FCEE">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3BDF9B4" w14:textId="77777777" w:rsidR="000E7A5A" w:rsidRPr="00536400" w:rsidRDefault="00306071" w:rsidP="00E247FF">
            <w:pPr>
              <w:tabs>
                <w:tab w:val="left" w:pos="567"/>
              </w:tabs>
              <w:spacing w:after="0" w:line="276" w:lineRule="auto"/>
              <w:jc w:val="both"/>
              <w:rPr>
                <w:rFonts w:eastAsia="MS Mincho" w:cs="Arial"/>
                <w:szCs w:val="20"/>
              </w:rPr>
            </w:pPr>
            <w:r w:rsidRPr="00536400">
              <w:rPr>
                <w:rFonts w:eastAsia="MS Mincho" w:cs="Arial"/>
                <w:szCs w:val="20"/>
              </w:rPr>
              <w:t>STEP</w:t>
            </w:r>
          </w:p>
        </w:tc>
        <w:tc>
          <w:tcPr>
            <w:tcW w:w="6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A2169E0" w14:textId="77777777" w:rsidR="000E7A5A" w:rsidRPr="00536400" w:rsidRDefault="00306071" w:rsidP="00E247FF">
            <w:pPr>
              <w:tabs>
                <w:tab w:val="left" w:pos="567"/>
              </w:tabs>
              <w:spacing w:after="0" w:line="276" w:lineRule="auto"/>
              <w:jc w:val="both"/>
              <w:rPr>
                <w:rFonts w:eastAsia="SimSun" w:cs="Arial"/>
                <w:szCs w:val="20"/>
                <w:lang w:eastAsia="zh-CN"/>
              </w:rPr>
            </w:pPr>
            <w:proofErr w:type="spellStart"/>
            <w:r w:rsidRPr="00536400">
              <w:rPr>
                <w:rFonts w:eastAsia="SimSun" w:cs="Arial"/>
                <w:szCs w:val="20"/>
                <w:lang w:eastAsia="zh-CN"/>
              </w:rPr>
              <w:t>Strategic</w:t>
            </w:r>
            <w:proofErr w:type="spellEnd"/>
            <w:r w:rsidRPr="00536400">
              <w:rPr>
                <w:rFonts w:eastAsia="SimSun" w:cs="Arial"/>
                <w:szCs w:val="20"/>
                <w:lang w:eastAsia="zh-CN"/>
              </w:rPr>
              <w:t xml:space="preserve"> Technologies </w:t>
            </w:r>
            <w:proofErr w:type="spellStart"/>
            <w:r w:rsidRPr="00536400">
              <w:rPr>
                <w:rFonts w:eastAsia="SimSun" w:cs="Arial"/>
                <w:szCs w:val="20"/>
                <w:lang w:eastAsia="zh-CN"/>
              </w:rPr>
              <w:t>for</w:t>
            </w:r>
            <w:proofErr w:type="spellEnd"/>
            <w:r w:rsidRPr="00536400">
              <w:rPr>
                <w:rFonts w:eastAsia="SimSun" w:cs="Arial"/>
                <w:szCs w:val="20"/>
                <w:lang w:eastAsia="zh-CN"/>
              </w:rPr>
              <w:t xml:space="preserve"> </w:t>
            </w:r>
            <w:proofErr w:type="spellStart"/>
            <w:r w:rsidRPr="00536400">
              <w:rPr>
                <w:rFonts w:eastAsia="SimSun" w:cs="Arial"/>
                <w:szCs w:val="20"/>
                <w:lang w:eastAsia="zh-CN"/>
              </w:rPr>
              <w:t>Europe</w:t>
            </w:r>
            <w:proofErr w:type="spellEnd"/>
            <w:r w:rsidRPr="00536400">
              <w:rPr>
                <w:rFonts w:eastAsia="SimSun" w:cs="Arial"/>
                <w:szCs w:val="20"/>
                <w:lang w:eastAsia="zh-CN"/>
              </w:rPr>
              <w:t xml:space="preserve"> Platform</w:t>
            </w:r>
          </w:p>
        </w:tc>
      </w:tr>
      <w:tr w:rsidR="000E7A5A" w:rsidRPr="00F425EA" w14:paraId="1689C08C" w14:textId="77777777" w:rsidTr="00F7FCEE">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0CE8B1B" w14:textId="77777777" w:rsidR="000E7A5A" w:rsidRPr="00536400" w:rsidRDefault="00306071" w:rsidP="00E247FF">
            <w:pPr>
              <w:tabs>
                <w:tab w:val="left" w:pos="567"/>
              </w:tabs>
              <w:spacing w:after="0" w:line="276" w:lineRule="auto"/>
              <w:jc w:val="both"/>
              <w:rPr>
                <w:rFonts w:eastAsia="MS Mincho" w:cs="Arial"/>
                <w:szCs w:val="20"/>
              </w:rPr>
            </w:pPr>
            <w:r w:rsidRPr="00536400">
              <w:rPr>
                <w:rFonts w:eastAsia="MS Mincho" w:cs="Arial"/>
                <w:szCs w:val="20"/>
              </w:rPr>
              <w:t>SRIP</w:t>
            </w:r>
          </w:p>
        </w:tc>
        <w:tc>
          <w:tcPr>
            <w:tcW w:w="6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EBB67CC" w14:textId="77777777" w:rsidR="000E7A5A" w:rsidRPr="00536400" w:rsidRDefault="00306071"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strateška razvojno-inovacijska partnerstva</w:t>
            </w:r>
          </w:p>
        </w:tc>
      </w:tr>
      <w:tr w:rsidR="008D7A5D" w:rsidRPr="00F425EA" w14:paraId="3B581AFF" w14:textId="77777777" w:rsidTr="00F7FCEE">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3F54E90" w14:textId="3BC0F10D" w:rsidR="008D7A5D" w:rsidRPr="00536400" w:rsidRDefault="008D7A5D" w:rsidP="00E247FF">
            <w:pPr>
              <w:tabs>
                <w:tab w:val="left" w:pos="567"/>
              </w:tabs>
              <w:spacing w:after="0" w:line="276" w:lineRule="auto"/>
              <w:jc w:val="both"/>
              <w:rPr>
                <w:rFonts w:eastAsia="MS Mincho" w:cs="Arial"/>
                <w:szCs w:val="20"/>
              </w:rPr>
            </w:pPr>
            <w:r w:rsidRPr="00536400">
              <w:rPr>
                <w:rFonts w:eastAsia="MS Mincho" w:cs="Arial"/>
                <w:szCs w:val="20"/>
              </w:rPr>
              <w:t>SPOT</w:t>
            </w:r>
          </w:p>
        </w:tc>
        <w:tc>
          <w:tcPr>
            <w:tcW w:w="6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4D3C5CD" w14:textId="37655E8C" w:rsidR="008D7A5D" w:rsidRPr="00536400" w:rsidRDefault="0008326A"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Slovenska poslovna točka</w:t>
            </w:r>
          </w:p>
        </w:tc>
      </w:tr>
      <w:tr w:rsidR="002A1D8C" w:rsidRPr="00F425EA" w14:paraId="2BE2E698" w14:textId="77777777" w:rsidTr="00F7FCEE">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E124E32" w14:textId="15D35C10" w:rsidR="002A1D8C" w:rsidRPr="00536400" w:rsidRDefault="002A1D8C" w:rsidP="00E247FF">
            <w:pPr>
              <w:tabs>
                <w:tab w:val="left" w:pos="567"/>
              </w:tabs>
              <w:spacing w:after="0" w:line="276" w:lineRule="auto"/>
              <w:jc w:val="both"/>
              <w:rPr>
                <w:rFonts w:eastAsia="MS Mincho" w:cs="Arial"/>
                <w:szCs w:val="20"/>
              </w:rPr>
            </w:pPr>
            <w:r w:rsidRPr="00536400">
              <w:rPr>
                <w:rFonts w:eastAsia="MS Mincho" w:cs="Arial"/>
                <w:szCs w:val="20"/>
              </w:rPr>
              <w:t>SPP</w:t>
            </w:r>
          </w:p>
        </w:tc>
        <w:tc>
          <w:tcPr>
            <w:tcW w:w="6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F4EC4DC" w14:textId="57395F92" w:rsidR="002A1D8C" w:rsidRPr="00536400" w:rsidRDefault="0008326A"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Sklad za pravični prehod</w:t>
            </w:r>
          </w:p>
        </w:tc>
      </w:tr>
      <w:tr w:rsidR="000E7A5A" w:rsidRPr="00F425EA" w14:paraId="33089F21" w14:textId="77777777" w:rsidTr="00F7FCEE">
        <w:trPr>
          <w:trHeight w:val="300"/>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5C4D454" w14:textId="77777777" w:rsidR="000E7A5A" w:rsidRPr="00536400" w:rsidRDefault="00306071" w:rsidP="00E247FF">
            <w:pPr>
              <w:spacing w:line="276" w:lineRule="auto"/>
              <w:jc w:val="both"/>
              <w:rPr>
                <w:rFonts w:eastAsia="SimSun" w:cs="Arial"/>
                <w:szCs w:val="20"/>
                <w:lang w:eastAsia="zh-CN"/>
              </w:rPr>
            </w:pPr>
            <w:r w:rsidRPr="00536400">
              <w:rPr>
                <w:rFonts w:eastAsia="SimSun" w:cs="Arial"/>
                <w:szCs w:val="20"/>
                <w:lang w:eastAsia="zh-CN"/>
              </w:rPr>
              <w:t>UVOIM</w:t>
            </w:r>
          </w:p>
        </w:tc>
        <w:tc>
          <w:tcPr>
            <w:tcW w:w="6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B1295C6" w14:textId="77777777" w:rsidR="000E7A5A" w:rsidRPr="00536400" w:rsidRDefault="00306071" w:rsidP="00E247FF">
            <w:pPr>
              <w:spacing w:line="276" w:lineRule="auto"/>
              <w:jc w:val="both"/>
              <w:rPr>
                <w:rFonts w:cs="Arial"/>
                <w:szCs w:val="20"/>
              </w:rPr>
            </w:pPr>
            <w:r w:rsidRPr="00536400">
              <w:rPr>
                <w:rFonts w:cs="Arial"/>
                <w:szCs w:val="20"/>
              </w:rPr>
              <w:t>Urad vlade za oskrbo in integracijo migrantov</w:t>
            </w:r>
          </w:p>
        </w:tc>
      </w:tr>
      <w:tr w:rsidR="000E7A5A" w:rsidRPr="00F425EA" w14:paraId="4891E1AC" w14:textId="77777777" w:rsidTr="00F7FCEE">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48AC8C3" w14:textId="77777777" w:rsidR="000E7A5A" w:rsidRPr="00536400" w:rsidRDefault="00306071"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VFO</w:t>
            </w:r>
          </w:p>
        </w:tc>
        <w:tc>
          <w:tcPr>
            <w:tcW w:w="6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B44C6F7" w14:textId="77777777" w:rsidR="000E7A5A" w:rsidRPr="00536400" w:rsidRDefault="00306071" w:rsidP="00E247FF">
            <w:pPr>
              <w:tabs>
                <w:tab w:val="left" w:pos="567"/>
              </w:tabs>
              <w:spacing w:after="0" w:line="276" w:lineRule="auto"/>
              <w:jc w:val="both"/>
              <w:rPr>
                <w:rFonts w:cs="Arial"/>
                <w:szCs w:val="20"/>
              </w:rPr>
            </w:pPr>
            <w:r w:rsidRPr="00536400">
              <w:rPr>
                <w:rFonts w:eastAsia="Calibri" w:cs="Arial"/>
                <w:szCs w:val="20"/>
              </w:rPr>
              <w:t>večletni finančni okvir EU</w:t>
            </w:r>
          </w:p>
        </w:tc>
      </w:tr>
      <w:tr w:rsidR="000E7A5A" w:rsidRPr="00F425EA" w14:paraId="38067CE2" w14:textId="77777777" w:rsidTr="00F7FCEE">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D740D28" w14:textId="77777777" w:rsidR="000E7A5A" w:rsidRPr="00536400" w:rsidRDefault="00306071"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ZMOS</w:t>
            </w:r>
          </w:p>
        </w:tc>
        <w:tc>
          <w:tcPr>
            <w:tcW w:w="6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8296B4F" w14:textId="77777777" w:rsidR="000E7A5A" w:rsidRPr="00536400" w:rsidRDefault="00306071"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Združenje mestnih občin Slovenije</w:t>
            </w:r>
          </w:p>
        </w:tc>
      </w:tr>
      <w:tr w:rsidR="000E7A5A" w:rsidRPr="00F425EA" w14:paraId="1FF5D6CF" w14:textId="77777777" w:rsidTr="00F7FCEE">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BF1B301" w14:textId="77777777" w:rsidR="000E7A5A" w:rsidRPr="00536400" w:rsidRDefault="00306071" w:rsidP="00E247FF">
            <w:pPr>
              <w:tabs>
                <w:tab w:val="left" w:pos="567"/>
              </w:tabs>
              <w:spacing w:after="0" w:line="276" w:lineRule="auto"/>
              <w:jc w:val="both"/>
              <w:rPr>
                <w:rFonts w:eastAsia="SimSun" w:cs="Arial"/>
                <w:bCs/>
                <w:szCs w:val="20"/>
                <w:lang w:eastAsia="zh-CN"/>
              </w:rPr>
            </w:pPr>
            <w:proofErr w:type="spellStart"/>
            <w:r w:rsidRPr="00536400">
              <w:rPr>
                <w:rFonts w:eastAsia="SimSun" w:cs="Arial"/>
                <w:bCs/>
                <w:szCs w:val="20"/>
                <w:lang w:eastAsia="zh-CN"/>
              </w:rPr>
              <w:t>ZzI</w:t>
            </w:r>
            <w:proofErr w:type="spellEnd"/>
          </w:p>
        </w:tc>
        <w:tc>
          <w:tcPr>
            <w:tcW w:w="6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26D2374" w14:textId="77777777" w:rsidR="000E7A5A" w:rsidRPr="00536400" w:rsidRDefault="00306071" w:rsidP="00E247FF">
            <w:pPr>
              <w:tabs>
                <w:tab w:val="left" w:pos="567"/>
              </w:tabs>
              <w:spacing w:after="0" w:line="276" w:lineRule="auto"/>
              <w:jc w:val="both"/>
              <w:rPr>
                <w:rFonts w:eastAsia="SimSun" w:cs="Arial"/>
                <w:bCs/>
                <w:szCs w:val="20"/>
                <w:lang w:eastAsia="zh-CN"/>
              </w:rPr>
            </w:pPr>
            <w:r w:rsidRPr="00536400">
              <w:rPr>
                <w:rFonts w:eastAsia="SimSun" w:cs="Arial"/>
                <w:bCs/>
                <w:szCs w:val="20"/>
                <w:lang w:eastAsia="zh-CN"/>
              </w:rPr>
              <w:t>zahtevek za izplačilo</w:t>
            </w:r>
          </w:p>
        </w:tc>
      </w:tr>
    </w:tbl>
    <w:p w14:paraId="6FB70267" w14:textId="77777777" w:rsidR="007E18A1" w:rsidRDefault="007E18A1" w:rsidP="00E247FF">
      <w:pPr>
        <w:spacing w:line="276" w:lineRule="auto"/>
        <w:jc w:val="both"/>
        <w:rPr>
          <w:rFonts w:eastAsia="HGGothicM" w:cs="Arial"/>
        </w:rPr>
        <w:sectPr w:rsidR="007E18A1">
          <w:pgSz w:w="11906" w:h="16838"/>
          <w:pgMar w:top="1418" w:right="1418" w:bottom="1418" w:left="1418" w:header="709" w:footer="709" w:gutter="0"/>
          <w:cols w:space="708"/>
        </w:sectPr>
      </w:pPr>
    </w:p>
    <w:p w14:paraId="39427C39" w14:textId="77777777" w:rsidR="000E7A5A" w:rsidRPr="00F425EA" w:rsidRDefault="00306071" w:rsidP="007E18A1">
      <w:pPr>
        <w:pStyle w:val="Naslov10"/>
        <w:spacing w:before="0" w:after="0" w:line="276" w:lineRule="auto"/>
        <w:ind w:left="567" w:hanging="567"/>
        <w:rPr>
          <w:rFonts w:cs="Arial"/>
        </w:rPr>
      </w:pPr>
      <w:bookmarkStart w:id="17" w:name="_Toc558805973"/>
      <w:bookmarkStart w:id="18" w:name="_Toc1337774168"/>
      <w:bookmarkStart w:id="19" w:name="_Toc204595319"/>
      <w:bookmarkStart w:id="20" w:name="_Toc1299853429"/>
      <w:bookmarkStart w:id="21" w:name="_Toc276748515"/>
      <w:bookmarkStart w:id="22" w:name="_Toc787574123"/>
      <w:bookmarkStart w:id="23" w:name="_Toc1379065192"/>
      <w:bookmarkStart w:id="24" w:name="_Toc1308387226"/>
      <w:bookmarkStart w:id="25" w:name="_Toc467314235"/>
      <w:bookmarkStart w:id="26" w:name="_Toc911886735"/>
      <w:bookmarkStart w:id="27" w:name="_Toc1462530050"/>
      <w:bookmarkStart w:id="28" w:name="_Toc1379595910"/>
      <w:bookmarkStart w:id="29" w:name="_Toc2006092952"/>
      <w:bookmarkStart w:id="30" w:name="_Toc1739294218"/>
      <w:bookmarkStart w:id="31" w:name="_Toc1840981132"/>
      <w:bookmarkStart w:id="32" w:name="_Toc299935706"/>
      <w:bookmarkStart w:id="33" w:name="_Toc1828184051"/>
      <w:bookmarkStart w:id="34" w:name="_Toc215266057"/>
      <w:bookmarkStart w:id="35" w:name="_Toc611172654"/>
      <w:bookmarkStart w:id="36" w:name="_Toc369422290"/>
      <w:bookmarkStart w:id="37" w:name="_Toc1722127333"/>
      <w:bookmarkStart w:id="38" w:name="_Toc907806681"/>
      <w:bookmarkStart w:id="39" w:name="_Toc933610509"/>
      <w:bookmarkStart w:id="40" w:name="_Toc2134243359"/>
      <w:bookmarkStart w:id="41" w:name="_Toc1331906492"/>
      <w:bookmarkStart w:id="42" w:name="_Toc989203233"/>
      <w:bookmarkStart w:id="43" w:name="_Toc925775372"/>
      <w:bookmarkStart w:id="44" w:name="_Toc840267118"/>
      <w:bookmarkStart w:id="45" w:name="_Toc888061547"/>
      <w:bookmarkStart w:id="46" w:name="_Toc588446153"/>
      <w:bookmarkStart w:id="47" w:name="_Toc1602112335"/>
      <w:bookmarkStart w:id="48" w:name="_Toc2007111824"/>
      <w:bookmarkStart w:id="49" w:name="_Toc910435387"/>
      <w:bookmarkStart w:id="50" w:name="_Toc265094537"/>
      <w:bookmarkStart w:id="51" w:name="_Toc1303026484"/>
      <w:bookmarkStart w:id="52" w:name="_Toc214997685"/>
      <w:bookmarkStart w:id="53" w:name="_Toc1129915611"/>
      <w:bookmarkStart w:id="54" w:name="_Toc529423988"/>
      <w:bookmarkStart w:id="55" w:name="_Toc1314682962"/>
      <w:bookmarkStart w:id="56" w:name="_Toc364437237"/>
      <w:bookmarkStart w:id="57" w:name="_Toc1752696687"/>
      <w:bookmarkStart w:id="58" w:name="_Toc935686337"/>
      <w:bookmarkStart w:id="59" w:name="_Toc1581414871"/>
      <w:bookmarkStart w:id="60" w:name="_Toc552026495"/>
      <w:bookmarkStart w:id="61" w:name="_Toc794136107"/>
      <w:bookmarkStart w:id="62" w:name="_Toc1132810085"/>
      <w:bookmarkStart w:id="63" w:name="_Toc2054215907"/>
      <w:bookmarkStart w:id="64" w:name="_Toc429641800"/>
      <w:bookmarkStart w:id="65" w:name="_Toc1012754163"/>
      <w:bookmarkStart w:id="66" w:name="_Toc1286025785"/>
      <w:bookmarkStart w:id="67" w:name="_Toc710158920"/>
      <w:bookmarkStart w:id="68" w:name="_Toc489972748"/>
      <w:bookmarkStart w:id="69" w:name="_Toc730990598"/>
      <w:bookmarkStart w:id="70" w:name="_Toc728687562"/>
      <w:bookmarkStart w:id="71" w:name="_Toc2006781558"/>
      <w:bookmarkStart w:id="72" w:name="_Toc395363613"/>
      <w:bookmarkStart w:id="73" w:name="_Toc1917041092"/>
      <w:bookmarkStart w:id="74" w:name="_Toc91934929"/>
      <w:bookmarkStart w:id="75" w:name="_Toc129285892"/>
      <w:bookmarkStart w:id="76" w:name="_Toc1236736446"/>
      <w:bookmarkStart w:id="77" w:name="_Toc977350809"/>
      <w:bookmarkStart w:id="78" w:name="_Toc1426614488"/>
      <w:bookmarkStart w:id="79" w:name="_Toc1563811008"/>
      <w:bookmarkStart w:id="80" w:name="_Toc611542782"/>
      <w:bookmarkStart w:id="81" w:name="_Toc329168116"/>
      <w:bookmarkStart w:id="82" w:name="_Toc1746019340"/>
      <w:bookmarkStart w:id="83" w:name="_Toc704240501"/>
      <w:bookmarkStart w:id="84" w:name="_Toc615219393"/>
      <w:bookmarkStart w:id="85" w:name="_Toc690732609"/>
      <w:bookmarkStart w:id="86" w:name="_Toc199284563"/>
      <w:bookmarkStart w:id="87" w:name="_Toc426869936"/>
      <w:bookmarkStart w:id="88" w:name="_Toc1196128655"/>
      <w:bookmarkStart w:id="89" w:name="_Toc85600054"/>
      <w:bookmarkStart w:id="90" w:name="_Toc822571468"/>
      <w:bookmarkStart w:id="91" w:name="_Toc1225382650"/>
      <w:bookmarkStart w:id="92" w:name="_Toc912415360"/>
      <w:bookmarkStart w:id="93" w:name="_Toc2090814630"/>
      <w:bookmarkStart w:id="94" w:name="_Toc1721121512"/>
      <w:bookmarkStart w:id="95" w:name="_Toc2073896224"/>
      <w:bookmarkStart w:id="96" w:name="_Toc1375974840"/>
      <w:bookmarkStart w:id="97" w:name="_Toc1955079296"/>
      <w:bookmarkStart w:id="98" w:name="_Toc487874125"/>
      <w:bookmarkStart w:id="99" w:name="_Toc131019291"/>
      <w:bookmarkStart w:id="100" w:name="_Toc1458979740"/>
      <w:bookmarkStart w:id="101" w:name="_Toc187739292"/>
      <w:bookmarkStart w:id="102" w:name="_Toc187740025"/>
      <w:bookmarkStart w:id="103" w:name="_Toc192681979"/>
      <w:r w:rsidRPr="00F425EA">
        <w:rPr>
          <w:rFonts w:cs="Arial"/>
        </w:rPr>
        <w:lastRenderedPageBreak/>
        <w:t>1.</w:t>
      </w:r>
      <w:r w:rsidRPr="00F425EA">
        <w:rPr>
          <w:rFonts w:cs="Arial"/>
        </w:rPr>
        <w:tab/>
        <w:t>UVOD</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Pr="00F425EA">
        <w:rPr>
          <w:rFonts w:cs="Arial"/>
        </w:rPr>
        <w:t xml:space="preserve"> </w:t>
      </w:r>
    </w:p>
    <w:p w14:paraId="09C4BB79" w14:textId="77777777" w:rsidR="00F425EA" w:rsidRPr="00873D36" w:rsidRDefault="00F425EA" w:rsidP="00E247FF">
      <w:pPr>
        <w:shd w:val="clear" w:color="auto" w:fill="FFFFFF"/>
        <w:spacing w:after="0" w:line="276" w:lineRule="auto"/>
        <w:jc w:val="both"/>
        <w:rPr>
          <w:rFonts w:cs="Arial"/>
          <w:szCs w:val="20"/>
        </w:rPr>
      </w:pPr>
    </w:p>
    <w:p w14:paraId="2EEE6BFB" w14:textId="5BB83F10" w:rsidR="000E7A5A" w:rsidRPr="00F425EA" w:rsidRDefault="00306071" w:rsidP="00E247FF">
      <w:pPr>
        <w:shd w:val="clear" w:color="auto" w:fill="FFFFFF"/>
        <w:spacing w:after="0" w:line="276" w:lineRule="auto"/>
        <w:jc w:val="both"/>
        <w:rPr>
          <w:rFonts w:cs="Arial"/>
          <w:szCs w:val="20"/>
        </w:rPr>
      </w:pPr>
      <w:r w:rsidRPr="00F425EA">
        <w:rPr>
          <w:rFonts w:cs="Arial"/>
          <w:szCs w:val="20"/>
        </w:rPr>
        <w:t>Vmesno poročilo o izvajanju Programa evropske kohezijske politike v obdobju 2021–2027 v Sloveniji (</w:t>
      </w:r>
      <w:r w:rsidR="0023397C">
        <w:rPr>
          <w:rFonts w:cs="Arial"/>
          <w:szCs w:val="20"/>
        </w:rPr>
        <w:t xml:space="preserve">v nadaljevanju: </w:t>
      </w:r>
      <w:r w:rsidRPr="00F425EA">
        <w:rPr>
          <w:rFonts w:cs="Arial"/>
          <w:szCs w:val="20"/>
        </w:rPr>
        <w:t xml:space="preserve">PEKP) je </w:t>
      </w:r>
      <w:r w:rsidR="00544DA8">
        <w:rPr>
          <w:rFonts w:cs="Arial"/>
          <w:szCs w:val="20"/>
        </w:rPr>
        <w:t xml:space="preserve">pripravljeno v skladu z </w:t>
      </w:r>
      <w:r w:rsidRPr="00F8679C">
        <w:rPr>
          <w:rFonts w:cs="Arial"/>
          <w:szCs w:val="20"/>
        </w:rPr>
        <w:t>določil 18. člena Uredbe (EU) 2021/1060</w:t>
      </w:r>
      <w:r w:rsidR="00544DA8">
        <w:rPr>
          <w:rFonts w:cs="Arial"/>
          <w:szCs w:val="20"/>
        </w:rPr>
        <w:t>, ki določa skupna pravila za E</w:t>
      </w:r>
      <w:r w:rsidRPr="00F8679C">
        <w:rPr>
          <w:rFonts w:cs="Arial"/>
          <w:szCs w:val="20"/>
        </w:rPr>
        <w:t>vropsk</w:t>
      </w:r>
      <w:r w:rsidR="00544DA8">
        <w:rPr>
          <w:rFonts w:cs="Arial"/>
          <w:szCs w:val="20"/>
        </w:rPr>
        <w:t>i</w:t>
      </w:r>
      <w:r w:rsidRPr="00F8679C">
        <w:rPr>
          <w:rFonts w:cs="Arial"/>
          <w:szCs w:val="20"/>
        </w:rPr>
        <w:t xml:space="preserve"> sklad za regionalni razvoj, Evropsk</w:t>
      </w:r>
      <w:r w:rsidR="00544DA8">
        <w:rPr>
          <w:rFonts w:cs="Arial"/>
          <w:szCs w:val="20"/>
        </w:rPr>
        <w:t>i</w:t>
      </w:r>
      <w:r w:rsidRPr="00F8679C">
        <w:rPr>
          <w:rFonts w:cs="Arial"/>
          <w:szCs w:val="20"/>
        </w:rPr>
        <w:t xml:space="preserve"> socialn</w:t>
      </w:r>
      <w:r w:rsidR="00544DA8">
        <w:rPr>
          <w:rFonts w:cs="Arial"/>
          <w:szCs w:val="20"/>
        </w:rPr>
        <w:t>i</w:t>
      </w:r>
      <w:r w:rsidRPr="00F8679C">
        <w:rPr>
          <w:rFonts w:cs="Arial"/>
          <w:szCs w:val="20"/>
        </w:rPr>
        <w:t xml:space="preserve"> sklad plus, Kohezijsk</w:t>
      </w:r>
      <w:r w:rsidR="00544DA8">
        <w:rPr>
          <w:rFonts w:cs="Arial"/>
          <w:szCs w:val="20"/>
        </w:rPr>
        <w:t>i</w:t>
      </w:r>
      <w:r w:rsidRPr="00F8679C">
        <w:rPr>
          <w:rFonts w:cs="Arial"/>
          <w:szCs w:val="20"/>
        </w:rPr>
        <w:t xml:space="preserve"> sklad, Sklad za pravični prehod </w:t>
      </w:r>
      <w:r w:rsidR="00544DA8">
        <w:rPr>
          <w:rFonts w:cs="Arial"/>
          <w:szCs w:val="20"/>
        </w:rPr>
        <w:t xml:space="preserve">ter </w:t>
      </w:r>
      <w:r w:rsidRPr="00F8679C">
        <w:rPr>
          <w:rFonts w:cs="Arial"/>
          <w:szCs w:val="20"/>
        </w:rPr>
        <w:t>Evropsk</w:t>
      </w:r>
      <w:r w:rsidR="00544DA8">
        <w:rPr>
          <w:rFonts w:cs="Arial"/>
          <w:szCs w:val="20"/>
        </w:rPr>
        <w:t>i</w:t>
      </w:r>
      <w:r w:rsidRPr="00F8679C">
        <w:rPr>
          <w:rFonts w:cs="Arial"/>
          <w:szCs w:val="20"/>
        </w:rPr>
        <w:t xml:space="preserve"> sklad za pomorstvo, ribištvo in akvakulturo </w:t>
      </w:r>
      <w:r w:rsidR="00544DA8">
        <w:rPr>
          <w:rFonts w:cs="Arial"/>
          <w:szCs w:val="20"/>
        </w:rPr>
        <w:t>prav tako pa ureja</w:t>
      </w:r>
      <w:r w:rsidRPr="00F8679C">
        <w:rPr>
          <w:rFonts w:cs="Arial"/>
          <w:szCs w:val="20"/>
        </w:rPr>
        <w:t xml:space="preserve"> finančn</w:t>
      </w:r>
      <w:r w:rsidR="00544DA8">
        <w:rPr>
          <w:rFonts w:cs="Arial"/>
          <w:szCs w:val="20"/>
        </w:rPr>
        <w:t>a</w:t>
      </w:r>
      <w:r w:rsidRPr="00F8679C">
        <w:rPr>
          <w:rFonts w:cs="Arial"/>
          <w:szCs w:val="20"/>
        </w:rPr>
        <w:t xml:space="preserve"> pravil</w:t>
      </w:r>
      <w:r w:rsidR="00544DA8">
        <w:rPr>
          <w:rFonts w:cs="Arial"/>
          <w:szCs w:val="20"/>
        </w:rPr>
        <w:t xml:space="preserve">a za t sklade ter za </w:t>
      </w:r>
      <w:r w:rsidRPr="00F8679C">
        <w:rPr>
          <w:rFonts w:cs="Arial"/>
          <w:szCs w:val="20"/>
        </w:rPr>
        <w:t>Sklad za azil, migracije in vključevanje, Sklad za notranjo varnost in Instrument za finančno podporo za upravljanje meja in vizumsko politiko.</w:t>
      </w:r>
    </w:p>
    <w:p w14:paraId="0BB138CE" w14:textId="77777777" w:rsidR="000E7A5A" w:rsidRPr="00F425EA" w:rsidRDefault="000E7A5A" w:rsidP="00E247FF">
      <w:pPr>
        <w:shd w:val="clear" w:color="auto" w:fill="FFFFFF"/>
        <w:spacing w:after="0" w:line="276" w:lineRule="auto"/>
        <w:jc w:val="both"/>
        <w:rPr>
          <w:rFonts w:cs="Arial"/>
          <w:szCs w:val="20"/>
        </w:rPr>
      </w:pPr>
    </w:p>
    <w:p w14:paraId="28DCE84A" w14:textId="3DB6A001" w:rsidR="000E7A5A" w:rsidRPr="003638C1" w:rsidRDefault="00865E3C" w:rsidP="00E247FF">
      <w:pPr>
        <w:shd w:val="clear" w:color="auto" w:fill="FFFFFF"/>
        <w:spacing w:after="0" w:line="276" w:lineRule="auto"/>
        <w:jc w:val="both"/>
        <w:rPr>
          <w:rFonts w:cs="Arial"/>
          <w:szCs w:val="20"/>
        </w:rPr>
      </w:pPr>
      <w:r w:rsidRPr="003638C1">
        <w:rPr>
          <w:rFonts w:cs="Arial"/>
          <w:szCs w:val="20"/>
        </w:rPr>
        <w:t>V skladu s 1. točko 1</w:t>
      </w:r>
      <w:r w:rsidR="00306071" w:rsidRPr="003638C1">
        <w:rPr>
          <w:rFonts w:cs="Arial"/>
          <w:szCs w:val="20"/>
        </w:rPr>
        <w:t>8</w:t>
      </w:r>
      <w:r w:rsidRPr="003638C1">
        <w:rPr>
          <w:rFonts w:cs="Arial"/>
          <w:szCs w:val="20"/>
        </w:rPr>
        <w:t>.</w:t>
      </w:r>
      <w:r w:rsidR="00306071" w:rsidRPr="003638C1">
        <w:rPr>
          <w:rFonts w:cs="Arial"/>
          <w:szCs w:val="20"/>
        </w:rPr>
        <w:t xml:space="preserve"> člen</w:t>
      </w:r>
      <w:r w:rsidRPr="003638C1">
        <w:rPr>
          <w:rFonts w:cs="Arial"/>
          <w:szCs w:val="20"/>
        </w:rPr>
        <w:t>a</w:t>
      </w:r>
      <w:r w:rsidR="00306071" w:rsidRPr="003638C1">
        <w:rPr>
          <w:rFonts w:cs="Arial"/>
          <w:szCs w:val="20"/>
        </w:rPr>
        <w:t xml:space="preserve"> Uredbe (EU) 2021/1060 </w:t>
      </w:r>
      <w:r w:rsidRPr="003638C1">
        <w:rPr>
          <w:rFonts w:cs="Arial"/>
          <w:szCs w:val="20"/>
        </w:rPr>
        <w:t xml:space="preserve">mora vmesno poročilo vsebovati informacije, določene v navedeni določbi, pri čemer se upoštevajo tudi </w:t>
      </w:r>
      <w:r w:rsidR="00306071" w:rsidRPr="003638C1">
        <w:rPr>
          <w:rFonts w:cs="Arial"/>
          <w:szCs w:val="20"/>
        </w:rPr>
        <w:t>priporočila Evropske komisije za posamezne države, sprejet</w:t>
      </w:r>
      <w:r w:rsidRPr="003638C1">
        <w:rPr>
          <w:rFonts w:cs="Arial"/>
          <w:szCs w:val="20"/>
        </w:rPr>
        <w:t>a</w:t>
      </w:r>
      <w:r w:rsidR="00306071" w:rsidRPr="003638C1">
        <w:rPr>
          <w:rFonts w:cs="Arial"/>
          <w:szCs w:val="20"/>
        </w:rPr>
        <w:t xml:space="preserve"> v letu 2024 v okviru Evropskega semestra.</w:t>
      </w:r>
    </w:p>
    <w:p w14:paraId="3DC8343A" w14:textId="77777777" w:rsidR="000E7A5A" w:rsidRPr="003638C1" w:rsidRDefault="000E7A5A" w:rsidP="00E247FF">
      <w:pPr>
        <w:shd w:val="clear" w:color="auto" w:fill="FFFFFF"/>
        <w:spacing w:after="0" w:line="276" w:lineRule="auto"/>
        <w:jc w:val="both"/>
        <w:rPr>
          <w:rFonts w:cs="Arial"/>
          <w:szCs w:val="20"/>
        </w:rPr>
      </w:pPr>
    </w:p>
    <w:p w14:paraId="44886AA3" w14:textId="5EF4079B" w:rsidR="000E7A5A" w:rsidRPr="00F425EA" w:rsidRDefault="00495A21" w:rsidP="00E247FF">
      <w:pPr>
        <w:shd w:val="clear" w:color="auto" w:fill="FFFFFF"/>
        <w:spacing w:after="0" w:line="276" w:lineRule="auto"/>
        <w:jc w:val="both"/>
        <w:rPr>
          <w:rFonts w:cs="Arial"/>
          <w:szCs w:val="20"/>
        </w:rPr>
      </w:pPr>
      <w:r w:rsidRPr="003638C1">
        <w:rPr>
          <w:rFonts w:cs="Arial"/>
          <w:szCs w:val="20"/>
        </w:rPr>
        <w:t xml:space="preserve">Skladno z določbami 2. točke </w:t>
      </w:r>
      <w:r w:rsidR="00306071" w:rsidRPr="003638C1">
        <w:rPr>
          <w:rFonts w:cs="Arial"/>
          <w:szCs w:val="20"/>
        </w:rPr>
        <w:t>18. člena Uredbe (EU) 2021/1060</w:t>
      </w:r>
      <w:r w:rsidRPr="003638C1">
        <w:rPr>
          <w:rFonts w:cs="Arial"/>
          <w:szCs w:val="20"/>
        </w:rPr>
        <w:t xml:space="preserve"> mora </w:t>
      </w:r>
      <w:r w:rsidR="00306071" w:rsidRPr="003638C1">
        <w:rPr>
          <w:rFonts w:cs="Arial"/>
          <w:szCs w:val="20"/>
        </w:rPr>
        <w:t>država članica Evropski komisiji</w:t>
      </w:r>
      <w:r w:rsidRPr="003638C1">
        <w:rPr>
          <w:rFonts w:cs="Arial"/>
          <w:szCs w:val="20"/>
        </w:rPr>
        <w:t xml:space="preserve"> najpozneje</w:t>
      </w:r>
      <w:r w:rsidR="00306071" w:rsidRPr="003638C1">
        <w:rPr>
          <w:rFonts w:cs="Arial"/>
          <w:szCs w:val="20"/>
        </w:rPr>
        <w:t xml:space="preserve"> do 31. marca 2025 predloži oceno rezultat</w:t>
      </w:r>
      <w:r w:rsidRPr="003638C1">
        <w:rPr>
          <w:rFonts w:cs="Arial"/>
          <w:szCs w:val="20"/>
        </w:rPr>
        <w:t>ov</w:t>
      </w:r>
      <w:r w:rsidR="00306071" w:rsidRPr="003638C1">
        <w:rPr>
          <w:rFonts w:cs="Arial"/>
          <w:szCs w:val="20"/>
        </w:rPr>
        <w:t xml:space="preserve"> vmesnega pregleda, vključno s predlogom za dokončno dodelitev zneska prožnosti, </w:t>
      </w:r>
      <w:r w:rsidRPr="003638C1">
        <w:rPr>
          <w:rFonts w:cs="Arial"/>
          <w:szCs w:val="20"/>
        </w:rPr>
        <w:t xml:space="preserve">ki služi kot </w:t>
      </w:r>
      <w:r w:rsidR="00306071" w:rsidRPr="003638C1">
        <w:rPr>
          <w:rFonts w:cs="Arial"/>
          <w:szCs w:val="20"/>
        </w:rPr>
        <w:t>podlag</w:t>
      </w:r>
      <w:r w:rsidRPr="003638C1">
        <w:rPr>
          <w:rFonts w:cs="Arial"/>
          <w:szCs w:val="20"/>
        </w:rPr>
        <w:t>a</w:t>
      </w:r>
      <w:r w:rsidR="00306071" w:rsidRPr="003638C1">
        <w:rPr>
          <w:rFonts w:cs="Arial"/>
          <w:szCs w:val="20"/>
        </w:rPr>
        <w:t xml:space="preserve"> za spremembo programa.</w:t>
      </w:r>
    </w:p>
    <w:p w14:paraId="406FD9B0" w14:textId="77777777" w:rsidR="000E7A5A" w:rsidRPr="00F425EA" w:rsidRDefault="000E7A5A" w:rsidP="00E247FF">
      <w:pPr>
        <w:shd w:val="clear" w:color="auto" w:fill="FFFFFF"/>
        <w:spacing w:after="0" w:line="276" w:lineRule="auto"/>
        <w:jc w:val="both"/>
        <w:rPr>
          <w:rFonts w:cs="Arial"/>
          <w:szCs w:val="20"/>
        </w:rPr>
      </w:pPr>
    </w:p>
    <w:p w14:paraId="1DFF130D" w14:textId="35447E26" w:rsidR="000E7A5A" w:rsidRPr="00F425EA" w:rsidRDefault="00306071" w:rsidP="00E247FF">
      <w:pPr>
        <w:shd w:val="clear" w:color="auto" w:fill="FFFFFF"/>
        <w:spacing w:after="0" w:line="276" w:lineRule="auto"/>
        <w:jc w:val="both"/>
        <w:rPr>
          <w:rFonts w:cs="Arial"/>
          <w:szCs w:val="20"/>
        </w:rPr>
      </w:pPr>
      <w:r w:rsidRPr="00F425EA">
        <w:rPr>
          <w:rFonts w:cs="Arial"/>
          <w:szCs w:val="20"/>
        </w:rPr>
        <w:t xml:space="preserve">Na dosedanje izvajanje </w:t>
      </w:r>
      <w:r w:rsidR="0023397C">
        <w:rPr>
          <w:rFonts w:cs="Arial"/>
          <w:szCs w:val="20"/>
        </w:rPr>
        <w:t>P</w:t>
      </w:r>
      <w:r w:rsidRPr="00F425EA">
        <w:rPr>
          <w:rFonts w:cs="Arial"/>
          <w:szCs w:val="20"/>
        </w:rPr>
        <w:t xml:space="preserve">EKP 21–27 vplivajo nove okoliščine, ki so nastale po njegovem sprejetju 12. 12. 2022 in so spremenile družbeno ekonomske ter z njimi povezane razvojne razmere v Sloveniji. </w:t>
      </w:r>
    </w:p>
    <w:p w14:paraId="5D8A9297" w14:textId="77777777" w:rsidR="000E7A5A" w:rsidRPr="00F425EA" w:rsidRDefault="000E7A5A" w:rsidP="00E247FF">
      <w:pPr>
        <w:shd w:val="clear" w:color="auto" w:fill="FFFFFF"/>
        <w:spacing w:after="0" w:line="276" w:lineRule="auto"/>
        <w:jc w:val="both"/>
        <w:rPr>
          <w:rFonts w:cs="Arial"/>
          <w:szCs w:val="20"/>
        </w:rPr>
      </w:pPr>
    </w:p>
    <w:p w14:paraId="2826A5E4" w14:textId="77777777" w:rsidR="000E7A5A" w:rsidRPr="00F425EA" w:rsidRDefault="00306071" w:rsidP="00E247FF">
      <w:pPr>
        <w:shd w:val="clear" w:color="auto" w:fill="FFFFFF"/>
        <w:spacing w:after="0" w:line="276" w:lineRule="auto"/>
        <w:jc w:val="both"/>
        <w:rPr>
          <w:rFonts w:cs="Arial"/>
          <w:szCs w:val="20"/>
        </w:rPr>
      </w:pPr>
      <w:r w:rsidRPr="00F425EA">
        <w:rPr>
          <w:rFonts w:cs="Arial"/>
          <w:szCs w:val="20"/>
        </w:rPr>
        <w:t>V letu 2023 so se zgodile katastrofalne poplave, ki so vplivale na izvedbo večjih javnih investicij, vključno z investicijami, podprtimi s sredstvi EKP 21–27.</w:t>
      </w:r>
    </w:p>
    <w:p w14:paraId="6DB6D90B" w14:textId="77777777" w:rsidR="000E7A5A" w:rsidRPr="00F425EA" w:rsidRDefault="000E7A5A" w:rsidP="00E247FF">
      <w:pPr>
        <w:shd w:val="clear" w:color="auto" w:fill="FFFFFF"/>
        <w:spacing w:after="0" w:line="276" w:lineRule="auto"/>
        <w:jc w:val="both"/>
        <w:rPr>
          <w:rFonts w:cs="Arial"/>
          <w:szCs w:val="20"/>
        </w:rPr>
      </w:pPr>
    </w:p>
    <w:p w14:paraId="1AB16433" w14:textId="77777777" w:rsidR="000E7A5A" w:rsidRPr="00F425EA" w:rsidRDefault="00306071" w:rsidP="00E247FF">
      <w:pPr>
        <w:shd w:val="clear" w:color="auto" w:fill="FFFFFF"/>
        <w:spacing w:after="0" w:line="276" w:lineRule="auto"/>
        <w:jc w:val="both"/>
        <w:rPr>
          <w:rFonts w:cs="Arial"/>
          <w:szCs w:val="20"/>
        </w:rPr>
      </w:pPr>
      <w:r w:rsidRPr="00F425EA">
        <w:rPr>
          <w:rFonts w:cs="Arial"/>
          <w:szCs w:val="20"/>
        </w:rPr>
        <w:t xml:space="preserve">V okviru Evropskega semestra je bil junija 2024 objavljeno Poročilo o državi – Slovenija 2024, na podlagi katerega je Evropska komisija izdala Priporočilo o ekonomskih in socialnih politikah, politikah zaposlovanja ter strukturnih in proračunskih politikah Slovenije, ki vključujejo izzive in druga priporočila, ki bi jih morala Slovenija upoštevati pri nadaljnjem izvajanju evropske kohezijske politike. </w:t>
      </w:r>
    </w:p>
    <w:p w14:paraId="225DACE8" w14:textId="77777777" w:rsidR="000E7A5A" w:rsidRPr="00F425EA" w:rsidRDefault="000E7A5A" w:rsidP="00E247FF">
      <w:pPr>
        <w:shd w:val="clear" w:color="auto" w:fill="FFFFFF"/>
        <w:spacing w:after="0" w:line="276" w:lineRule="auto"/>
        <w:jc w:val="both"/>
        <w:rPr>
          <w:rFonts w:cs="Arial"/>
          <w:szCs w:val="20"/>
        </w:rPr>
      </w:pPr>
    </w:p>
    <w:p w14:paraId="7EBEF27B" w14:textId="77777777" w:rsidR="000E7A5A" w:rsidRPr="00F425EA" w:rsidRDefault="00306071" w:rsidP="00E247FF">
      <w:pPr>
        <w:shd w:val="clear" w:color="auto" w:fill="FFFFFF"/>
        <w:spacing w:after="0" w:line="276" w:lineRule="auto"/>
        <w:jc w:val="both"/>
        <w:rPr>
          <w:rFonts w:cs="Arial"/>
          <w:szCs w:val="20"/>
        </w:rPr>
      </w:pPr>
      <w:r w:rsidRPr="00F425EA">
        <w:rPr>
          <w:rFonts w:cs="Arial"/>
          <w:szCs w:val="20"/>
        </w:rPr>
        <w:t xml:space="preserve">Analize izvajanja PEKP 21–27 kažejo vrzeli med načrtovanjem in izvedljivostjo posameznih ukrepov v razpoložljivem času. V primeru </w:t>
      </w:r>
      <w:proofErr w:type="spellStart"/>
      <w:r w:rsidRPr="00F425EA">
        <w:rPr>
          <w:rFonts w:cs="Arial"/>
          <w:szCs w:val="20"/>
        </w:rPr>
        <w:t>neukrepanja</w:t>
      </w:r>
      <w:proofErr w:type="spellEnd"/>
      <w:r w:rsidRPr="00F425EA">
        <w:rPr>
          <w:rFonts w:cs="Arial"/>
          <w:szCs w:val="20"/>
        </w:rPr>
        <w:t xml:space="preserve"> obstaja tveganje nedoseganja načrtovanih ciljev in kazalnikov programa. </w:t>
      </w:r>
    </w:p>
    <w:p w14:paraId="7E694D58" w14:textId="77777777" w:rsidR="000E7A5A" w:rsidRPr="00F425EA" w:rsidRDefault="000E7A5A" w:rsidP="00E247FF">
      <w:pPr>
        <w:shd w:val="clear" w:color="auto" w:fill="FFFFFF"/>
        <w:spacing w:after="0" w:line="276" w:lineRule="auto"/>
        <w:jc w:val="both"/>
        <w:rPr>
          <w:rFonts w:cs="Arial"/>
          <w:szCs w:val="20"/>
        </w:rPr>
      </w:pPr>
    </w:p>
    <w:p w14:paraId="28C92221" w14:textId="77777777" w:rsidR="000E7A5A" w:rsidRPr="00F425EA" w:rsidRDefault="00306071" w:rsidP="00E247FF">
      <w:pPr>
        <w:shd w:val="clear" w:color="auto" w:fill="FFFFFF"/>
        <w:spacing w:after="0" w:line="276" w:lineRule="auto"/>
        <w:jc w:val="both"/>
        <w:rPr>
          <w:rFonts w:cs="Arial"/>
          <w:szCs w:val="20"/>
        </w:rPr>
      </w:pPr>
      <w:r w:rsidRPr="00F425EA">
        <w:rPr>
          <w:rFonts w:cs="Arial"/>
          <w:szCs w:val="20"/>
        </w:rPr>
        <w:t>Na podlagi zgoraj navedenih izhodišč je organ upravljanja izvedel proces vmesnega pregleda PEKP 21–27, z namenom pospešitve izvajanja, kateremu bo sledil predlog spremembe in prilagoditve programa, vključno z ukrepi za naslavljanje izzivov, povezanih z njegovim izvajanjem.</w:t>
      </w:r>
    </w:p>
    <w:p w14:paraId="472F1AE3" w14:textId="77777777" w:rsidR="000E7A5A" w:rsidRPr="00F425EA" w:rsidRDefault="000E7A5A" w:rsidP="00E247FF">
      <w:pPr>
        <w:shd w:val="clear" w:color="auto" w:fill="FFFFFF"/>
        <w:spacing w:after="0" w:line="276" w:lineRule="auto"/>
        <w:jc w:val="both"/>
        <w:rPr>
          <w:rFonts w:cs="Arial"/>
          <w:szCs w:val="20"/>
        </w:rPr>
      </w:pPr>
    </w:p>
    <w:p w14:paraId="75909D96" w14:textId="75724C64" w:rsidR="000C1654" w:rsidRPr="00F425EA" w:rsidRDefault="00306071" w:rsidP="00E247FF">
      <w:pPr>
        <w:shd w:val="clear" w:color="auto" w:fill="FFFFFF"/>
        <w:spacing w:after="0" w:line="276" w:lineRule="auto"/>
        <w:jc w:val="both"/>
        <w:rPr>
          <w:rFonts w:cs="Arial"/>
          <w:szCs w:val="20"/>
        </w:rPr>
      </w:pPr>
      <w:r w:rsidRPr="00F425EA">
        <w:rPr>
          <w:rFonts w:cs="Arial"/>
          <w:szCs w:val="20"/>
        </w:rPr>
        <w:t>Za obdobje 2021–2027 EKP se na nacionalni ravni izvaja en (operativni), ki zajema financiranje iz štirih skladov:</w:t>
      </w:r>
    </w:p>
    <w:p w14:paraId="01CA604B" w14:textId="77777777" w:rsidR="000E7A5A" w:rsidRPr="00F425EA" w:rsidRDefault="00306071" w:rsidP="00E247FF">
      <w:pPr>
        <w:numPr>
          <w:ilvl w:val="0"/>
          <w:numId w:val="10"/>
        </w:numPr>
        <w:shd w:val="clear" w:color="auto" w:fill="FFFFFF"/>
        <w:spacing w:after="0" w:line="276" w:lineRule="auto"/>
        <w:jc w:val="both"/>
        <w:rPr>
          <w:rFonts w:cs="Arial"/>
          <w:szCs w:val="20"/>
        </w:rPr>
      </w:pPr>
      <w:r w:rsidRPr="00F425EA">
        <w:rPr>
          <w:rFonts w:cs="Arial"/>
          <w:szCs w:val="20"/>
        </w:rPr>
        <w:t>Kohezijskega sklada (celotna Slovenija),</w:t>
      </w:r>
    </w:p>
    <w:p w14:paraId="4BDCDB36" w14:textId="77777777" w:rsidR="000E7A5A" w:rsidRPr="00F425EA" w:rsidRDefault="00306071" w:rsidP="00E247FF">
      <w:pPr>
        <w:numPr>
          <w:ilvl w:val="0"/>
          <w:numId w:val="10"/>
        </w:numPr>
        <w:shd w:val="clear" w:color="auto" w:fill="FFFFFF"/>
        <w:spacing w:after="0" w:line="276" w:lineRule="auto"/>
        <w:jc w:val="both"/>
        <w:rPr>
          <w:rFonts w:cs="Arial"/>
          <w:szCs w:val="20"/>
        </w:rPr>
      </w:pPr>
      <w:r w:rsidRPr="00F425EA">
        <w:rPr>
          <w:rFonts w:cs="Arial"/>
          <w:szCs w:val="20"/>
        </w:rPr>
        <w:t>Evropskega sklada za regionalni razvoj (ločen na Vzhodno in Zahodno kohezijsko regijo glede na določen finančni razrez s strani EK),</w:t>
      </w:r>
    </w:p>
    <w:p w14:paraId="72D288C6" w14:textId="77777777" w:rsidR="000E7A5A" w:rsidRPr="00F425EA" w:rsidRDefault="00306071" w:rsidP="00E247FF">
      <w:pPr>
        <w:numPr>
          <w:ilvl w:val="0"/>
          <w:numId w:val="10"/>
        </w:numPr>
        <w:shd w:val="clear" w:color="auto" w:fill="FFFFFF"/>
        <w:spacing w:after="0" w:line="276" w:lineRule="auto"/>
        <w:jc w:val="both"/>
        <w:rPr>
          <w:rFonts w:cs="Arial"/>
          <w:szCs w:val="20"/>
        </w:rPr>
      </w:pPr>
      <w:r w:rsidRPr="00F425EA">
        <w:rPr>
          <w:rFonts w:cs="Arial"/>
          <w:szCs w:val="20"/>
        </w:rPr>
        <w:t>Evropskega socialnega sklada plus (ločen na Vzhodno in Zahodno kohezijsko regijo glede na določen finančni razrez s strani EK),</w:t>
      </w:r>
    </w:p>
    <w:p w14:paraId="11D602D4" w14:textId="77777777" w:rsidR="000E7A5A" w:rsidRPr="00F425EA" w:rsidRDefault="00306071" w:rsidP="00E247FF">
      <w:pPr>
        <w:numPr>
          <w:ilvl w:val="0"/>
          <w:numId w:val="10"/>
        </w:numPr>
        <w:shd w:val="clear" w:color="auto" w:fill="FFFFFF"/>
        <w:spacing w:after="0" w:line="276" w:lineRule="auto"/>
        <w:jc w:val="both"/>
        <w:rPr>
          <w:rFonts w:cs="Arial"/>
          <w:szCs w:val="20"/>
        </w:rPr>
      </w:pPr>
      <w:r w:rsidRPr="00F425EA">
        <w:rPr>
          <w:rFonts w:cs="Arial"/>
          <w:szCs w:val="20"/>
        </w:rPr>
        <w:t>Sklada za pravični prehod (za dve premogovniški regiji - Zasavje in Šaleška dolina).</w:t>
      </w:r>
    </w:p>
    <w:p w14:paraId="5A372BE5" w14:textId="77777777" w:rsidR="000E7A5A" w:rsidRPr="00F425EA" w:rsidRDefault="000E7A5A" w:rsidP="00E247FF">
      <w:pPr>
        <w:spacing w:after="0" w:line="276" w:lineRule="auto"/>
        <w:jc w:val="both"/>
        <w:rPr>
          <w:rFonts w:cs="Arial"/>
          <w:szCs w:val="20"/>
        </w:rPr>
      </w:pPr>
    </w:p>
    <w:p w14:paraId="119BE8D4" w14:textId="77777777" w:rsidR="000E7A5A" w:rsidRPr="00F425EA" w:rsidRDefault="00306071" w:rsidP="00E247FF">
      <w:pPr>
        <w:spacing w:after="160" w:line="276" w:lineRule="auto"/>
        <w:jc w:val="both"/>
        <w:rPr>
          <w:rFonts w:cs="Arial"/>
          <w:szCs w:val="20"/>
        </w:rPr>
      </w:pPr>
      <w:r w:rsidRPr="00F425EA">
        <w:rPr>
          <w:rFonts w:cs="Arial"/>
          <w:szCs w:val="20"/>
        </w:rPr>
        <w:t>Slovenija je v obdobju 2021</w:t>
      </w:r>
      <w:bookmarkStart w:id="104" w:name="_Hlk187747009"/>
      <w:r w:rsidRPr="00F425EA">
        <w:rPr>
          <w:rFonts w:cs="Arial"/>
          <w:szCs w:val="20"/>
        </w:rPr>
        <w:t>–</w:t>
      </w:r>
      <w:bookmarkEnd w:id="104"/>
      <w:r w:rsidRPr="00F425EA">
        <w:rPr>
          <w:rFonts w:cs="Arial"/>
          <w:szCs w:val="20"/>
        </w:rPr>
        <w:t>2027 razdeljena na dve kohezijski regiji - zahodno Slovenijo in vzhodno Slovenijo. Stopnja sofinanciranja projektov je do največ 40 % za kohezijsko regijo zahodna Slovenija in 85 % za kohezijsko regijo vzhodna Slovenija. Skupno je v okviru EKP 2021–2027 Sloveniji na voljo 3,2 milijarde EUR, ki jih lahko izkoristimo do konca leta 2029.</w:t>
      </w:r>
    </w:p>
    <w:p w14:paraId="253FD16D" w14:textId="37AA24F3" w:rsidR="000E7A5A" w:rsidRPr="00F425EA" w:rsidRDefault="00306071" w:rsidP="00E247FF">
      <w:pPr>
        <w:spacing w:after="0" w:line="276" w:lineRule="auto"/>
        <w:jc w:val="both"/>
        <w:rPr>
          <w:rFonts w:cs="Arial"/>
          <w:szCs w:val="20"/>
        </w:rPr>
      </w:pPr>
      <w:r w:rsidRPr="00F425EA">
        <w:rPr>
          <w:rFonts w:cs="Arial"/>
          <w:szCs w:val="20"/>
        </w:rPr>
        <w:t xml:space="preserve">Vsebine PEKP 21–27 so razdeljene v </w:t>
      </w:r>
      <w:r w:rsidR="00DE1306">
        <w:rPr>
          <w:rFonts w:cs="Arial"/>
          <w:szCs w:val="20"/>
        </w:rPr>
        <w:t>pet</w:t>
      </w:r>
      <w:r w:rsidRPr="00F425EA">
        <w:rPr>
          <w:rFonts w:cs="Arial"/>
          <w:szCs w:val="20"/>
        </w:rPr>
        <w:t xml:space="preserve"> ciljev politik (CP), kot jih je določila EK s kohezijsko uredbo, dodatno smo kot </w:t>
      </w:r>
      <w:r w:rsidR="00D65262">
        <w:rPr>
          <w:rFonts w:cs="Arial"/>
          <w:szCs w:val="20"/>
        </w:rPr>
        <w:t>šesti</w:t>
      </w:r>
      <w:r w:rsidRPr="00F425EA">
        <w:rPr>
          <w:rFonts w:cs="Arial"/>
          <w:szCs w:val="20"/>
        </w:rPr>
        <w:t xml:space="preserve"> cilj politike opredelili Sklad za pravičen prehod. V skladu s Strategijo razvoja </w:t>
      </w:r>
      <w:r w:rsidRPr="00F425EA">
        <w:rPr>
          <w:rFonts w:cs="Arial"/>
          <w:szCs w:val="20"/>
        </w:rPr>
        <w:lastRenderedPageBreak/>
        <w:t xml:space="preserve">Slovenije do 2030 je predvidenih </w:t>
      </w:r>
      <w:r w:rsidR="00D65262">
        <w:rPr>
          <w:rFonts w:cs="Arial"/>
          <w:szCs w:val="20"/>
        </w:rPr>
        <w:t>deset</w:t>
      </w:r>
      <w:r w:rsidRPr="00F425EA">
        <w:rPr>
          <w:rFonts w:cs="Arial"/>
          <w:szCs w:val="20"/>
        </w:rPr>
        <w:t xml:space="preserve"> prednostnih nalog, znotraj katerih so opredeljeni posamezni specifični cilji, kot so predvideni v kohezijskih uredbah. Prednostna naloga lahko uporabi podporo iz enega ali več skladov, razen če prejme podporo iz SPP. Prednostna naloga je sestavljena iz enega ali več specifičnih ciljev. V okviru priprave PEKP 21</w:t>
      </w:r>
      <w:r w:rsidR="003037F8" w:rsidRPr="00F425EA">
        <w:rPr>
          <w:rFonts w:cs="Arial"/>
          <w:szCs w:val="20"/>
        </w:rPr>
        <w:t>–</w:t>
      </w:r>
      <w:r w:rsidRPr="00F425EA">
        <w:rPr>
          <w:rFonts w:cs="Arial"/>
          <w:szCs w:val="20"/>
        </w:rPr>
        <w:t>27 so oblikovana prednostna področja vlaganj, izhajajoč iz Strategije razvoja Slovenije 2030, Poročila o razvoju 2021 ter strateških prioritet Evropske komisije, predvsem na področjih zelenega in digitalnega prehoda ter vzpostavitve gospodarstva za ljudi.</w:t>
      </w:r>
    </w:p>
    <w:p w14:paraId="379CF3DC" w14:textId="77777777" w:rsidR="00F425EA" w:rsidRDefault="00F425EA" w:rsidP="00E247FF">
      <w:pPr>
        <w:spacing w:after="0" w:line="276" w:lineRule="auto"/>
        <w:jc w:val="both"/>
        <w:rPr>
          <w:rFonts w:eastAsia="Calibri" w:cs="Arial"/>
          <w:szCs w:val="20"/>
        </w:rPr>
      </w:pPr>
    </w:p>
    <w:p w14:paraId="142B3119" w14:textId="4DB2AEDA" w:rsidR="000E7A5A" w:rsidRPr="00F425EA" w:rsidRDefault="00306071" w:rsidP="00E247FF">
      <w:pPr>
        <w:spacing w:after="0" w:line="276" w:lineRule="auto"/>
        <w:jc w:val="both"/>
        <w:rPr>
          <w:rFonts w:cs="Arial"/>
          <w:szCs w:val="20"/>
        </w:rPr>
      </w:pPr>
      <w:r w:rsidRPr="00F425EA">
        <w:rPr>
          <w:rFonts w:eastAsia="Calibri" w:cs="Arial"/>
          <w:szCs w:val="20"/>
        </w:rPr>
        <w:t>Sredstva TP se načrtujejo po pavšalni stopnji na podlagi napredka pri izvajanju PEKP 21</w:t>
      </w:r>
      <w:r w:rsidRPr="00F425EA">
        <w:rPr>
          <w:rFonts w:cs="Arial"/>
          <w:szCs w:val="20"/>
        </w:rPr>
        <w:t>–</w:t>
      </w:r>
      <w:r w:rsidRPr="00F425EA">
        <w:rPr>
          <w:rFonts w:eastAsia="Calibri" w:cs="Arial"/>
          <w:szCs w:val="20"/>
        </w:rPr>
        <w:t>27. Sredstva TP bodo tako del vsake prednostne naloge programa in ne bodo vključena v obliki ločene prednostne naloge. Povrnjena bodo po pavšalni stopnji glede na sklad, regijo in upravičene izdatke, ki jih bo Slovenija vključila v zahtevke za izplačilo in posredovala EK</w:t>
      </w:r>
      <w:r w:rsidR="000C1654">
        <w:rPr>
          <w:rFonts w:eastAsia="Calibri" w:cs="Arial"/>
          <w:szCs w:val="20"/>
        </w:rPr>
        <w:t>.</w:t>
      </w:r>
    </w:p>
    <w:p w14:paraId="127EA5A5" w14:textId="6007CEFF" w:rsidR="000E7A5A" w:rsidRPr="00F425EA" w:rsidRDefault="000E7A5A" w:rsidP="00E247FF">
      <w:pPr>
        <w:spacing w:after="0" w:line="276" w:lineRule="auto"/>
        <w:jc w:val="both"/>
        <w:rPr>
          <w:rFonts w:cs="Arial"/>
          <w:szCs w:val="20"/>
        </w:rPr>
      </w:pPr>
      <w:bookmarkStart w:id="105" w:name="_Toc120473788"/>
      <w:bookmarkStart w:id="106" w:name="_Toc764422932"/>
      <w:bookmarkStart w:id="107" w:name="_Toc1215928310"/>
      <w:bookmarkStart w:id="108" w:name="_Toc814500028"/>
      <w:bookmarkStart w:id="109" w:name="_Toc1117911846"/>
      <w:bookmarkStart w:id="110" w:name="_Toc50397766"/>
      <w:bookmarkStart w:id="111" w:name="_Toc1665254959"/>
      <w:bookmarkStart w:id="112" w:name="_Toc1695757308"/>
      <w:bookmarkStart w:id="113" w:name="_Toc2044264976"/>
      <w:bookmarkStart w:id="114" w:name="_Toc648762339"/>
      <w:bookmarkStart w:id="115" w:name="_Toc315342767"/>
      <w:bookmarkStart w:id="116" w:name="_Toc1264098701"/>
      <w:bookmarkStart w:id="117" w:name="_Toc191202715"/>
      <w:bookmarkStart w:id="118" w:name="_Toc2115850327"/>
      <w:bookmarkStart w:id="119" w:name="_Toc1668615332"/>
      <w:bookmarkStart w:id="120" w:name="_Toc627814872"/>
      <w:bookmarkStart w:id="121" w:name="_Toc2030812291"/>
      <w:bookmarkStart w:id="122" w:name="_Toc1218370456"/>
      <w:bookmarkStart w:id="123" w:name="_Toc1185633417"/>
      <w:bookmarkStart w:id="124" w:name="_Toc167425872"/>
      <w:bookmarkStart w:id="125" w:name="_Toc925149073"/>
      <w:bookmarkStart w:id="126" w:name="_Toc1847337248"/>
      <w:bookmarkStart w:id="127" w:name="_Toc1268586131"/>
      <w:bookmarkStart w:id="128" w:name="_Toc1771901008"/>
      <w:bookmarkStart w:id="129" w:name="_Toc1941601539"/>
      <w:bookmarkStart w:id="130" w:name="_Toc764027845"/>
      <w:bookmarkStart w:id="131" w:name="_Toc1902173429"/>
      <w:bookmarkStart w:id="132" w:name="_Toc431577650"/>
      <w:bookmarkStart w:id="133" w:name="_Toc1396346825"/>
      <w:bookmarkStart w:id="134" w:name="_Toc946411702"/>
      <w:bookmarkStart w:id="135" w:name="_Toc1255705533"/>
      <w:bookmarkStart w:id="136" w:name="_Toc340777964"/>
      <w:bookmarkStart w:id="137" w:name="_Toc1235433218"/>
      <w:bookmarkStart w:id="138" w:name="_Toc1550751267"/>
      <w:bookmarkStart w:id="139" w:name="_Toc303462860"/>
      <w:bookmarkStart w:id="140" w:name="_Toc1747502803"/>
      <w:bookmarkStart w:id="141" w:name="_Toc486498094"/>
      <w:bookmarkStart w:id="142" w:name="_Toc478939170"/>
      <w:bookmarkStart w:id="143" w:name="_Toc1712463562"/>
      <w:bookmarkStart w:id="144" w:name="_Toc1386147789"/>
      <w:bookmarkStart w:id="145" w:name="_Toc1830725044"/>
      <w:bookmarkStart w:id="146" w:name="_Toc1523886782"/>
      <w:bookmarkStart w:id="147" w:name="_Toc225564784"/>
      <w:bookmarkStart w:id="148" w:name="_Toc1630294427"/>
      <w:bookmarkStart w:id="149" w:name="_Toc832413710"/>
      <w:bookmarkStart w:id="150" w:name="_Toc1691108179"/>
      <w:bookmarkStart w:id="151" w:name="_Toc1661516512"/>
      <w:bookmarkStart w:id="152" w:name="_Toc1565588039"/>
      <w:bookmarkStart w:id="153" w:name="_Toc170141194"/>
      <w:bookmarkStart w:id="154" w:name="_Toc709567595"/>
      <w:bookmarkStart w:id="155" w:name="_Toc1729633612"/>
      <w:bookmarkStart w:id="156" w:name="_Toc137713029"/>
      <w:bookmarkStart w:id="157" w:name="_Toc1823683714"/>
      <w:bookmarkStart w:id="158" w:name="_Toc611810084"/>
      <w:bookmarkStart w:id="159" w:name="_Toc895432680"/>
      <w:bookmarkStart w:id="160" w:name="_Toc1118056409"/>
      <w:bookmarkStart w:id="161" w:name="_Toc1444487641"/>
      <w:bookmarkStart w:id="162" w:name="_Toc1008364184"/>
      <w:bookmarkStart w:id="163" w:name="_Toc1756303373"/>
      <w:bookmarkStart w:id="164" w:name="_Toc959437639"/>
      <w:bookmarkStart w:id="165" w:name="_Toc2101471342"/>
      <w:bookmarkStart w:id="166" w:name="_Toc1697294393"/>
      <w:bookmarkStart w:id="167" w:name="_Toc1942792341"/>
      <w:bookmarkStart w:id="168" w:name="_Toc627435807"/>
      <w:bookmarkStart w:id="169" w:name="_Toc570340735"/>
      <w:bookmarkStart w:id="170" w:name="_Toc918826158"/>
      <w:bookmarkStart w:id="171" w:name="_Toc42864861"/>
      <w:bookmarkStart w:id="172" w:name="_Toc579025541"/>
      <w:bookmarkStart w:id="173" w:name="_Toc1022473172"/>
      <w:bookmarkStart w:id="174" w:name="_Toc241995665"/>
      <w:bookmarkStart w:id="175" w:name="_Toc471656657"/>
      <w:bookmarkStart w:id="176" w:name="_Toc1857422841"/>
      <w:bookmarkStart w:id="177" w:name="_Toc1726505091"/>
      <w:bookmarkStart w:id="178" w:name="_Toc1432678973"/>
      <w:bookmarkStart w:id="179" w:name="_Toc141607085"/>
      <w:bookmarkStart w:id="180" w:name="_Toc1995454034"/>
      <w:bookmarkStart w:id="181" w:name="_Toc1697001833"/>
      <w:bookmarkStart w:id="182" w:name="_Toc2123415295"/>
      <w:bookmarkStart w:id="183" w:name="_Toc276220032"/>
      <w:bookmarkStart w:id="184" w:name="_Toc1354767819"/>
      <w:bookmarkStart w:id="185" w:name="_Toc118854608"/>
      <w:bookmarkStart w:id="186" w:name="_Toc75631326"/>
      <w:bookmarkStart w:id="187" w:name="_Toc2119261645"/>
      <w:bookmarkStart w:id="188" w:name="_Toc998237007"/>
    </w:p>
    <w:p w14:paraId="1FA56BE8" w14:textId="1E316E7F" w:rsidR="000E7A5A" w:rsidRPr="00F425EA" w:rsidRDefault="00306071" w:rsidP="007E18A1">
      <w:pPr>
        <w:pStyle w:val="Naslov10"/>
        <w:pageBreakBefore/>
        <w:spacing w:before="0" w:after="0" w:line="276" w:lineRule="auto"/>
        <w:ind w:left="567" w:hanging="567"/>
        <w:rPr>
          <w:rFonts w:cs="Arial"/>
        </w:rPr>
      </w:pPr>
      <w:bookmarkStart w:id="189" w:name="_Toc187739293"/>
      <w:bookmarkStart w:id="190" w:name="_Toc187740026"/>
      <w:bookmarkStart w:id="191" w:name="_Toc192681980"/>
      <w:r w:rsidRPr="00F425EA">
        <w:rPr>
          <w:rFonts w:cs="Arial"/>
        </w:rPr>
        <w:lastRenderedPageBreak/>
        <w:t>2.</w:t>
      </w:r>
      <w:r w:rsidRPr="00F425EA">
        <w:rPr>
          <w:rFonts w:cs="Arial"/>
        </w:rPr>
        <w:tab/>
      </w:r>
      <w:r w:rsidR="005A12CC" w:rsidRPr="00F425EA">
        <w:rPr>
          <w:rFonts w:cs="Arial"/>
          <w:caps w:val="0"/>
        </w:rPr>
        <w:t>STANJE IZVAJANJA PEKP 21</w:t>
      </w:r>
      <w:r w:rsidR="005A12CC" w:rsidRPr="00F425EA">
        <w:rPr>
          <w:rFonts w:eastAsia="Calibri" w:cs="Arial"/>
          <w:caps w:val="0"/>
          <w:sz w:val="22"/>
          <w:szCs w:val="22"/>
        </w:rPr>
        <w:t>–</w:t>
      </w:r>
      <w:r w:rsidR="005A12CC" w:rsidRPr="00F425EA">
        <w:rPr>
          <w:rFonts w:cs="Arial"/>
          <w:caps w:val="0"/>
        </w:rPr>
        <w:t>27</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28296944" w14:textId="77777777" w:rsidR="000E7A5A" w:rsidRPr="00F425EA" w:rsidRDefault="000E7A5A" w:rsidP="00E247FF">
      <w:pPr>
        <w:autoSpaceDE w:val="0"/>
        <w:spacing w:after="0" w:line="276" w:lineRule="auto"/>
        <w:jc w:val="both"/>
        <w:rPr>
          <w:rFonts w:cs="Arial"/>
          <w:sz w:val="22"/>
          <w:szCs w:val="22"/>
        </w:rPr>
      </w:pPr>
    </w:p>
    <w:p w14:paraId="4E051030" w14:textId="3CE97CBC" w:rsidR="000E7A5A" w:rsidRPr="00F425EA" w:rsidRDefault="00306071" w:rsidP="00A052DB">
      <w:pPr>
        <w:autoSpaceDE w:val="0"/>
        <w:spacing w:after="0" w:line="276" w:lineRule="auto"/>
        <w:jc w:val="both"/>
        <w:rPr>
          <w:rFonts w:cs="Arial"/>
          <w:szCs w:val="20"/>
        </w:rPr>
      </w:pPr>
      <w:r w:rsidRPr="00F425EA">
        <w:rPr>
          <w:rFonts w:cs="Arial"/>
          <w:szCs w:val="20"/>
        </w:rPr>
        <w:t xml:space="preserve">V okviru razpoložljivih sredstev za programsko obdobje </w:t>
      </w:r>
      <w:r w:rsidRPr="00F425EA">
        <w:rPr>
          <w:rFonts w:eastAsia="Calibri" w:cs="Arial"/>
          <w:szCs w:val="20"/>
        </w:rPr>
        <w:t xml:space="preserve">2021–2027 </w:t>
      </w:r>
      <w:r w:rsidRPr="00F425EA">
        <w:rPr>
          <w:rFonts w:cs="Arial"/>
          <w:szCs w:val="20"/>
        </w:rPr>
        <w:t xml:space="preserve">je </w:t>
      </w:r>
      <w:r w:rsidRPr="00F425EA">
        <w:rPr>
          <w:rFonts w:cs="Arial"/>
          <w:b/>
          <w:bCs/>
          <w:szCs w:val="20"/>
        </w:rPr>
        <w:t>razdelitev sredstev po skladih</w:t>
      </w:r>
      <w:r w:rsidRPr="00F425EA">
        <w:rPr>
          <w:rFonts w:cs="Arial"/>
          <w:szCs w:val="20"/>
        </w:rPr>
        <w:t xml:space="preserve"> naslednja:</w:t>
      </w:r>
    </w:p>
    <w:p w14:paraId="334ADF79" w14:textId="77777777" w:rsidR="000E7A5A" w:rsidRPr="00F425EA" w:rsidRDefault="00306071" w:rsidP="00E247FF">
      <w:pPr>
        <w:numPr>
          <w:ilvl w:val="0"/>
          <w:numId w:val="11"/>
        </w:numPr>
        <w:autoSpaceDE w:val="0"/>
        <w:spacing w:after="0" w:line="276" w:lineRule="auto"/>
        <w:jc w:val="both"/>
        <w:rPr>
          <w:rFonts w:cs="Arial"/>
          <w:szCs w:val="20"/>
        </w:rPr>
      </w:pPr>
      <w:r w:rsidRPr="00F425EA">
        <w:rPr>
          <w:rFonts w:cs="Arial"/>
          <w:szCs w:val="20"/>
        </w:rPr>
        <w:t>ESRR: 1.545.686.286 EUR;</w:t>
      </w:r>
    </w:p>
    <w:p w14:paraId="5A6BFD39" w14:textId="77777777" w:rsidR="000E7A5A" w:rsidRPr="00F425EA" w:rsidRDefault="00306071" w:rsidP="00E247FF">
      <w:pPr>
        <w:numPr>
          <w:ilvl w:val="0"/>
          <w:numId w:val="11"/>
        </w:numPr>
        <w:autoSpaceDE w:val="0"/>
        <w:spacing w:after="0" w:line="276" w:lineRule="auto"/>
        <w:jc w:val="both"/>
        <w:rPr>
          <w:rFonts w:cs="Arial"/>
          <w:szCs w:val="20"/>
        </w:rPr>
      </w:pPr>
      <w:r w:rsidRPr="00F425EA">
        <w:rPr>
          <w:rFonts w:cs="Arial"/>
          <w:szCs w:val="20"/>
        </w:rPr>
        <w:t>ESS+: 611.504.805 EUR;</w:t>
      </w:r>
    </w:p>
    <w:p w14:paraId="7BDE4C7E" w14:textId="77777777" w:rsidR="000E7A5A" w:rsidRPr="00F425EA" w:rsidRDefault="00306071" w:rsidP="00E247FF">
      <w:pPr>
        <w:numPr>
          <w:ilvl w:val="0"/>
          <w:numId w:val="11"/>
        </w:numPr>
        <w:autoSpaceDE w:val="0"/>
        <w:spacing w:after="0" w:line="276" w:lineRule="auto"/>
        <w:jc w:val="both"/>
        <w:rPr>
          <w:rFonts w:cs="Arial"/>
          <w:szCs w:val="20"/>
        </w:rPr>
      </w:pPr>
      <w:r w:rsidRPr="00F425EA">
        <w:rPr>
          <w:rFonts w:cs="Arial"/>
          <w:szCs w:val="20"/>
        </w:rPr>
        <w:t>KS: 700.675.721 EUR;</w:t>
      </w:r>
    </w:p>
    <w:p w14:paraId="1A298758" w14:textId="77777777" w:rsidR="000E7A5A" w:rsidRPr="00F425EA" w:rsidRDefault="00306071" w:rsidP="00E247FF">
      <w:pPr>
        <w:numPr>
          <w:ilvl w:val="0"/>
          <w:numId w:val="11"/>
        </w:numPr>
        <w:autoSpaceDE w:val="0"/>
        <w:spacing w:after="0" w:line="276" w:lineRule="auto"/>
        <w:jc w:val="both"/>
        <w:rPr>
          <w:rFonts w:cs="Arial"/>
          <w:szCs w:val="20"/>
        </w:rPr>
      </w:pPr>
      <w:r w:rsidRPr="00F425EA">
        <w:rPr>
          <w:rFonts w:cs="Arial"/>
          <w:szCs w:val="20"/>
        </w:rPr>
        <w:t>SPP: 248.773.600 EUR.</w:t>
      </w:r>
    </w:p>
    <w:p w14:paraId="463A0154" w14:textId="77777777" w:rsidR="000E7A5A" w:rsidRPr="00F425EA" w:rsidRDefault="000E7A5A" w:rsidP="00E247FF">
      <w:pPr>
        <w:autoSpaceDE w:val="0"/>
        <w:spacing w:after="0" w:line="276" w:lineRule="auto"/>
        <w:jc w:val="both"/>
        <w:rPr>
          <w:rFonts w:cs="Arial"/>
          <w:szCs w:val="20"/>
        </w:rPr>
      </w:pPr>
    </w:p>
    <w:p w14:paraId="6CB92AD4" w14:textId="6462FB0E" w:rsidR="000E7A5A" w:rsidRPr="00F425EA" w:rsidRDefault="00306071" w:rsidP="00E247FF">
      <w:pPr>
        <w:spacing w:after="0" w:line="276" w:lineRule="auto"/>
        <w:jc w:val="both"/>
        <w:rPr>
          <w:rFonts w:eastAsia="SimSun" w:cs="Arial"/>
          <w:szCs w:val="20"/>
          <w:lang w:eastAsia="zh-CN"/>
        </w:rPr>
      </w:pPr>
      <w:r w:rsidRPr="00F425EA">
        <w:rPr>
          <w:rFonts w:eastAsia="SimSun" w:cs="Arial"/>
          <w:szCs w:val="20"/>
          <w:lang w:eastAsia="zh-CN"/>
        </w:rPr>
        <w:t xml:space="preserve">V okviru </w:t>
      </w:r>
      <w:r w:rsidRPr="00F425EA">
        <w:rPr>
          <w:rFonts w:eastAsia="SimSun" w:cs="Arial"/>
          <w:b/>
          <w:szCs w:val="20"/>
          <w:lang w:eastAsia="zh-CN"/>
        </w:rPr>
        <w:t>razdelitve</w:t>
      </w:r>
      <w:r w:rsidRPr="00F425EA">
        <w:rPr>
          <w:rFonts w:eastAsia="SimSun" w:cs="Arial"/>
          <w:szCs w:val="20"/>
          <w:lang w:eastAsia="zh-CN"/>
        </w:rPr>
        <w:t xml:space="preserve"> razpoložljivih sredstev posameznih skladov glede na </w:t>
      </w:r>
      <w:r w:rsidRPr="00F425EA">
        <w:rPr>
          <w:rFonts w:eastAsia="SimSun" w:cs="Arial"/>
          <w:b/>
          <w:szCs w:val="20"/>
          <w:lang w:eastAsia="zh-CN"/>
        </w:rPr>
        <w:t>geografsko upravičenost</w:t>
      </w:r>
      <w:r w:rsidRPr="00F425EA">
        <w:rPr>
          <w:rFonts w:eastAsia="SimSun" w:cs="Arial"/>
          <w:szCs w:val="20"/>
          <w:lang w:eastAsia="zh-CN"/>
        </w:rPr>
        <w:t>, kamor spada razdelitev na obe kohezijski regiji, je stanje naslednje:</w:t>
      </w:r>
    </w:p>
    <w:p w14:paraId="16ACE6ED" w14:textId="77777777" w:rsidR="000E7A5A" w:rsidRPr="00F425EA" w:rsidRDefault="00306071" w:rsidP="00E247FF">
      <w:pPr>
        <w:numPr>
          <w:ilvl w:val="0"/>
          <w:numId w:val="12"/>
        </w:numPr>
        <w:autoSpaceDE w:val="0"/>
        <w:spacing w:after="0" w:line="276" w:lineRule="auto"/>
        <w:ind w:left="714" w:hanging="357"/>
        <w:jc w:val="both"/>
        <w:rPr>
          <w:rFonts w:eastAsia="SimSun" w:cs="Arial"/>
          <w:szCs w:val="20"/>
          <w:lang w:eastAsia="zh-CN"/>
        </w:rPr>
      </w:pPr>
      <w:r w:rsidRPr="00F425EA">
        <w:rPr>
          <w:rFonts w:eastAsia="SimSun" w:cs="Arial"/>
          <w:szCs w:val="20"/>
          <w:lang w:eastAsia="zh-CN"/>
        </w:rPr>
        <w:t xml:space="preserve">kohezijski regiji Zahodna Slovenija je iz ESRR in ESS+ skupaj namenjenih 436 mio EUR razpoložljivih sredstev; </w:t>
      </w:r>
    </w:p>
    <w:p w14:paraId="0223D8C2" w14:textId="77777777" w:rsidR="000E7A5A" w:rsidRPr="00F425EA" w:rsidRDefault="00306071" w:rsidP="00E247FF">
      <w:pPr>
        <w:numPr>
          <w:ilvl w:val="0"/>
          <w:numId w:val="12"/>
        </w:numPr>
        <w:autoSpaceDE w:val="0"/>
        <w:spacing w:after="0" w:line="276" w:lineRule="auto"/>
        <w:jc w:val="both"/>
        <w:rPr>
          <w:rFonts w:eastAsia="SimSun" w:cs="Arial"/>
          <w:szCs w:val="20"/>
          <w:lang w:eastAsia="zh-CN"/>
        </w:rPr>
      </w:pPr>
      <w:r w:rsidRPr="00F425EA">
        <w:rPr>
          <w:rFonts w:eastAsia="SimSun" w:cs="Arial"/>
          <w:szCs w:val="20"/>
          <w:lang w:eastAsia="zh-CN"/>
        </w:rPr>
        <w:t xml:space="preserve">kohezijski regiji Vzhodna Slovenija je iz ESRR in ESS+ skupaj namenjenih 1,398 mrd EUR razpoložljivih sredstev; </w:t>
      </w:r>
    </w:p>
    <w:p w14:paraId="343F48F8" w14:textId="77777777" w:rsidR="000E7A5A" w:rsidRPr="00F425EA" w:rsidRDefault="00306071" w:rsidP="00E247FF">
      <w:pPr>
        <w:numPr>
          <w:ilvl w:val="0"/>
          <w:numId w:val="12"/>
        </w:numPr>
        <w:autoSpaceDE w:val="0"/>
        <w:spacing w:after="0" w:line="276" w:lineRule="auto"/>
        <w:jc w:val="both"/>
        <w:rPr>
          <w:rFonts w:eastAsia="SimSun" w:cs="Arial"/>
          <w:szCs w:val="20"/>
          <w:lang w:eastAsia="zh-CN"/>
        </w:rPr>
      </w:pPr>
      <w:r w:rsidRPr="00F425EA">
        <w:rPr>
          <w:rFonts w:eastAsia="SimSun" w:cs="Arial"/>
          <w:szCs w:val="20"/>
          <w:lang w:eastAsia="zh-CN"/>
        </w:rPr>
        <w:t>obema regijama je skupaj na voljo 700 mio EUR iz sklada KS, ki se ne deli med regijama in se izvaja na območju celotne Slovenije;</w:t>
      </w:r>
    </w:p>
    <w:p w14:paraId="7ADF184D" w14:textId="77777777" w:rsidR="000E7A5A" w:rsidRPr="00F425EA" w:rsidRDefault="00306071" w:rsidP="00E247FF">
      <w:pPr>
        <w:numPr>
          <w:ilvl w:val="0"/>
          <w:numId w:val="12"/>
        </w:numPr>
        <w:autoSpaceDE w:val="0"/>
        <w:spacing w:after="0" w:line="276" w:lineRule="auto"/>
        <w:jc w:val="both"/>
        <w:rPr>
          <w:rFonts w:eastAsia="SimSun" w:cs="Arial"/>
          <w:szCs w:val="20"/>
          <w:lang w:eastAsia="zh-CN"/>
        </w:rPr>
      </w:pPr>
      <w:r w:rsidRPr="00F425EA">
        <w:rPr>
          <w:rFonts w:eastAsia="SimSun" w:cs="Arial"/>
          <w:szCs w:val="20"/>
          <w:lang w:eastAsia="zh-CN"/>
        </w:rPr>
        <w:t>izvajanje SPP ni vezano na geografsko upravičenost med kohezijski regiji, temveč je namenjeno regijam, ki so upravičena območja pravičnega prehoda.</w:t>
      </w:r>
    </w:p>
    <w:p w14:paraId="5BB43A62" w14:textId="77777777" w:rsidR="000E7A5A" w:rsidRPr="00F425EA" w:rsidRDefault="000E7A5A" w:rsidP="00E247FF">
      <w:pPr>
        <w:autoSpaceDE w:val="0"/>
        <w:spacing w:after="0" w:line="276" w:lineRule="auto"/>
        <w:ind w:left="720"/>
        <w:jc w:val="both"/>
        <w:rPr>
          <w:rFonts w:eastAsia="SimSun" w:cs="Arial"/>
          <w:szCs w:val="20"/>
          <w:lang w:eastAsia="zh-CN"/>
        </w:rPr>
      </w:pPr>
    </w:p>
    <w:p w14:paraId="2C30978C" w14:textId="77777777" w:rsidR="000E7A5A" w:rsidRPr="00F425EA" w:rsidRDefault="00306071" w:rsidP="00E247FF">
      <w:pPr>
        <w:autoSpaceDE w:val="0"/>
        <w:spacing w:after="0" w:line="276" w:lineRule="auto"/>
        <w:jc w:val="both"/>
        <w:rPr>
          <w:rFonts w:cs="Arial"/>
          <w:szCs w:val="20"/>
        </w:rPr>
      </w:pPr>
      <w:r w:rsidRPr="00F425EA">
        <w:rPr>
          <w:rFonts w:cs="Arial"/>
          <w:szCs w:val="20"/>
        </w:rPr>
        <w:t xml:space="preserve">Kohezijska regija Zahodna Slovenija se uvršča med razvite regije, Kohezijska regija Vzhodna Slovenija pa med manj razvite regije, kar pomeni različno stopnjo sofinanciranja s strani EK. Ker pa so tudi v Kohezijska regija Zahodna Slovenija, kljub splošni večji razvitosti, prisotne velike razlike v </w:t>
      </w:r>
      <w:r w:rsidRPr="00F425EA">
        <w:rPr>
          <w:rFonts w:eastAsia="SimSun" w:cs="Arial"/>
          <w:szCs w:val="20"/>
          <w:lang w:eastAsia="zh-CN"/>
        </w:rPr>
        <w:t>stopnji razvitosti med razvojnimi regijami in znotraj njih, proračun RS zagotavlja ustrezno višino nacionalnega prispevka, ki omogoča ustrezno izvedbo operacij v obeh kohezijskih regijah.</w:t>
      </w:r>
    </w:p>
    <w:p w14:paraId="5F329672" w14:textId="77777777" w:rsidR="000E7A5A" w:rsidRPr="00F425EA" w:rsidRDefault="000E7A5A" w:rsidP="00E247FF">
      <w:pPr>
        <w:autoSpaceDE w:val="0"/>
        <w:spacing w:after="0" w:line="276" w:lineRule="auto"/>
        <w:jc w:val="both"/>
        <w:rPr>
          <w:rFonts w:eastAsia="SimSun" w:cs="Arial"/>
          <w:szCs w:val="20"/>
          <w:lang w:eastAsia="zh-CN"/>
        </w:rPr>
      </w:pPr>
    </w:p>
    <w:p w14:paraId="32C28348" w14:textId="4EE6E727" w:rsidR="000E7A5A" w:rsidRPr="00F425EA" w:rsidRDefault="00306071" w:rsidP="00E247FF">
      <w:pPr>
        <w:autoSpaceDE w:val="0"/>
        <w:spacing w:after="0" w:line="276" w:lineRule="auto"/>
        <w:jc w:val="both"/>
        <w:rPr>
          <w:rFonts w:eastAsia="SimSun" w:cs="Arial"/>
          <w:szCs w:val="20"/>
          <w:lang w:eastAsia="zh-CN"/>
        </w:rPr>
      </w:pPr>
      <w:r w:rsidRPr="00F425EA">
        <w:rPr>
          <w:rFonts w:eastAsia="SimSun" w:cs="Arial"/>
          <w:szCs w:val="20"/>
          <w:lang w:eastAsia="zh-CN"/>
        </w:rPr>
        <w:t>Izvajanje PEKP 21–27 se je začelo s sprejemom Uredbe o izvajanju uredb (EU) in (</w:t>
      </w:r>
      <w:proofErr w:type="spellStart"/>
      <w:r w:rsidRPr="00F425EA">
        <w:rPr>
          <w:rFonts w:eastAsia="SimSun" w:cs="Arial"/>
          <w:szCs w:val="20"/>
          <w:lang w:eastAsia="zh-CN"/>
        </w:rPr>
        <w:t>Euratom</w:t>
      </w:r>
      <w:proofErr w:type="spellEnd"/>
      <w:r w:rsidRPr="00F425EA">
        <w:rPr>
          <w:rFonts w:eastAsia="SimSun" w:cs="Arial"/>
          <w:szCs w:val="20"/>
          <w:lang w:eastAsia="zh-CN"/>
        </w:rPr>
        <w:t>) na področju izvajanja evropske kohezijske politike v obdobju 2021–2027 za cilj naložbe za rast in delovna mesta.</w:t>
      </w:r>
      <w:r w:rsidR="00495A21">
        <w:rPr>
          <w:rStyle w:val="Sprotnaopomba-sklic"/>
          <w:rFonts w:eastAsia="SimSun" w:cs="Arial"/>
          <w:szCs w:val="20"/>
          <w:lang w:eastAsia="zh-CN"/>
        </w:rPr>
        <w:footnoteReference w:id="1"/>
      </w:r>
    </w:p>
    <w:p w14:paraId="6B334243" w14:textId="77777777" w:rsidR="000E7A5A" w:rsidRPr="00F425EA" w:rsidRDefault="000E7A5A" w:rsidP="00E247FF">
      <w:pPr>
        <w:autoSpaceDE w:val="0"/>
        <w:spacing w:after="0" w:line="276" w:lineRule="auto"/>
        <w:jc w:val="both"/>
        <w:rPr>
          <w:rFonts w:eastAsia="SimSun" w:cs="Arial"/>
          <w:szCs w:val="20"/>
          <w:lang w:eastAsia="zh-CN"/>
        </w:rPr>
      </w:pPr>
    </w:p>
    <w:p w14:paraId="2881EDC4" w14:textId="1708853D" w:rsidR="000E7A5A" w:rsidRPr="00F425EA" w:rsidRDefault="00306071" w:rsidP="00E247FF">
      <w:pPr>
        <w:autoSpaceDE w:val="0"/>
        <w:spacing w:after="0" w:line="276" w:lineRule="auto"/>
        <w:jc w:val="both"/>
        <w:rPr>
          <w:rFonts w:eastAsia="SimSun" w:cs="Arial"/>
          <w:szCs w:val="20"/>
          <w:lang w:eastAsia="zh-CN"/>
        </w:rPr>
      </w:pPr>
      <w:r w:rsidRPr="00F425EA">
        <w:rPr>
          <w:rFonts w:eastAsia="SimSun" w:cs="Arial"/>
          <w:szCs w:val="20"/>
          <w:lang w:eastAsia="zh-CN"/>
        </w:rPr>
        <w:t xml:space="preserve">Tudi v okviru EKP 21–27, ne glede na razdelitev po skladih ali kohezijskih regijah, izvajanje EKP zajema različne vidike, od finančnega, kamor lahko štejemo napredek, vezan na uspešnost </w:t>
      </w:r>
      <w:r w:rsidR="0059022B">
        <w:rPr>
          <w:rFonts w:eastAsia="SimSun" w:cs="Arial"/>
          <w:szCs w:val="20"/>
          <w:lang w:eastAsia="zh-CN"/>
        </w:rPr>
        <w:t>koriščenja</w:t>
      </w:r>
      <w:r w:rsidR="0059022B" w:rsidRPr="00F425EA">
        <w:rPr>
          <w:rFonts w:eastAsia="SimSun" w:cs="Arial"/>
          <w:szCs w:val="20"/>
          <w:lang w:eastAsia="zh-CN"/>
        </w:rPr>
        <w:t xml:space="preserve"> </w:t>
      </w:r>
      <w:r w:rsidRPr="00F425EA">
        <w:rPr>
          <w:rFonts w:eastAsia="SimSun" w:cs="Arial"/>
          <w:szCs w:val="20"/>
          <w:lang w:eastAsia="zh-CN"/>
        </w:rPr>
        <w:t xml:space="preserve">EU sredstev, do vsebinskega, kjer je moč spremljati vsebinski napredek na posamezni prednostni osi. </w:t>
      </w:r>
    </w:p>
    <w:p w14:paraId="1B8B418F" w14:textId="77777777" w:rsidR="000E7A5A" w:rsidRPr="00F425EA" w:rsidRDefault="000E7A5A" w:rsidP="00E247FF">
      <w:pPr>
        <w:spacing w:after="0" w:line="276" w:lineRule="auto"/>
        <w:jc w:val="both"/>
        <w:rPr>
          <w:rFonts w:eastAsia="SimSun" w:cs="Arial"/>
          <w:szCs w:val="20"/>
          <w:lang w:eastAsia="zh-CN"/>
        </w:rPr>
      </w:pPr>
    </w:p>
    <w:p w14:paraId="7F6B7969" w14:textId="44464238" w:rsidR="00F425EA" w:rsidRPr="00F425EA" w:rsidRDefault="00306071" w:rsidP="00E247FF">
      <w:pPr>
        <w:spacing w:after="0" w:line="276" w:lineRule="auto"/>
        <w:jc w:val="both"/>
        <w:rPr>
          <w:rFonts w:cs="Arial"/>
          <w:szCs w:val="20"/>
        </w:rPr>
      </w:pPr>
      <w:r w:rsidRPr="00F425EA">
        <w:rPr>
          <w:rFonts w:cs="Arial"/>
          <w:szCs w:val="20"/>
        </w:rPr>
        <w:t>Sistem koriščenja sredstev EKP obsega več faz, ki si sledijo v sosledju:</w:t>
      </w:r>
    </w:p>
    <w:p w14:paraId="7A7C1690" w14:textId="77777777" w:rsidR="000E7A5A" w:rsidRPr="00F425EA" w:rsidRDefault="00306071" w:rsidP="00E247FF">
      <w:pPr>
        <w:numPr>
          <w:ilvl w:val="0"/>
          <w:numId w:val="13"/>
        </w:numPr>
        <w:spacing w:after="0" w:line="276" w:lineRule="auto"/>
        <w:jc w:val="both"/>
        <w:rPr>
          <w:rFonts w:cs="Arial"/>
          <w:szCs w:val="20"/>
        </w:rPr>
      </w:pPr>
      <w:r w:rsidRPr="00F425EA">
        <w:rPr>
          <w:rFonts w:cs="Arial"/>
          <w:b/>
          <w:bCs/>
          <w:szCs w:val="20"/>
        </w:rPr>
        <w:t xml:space="preserve">faza: </w:t>
      </w:r>
      <w:r w:rsidRPr="00F425EA">
        <w:rPr>
          <w:rFonts w:cs="Arial"/>
          <w:szCs w:val="20"/>
        </w:rPr>
        <w:t xml:space="preserve">OU oceni vlogo PT za odobritev evropskih sredstev za posamični javni razpis/projekt oziroma program. Če je vloga skladna z vsebino PEKP 21–27, OU izda odločitev o podpori PT. </w:t>
      </w:r>
    </w:p>
    <w:p w14:paraId="057A8136" w14:textId="77777777" w:rsidR="000E7A5A" w:rsidRPr="00F425EA" w:rsidRDefault="00306071" w:rsidP="00E247FF">
      <w:pPr>
        <w:numPr>
          <w:ilvl w:val="0"/>
          <w:numId w:val="13"/>
        </w:numPr>
        <w:spacing w:after="0" w:line="276" w:lineRule="auto"/>
        <w:jc w:val="both"/>
        <w:rPr>
          <w:rFonts w:cs="Arial"/>
          <w:szCs w:val="20"/>
        </w:rPr>
      </w:pPr>
      <w:r w:rsidRPr="00F425EA">
        <w:rPr>
          <w:rFonts w:cs="Arial"/>
          <w:b/>
          <w:bCs/>
          <w:szCs w:val="20"/>
        </w:rPr>
        <w:t xml:space="preserve">faza: </w:t>
      </w:r>
      <w:r w:rsidRPr="00F425EA">
        <w:rPr>
          <w:rFonts w:cs="Arial"/>
          <w:szCs w:val="20"/>
        </w:rPr>
        <w:t xml:space="preserve">PT izvedejo postopke izbora (npr. objavijo javne razpise), dodelijo sredstva in sklenejo pogodbe o sofinanciranju z upravičenci, kar je podlaga za dejansko financiranje projektov iz sredstev EKP. </w:t>
      </w:r>
    </w:p>
    <w:p w14:paraId="47BBA180" w14:textId="77777777" w:rsidR="000E7A5A" w:rsidRPr="00F425EA" w:rsidRDefault="00306071" w:rsidP="00E247FF">
      <w:pPr>
        <w:numPr>
          <w:ilvl w:val="0"/>
          <w:numId w:val="13"/>
        </w:numPr>
        <w:spacing w:after="0" w:line="276" w:lineRule="auto"/>
        <w:jc w:val="both"/>
        <w:rPr>
          <w:rFonts w:cs="Arial"/>
          <w:szCs w:val="20"/>
        </w:rPr>
      </w:pPr>
      <w:r w:rsidRPr="00F425EA">
        <w:rPr>
          <w:rFonts w:cs="Arial"/>
          <w:b/>
          <w:bCs/>
          <w:szCs w:val="20"/>
        </w:rPr>
        <w:t xml:space="preserve">faza: </w:t>
      </w:r>
      <w:r w:rsidRPr="00F425EA">
        <w:rPr>
          <w:rFonts w:cs="Arial"/>
          <w:szCs w:val="20"/>
        </w:rPr>
        <w:t xml:space="preserve">izvedba projekta (upravičenec, izvajalci) v skladu s pogodbo o sofinanciranju. Za izvedene aktivnosti upravičenci PT izstavijo račune (zahtevke za izplačila, v nadaljnjem besedilu: ZZI), ki se po administrativnem preverjanju plačajo (založijo) iz državnega proračuna. </w:t>
      </w:r>
    </w:p>
    <w:p w14:paraId="042F7DC6" w14:textId="7620ABDD" w:rsidR="000E7A5A" w:rsidRPr="00F425EA" w:rsidRDefault="00306071" w:rsidP="00E247FF">
      <w:pPr>
        <w:numPr>
          <w:ilvl w:val="0"/>
          <w:numId w:val="13"/>
        </w:numPr>
        <w:spacing w:after="0" w:line="276" w:lineRule="auto"/>
        <w:jc w:val="both"/>
        <w:rPr>
          <w:rFonts w:cs="Arial"/>
          <w:szCs w:val="20"/>
        </w:rPr>
      </w:pPr>
      <w:r w:rsidRPr="00F425EA">
        <w:rPr>
          <w:rFonts w:cs="Arial"/>
          <w:b/>
          <w:bCs/>
          <w:szCs w:val="20"/>
        </w:rPr>
        <w:t xml:space="preserve">faza: </w:t>
      </w:r>
      <w:r w:rsidRPr="00F425EA">
        <w:rPr>
          <w:rFonts w:cs="Arial"/>
          <w:szCs w:val="20"/>
        </w:rPr>
        <w:t xml:space="preserve">predstavlja prenos plačanih in preverjenih ZZI iz e-MA2 v informacijski sistem organa za </w:t>
      </w:r>
      <w:proofErr w:type="spellStart"/>
      <w:r w:rsidRPr="00F425EA">
        <w:rPr>
          <w:rFonts w:cs="Arial"/>
          <w:szCs w:val="20"/>
        </w:rPr>
        <w:t>računovodenje</w:t>
      </w:r>
      <w:proofErr w:type="spellEnd"/>
      <w:r w:rsidRPr="00F425EA">
        <w:rPr>
          <w:rFonts w:cs="Arial"/>
          <w:szCs w:val="20"/>
        </w:rPr>
        <w:t xml:space="preserve"> (e-CA). Organ za </w:t>
      </w:r>
      <w:proofErr w:type="spellStart"/>
      <w:r w:rsidRPr="00F425EA">
        <w:rPr>
          <w:rFonts w:cs="Arial"/>
          <w:szCs w:val="20"/>
        </w:rPr>
        <w:t>računovodenje</w:t>
      </w:r>
      <w:proofErr w:type="spellEnd"/>
      <w:r w:rsidRPr="00F425EA">
        <w:rPr>
          <w:rFonts w:cs="Arial"/>
          <w:szCs w:val="20"/>
        </w:rPr>
        <w:t xml:space="preserve"> ZZI-je pregleda, jih potrdi, izvede povračilo sredstev EU iz podračuna na Banki Slovenije v državni proračun in nato Evropski komisiji pošlje zahtevek za povračilo sredstev. Četrta faza predstavlja koriščenje sredstev.</w:t>
      </w:r>
    </w:p>
    <w:p w14:paraId="2CF8D957" w14:textId="77777777" w:rsidR="000E7A5A" w:rsidRDefault="00306071" w:rsidP="00E247FF">
      <w:pPr>
        <w:numPr>
          <w:ilvl w:val="0"/>
          <w:numId w:val="13"/>
        </w:numPr>
        <w:spacing w:after="0" w:line="276" w:lineRule="auto"/>
        <w:jc w:val="both"/>
        <w:rPr>
          <w:rFonts w:cs="Arial"/>
          <w:szCs w:val="20"/>
        </w:rPr>
      </w:pPr>
      <w:r w:rsidRPr="00F425EA">
        <w:rPr>
          <w:rFonts w:cs="Arial"/>
          <w:b/>
          <w:bCs/>
          <w:szCs w:val="20"/>
        </w:rPr>
        <w:lastRenderedPageBreak/>
        <w:t xml:space="preserve">faza: </w:t>
      </w:r>
      <w:r w:rsidRPr="00F425EA">
        <w:rPr>
          <w:rFonts w:cs="Arial"/>
          <w:szCs w:val="20"/>
        </w:rPr>
        <w:t xml:space="preserve">predstavlja preverjanje zahtevkov pri EK in plačilo sredstev iz proračuna EU na podračune pri Banki Slovenija. </w:t>
      </w:r>
    </w:p>
    <w:p w14:paraId="606B62D0" w14:textId="77777777" w:rsidR="006A2AF1" w:rsidRPr="00F425EA" w:rsidRDefault="006A2AF1" w:rsidP="006A2AF1">
      <w:pPr>
        <w:spacing w:after="0" w:line="276" w:lineRule="auto"/>
        <w:jc w:val="both"/>
        <w:rPr>
          <w:rFonts w:cs="Arial"/>
          <w:szCs w:val="20"/>
        </w:rPr>
      </w:pPr>
    </w:p>
    <w:p w14:paraId="38E029D2" w14:textId="5AA1AF74" w:rsidR="000E7A5A" w:rsidRPr="00F425EA" w:rsidRDefault="1ECD1B8B" w:rsidP="3AB28DE4">
      <w:pPr>
        <w:spacing w:after="0" w:line="276" w:lineRule="auto"/>
        <w:jc w:val="both"/>
        <w:rPr>
          <w:rFonts w:cs="Arial"/>
        </w:rPr>
        <w:sectPr w:rsidR="000E7A5A" w:rsidRPr="00F425EA">
          <w:pgSz w:w="11906" w:h="16838"/>
          <w:pgMar w:top="1418" w:right="1418" w:bottom="1418" w:left="1418" w:header="709" w:footer="709" w:gutter="0"/>
          <w:cols w:space="708"/>
        </w:sectPr>
      </w:pPr>
      <w:r w:rsidRPr="00F7FCEE">
        <w:rPr>
          <w:rFonts w:cs="Arial"/>
          <w:lang w:eastAsia="zh-CN"/>
        </w:rPr>
        <w:t>V spodnji tabeli je predstavljen finančni napredek po skladih in po geografski upravičenosti za obdobje od 1. 1. 2021 do 31. 12. 2024</w:t>
      </w:r>
      <w:r w:rsidR="3B583338" w:rsidRPr="00F7FCEE">
        <w:rPr>
          <w:rFonts w:cs="Arial"/>
          <w:lang w:eastAsia="zh-CN"/>
        </w:rPr>
        <w:t>, ki predstavlja preseč</w:t>
      </w:r>
      <w:r w:rsidR="67672C59" w:rsidRPr="00F7FCEE">
        <w:rPr>
          <w:rFonts w:cs="Arial"/>
          <w:lang w:eastAsia="zh-CN"/>
        </w:rPr>
        <w:t>ni datum pr</w:t>
      </w:r>
      <w:r w:rsidR="461044D8" w:rsidRPr="00F7FCEE">
        <w:rPr>
          <w:rFonts w:cs="Arial"/>
          <w:lang w:eastAsia="zh-CN"/>
        </w:rPr>
        <w:t>iprave poročila,</w:t>
      </w:r>
      <w:r w:rsidRPr="00F7FCEE">
        <w:rPr>
          <w:rFonts w:cs="Arial"/>
          <w:lang w:eastAsia="zh-CN"/>
        </w:rPr>
        <w:t xml:space="preserve"> ter finančni napredek po posameznih fazah izvajanja EKP.</w:t>
      </w:r>
    </w:p>
    <w:p w14:paraId="4AC9E5EE" w14:textId="540E86F4" w:rsidR="001451CD" w:rsidRDefault="001451CD" w:rsidP="001451CD">
      <w:pPr>
        <w:pStyle w:val="Napis"/>
        <w:keepNext/>
        <w:spacing w:after="0"/>
        <w:rPr>
          <w:rFonts w:cs="Arial"/>
          <w:b w:val="0"/>
          <w:bCs w:val="0"/>
          <w:sz w:val="18"/>
          <w:szCs w:val="18"/>
        </w:rPr>
      </w:pPr>
      <w:bookmarkStart w:id="192" w:name="_Toc191379190"/>
      <w:r w:rsidRPr="00D07111">
        <w:rPr>
          <w:rFonts w:cs="Arial"/>
          <w:b w:val="0"/>
          <w:bCs w:val="0"/>
          <w:sz w:val="18"/>
          <w:szCs w:val="18"/>
        </w:rPr>
        <w:lastRenderedPageBreak/>
        <w:t xml:space="preserve">Tabela </w:t>
      </w:r>
      <w:r w:rsidRPr="00D07111">
        <w:rPr>
          <w:rFonts w:cs="Arial"/>
          <w:b w:val="0"/>
          <w:bCs w:val="0"/>
          <w:sz w:val="18"/>
          <w:szCs w:val="18"/>
        </w:rPr>
        <w:fldChar w:fldCharType="begin"/>
      </w:r>
      <w:r w:rsidRPr="00D07111">
        <w:rPr>
          <w:rFonts w:cs="Arial"/>
          <w:b w:val="0"/>
          <w:bCs w:val="0"/>
          <w:sz w:val="18"/>
          <w:szCs w:val="18"/>
        </w:rPr>
        <w:instrText xml:space="preserve"> SEQ Tabela \* ARABIC </w:instrText>
      </w:r>
      <w:r w:rsidRPr="00D07111">
        <w:rPr>
          <w:rFonts w:cs="Arial"/>
          <w:b w:val="0"/>
          <w:bCs w:val="0"/>
          <w:sz w:val="18"/>
          <w:szCs w:val="18"/>
        </w:rPr>
        <w:fldChar w:fldCharType="separate"/>
      </w:r>
      <w:r w:rsidR="00064E01">
        <w:rPr>
          <w:rFonts w:cs="Arial"/>
          <w:b w:val="0"/>
          <w:bCs w:val="0"/>
          <w:noProof/>
          <w:sz w:val="18"/>
          <w:szCs w:val="18"/>
        </w:rPr>
        <w:t>1</w:t>
      </w:r>
      <w:r w:rsidRPr="00D07111">
        <w:rPr>
          <w:rFonts w:cs="Arial"/>
          <w:b w:val="0"/>
          <w:bCs w:val="0"/>
          <w:sz w:val="18"/>
          <w:szCs w:val="18"/>
        </w:rPr>
        <w:fldChar w:fldCharType="end"/>
      </w:r>
      <w:r w:rsidRPr="00D07111">
        <w:rPr>
          <w:rFonts w:cs="Arial"/>
          <w:b w:val="0"/>
          <w:bCs w:val="0"/>
          <w:sz w:val="18"/>
          <w:szCs w:val="18"/>
        </w:rPr>
        <w:t>: Izvajanje PEKP 2021–2027 po skladih in regijah skupaj: obdobje od 1. 1. 2021 do 31. 12. 2024</w:t>
      </w:r>
      <w:bookmarkEnd w:id="192"/>
    </w:p>
    <w:p w14:paraId="1CD8253B" w14:textId="77777777" w:rsidR="0023397C" w:rsidRPr="00A11EF1" w:rsidRDefault="0023397C" w:rsidP="006A2AF1">
      <w:pPr>
        <w:spacing w:after="0"/>
      </w:pPr>
    </w:p>
    <w:tbl>
      <w:tblPr>
        <w:tblW w:w="5000" w:type="pct"/>
        <w:tblCellMar>
          <w:left w:w="10" w:type="dxa"/>
          <w:right w:w="10" w:type="dxa"/>
        </w:tblCellMar>
        <w:tblLook w:val="04A0" w:firstRow="1" w:lastRow="0" w:firstColumn="1" w:lastColumn="0" w:noHBand="0" w:noVBand="1"/>
      </w:tblPr>
      <w:tblGrid>
        <w:gridCol w:w="1533"/>
        <w:gridCol w:w="1536"/>
        <w:gridCol w:w="1715"/>
        <w:gridCol w:w="1532"/>
        <w:gridCol w:w="1535"/>
        <w:gridCol w:w="1532"/>
        <w:gridCol w:w="1535"/>
        <w:gridCol w:w="1532"/>
        <w:gridCol w:w="1532"/>
      </w:tblGrid>
      <w:tr w:rsidR="000E7A5A" w:rsidRPr="00A11EF1" w14:paraId="1BF9B5FA" w14:textId="77777777">
        <w:trPr>
          <w:trHeight w:val="300"/>
        </w:trPr>
        <w:tc>
          <w:tcPr>
            <w:tcW w:w="1533" w:type="dxa"/>
            <w:vMerge w:val="restart"/>
            <w:tcBorders>
              <w:top w:val="single" w:sz="8" w:space="0" w:color="000000"/>
              <w:left w:val="single" w:sz="8" w:space="0" w:color="000000"/>
              <w:right w:val="single" w:sz="8" w:space="0" w:color="000000"/>
            </w:tcBorders>
            <w:shd w:val="clear" w:color="auto" w:fill="DDEBF7"/>
            <w:tcMar>
              <w:top w:w="0" w:type="dxa"/>
              <w:left w:w="70" w:type="dxa"/>
              <w:bottom w:w="0" w:type="dxa"/>
              <w:right w:w="70" w:type="dxa"/>
            </w:tcMar>
            <w:vAlign w:val="center"/>
          </w:tcPr>
          <w:p w14:paraId="3BD0EE24" w14:textId="77777777" w:rsidR="000E7A5A" w:rsidRPr="001126C1" w:rsidRDefault="00306071" w:rsidP="00E247FF">
            <w:pPr>
              <w:spacing w:after="0" w:line="276" w:lineRule="auto"/>
              <w:jc w:val="center"/>
              <w:rPr>
                <w:rFonts w:cs="Arial"/>
                <w:b/>
                <w:bCs/>
                <w:sz w:val="16"/>
                <w:szCs w:val="16"/>
              </w:rPr>
            </w:pPr>
            <w:r w:rsidRPr="001126C1">
              <w:rPr>
                <w:rFonts w:cs="Arial"/>
                <w:b/>
                <w:bCs/>
                <w:color w:val="000000"/>
                <w:sz w:val="16"/>
                <w:szCs w:val="16"/>
              </w:rPr>
              <w:t>Sklad</w:t>
            </w:r>
          </w:p>
        </w:tc>
        <w:tc>
          <w:tcPr>
            <w:tcW w:w="1536" w:type="dxa"/>
            <w:vMerge w:val="restart"/>
            <w:tcBorders>
              <w:top w:val="single" w:sz="8" w:space="0" w:color="000000"/>
              <w:left w:val="single" w:sz="8" w:space="0" w:color="000000"/>
              <w:right w:val="single" w:sz="8" w:space="0" w:color="000000"/>
            </w:tcBorders>
            <w:shd w:val="clear" w:color="auto" w:fill="DDEBF7"/>
            <w:tcMar>
              <w:top w:w="0" w:type="dxa"/>
              <w:left w:w="70" w:type="dxa"/>
              <w:bottom w:w="0" w:type="dxa"/>
              <w:right w:w="70" w:type="dxa"/>
            </w:tcMar>
            <w:vAlign w:val="center"/>
          </w:tcPr>
          <w:p w14:paraId="594CBD4F" w14:textId="77777777" w:rsidR="000E7A5A" w:rsidRPr="001126C1" w:rsidRDefault="00306071" w:rsidP="00E247FF">
            <w:pPr>
              <w:spacing w:after="0" w:line="276" w:lineRule="auto"/>
              <w:jc w:val="center"/>
              <w:rPr>
                <w:rFonts w:cs="Arial"/>
                <w:b/>
                <w:bCs/>
                <w:sz w:val="16"/>
                <w:szCs w:val="16"/>
              </w:rPr>
            </w:pPr>
            <w:r w:rsidRPr="001126C1">
              <w:rPr>
                <w:rFonts w:cs="Arial"/>
                <w:b/>
                <w:bCs/>
                <w:color w:val="000000"/>
                <w:sz w:val="16"/>
                <w:szCs w:val="16"/>
              </w:rPr>
              <w:t>Regija</w:t>
            </w:r>
          </w:p>
        </w:tc>
        <w:tc>
          <w:tcPr>
            <w:tcW w:w="1715" w:type="dxa"/>
            <w:vMerge w:val="restart"/>
            <w:tcBorders>
              <w:top w:val="single" w:sz="8" w:space="0" w:color="000000"/>
              <w:left w:val="single" w:sz="8" w:space="0" w:color="000000"/>
              <w:right w:val="single" w:sz="8" w:space="0" w:color="000000"/>
            </w:tcBorders>
            <w:shd w:val="clear" w:color="auto" w:fill="DDEBF7"/>
            <w:tcMar>
              <w:top w:w="0" w:type="dxa"/>
              <w:left w:w="70" w:type="dxa"/>
              <w:bottom w:w="0" w:type="dxa"/>
              <w:right w:w="70" w:type="dxa"/>
            </w:tcMar>
            <w:vAlign w:val="center"/>
          </w:tcPr>
          <w:p w14:paraId="70075E8E" w14:textId="77777777" w:rsidR="000E7A5A" w:rsidRPr="001126C1" w:rsidRDefault="00306071" w:rsidP="00E247FF">
            <w:pPr>
              <w:spacing w:after="0" w:line="276" w:lineRule="auto"/>
              <w:jc w:val="center"/>
              <w:rPr>
                <w:rFonts w:cs="Arial"/>
                <w:b/>
                <w:bCs/>
                <w:sz w:val="16"/>
                <w:szCs w:val="16"/>
              </w:rPr>
            </w:pPr>
            <w:r w:rsidRPr="001126C1">
              <w:rPr>
                <w:rFonts w:cs="Arial"/>
                <w:b/>
                <w:bCs/>
                <w:color w:val="000000"/>
                <w:sz w:val="16"/>
                <w:szCs w:val="16"/>
              </w:rPr>
              <w:t>Pravice porabe brez tehnične pomoči*</w:t>
            </w:r>
          </w:p>
        </w:tc>
        <w:tc>
          <w:tcPr>
            <w:tcW w:w="3067" w:type="dxa"/>
            <w:gridSpan w:val="2"/>
            <w:tcBorders>
              <w:top w:val="single" w:sz="8" w:space="0" w:color="000000"/>
              <w:bottom w:val="single" w:sz="8" w:space="0" w:color="000000"/>
              <w:right w:val="single" w:sz="8" w:space="0" w:color="000000"/>
            </w:tcBorders>
            <w:shd w:val="clear" w:color="auto" w:fill="DDEBF7"/>
            <w:tcMar>
              <w:top w:w="0" w:type="dxa"/>
              <w:left w:w="70" w:type="dxa"/>
              <w:bottom w:w="0" w:type="dxa"/>
              <w:right w:w="70" w:type="dxa"/>
            </w:tcMar>
            <w:vAlign w:val="center"/>
          </w:tcPr>
          <w:p w14:paraId="65C36C23" w14:textId="77777777" w:rsidR="000E7A5A" w:rsidRPr="001126C1" w:rsidRDefault="00306071" w:rsidP="00E247FF">
            <w:pPr>
              <w:spacing w:after="0" w:line="276" w:lineRule="auto"/>
              <w:jc w:val="center"/>
              <w:rPr>
                <w:rFonts w:cs="Arial"/>
                <w:b/>
                <w:bCs/>
                <w:sz w:val="16"/>
                <w:szCs w:val="16"/>
              </w:rPr>
            </w:pPr>
            <w:r w:rsidRPr="001126C1">
              <w:rPr>
                <w:rFonts w:cs="Arial"/>
                <w:b/>
                <w:bCs/>
                <w:color w:val="000000"/>
                <w:sz w:val="16"/>
                <w:szCs w:val="16"/>
              </w:rPr>
              <w:t>A</w:t>
            </w:r>
          </w:p>
        </w:tc>
        <w:tc>
          <w:tcPr>
            <w:tcW w:w="3067" w:type="dxa"/>
            <w:gridSpan w:val="2"/>
            <w:tcBorders>
              <w:top w:val="single" w:sz="8" w:space="0" w:color="000000"/>
              <w:bottom w:val="single" w:sz="8" w:space="0" w:color="000000"/>
              <w:right w:val="single" w:sz="8" w:space="0" w:color="000000"/>
            </w:tcBorders>
            <w:shd w:val="clear" w:color="auto" w:fill="DDEBF7"/>
            <w:tcMar>
              <w:top w:w="0" w:type="dxa"/>
              <w:left w:w="70" w:type="dxa"/>
              <w:bottom w:w="0" w:type="dxa"/>
              <w:right w:w="70" w:type="dxa"/>
            </w:tcMar>
            <w:vAlign w:val="center"/>
          </w:tcPr>
          <w:p w14:paraId="151872FA" w14:textId="77777777" w:rsidR="000E7A5A" w:rsidRPr="001126C1" w:rsidRDefault="00306071" w:rsidP="00E247FF">
            <w:pPr>
              <w:spacing w:after="0" w:line="276" w:lineRule="auto"/>
              <w:jc w:val="center"/>
              <w:rPr>
                <w:rFonts w:cs="Arial"/>
                <w:b/>
                <w:bCs/>
                <w:sz w:val="16"/>
                <w:szCs w:val="16"/>
              </w:rPr>
            </w:pPr>
            <w:r w:rsidRPr="001126C1">
              <w:rPr>
                <w:rFonts w:cs="Arial"/>
                <w:b/>
                <w:bCs/>
                <w:color w:val="000000"/>
                <w:sz w:val="16"/>
                <w:szCs w:val="16"/>
              </w:rPr>
              <w:t>B</w:t>
            </w:r>
          </w:p>
        </w:tc>
        <w:tc>
          <w:tcPr>
            <w:tcW w:w="3064" w:type="dxa"/>
            <w:gridSpan w:val="2"/>
            <w:tcBorders>
              <w:top w:val="single" w:sz="8" w:space="0" w:color="000000"/>
              <w:bottom w:val="single" w:sz="8" w:space="0" w:color="000000"/>
              <w:right w:val="single" w:sz="8" w:space="0" w:color="000000"/>
            </w:tcBorders>
            <w:shd w:val="clear" w:color="auto" w:fill="DDEBF7"/>
            <w:tcMar>
              <w:top w:w="0" w:type="dxa"/>
              <w:left w:w="70" w:type="dxa"/>
              <w:bottom w:w="0" w:type="dxa"/>
              <w:right w:w="70" w:type="dxa"/>
            </w:tcMar>
            <w:vAlign w:val="center"/>
          </w:tcPr>
          <w:p w14:paraId="65FFA8C0" w14:textId="77777777" w:rsidR="000E7A5A" w:rsidRPr="001126C1" w:rsidRDefault="00306071" w:rsidP="00E247FF">
            <w:pPr>
              <w:spacing w:after="0" w:line="276" w:lineRule="auto"/>
              <w:jc w:val="center"/>
              <w:rPr>
                <w:rFonts w:cs="Arial"/>
                <w:b/>
                <w:bCs/>
                <w:sz w:val="16"/>
                <w:szCs w:val="16"/>
              </w:rPr>
            </w:pPr>
            <w:r w:rsidRPr="001126C1">
              <w:rPr>
                <w:rFonts w:cs="Arial"/>
                <w:b/>
                <w:bCs/>
                <w:color w:val="000000"/>
                <w:sz w:val="16"/>
                <w:szCs w:val="16"/>
              </w:rPr>
              <w:t>C</w:t>
            </w:r>
          </w:p>
        </w:tc>
      </w:tr>
      <w:tr w:rsidR="000E7A5A" w:rsidRPr="00A11EF1" w14:paraId="76643707" w14:textId="77777777">
        <w:trPr>
          <w:trHeight w:val="380"/>
        </w:trPr>
        <w:tc>
          <w:tcPr>
            <w:tcW w:w="1533" w:type="dxa"/>
            <w:vMerge/>
            <w:tcBorders>
              <w:top w:val="single" w:sz="8" w:space="0" w:color="000000"/>
              <w:left w:val="single" w:sz="8" w:space="0" w:color="000000"/>
              <w:right w:val="single" w:sz="8" w:space="0" w:color="000000"/>
            </w:tcBorders>
            <w:shd w:val="clear" w:color="auto" w:fill="DDEBF7"/>
            <w:tcMar>
              <w:top w:w="0" w:type="dxa"/>
              <w:left w:w="70" w:type="dxa"/>
              <w:bottom w:w="0" w:type="dxa"/>
              <w:right w:w="70" w:type="dxa"/>
            </w:tcMar>
            <w:vAlign w:val="center"/>
          </w:tcPr>
          <w:p w14:paraId="55C704B2" w14:textId="77777777" w:rsidR="000E7A5A" w:rsidRPr="001126C1" w:rsidRDefault="000E7A5A" w:rsidP="00E247FF">
            <w:pPr>
              <w:spacing w:after="0" w:line="276" w:lineRule="auto"/>
              <w:jc w:val="both"/>
              <w:rPr>
                <w:rFonts w:cs="Arial"/>
                <w:b/>
                <w:bCs/>
                <w:color w:val="000000"/>
                <w:sz w:val="16"/>
                <w:szCs w:val="16"/>
              </w:rPr>
            </w:pPr>
          </w:p>
        </w:tc>
        <w:tc>
          <w:tcPr>
            <w:tcW w:w="1536" w:type="dxa"/>
            <w:vMerge/>
            <w:tcBorders>
              <w:top w:val="single" w:sz="8" w:space="0" w:color="000000"/>
              <w:left w:val="single" w:sz="8" w:space="0" w:color="000000"/>
              <w:right w:val="single" w:sz="8" w:space="0" w:color="000000"/>
            </w:tcBorders>
            <w:shd w:val="clear" w:color="auto" w:fill="DDEBF7"/>
            <w:tcMar>
              <w:top w:w="0" w:type="dxa"/>
              <w:left w:w="70" w:type="dxa"/>
              <w:bottom w:w="0" w:type="dxa"/>
              <w:right w:w="70" w:type="dxa"/>
            </w:tcMar>
            <w:vAlign w:val="center"/>
          </w:tcPr>
          <w:p w14:paraId="4F0C0870" w14:textId="77777777" w:rsidR="000E7A5A" w:rsidRPr="001126C1" w:rsidRDefault="000E7A5A" w:rsidP="00E247FF">
            <w:pPr>
              <w:spacing w:after="0" w:line="276" w:lineRule="auto"/>
              <w:jc w:val="both"/>
              <w:rPr>
                <w:rFonts w:cs="Arial"/>
                <w:b/>
                <w:bCs/>
                <w:color w:val="000000"/>
                <w:sz w:val="16"/>
                <w:szCs w:val="16"/>
              </w:rPr>
            </w:pPr>
          </w:p>
        </w:tc>
        <w:tc>
          <w:tcPr>
            <w:tcW w:w="1715" w:type="dxa"/>
            <w:vMerge/>
            <w:tcBorders>
              <w:top w:val="single" w:sz="8" w:space="0" w:color="000000"/>
              <w:left w:val="single" w:sz="8" w:space="0" w:color="000000"/>
              <w:right w:val="single" w:sz="8" w:space="0" w:color="000000"/>
            </w:tcBorders>
            <w:shd w:val="clear" w:color="auto" w:fill="DDEBF7"/>
            <w:tcMar>
              <w:top w:w="0" w:type="dxa"/>
              <w:left w:w="70" w:type="dxa"/>
              <w:bottom w:w="0" w:type="dxa"/>
              <w:right w:w="70" w:type="dxa"/>
            </w:tcMar>
            <w:vAlign w:val="center"/>
          </w:tcPr>
          <w:p w14:paraId="1BACA07C" w14:textId="77777777" w:rsidR="000E7A5A" w:rsidRPr="001126C1" w:rsidRDefault="000E7A5A" w:rsidP="00E247FF">
            <w:pPr>
              <w:spacing w:after="0" w:line="276" w:lineRule="auto"/>
              <w:jc w:val="both"/>
              <w:rPr>
                <w:rFonts w:cs="Arial"/>
                <w:b/>
                <w:bCs/>
                <w:color w:val="000000"/>
                <w:sz w:val="16"/>
                <w:szCs w:val="16"/>
              </w:rPr>
            </w:pPr>
          </w:p>
        </w:tc>
        <w:tc>
          <w:tcPr>
            <w:tcW w:w="3067" w:type="dxa"/>
            <w:gridSpan w:val="2"/>
            <w:tcBorders>
              <w:top w:val="single" w:sz="8" w:space="0" w:color="000000"/>
              <w:bottom w:val="single" w:sz="8" w:space="0" w:color="000000"/>
              <w:right w:val="single" w:sz="8" w:space="0" w:color="000000"/>
            </w:tcBorders>
            <w:shd w:val="clear" w:color="auto" w:fill="DDEBF7"/>
            <w:tcMar>
              <w:top w:w="0" w:type="dxa"/>
              <w:left w:w="70" w:type="dxa"/>
              <w:bottom w:w="0" w:type="dxa"/>
              <w:right w:w="70" w:type="dxa"/>
            </w:tcMar>
            <w:vAlign w:val="center"/>
          </w:tcPr>
          <w:p w14:paraId="489568D2" w14:textId="77777777" w:rsidR="000E7A5A" w:rsidRPr="001126C1" w:rsidRDefault="00306071" w:rsidP="00E247FF">
            <w:pPr>
              <w:spacing w:after="0" w:line="276" w:lineRule="auto"/>
              <w:jc w:val="center"/>
              <w:rPr>
                <w:rFonts w:cs="Arial"/>
                <w:b/>
                <w:bCs/>
                <w:sz w:val="16"/>
                <w:szCs w:val="16"/>
              </w:rPr>
            </w:pPr>
            <w:r w:rsidRPr="001126C1">
              <w:rPr>
                <w:rFonts w:cs="Arial"/>
                <w:b/>
                <w:bCs/>
                <w:color w:val="000000"/>
                <w:sz w:val="16"/>
                <w:szCs w:val="16"/>
              </w:rPr>
              <w:t>Odločitve o podpori**</w:t>
            </w:r>
          </w:p>
        </w:tc>
        <w:tc>
          <w:tcPr>
            <w:tcW w:w="3067" w:type="dxa"/>
            <w:gridSpan w:val="2"/>
            <w:tcBorders>
              <w:top w:val="single" w:sz="8" w:space="0" w:color="000000"/>
              <w:bottom w:val="single" w:sz="8" w:space="0" w:color="000000"/>
              <w:right w:val="single" w:sz="8" w:space="0" w:color="000000"/>
            </w:tcBorders>
            <w:shd w:val="clear" w:color="auto" w:fill="DDEBF7"/>
            <w:tcMar>
              <w:top w:w="0" w:type="dxa"/>
              <w:left w:w="70" w:type="dxa"/>
              <w:bottom w:w="0" w:type="dxa"/>
              <w:right w:w="70" w:type="dxa"/>
            </w:tcMar>
            <w:vAlign w:val="center"/>
          </w:tcPr>
          <w:p w14:paraId="26E32DD6" w14:textId="77777777" w:rsidR="000E7A5A" w:rsidRPr="001126C1" w:rsidRDefault="00306071" w:rsidP="00E247FF">
            <w:pPr>
              <w:spacing w:after="0" w:line="276" w:lineRule="auto"/>
              <w:jc w:val="center"/>
              <w:rPr>
                <w:rFonts w:cs="Arial"/>
                <w:b/>
                <w:bCs/>
                <w:sz w:val="16"/>
                <w:szCs w:val="16"/>
              </w:rPr>
            </w:pPr>
            <w:r w:rsidRPr="001126C1">
              <w:rPr>
                <w:rFonts w:cs="Arial"/>
                <w:b/>
                <w:bCs/>
                <w:color w:val="000000"/>
                <w:sz w:val="16"/>
                <w:szCs w:val="16"/>
              </w:rPr>
              <w:t>Potrjene operacije***</w:t>
            </w:r>
          </w:p>
        </w:tc>
        <w:tc>
          <w:tcPr>
            <w:tcW w:w="3064" w:type="dxa"/>
            <w:gridSpan w:val="2"/>
            <w:tcBorders>
              <w:top w:val="single" w:sz="8" w:space="0" w:color="000000"/>
              <w:bottom w:val="single" w:sz="8" w:space="0" w:color="000000"/>
              <w:right w:val="single" w:sz="8" w:space="0" w:color="000000"/>
            </w:tcBorders>
            <w:shd w:val="clear" w:color="auto" w:fill="DDEBF7"/>
            <w:tcMar>
              <w:top w:w="0" w:type="dxa"/>
              <w:left w:w="70" w:type="dxa"/>
              <w:bottom w:w="0" w:type="dxa"/>
              <w:right w:w="70" w:type="dxa"/>
            </w:tcMar>
            <w:vAlign w:val="center"/>
          </w:tcPr>
          <w:p w14:paraId="746233A5" w14:textId="77777777" w:rsidR="000E7A5A" w:rsidRPr="001126C1" w:rsidRDefault="00306071" w:rsidP="00E247FF">
            <w:pPr>
              <w:spacing w:after="0" w:line="276" w:lineRule="auto"/>
              <w:jc w:val="center"/>
              <w:rPr>
                <w:rFonts w:cs="Arial"/>
                <w:b/>
                <w:bCs/>
                <w:sz w:val="16"/>
                <w:szCs w:val="16"/>
              </w:rPr>
            </w:pPr>
            <w:r w:rsidRPr="001126C1">
              <w:rPr>
                <w:rFonts w:cs="Arial"/>
                <w:b/>
                <w:bCs/>
                <w:color w:val="000000"/>
                <w:sz w:val="16"/>
                <w:szCs w:val="16"/>
              </w:rPr>
              <w:t>Izplačila iz državnega proračuna****</w:t>
            </w:r>
          </w:p>
        </w:tc>
      </w:tr>
      <w:tr w:rsidR="000E7A5A" w:rsidRPr="00A11EF1" w14:paraId="68FD850E" w14:textId="77777777">
        <w:trPr>
          <w:trHeight w:val="300"/>
        </w:trPr>
        <w:tc>
          <w:tcPr>
            <w:tcW w:w="1533" w:type="dxa"/>
            <w:vMerge/>
            <w:tcBorders>
              <w:top w:val="single" w:sz="8" w:space="0" w:color="000000"/>
              <w:left w:val="single" w:sz="8" w:space="0" w:color="000000"/>
              <w:right w:val="single" w:sz="8" w:space="0" w:color="000000"/>
            </w:tcBorders>
            <w:shd w:val="clear" w:color="auto" w:fill="DDEBF7"/>
            <w:tcMar>
              <w:top w:w="0" w:type="dxa"/>
              <w:left w:w="70" w:type="dxa"/>
              <w:bottom w:w="0" w:type="dxa"/>
              <w:right w:w="70" w:type="dxa"/>
            </w:tcMar>
            <w:vAlign w:val="center"/>
          </w:tcPr>
          <w:p w14:paraId="7D9FEB92" w14:textId="77777777" w:rsidR="000E7A5A" w:rsidRPr="001126C1" w:rsidRDefault="000E7A5A" w:rsidP="00E247FF">
            <w:pPr>
              <w:spacing w:after="0" w:line="276" w:lineRule="auto"/>
              <w:jc w:val="both"/>
              <w:rPr>
                <w:rFonts w:cs="Arial"/>
                <w:b/>
                <w:bCs/>
                <w:color w:val="000000"/>
                <w:sz w:val="16"/>
                <w:szCs w:val="16"/>
              </w:rPr>
            </w:pPr>
          </w:p>
        </w:tc>
        <w:tc>
          <w:tcPr>
            <w:tcW w:w="1536" w:type="dxa"/>
            <w:vMerge/>
            <w:tcBorders>
              <w:top w:val="single" w:sz="8" w:space="0" w:color="000000"/>
              <w:left w:val="single" w:sz="8" w:space="0" w:color="000000"/>
              <w:right w:val="single" w:sz="8" w:space="0" w:color="000000"/>
            </w:tcBorders>
            <w:shd w:val="clear" w:color="auto" w:fill="DDEBF7"/>
            <w:tcMar>
              <w:top w:w="0" w:type="dxa"/>
              <w:left w:w="70" w:type="dxa"/>
              <w:bottom w:w="0" w:type="dxa"/>
              <w:right w:w="70" w:type="dxa"/>
            </w:tcMar>
            <w:vAlign w:val="center"/>
          </w:tcPr>
          <w:p w14:paraId="7B1D2CC2" w14:textId="77777777" w:rsidR="000E7A5A" w:rsidRPr="001126C1" w:rsidRDefault="000E7A5A" w:rsidP="00E247FF">
            <w:pPr>
              <w:spacing w:after="0" w:line="276" w:lineRule="auto"/>
              <w:jc w:val="both"/>
              <w:rPr>
                <w:rFonts w:cs="Arial"/>
                <w:b/>
                <w:bCs/>
                <w:color w:val="000000"/>
                <w:sz w:val="16"/>
                <w:szCs w:val="16"/>
              </w:rPr>
            </w:pPr>
          </w:p>
        </w:tc>
        <w:tc>
          <w:tcPr>
            <w:tcW w:w="1715" w:type="dxa"/>
            <w:vMerge w:val="restart"/>
            <w:tcBorders>
              <w:left w:val="single" w:sz="8" w:space="0" w:color="000000"/>
              <w:right w:val="single" w:sz="8" w:space="0" w:color="000000"/>
            </w:tcBorders>
            <w:shd w:val="clear" w:color="auto" w:fill="DDEBF7"/>
            <w:tcMar>
              <w:top w:w="0" w:type="dxa"/>
              <w:left w:w="70" w:type="dxa"/>
              <w:bottom w:w="0" w:type="dxa"/>
              <w:right w:w="70" w:type="dxa"/>
            </w:tcMar>
            <w:vAlign w:val="center"/>
          </w:tcPr>
          <w:p w14:paraId="294AFDE6" w14:textId="77777777" w:rsidR="000E7A5A" w:rsidRPr="001126C1" w:rsidRDefault="00306071" w:rsidP="00E247FF">
            <w:pPr>
              <w:spacing w:after="0" w:line="276" w:lineRule="auto"/>
              <w:jc w:val="center"/>
              <w:rPr>
                <w:rFonts w:cs="Arial"/>
                <w:b/>
                <w:bCs/>
                <w:sz w:val="16"/>
                <w:szCs w:val="16"/>
              </w:rPr>
            </w:pPr>
            <w:r w:rsidRPr="001126C1">
              <w:rPr>
                <w:rFonts w:cs="Arial"/>
                <w:b/>
                <w:bCs/>
                <w:color w:val="000000"/>
                <w:sz w:val="16"/>
                <w:szCs w:val="16"/>
              </w:rPr>
              <w:t>EU del (EUR)</w:t>
            </w:r>
          </w:p>
        </w:tc>
        <w:tc>
          <w:tcPr>
            <w:tcW w:w="1532" w:type="dxa"/>
            <w:vMerge w:val="restart"/>
            <w:tcBorders>
              <w:left w:val="single" w:sz="8" w:space="0" w:color="000000"/>
              <w:right w:val="single" w:sz="8" w:space="0" w:color="000000"/>
            </w:tcBorders>
            <w:shd w:val="clear" w:color="auto" w:fill="DDEBF7"/>
            <w:tcMar>
              <w:top w:w="0" w:type="dxa"/>
              <w:left w:w="70" w:type="dxa"/>
              <w:bottom w:w="0" w:type="dxa"/>
              <w:right w:w="70" w:type="dxa"/>
            </w:tcMar>
            <w:vAlign w:val="center"/>
          </w:tcPr>
          <w:p w14:paraId="3CFB17ED" w14:textId="77777777" w:rsidR="000E7A5A" w:rsidRPr="001126C1" w:rsidRDefault="00306071" w:rsidP="00E247FF">
            <w:pPr>
              <w:spacing w:after="0" w:line="276" w:lineRule="auto"/>
              <w:jc w:val="center"/>
              <w:rPr>
                <w:rFonts w:cs="Arial"/>
                <w:b/>
                <w:bCs/>
                <w:sz w:val="16"/>
                <w:szCs w:val="16"/>
              </w:rPr>
            </w:pPr>
            <w:r w:rsidRPr="001126C1">
              <w:rPr>
                <w:rFonts w:cs="Arial"/>
                <w:b/>
                <w:bCs/>
                <w:color w:val="000000"/>
                <w:sz w:val="16"/>
                <w:szCs w:val="16"/>
              </w:rPr>
              <w:t>EU del (EUR)</w:t>
            </w:r>
          </w:p>
        </w:tc>
        <w:tc>
          <w:tcPr>
            <w:tcW w:w="1535" w:type="dxa"/>
            <w:tcBorders>
              <w:bottom w:val="single" w:sz="8" w:space="0" w:color="000000"/>
              <w:right w:val="single" w:sz="8" w:space="0" w:color="000000"/>
            </w:tcBorders>
            <w:shd w:val="clear" w:color="auto" w:fill="DDEBF7"/>
            <w:tcMar>
              <w:top w:w="0" w:type="dxa"/>
              <w:left w:w="70" w:type="dxa"/>
              <w:bottom w:w="0" w:type="dxa"/>
              <w:right w:w="70" w:type="dxa"/>
            </w:tcMar>
            <w:vAlign w:val="center"/>
          </w:tcPr>
          <w:p w14:paraId="07D1C1DB" w14:textId="77777777" w:rsidR="000E7A5A" w:rsidRPr="001126C1" w:rsidRDefault="00306071" w:rsidP="00E247FF">
            <w:pPr>
              <w:spacing w:after="0" w:line="276" w:lineRule="auto"/>
              <w:jc w:val="center"/>
              <w:rPr>
                <w:rFonts w:cs="Arial"/>
                <w:b/>
                <w:bCs/>
                <w:sz w:val="16"/>
                <w:szCs w:val="16"/>
              </w:rPr>
            </w:pPr>
            <w:r w:rsidRPr="001126C1">
              <w:rPr>
                <w:rFonts w:cs="Arial"/>
                <w:b/>
                <w:bCs/>
                <w:color w:val="000000"/>
                <w:sz w:val="16"/>
                <w:szCs w:val="16"/>
              </w:rPr>
              <w:t>% EU del</w:t>
            </w:r>
          </w:p>
        </w:tc>
        <w:tc>
          <w:tcPr>
            <w:tcW w:w="1532" w:type="dxa"/>
            <w:vMerge w:val="restart"/>
            <w:tcBorders>
              <w:left w:val="single" w:sz="8" w:space="0" w:color="000000"/>
              <w:right w:val="single" w:sz="8" w:space="0" w:color="000000"/>
            </w:tcBorders>
            <w:shd w:val="clear" w:color="auto" w:fill="DDEBF7"/>
            <w:tcMar>
              <w:top w:w="0" w:type="dxa"/>
              <w:left w:w="70" w:type="dxa"/>
              <w:bottom w:w="0" w:type="dxa"/>
              <w:right w:w="70" w:type="dxa"/>
            </w:tcMar>
            <w:vAlign w:val="center"/>
          </w:tcPr>
          <w:p w14:paraId="1506B179" w14:textId="77777777" w:rsidR="000E7A5A" w:rsidRPr="001126C1" w:rsidRDefault="00306071" w:rsidP="00E247FF">
            <w:pPr>
              <w:spacing w:after="0" w:line="276" w:lineRule="auto"/>
              <w:jc w:val="center"/>
              <w:rPr>
                <w:rFonts w:cs="Arial"/>
                <w:b/>
                <w:bCs/>
                <w:sz w:val="16"/>
                <w:szCs w:val="16"/>
              </w:rPr>
            </w:pPr>
            <w:r w:rsidRPr="001126C1">
              <w:rPr>
                <w:rFonts w:cs="Arial"/>
                <w:b/>
                <w:bCs/>
                <w:color w:val="000000"/>
                <w:sz w:val="16"/>
                <w:szCs w:val="16"/>
              </w:rPr>
              <w:t>EU del (EUR)</w:t>
            </w:r>
          </w:p>
        </w:tc>
        <w:tc>
          <w:tcPr>
            <w:tcW w:w="1535" w:type="dxa"/>
            <w:tcBorders>
              <w:bottom w:val="single" w:sz="8" w:space="0" w:color="000000"/>
            </w:tcBorders>
            <w:shd w:val="clear" w:color="auto" w:fill="DDEBF7"/>
            <w:tcMar>
              <w:top w:w="0" w:type="dxa"/>
              <w:left w:w="70" w:type="dxa"/>
              <w:bottom w:w="0" w:type="dxa"/>
              <w:right w:w="70" w:type="dxa"/>
            </w:tcMar>
            <w:vAlign w:val="center"/>
          </w:tcPr>
          <w:p w14:paraId="3CD32A4D" w14:textId="77777777" w:rsidR="000E7A5A" w:rsidRPr="001126C1" w:rsidRDefault="00306071" w:rsidP="00E247FF">
            <w:pPr>
              <w:spacing w:after="0" w:line="276" w:lineRule="auto"/>
              <w:jc w:val="center"/>
              <w:rPr>
                <w:rFonts w:cs="Arial"/>
                <w:b/>
                <w:bCs/>
                <w:sz w:val="16"/>
                <w:szCs w:val="16"/>
              </w:rPr>
            </w:pPr>
            <w:r w:rsidRPr="001126C1">
              <w:rPr>
                <w:rFonts w:cs="Arial"/>
                <w:b/>
                <w:bCs/>
                <w:color w:val="000000"/>
                <w:sz w:val="16"/>
                <w:szCs w:val="16"/>
              </w:rPr>
              <w:t>% EU del</w:t>
            </w:r>
          </w:p>
        </w:tc>
        <w:tc>
          <w:tcPr>
            <w:tcW w:w="1532" w:type="dxa"/>
            <w:vMerge w:val="restart"/>
            <w:tcBorders>
              <w:left w:val="single" w:sz="8" w:space="0" w:color="000000"/>
              <w:right w:val="single" w:sz="8" w:space="0" w:color="000000"/>
            </w:tcBorders>
            <w:shd w:val="clear" w:color="auto" w:fill="DDEBF7"/>
            <w:tcMar>
              <w:top w:w="0" w:type="dxa"/>
              <w:left w:w="70" w:type="dxa"/>
              <w:bottom w:w="0" w:type="dxa"/>
              <w:right w:w="70" w:type="dxa"/>
            </w:tcMar>
            <w:vAlign w:val="center"/>
          </w:tcPr>
          <w:p w14:paraId="0C0AA06C" w14:textId="77777777" w:rsidR="000E7A5A" w:rsidRPr="001126C1" w:rsidRDefault="00306071" w:rsidP="00E247FF">
            <w:pPr>
              <w:spacing w:after="0" w:line="276" w:lineRule="auto"/>
              <w:jc w:val="center"/>
              <w:rPr>
                <w:rFonts w:cs="Arial"/>
                <w:b/>
                <w:bCs/>
                <w:sz w:val="16"/>
                <w:szCs w:val="16"/>
              </w:rPr>
            </w:pPr>
            <w:r w:rsidRPr="001126C1">
              <w:rPr>
                <w:rFonts w:cs="Arial"/>
                <w:b/>
                <w:bCs/>
                <w:color w:val="000000"/>
                <w:sz w:val="16"/>
                <w:szCs w:val="16"/>
              </w:rPr>
              <w:t>EU del (EUR)</w:t>
            </w:r>
          </w:p>
        </w:tc>
        <w:tc>
          <w:tcPr>
            <w:tcW w:w="1532" w:type="dxa"/>
            <w:tcBorders>
              <w:bottom w:val="single" w:sz="8" w:space="0" w:color="000000"/>
              <w:right w:val="single" w:sz="8" w:space="0" w:color="000000"/>
            </w:tcBorders>
            <w:shd w:val="clear" w:color="auto" w:fill="DDEBF7"/>
            <w:tcMar>
              <w:top w:w="0" w:type="dxa"/>
              <w:left w:w="70" w:type="dxa"/>
              <w:bottom w:w="0" w:type="dxa"/>
              <w:right w:w="70" w:type="dxa"/>
            </w:tcMar>
            <w:vAlign w:val="center"/>
          </w:tcPr>
          <w:p w14:paraId="0EB8F78D" w14:textId="77777777" w:rsidR="000E7A5A" w:rsidRPr="001126C1" w:rsidRDefault="00306071" w:rsidP="00E247FF">
            <w:pPr>
              <w:spacing w:after="0" w:line="276" w:lineRule="auto"/>
              <w:jc w:val="center"/>
              <w:rPr>
                <w:rFonts w:cs="Arial"/>
                <w:b/>
                <w:bCs/>
                <w:sz w:val="16"/>
                <w:szCs w:val="16"/>
              </w:rPr>
            </w:pPr>
            <w:r w:rsidRPr="001126C1">
              <w:rPr>
                <w:rFonts w:cs="Arial"/>
                <w:b/>
                <w:bCs/>
                <w:color w:val="000000"/>
                <w:sz w:val="16"/>
                <w:szCs w:val="16"/>
              </w:rPr>
              <w:t>% EU del</w:t>
            </w:r>
          </w:p>
        </w:tc>
      </w:tr>
      <w:tr w:rsidR="000E7A5A" w:rsidRPr="00A11EF1" w14:paraId="65BF6B8C" w14:textId="77777777" w:rsidTr="006A2AF1">
        <w:trPr>
          <w:trHeight w:val="165"/>
        </w:trPr>
        <w:tc>
          <w:tcPr>
            <w:tcW w:w="1533" w:type="dxa"/>
            <w:vMerge/>
            <w:tcBorders>
              <w:top w:val="single" w:sz="8" w:space="0" w:color="000000"/>
              <w:left w:val="single" w:sz="8" w:space="0" w:color="000000"/>
              <w:right w:val="single" w:sz="8" w:space="0" w:color="000000"/>
            </w:tcBorders>
            <w:shd w:val="clear" w:color="auto" w:fill="DDEBF7"/>
            <w:tcMar>
              <w:top w:w="0" w:type="dxa"/>
              <w:left w:w="70" w:type="dxa"/>
              <w:bottom w:w="0" w:type="dxa"/>
              <w:right w:w="70" w:type="dxa"/>
            </w:tcMar>
            <w:vAlign w:val="center"/>
          </w:tcPr>
          <w:p w14:paraId="60E66A10" w14:textId="77777777" w:rsidR="000E7A5A" w:rsidRPr="001126C1" w:rsidRDefault="000E7A5A" w:rsidP="00E247FF">
            <w:pPr>
              <w:spacing w:after="0" w:line="276" w:lineRule="auto"/>
              <w:jc w:val="both"/>
              <w:rPr>
                <w:rFonts w:cs="Arial"/>
                <w:b/>
                <w:bCs/>
                <w:color w:val="000000"/>
                <w:sz w:val="16"/>
                <w:szCs w:val="16"/>
              </w:rPr>
            </w:pPr>
          </w:p>
        </w:tc>
        <w:tc>
          <w:tcPr>
            <w:tcW w:w="1536" w:type="dxa"/>
            <w:vMerge/>
            <w:tcBorders>
              <w:top w:val="single" w:sz="8" w:space="0" w:color="000000"/>
              <w:left w:val="single" w:sz="8" w:space="0" w:color="000000"/>
              <w:right w:val="single" w:sz="8" w:space="0" w:color="000000"/>
            </w:tcBorders>
            <w:shd w:val="clear" w:color="auto" w:fill="DDEBF7"/>
            <w:tcMar>
              <w:top w:w="0" w:type="dxa"/>
              <w:left w:w="70" w:type="dxa"/>
              <w:bottom w:w="0" w:type="dxa"/>
              <w:right w:w="70" w:type="dxa"/>
            </w:tcMar>
            <w:vAlign w:val="center"/>
          </w:tcPr>
          <w:p w14:paraId="027FCAF2" w14:textId="77777777" w:rsidR="000E7A5A" w:rsidRPr="001126C1" w:rsidRDefault="000E7A5A" w:rsidP="00E247FF">
            <w:pPr>
              <w:spacing w:after="0" w:line="276" w:lineRule="auto"/>
              <w:jc w:val="both"/>
              <w:rPr>
                <w:rFonts w:cs="Arial"/>
                <w:b/>
                <w:bCs/>
                <w:color w:val="000000"/>
                <w:sz w:val="16"/>
                <w:szCs w:val="16"/>
              </w:rPr>
            </w:pPr>
          </w:p>
        </w:tc>
        <w:tc>
          <w:tcPr>
            <w:tcW w:w="1715" w:type="dxa"/>
            <w:vMerge/>
            <w:tcBorders>
              <w:left w:val="single" w:sz="8" w:space="0" w:color="000000"/>
              <w:right w:val="single" w:sz="8" w:space="0" w:color="000000"/>
            </w:tcBorders>
            <w:shd w:val="clear" w:color="auto" w:fill="DDEBF7"/>
            <w:tcMar>
              <w:top w:w="0" w:type="dxa"/>
              <w:left w:w="70" w:type="dxa"/>
              <w:bottom w:w="0" w:type="dxa"/>
              <w:right w:w="70" w:type="dxa"/>
            </w:tcMar>
            <w:vAlign w:val="center"/>
          </w:tcPr>
          <w:p w14:paraId="7B99654D" w14:textId="77777777" w:rsidR="000E7A5A" w:rsidRPr="001126C1" w:rsidRDefault="000E7A5A" w:rsidP="00E247FF">
            <w:pPr>
              <w:spacing w:after="0" w:line="276" w:lineRule="auto"/>
              <w:jc w:val="both"/>
              <w:rPr>
                <w:rFonts w:cs="Arial"/>
                <w:b/>
                <w:bCs/>
                <w:color w:val="000000"/>
                <w:sz w:val="16"/>
                <w:szCs w:val="16"/>
              </w:rPr>
            </w:pPr>
          </w:p>
        </w:tc>
        <w:tc>
          <w:tcPr>
            <w:tcW w:w="1532" w:type="dxa"/>
            <w:vMerge/>
            <w:tcBorders>
              <w:left w:val="single" w:sz="8" w:space="0" w:color="000000"/>
              <w:right w:val="single" w:sz="8" w:space="0" w:color="000000"/>
            </w:tcBorders>
            <w:shd w:val="clear" w:color="auto" w:fill="DDEBF7"/>
            <w:tcMar>
              <w:top w:w="0" w:type="dxa"/>
              <w:left w:w="70" w:type="dxa"/>
              <w:bottom w:w="0" w:type="dxa"/>
              <w:right w:w="70" w:type="dxa"/>
            </w:tcMar>
            <w:vAlign w:val="center"/>
          </w:tcPr>
          <w:p w14:paraId="46D02E70" w14:textId="77777777" w:rsidR="000E7A5A" w:rsidRPr="001126C1" w:rsidRDefault="000E7A5A" w:rsidP="00E247FF">
            <w:pPr>
              <w:spacing w:after="0" w:line="276" w:lineRule="auto"/>
              <w:jc w:val="both"/>
              <w:rPr>
                <w:rFonts w:cs="Arial"/>
                <w:b/>
                <w:bCs/>
                <w:color w:val="000000"/>
                <w:sz w:val="16"/>
                <w:szCs w:val="16"/>
              </w:rPr>
            </w:pPr>
          </w:p>
        </w:tc>
        <w:tc>
          <w:tcPr>
            <w:tcW w:w="1535" w:type="dxa"/>
            <w:tcBorders>
              <w:bottom w:val="single" w:sz="8" w:space="0" w:color="000000"/>
              <w:right w:val="single" w:sz="8" w:space="0" w:color="000000"/>
            </w:tcBorders>
            <w:shd w:val="clear" w:color="auto" w:fill="DDEBF7"/>
            <w:tcMar>
              <w:top w:w="0" w:type="dxa"/>
              <w:left w:w="70" w:type="dxa"/>
              <w:bottom w:w="0" w:type="dxa"/>
              <w:right w:w="70" w:type="dxa"/>
            </w:tcMar>
            <w:vAlign w:val="center"/>
          </w:tcPr>
          <w:p w14:paraId="3B926C02" w14:textId="77777777" w:rsidR="000E7A5A" w:rsidRPr="001126C1" w:rsidRDefault="00306071" w:rsidP="00E247FF">
            <w:pPr>
              <w:spacing w:after="0" w:line="276" w:lineRule="auto"/>
              <w:jc w:val="center"/>
              <w:rPr>
                <w:rFonts w:cs="Arial"/>
                <w:b/>
                <w:bCs/>
                <w:sz w:val="16"/>
                <w:szCs w:val="16"/>
              </w:rPr>
            </w:pPr>
            <w:r w:rsidRPr="001126C1">
              <w:rPr>
                <w:rFonts w:cs="Arial"/>
                <w:b/>
                <w:bCs/>
                <w:color w:val="000000"/>
                <w:sz w:val="16"/>
                <w:szCs w:val="16"/>
              </w:rPr>
              <w:t>4/3*100</w:t>
            </w:r>
          </w:p>
        </w:tc>
        <w:tc>
          <w:tcPr>
            <w:tcW w:w="1532" w:type="dxa"/>
            <w:vMerge/>
            <w:tcBorders>
              <w:left w:val="single" w:sz="8" w:space="0" w:color="000000"/>
              <w:right w:val="single" w:sz="8" w:space="0" w:color="000000"/>
            </w:tcBorders>
            <w:shd w:val="clear" w:color="auto" w:fill="DDEBF7"/>
            <w:tcMar>
              <w:top w:w="0" w:type="dxa"/>
              <w:left w:w="70" w:type="dxa"/>
              <w:bottom w:w="0" w:type="dxa"/>
              <w:right w:w="70" w:type="dxa"/>
            </w:tcMar>
            <w:vAlign w:val="center"/>
          </w:tcPr>
          <w:p w14:paraId="7B466316" w14:textId="77777777" w:rsidR="000E7A5A" w:rsidRPr="001126C1" w:rsidRDefault="000E7A5A" w:rsidP="00E247FF">
            <w:pPr>
              <w:spacing w:after="0" w:line="276" w:lineRule="auto"/>
              <w:jc w:val="both"/>
              <w:rPr>
                <w:rFonts w:cs="Arial"/>
                <w:b/>
                <w:bCs/>
                <w:color w:val="000000"/>
                <w:sz w:val="16"/>
                <w:szCs w:val="16"/>
              </w:rPr>
            </w:pPr>
          </w:p>
        </w:tc>
        <w:tc>
          <w:tcPr>
            <w:tcW w:w="1535" w:type="dxa"/>
            <w:tcBorders>
              <w:bottom w:val="single" w:sz="8" w:space="0" w:color="000000"/>
            </w:tcBorders>
            <w:shd w:val="clear" w:color="auto" w:fill="DDEBF7"/>
            <w:tcMar>
              <w:top w:w="0" w:type="dxa"/>
              <w:left w:w="70" w:type="dxa"/>
              <w:bottom w:w="0" w:type="dxa"/>
              <w:right w:w="70" w:type="dxa"/>
            </w:tcMar>
            <w:vAlign w:val="center"/>
          </w:tcPr>
          <w:p w14:paraId="56544571" w14:textId="77777777" w:rsidR="000E7A5A" w:rsidRPr="001126C1" w:rsidRDefault="00306071" w:rsidP="00E247FF">
            <w:pPr>
              <w:spacing w:after="0" w:line="276" w:lineRule="auto"/>
              <w:jc w:val="center"/>
              <w:rPr>
                <w:rFonts w:cs="Arial"/>
                <w:b/>
                <w:bCs/>
                <w:sz w:val="16"/>
                <w:szCs w:val="16"/>
              </w:rPr>
            </w:pPr>
            <w:r w:rsidRPr="001126C1">
              <w:rPr>
                <w:rFonts w:cs="Arial"/>
                <w:b/>
                <w:bCs/>
                <w:color w:val="000000"/>
                <w:sz w:val="16"/>
                <w:szCs w:val="16"/>
              </w:rPr>
              <w:t>6/3*100</w:t>
            </w:r>
          </w:p>
        </w:tc>
        <w:tc>
          <w:tcPr>
            <w:tcW w:w="1532" w:type="dxa"/>
            <w:vMerge/>
            <w:tcBorders>
              <w:left w:val="single" w:sz="8" w:space="0" w:color="000000"/>
              <w:right w:val="single" w:sz="8" w:space="0" w:color="000000"/>
            </w:tcBorders>
            <w:shd w:val="clear" w:color="auto" w:fill="DDEBF7"/>
            <w:tcMar>
              <w:top w:w="0" w:type="dxa"/>
              <w:left w:w="70" w:type="dxa"/>
              <w:bottom w:w="0" w:type="dxa"/>
              <w:right w:w="70" w:type="dxa"/>
            </w:tcMar>
            <w:vAlign w:val="center"/>
          </w:tcPr>
          <w:p w14:paraId="79F8E307" w14:textId="77777777" w:rsidR="000E7A5A" w:rsidRPr="001126C1" w:rsidRDefault="000E7A5A" w:rsidP="00E247FF">
            <w:pPr>
              <w:spacing w:after="0" w:line="276" w:lineRule="auto"/>
              <w:jc w:val="both"/>
              <w:rPr>
                <w:rFonts w:cs="Arial"/>
                <w:b/>
                <w:bCs/>
                <w:color w:val="000000"/>
                <w:sz w:val="16"/>
                <w:szCs w:val="16"/>
              </w:rPr>
            </w:pPr>
          </w:p>
        </w:tc>
        <w:tc>
          <w:tcPr>
            <w:tcW w:w="1532" w:type="dxa"/>
            <w:tcBorders>
              <w:bottom w:val="single" w:sz="8" w:space="0" w:color="000000"/>
              <w:right w:val="single" w:sz="8" w:space="0" w:color="000000"/>
            </w:tcBorders>
            <w:shd w:val="clear" w:color="auto" w:fill="DDEBF7"/>
            <w:tcMar>
              <w:top w:w="0" w:type="dxa"/>
              <w:left w:w="70" w:type="dxa"/>
              <w:bottom w:w="0" w:type="dxa"/>
              <w:right w:w="70" w:type="dxa"/>
            </w:tcMar>
            <w:vAlign w:val="center"/>
          </w:tcPr>
          <w:p w14:paraId="5C2A81B9" w14:textId="77777777" w:rsidR="000E7A5A" w:rsidRPr="001126C1" w:rsidRDefault="00306071" w:rsidP="00E247FF">
            <w:pPr>
              <w:spacing w:after="0" w:line="276" w:lineRule="auto"/>
              <w:jc w:val="center"/>
              <w:rPr>
                <w:rFonts w:cs="Arial"/>
                <w:b/>
                <w:bCs/>
                <w:sz w:val="16"/>
                <w:szCs w:val="16"/>
              </w:rPr>
            </w:pPr>
            <w:r w:rsidRPr="001126C1">
              <w:rPr>
                <w:rFonts w:cs="Arial"/>
                <w:b/>
                <w:bCs/>
                <w:color w:val="000000"/>
                <w:sz w:val="16"/>
                <w:szCs w:val="16"/>
              </w:rPr>
              <w:t>8/3*100</w:t>
            </w:r>
          </w:p>
        </w:tc>
      </w:tr>
      <w:tr w:rsidR="000E7A5A" w:rsidRPr="00A11EF1" w14:paraId="05AA7464" w14:textId="77777777" w:rsidTr="006A2AF1">
        <w:trPr>
          <w:trHeight w:val="127"/>
        </w:trPr>
        <w:tc>
          <w:tcPr>
            <w:tcW w:w="1533" w:type="dxa"/>
            <w:tcBorders>
              <w:left w:val="single" w:sz="8" w:space="0" w:color="000000"/>
              <w:bottom w:val="single" w:sz="8" w:space="0" w:color="000000"/>
              <w:right w:val="single" w:sz="8" w:space="0" w:color="000000"/>
            </w:tcBorders>
            <w:shd w:val="clear" w:color="auto" w:fill="DDEBF7"/>
            <w:tcMar>
              <w:top w:w="0" w:type="dxa"/>
              <w:left w:w="70" w:type="dxa"/>
              <w:bottom w:w="0" w:type="dxa"/>
              <w:right w:w="70" w:type="dxa"/>
            </w:tcMar>
            <w:vAlign w:val="center"/>
          </w:tcPr>
          <w:p w14:paraId="7B8DD5CA" w14:textId="77777777" w:rsidR="000E7A5A" w:rsidRPr="001126C1" w:rsidRDefault="00306071" w:rsidP="00E247FF">
            <w:pPr>
              <w:spacing w:after="0" w:line="276" w:lineRule="auto"/>
              <w:jc w:val="center"/>
              <w:rPr>
                <w:rFonts w:cs="Arial"/>
                <w:b/>
                <w:bCs/>
                <w:sz w:val="16"/>
                <w:szCs w:val="16"/>
              </w:rPr>
            </w:pPr>
            <w:r w:rsidRPr="001126C1">
              <w:rPr>
                <w:rFonts w:cs="Arial"/>
                <w:b/>
                <w:bCs/>
                <w:color w:val="000000"/>
                <w:sz w:val="16"/>
                <w:szCs w:val="16"/>
              </w:rPr>
              <w:t>1</w:t>
            </w:r>
          </w:p>
        </w:tc>
        <w:tc>
          <w:tcPr>
            <w:tcW w:w="1536" w:type="dxa"/>
            <w:tcBorders>
              <w:bottom w:val="single" w:sz="8" w:space="0" w:color="000000"/>
            </w:tcBorders>
            <w:shd w:val="clear" w:color="auto" w:fill="DDEBF7"/>
            <w:tcMar>
              <w:top w:w="0" w:type="dxa"/>
              <w:left w:w="70" w:type="dxa"/>
              <w:bottom w:w="0" w:type="dxa"/>
              <w:right w:w="70" w:type="dxa"/>
            </w:tcMar>
            <w:vAlign w:val="center"/>
          </w:tcPr>
          <w:p w14:paraId="0B4F90DC" w14:textId="77777777" w:rsidR="000E7A5A" w:rsidRPr="001126C1" w:rsidRDefault="00306071" w:rsidP="00E247FF">
            <w:pPr>
              <w:spacing w:after="0" w:line="276" w:lineRule="auto"/>
              <w:jc w:val="center"/>
              <w:rPr>
                <w:rFonts w:cs="Arial"/>
                <w:b/>
                <w:bCs/>
                <w:sz w:val="16"/>
                <w:szCs w:val="16"/>
              </w:rPr>
            </w:pPr>
            <w:r w:rsidRPr="001126C1">
              <w:rPr>
                <w:rFonts w:cs="Arial"/>
                <w:b/>
                <w:bCs/>
                <w:color w:val="000000"/>
                <w:sz w:val="16"/>
                <w:szCs w:val="16"/>
              </w:rPr>
              <w:t>2</w:t>
            </w:r>
          </w:p>
        </w:tc>
        <w:tc>
          <w:tcPr>
            <w:tcW w:w="1715" w:type="dxa"/>
            <w:tcBorders>
              <w:left w:val="single" w:sz="8" w:space="0" w:color="000000"/>
              <w:bottom w:val="single" w:sz="8" w:space="0" w:color="000000"/>
              <w:right w:val="single" w:sz="8" w:space="0" w:color="000000"/>
            </w:tcBorders>
            <w:shd w:val="clear" w:color="auto" w:fill="DDEBF7"/>
            <w:tcMar>
              <w:top w:w="0" w:type="dxa"/>
              <w:left w:w="70" w:type="dxa"/>
              <w:bottom w:w="0" w:type="dxa"/>
              <w:right w:w="70" w:type="dxa"/>
            </w:tcMar>
            <w:vAlign w:val="center"/>
          </w:tcPr>
          <w:p w14:paraId="0674FFBF" w14:textId="77777777" w:rsidR="000E7A5A" w:rsidRPr="001126C1" w:rsidRDefault="00306071" w:rsidP="00E247FF">
            <w:pPr>
              <w:spacing w:after="0" w:line="276" w:lineRule="auto"/>
              <w:jc w:val="center"/>
              <w:rPr>
                <w:rFonts w:cs="Arial"/>
                <w:b/>
                <w:bCs/>
                <w:sz w:val="16"/>
                <w:szCs w:val="16"/>
              </w:rPr>
            </w:pPr>
            <w:r w:rsidRPr="001126C1">
              <w:rPr>
                <w:rFonts w:cs="Arial"/>
                <w:b/>
                <w:bCs/>
                <w:color w:val="000000"/>
                <w:sz w:val="16"/>
                <w:szCs w:val="16"/>
              </w:rPr>
              <w:t>3</w:t>
            </w:r>
          </w:p>
        </w:tc>
        <w:tc>
          <w:tcPr>
            <w:tcW w:w="1532" w:type="dxa"/>
            <w:tcBorders>
              <w:bottom w:val="single" w:sz="8" w:space="0" w:color="000000"/>
              <w:right w:val="single" w:sz="8" w:space="0" w:color="000000"/>
            </w:tcBorders>
            <w:shd w:val="clear" w:color="auto" w:fill="DDEBF7"/>
            <w:tcMar>
              <w:top w:w="0" w:type="dxa"/>
              <w:left w:w="70" w:type="dxa"/>
              <w:bottom w:w="0" w:type="dxa"/>
              <w:right w:w="70" w:type="dxa"/>
            </w:tcMar>
            <w:vAlign w:val="center"/>
          </w:tcPr>
          <w:p w14:paraId="5184023A" w14:textId="77777777" w:rsidR="000E7A5A" w:rsidRPr="001126C1" w:rsidRDefault="00306071" w:rsidP="00E247FF">
            <w:pPr>
              <w:spacing w:after="0" w:line="276" w:lineRule="auto"/>
              <w:jc w:val="center"/>
              <w:rPr>
                <w:rFonts w:cs="Arial"/>
                <w:b/>
                <w:bCs/>
                <w:sz w:val="16"/>
                <w:szCs w:val="16"/>
              </w:rPr>
            </w:pPr>
            <w:r w:rsidRPr="001126C1">
              <w:rPr>
                <w:rFonts w:cs="Arial"/>
                <w:b/>
                <w:bCs/>
                <w:color w:val="000000"/>
                <w:sz w:val="16"/>
                <w:szCs w:val="16"/>
              </w:rPr>
              <w:t>4</w:t>
            </w:r>
          </w:p>
        </w:tc>
        <w:tc>
          <w:tcPr>
            <w:tcW w:w="1535" w:type="dxa"/>
            <w:tcBorders>
              <w:bottom w:val="single" w:sz="8" w:space="0" w:color="000000"/>
              <w:right w:val="single" w:sz="8" w:space="0" w:color="000000"/>
            </w:tcBorders>
            <w:shd w:val="clear" w:color="auto" w:fill="DDEBF7"/>
            <w:tcMar>
              <w:top w:w="0" w:type="dxa"/>
              <w:left w:w="70" w:type="dxa"/>
              <w:bottom w:w="0" w:type="dxa"/>
              <w:right w:w="70" w:type="dxa"/>
            </w:tcMar>
            <w:vAlign w:val="center"/>
          </w:tcPr>
          <w:p w14:paraId="50563B9E" w14:textId="77777777" w:rsidR="000E7A5A" w:rsidRPr="001126C1" w:rsidRDefault="00306071" w:rsidP="00E247FF">
            <w:pPr>
              <w:spacing w:after="0" w:line="276" w:lineRule="auto"/>
              <w:jc w:val="center"/>
              <w:rPr>
                <w:rFonts w:cs="Arial"/>
                <w:b/>
                <w:bCs/>
                <w:sz w:val="16"/>
                <w:szCs w:val="16"/>
              </w:rPr>
            </w:pPr>
            <w:r w:rsidRPr="001126C1">
              <w:rPr>
                <w:rFonts w:cs="Arial"/>
                <w:b/>
                <w:bCs/>
                <w:color w:val="000000"/>
                <w:sz w:val="16"/>
                <w:szCs w:val="16"/>
              </w:rPr>
              <w:t>5</w:t>
            </w:r>
          </w:p>
        </w:tc>
        <w:tc>
          <w:tcPr>
            <w:tcW w:w="1532" w:type="dxa"/>
            <w:tcBorders>
              <w:bottom w:val="single" w:sz="8" w:space="0" w:color="000000"/>
              <w:right w:val="single" w:sz="8" w:space="0" w:color="000000"/>
            </w:tcBorders>
            <w:shd w:val="clear" w:color="auto" w:fill="DDEBF7"/>
            <w:tcMar>
              <w:top w:w="0" w:type="dxa"/>
              <w:left w:w="70" w:type="dxa"/>
              <w:bottom w:w="0" w:type="dxa"/>
              <w:right w:w="70" w:type="dxa"/>
            </w:tcMar>
            <w:vAlign w:val="center"/>
          </w:tcPr>
          <w:p w14:paraId="173A005B" w14:textId="77777777" w:rsidR="000E7A5A" w:rsidRPr="001126C1" w:rsidRDefault="00306071" w:rsidP="00E247FF">
            <w:pPr>
              <w:spacing w:after="0" w:line="276" w:lineRule="auto"/>
              <w:jc w:val="center"/>
              <w:rPr>
                <w:rFonts w:cs="Arial"/>
                <w:b/>
                <w:bCs/>
                <w:sz w:val="16"/>
                <w:szCs w:val="16"/>
              </w:rPr>
            </w:pPr>
            <w:r w:rsidRPr="001126C1">
              <w:rPr>
                <w:rFonts w:cs="Arial"/>
                <w:b/>
                <w:bCs/>
                <w:color w:val="000000"/>
                <w:sz w:val="16"/>
                <w:szCs w:val="16"/>
              </w:rPr>
              <w:t>6</w:t>
            </w:r>
          </w:p>
        </w:tc>
        <w:tc>
          <w:tcPr>
            <w:tcW w:w="1535" w:type="dxa"/>
            <w:tcBorders>
              <w:bottom w:val="single" w:sz="8" w:space="0" w:color="000000"/>
              <w:right w:val="single" w:sz="8" w:space="0" w:color="000000"/>
            </w:tcBorders>
            <w:shd w:val="clear" w:color="auto" w:fill="DDEBF7"/>
            <w:tcMar>
              <w:top w:w="0" w:type="dxa"/>
              <w:left w:w="70" w:type="dxa"/>
              <w:bottom w:w="0" w:type="dxa"/>
              <w:right w:w="70" w:type="dxa"/>
            </w:tcMar>
            <w:vAlign w:val="center"/>
          </w:tcPr>
          <w:p w14:paraId="272C6260" w14:textId="77777777" w:rsidR="000E7A5A" w:rsidRPr="001126C1" w:rsidRDefault="00306071" w:rsidP="00E247FF">
            <w:pPr>
              <w:spacing w:after="0" w:line="276" w:lineRule="auto"/>
              <w:jc w:val="center"/>
              <w:rPr>
                <w:rFonts w:cs="Arial"/>
                <w:b/>
                <w:bCs/>
                <w:sz w:val="16"/>
                <w:szCs w:val="16"/>
              </w:rPr>
            </w:pPr>
            <w:r w:rsidRPr="001126C1">
              <w:rPr>
                <w:rFonts w:cs="Arial"/>
                <w:b/>
                <w:bCs/>
                <w:color w:val="000000"/>
                <w:sz w:val="16"/>
                <w:szCs w:val="16"/>
              </w:rPr>
              <w:t>7</w:t>
            </w:r>
          </w:p>
        </w:tc>
        <w:tc>
          <w:tcPr>
            <w:tcW w:w="1532" w:type="dxa"/>
            <w:tcBorders>
              <w:bottom w:val="single" w:sz="8" w:space="0" w:color="000000"/>
              <w:right w:val="single" w:sz="8" w:space="0" w:color="000000"/>
            </w:tcBorders>
            <w:shd w:val="clear" w:color="auto" w:fill="DDEBF7"/>
            <w:tcMar>
              <w:top w:w="0" w:type="dxa"/>
              <w:left w:w="70" w:type="dxa"/>
              <w:bottom w:w="0" w:type="dxa"/>
              <w:right w:w="70" w:type="dxa"/>
            </w:tcMar>
            <w:vAlign w:val="center"/>
          </w:tcPr>
          <w:p w14:paraId="6CC6C301" w14:textId="77777777" w:rsidR="000E7A5A" w:rsidRPr="001126C1" w:rsidRDefault="00306071" w:rsidP="00E247FF">
            <w:pPr>
              <w:spacing w:after="0" w:line="276" w:lineRule="auto"/>
              <w:jc w:val="center"/>
              <w:rPr>
                <w:rFonts w:cs="Arial"/>
                <w:b/>
                <w:bCs/>
                <w:sz w:val="16"/>
                <w:szCs w:val="16"/>
              </w:rPr>
            </w:pPr>
            <w:r w:rsidRPr="001126C1">
              <w:rPr>
                <w:rFonts w:cs="Arial"/>
                <w:b/>
                <w:bCs/>
                <w:color w:val="000000"/>
                <w:sz w:val="16"/>
                <w:szCs w:val="16"/>
              </w:rPr>
              <w:t>8</w:t>
            </w:r>
          </w:p>
        </w:tc>
        <w:tc>
          <w:tcPr>
            <w:tcW w:w="1532" w:type="dxa"/>
            <w:tcBorders>
              <w:bottom w:val="single" w:sz="8" w:space="0" w:color="000000"/>
              <w:right w:val="single" w:sz="8" w:space="0" w:color="000000"/>
            </w:tcBorders>
            <w:shd w:val="clear" w:color="auto" w:fill="DDEBF7"/>
            <w:tcMar>
              <w:top w:w="0" w:type="dxa"/>
              <w:left w:w="70" w:type="dxa"/>
              <w:bottom w:w="0" w:type="dxa"/>
              <w:right w:w="70" w:type="dxa"/>
            </w:tcMar>
            <w:vAlign w:val="center"/>
          </w:tcPr>
          <w:p w14:paraId="2033FE2B" w14:textId="77777777" w:rsidR="000E7A5A" w:rsidRPr="001126C1" w:rsidRDefault="00306071" w:rsidP="00E247FF">
            <w:pPr>
              <w:spacing w:after="0" w:line="276" w:lineRule="auto"/>
              <w:jc w:val="center"/>
              <w:rPr>
                <w:rFonts w:cs="Arial"/>
                <w:b/>
                <w:bCs/>
                <w:sz w:val="16"/>
                <w:szCs w:val="16"/>
              </w:rPr>
            </w:pPr>
            <w:r w:rsidRPr="001126C1">
              <w:rPr>
                <w:rFonts w:cs="Arial"/>
                <w:b/>
                <w:bCs/>
                <w:color w:val="000000"/>
                <w:sz w:val="16"/>
                <w:szCs w:val="16"/>
              </w:rPr>
              <w:t>9</w:t>
            </w:r>
          </w:p>
        </w:tc>
      </w:tr>
      <w:tr w:rsidR="000E7A5A" w:rsidRPr="00A11EF1" w14:paraId="30F8BCC7" w14:textId="77777777" w:rsidTr="006A2AF1">
        <w:trPr>
          <w:trHeight w:val="452"/>
        </w:trPr>
        <w:tc>
          <w:tcPr>
            <w:tcW w:w="1533" w:type="dxa"/>
            <w:vMerge w:val="restart"/>
            <w:tcBorders>
              <w:left w:val="single" w:sz="8" w:space="0" w:color="000000"/>
              <w:right w:val="single" w:sz="8" w:space="0" w:color="000000"/>
            </w:tcBorders>
            <w:shd w:val="clear" w:color="auto" w:fill="auto"/>
            <w:tcMar>
              <w:top w:w="0" w:type="dxa"/>
              <w:left w:w="70" w:type="dxa"/>
              <w:bottom w:w="0" w:type="dxa"/>
              <w:right w:w="70" w:type="dxa"/>
            </w:tcMar>
            <w:vAlign w:val="center"/>
          </w:tcPr>
          <w:p w14:paraId="773FDFB7" w14:textId="77777777" w:rsidR="000E7A5A" w:rsidRPr="00A11EF1" w:rsidRDefault="00306071" w:rsidP="00E247FF">
            <w:pPr>
              <w:spacing w:after="0" w:line="276" w:lineRule="auto"/>
              <w:jc w:val="center"/>
              <w:rPr>
                <w:rFonts w:cs="Arial"/>
                <w:sz w:val="16"/>
                <w:szCs w:val="16"/>
              </w:rPr>
            </w:pPr>
            <w:r w:rsidRPr="0023397C">
              <w:rPr>
                <w:rFonts w:cs="Arial"/>
                <w:color w:val="000000"/>
                <w:sz w:val="16"/>
                <w:szCs w:val="16"/>
              </w:rPr>
              <w:t>ESRR</w:t>
            </w:r>
          </w:p>
        </w:tc>
        <w:tc>
          <w:tcPr>
            <w:tcW w:w="1536" w:type="dxa"/>
            <w:tcBorders>
              <w:bottom w:val="single" w:sz="8" w:space="0" w:color="000000"/>
            </w:tcBorders>
            <w:shd w:val="clear" w:color="auto" w:fill="auto"/>
            <w:noWrap/>
            <w:tcMar>
              <w:top w:w="0" w:type="dxa"/>
              <w:left w:w="70" w:type="dxa"/>
              <w:bottom w:w="0" w:type="dxa"/>
              <w:right w:w="70" w:type="dxa"/>
            </w:tcMar>
            <w:vAlign w:val="center"/>
          </w:tcPr>
          <w:p w14:paraId="687662F1" w14:textId="77777777" w:rsidR="000E7A5A" w:rsidRPr="00A11EF1" w:rsidRDefault="00306071" w:rsidP="00E247FF">
            <w:pPr>
              <w:spacing w:after="0" w:line="276" w:lineRule="auto"/>
              <w:jc w:val="right"/>
              <w:rPr>
                <w:rFonts w:cs="Arial"/>
                <w:sz w:val="16"/>
                <w:szCs w:val="16"/>
              </w:rPr>
            </w:pPr>
            <w:r w:rsidRPr="0023397C">
              <w:rPr>
                <w:rFonts w:cs="Arial"/>
                <w:color w:val="000000"/>
                <w:sz w:val="16"/>
                <w:szCs w:val="16"/>
              </w:rPr>
              <w:t>Zahod</w:t>
            </w:r>
          </w:p>
        </w:tc>
        <w:tc>
          <w:tcPr>
            <w:tcW w:w="1715"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20BEB44F" w14:textId="77777777" w:rsidR="000E7A5A" w:rsidRPr="00A11EF1" w:rsidRDefault="00306071" w:rsidP="00E247FF">
            <w:pPr>
              <w:spacing w:before="240" w:after="0" w:line="276" w:lineRule="auto"/>
              <w:jc w:val="right"/>
              <w:rPr>
                <w:rFonts w:cs="Arial"/>
                <w:color w:val="000000"/>
                <w:sz w:val="16"/>
                <w:szCs w:val="16"/>
              </w:rPr>
            </w:pPr>
            <w:r w:rsidRPr="00A11EF1">
              <w:rPr>
                <w:rFonts w:cs="Arial"/>
                <w:color w:val="000000"/>
                <w:sz w:val="16"/>
                <w:szCs w:val="16"/>
              </w:rPr>
              <w:t>370.648.766</w:t>
            </w:r>
          </w:p>
        </w:tc>
        <w:tc>
          <w:tcPr>
            <w:tcW w:w="1532" w:type="dxa"/>
            <w:tcBorders>
              <w:bottom w:val="single" w:sz="8" w:space="0" w:color="000000"/>
            </w:tcBorders>
            <w:shd w:val="clear" w:color="auto" w:fill="auto"/>
            <w:noWrap/>
            <w:tcMar>
              <w:top w:w="0" w:type="dxa"/>
              <w:left w:w="70" w:type="dxa"/>
              <w:bottom w:w="0" w:type="dxa"/>
              <w:right w:w="70" w:type="dxa"/>
            </w:tcMar>
            <w:vAlign w:val="center"/>
          </w:tcPr>
          <w:p w14:paraId="4F17FEBC" w14:textId="77777777" w:rsidR="000E7A5A" w:rsidRPr="00A11EF1" w:rsidRDefault="00306071" w:rsidP="00E247FF">
            <w:pPr>
              <w:spacing w:before="240" w:after="0" w:line="276" w:lineRule="auto"/>
              <w:jc w:val="right"/>
              <w:rPr>
                <w:rFonts w:cs="Arial"/>
                <w:color w:val="000000"/>
                <w:sz w:val="16"/>
                <w:szCs w:val="16"/>
              </w:rPr>
            </w:pPr>
            <w:r w:rsidRPr="00A11EF1">
              <w:rPr>
                <w:rFonts w:cs="Arial"/>
                <w:color w:val="000000"/>
                <w:sz w:val="16"/>
                <w:szCs w:val="16"/>
              </w:rPr>
              <w:t>50.111.280</w:t>
            </w:r>
          </w:p>
        </w:tc>
        <w:tc>
          <w:tcPr>
            <w:tcW w:w="1535" w:type="dxa"/>
            <w:tcBorders>
              <w:left w:val="single" w:sz="8" w:space="0" w:color="000000"/>
              <w:bottom w:val="single" w:sz="8" w:space="0" w:color="000000"/>
            </w:tcBorders>
            <w:shd w:val="clear" w:color="auto" w:fill="auto"/>
            <w:noWrap/>
            <w:tcMar>
              <w:top w:w="0" w:type="dxa"/>
              <w:left w:w="70" w:type="dxa"/>
              <w:bottom w:w="0" w:type="dxa"/>
              <w:right w:w="70" w:type="dxa"/>
            </w:tcMar>
            <w:vAlign w:val="center"/>
          </w:tcPr>
          <w:p w14:paraId="66944970" w14:textId="77777777" w:rsidR="000E7A5A" w:rsidRPr="00A11EF1" w:rsidRDefault="00306071" w:rsidP="00E247FF">
            <w:pPr>
              <w:spacing w:before="240" w:after="0" w:line="276" w:lineRule="auto"/>
              <w:jc w:val="center"/>
              <w:rPr>
                <w:rFonts w:cs="Arial"/>
                <w:color w:val="000000"/>
                <w:sz w:val="16"/>
                <w:szCs w:val="16"/>
              </w:rPr>
            </w:pPr>
            <w:r w:rsidRPr="00A11EF1">
              <w:rPr>
                <w:rFonts w:cs="Arial"/>
                <w:color w:val="000000"/>
                <w:sz w:val="16"/>
                <w:szCs w:val="16"/>
              </w:rPr>
              <w:t>14%</w:t>
            </w:r>
          </w:p>
        </w:tc>
        <w:tc>
          <w:tcPr>
            <w:tcW w:w="1532"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61D2310A" w14:textId="77777777" w:rsidR="000E7A5A" w:rsidRPr="00A11EF1" w:rsidRDefault="00306071" w:rsidP="00E247FF">
            <w:pPr>
              <w:spacing w:before="240" w:after="0" w:line="276" w:lineRule="auto"/>
              <w:jc w:val="right"/>
              <w:rPr>
                <w:rFonts w:cs="Arial"/>
                <w:color w:val="000000"/>
                <w:sz w:val="16"/>
                <w:szCs w:val="16"/>
              </w:rPr>
            </w:pPr>
            <w:r w:rsidRPr="00A11EF1">
              <w:rPr>
                <w:rFonts w:cs="Arial"/>
                <w:color w:val="000000"/>
                <w:sz w:val="16"/>
                <w:szCs w:val="16"/>
              </w:rPr>
              <w:t>33.256.751</w:t>
            </w:r>
          </w:p>
        </w:tc>
        <w:tc>
          <w:tcPr>
            <w:tcW w:w="1535"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57B0474A" w14:textId="77777777" w:rsidR="000E7A5A" w:rsidRPr="00A11EF1" w:rsidRDefault="00306071" w:rsidP="00E247FF">
            <w:pPr>
              <w:spacing w:before="240" w:after="0" w:line="276" w:lineRule="auto"/>
              <w:jc w:val="center"/>
              <w:rPr>
                <w:rFonts w:cs="Arial"/>
                <w:color w:val="000000"/>
                <w:sz w:val="16"/>
                <w:szCs w:val="16"/>
              </w:rPr>
            </w:pPr>
            <w:r w:rsidRPr="00A11EF1">
              <w:rPr>
                <w:rFonts w:cs="Arial"/>
                <w:color w:val="000000"/>
                <w:sz w:val="16"/>
                <w:szCs w:val="16"/>
              </w:rPr>
              <w:t>9%</w:t>
            </w:r>
          </w:p>
        </w:tc>
        <w:tc>
          <w:tcPr>
            <w:tcW w:w="1532" w:type="dxa"/>
            <w:tcBorders>
              <w:bottom w:val="single" w:sz="8" w:space="0" w:color="000000"/>
            </w:tcBorders>
            <w:shd w:val="clear" w:color="auto" w:fill="auto"/>
            <w:noWrap/>
            <w:tcMar>
              <w:top w:w="0" w:type="dxa"/>
              <w:left w:w="70" w:type="dxa"/>
              <w:bottom w:w="0" w:type="dxa"/>
              <w:right w:w="70" w:type="dxa"/>
            </w:tcMar>
            <w:vAlign w:val="center"/>
          </w:tcPr>
          <w:p w14:paraId="20ABC8FD" w14:textId="77777777" w:rsidR="000E7A5A" w:rsidRPr="00A11EF1" w:rsidRDefault="00306071" w:rsidP="00E247FF">
            <w:pPr>
              <w:spacing w:before="240" w:after="0" w:line="276" w:lineRule="auto"/>
              <w:jc w:val="right"/>
              <w:rPr>
                <w:rFonts w:cs="Arial"/>
                <w:color w:val="000000"/>
                <w:sz w:val="16"/>
                <w:szCs w:val="16"/>
              </w:rPr>
            </w:pPr>
            <w:r w:rsidRPr="00A11EF1">
              <w:rPr>
                <w:rFonts w:cs="Arial"/>
                <w:color w:val="000000"/>
                <w:sz w:val="16"/>
                <w:szCs w:val="16"/>
              </w:rPr>
              <w:t>6.026.419</w:t>
            </w:r>
          </w:p>
        </w:tc>
        <w:tc>
          <w:tcPr>
            <w:tcW w:w="1532"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794A42FC" w14:textId="77777777" w:rsidR="000E7A5A" w:rsidRPr="00A11EF1" w:rsidRDefault="00306071" w:rsidP="00E247FF">
            <w:pPr>
              <w:spacing w:before="240" w:after="0" w:line="276" w:lineRule="auto"/>
              <w:jc w:val="center"/>
              <w:rPr>
                <w:rFonts w:cs="Arial"/>
                <w:color w:val="000000"/>
                <w:sz w:val="16"/>
                <w:szCs w:val="16"/>
              </w:rPr>
            </w:pPr>
            <w:r w:rsidRPr="00A11EF1">
              <w:rPr>
                <w:rFonts w:cs="Arial"/>
                <w:color w:val="000000"/>
                <w:sz w:val="16"/>
                <w:szCs w:val="16"/>
              </w:rPr>
              <w:t>2%</w:t>
            </w:r>
          </w:p>
        </w:tc>
      </w:tr>
      <w:tr w:rsidR="000E7A5A" w:rsidRPr="00A11EF1" w14:paraId="3B1603EC" w14:textId="77777777" w:rsidTr="006A2AF1">
        <w:trPr>
          <w:trHeight w:val="452"/>
        </w:trPr>
        <w:tc>
          <w:tcPr>
            <w:tcW w:w="1533" w:type="dxa"/>
            <w:vMerge/>
            <w:tcBorders>
              <w:left w:val="single" w:sz="8" w:space="0" w:color="000000"/>
              <w:right w:val="single" w:sz="8" w:space="0" w:color="000000"/>
            </w:tcBorders>
            <w:shd w:val="clear" w:color="auto" w:fill="auto"/>
            <w:tcMar>
              <w:top w:w="0" w:type="dxa"/>
              <w:left w:w="70" w:type="dxa"/>
              <w:bottom w:w="0" w:type="dxa"/>
              <w:right w:w="70" w:type="dxa"/>
            </w:tcMar>
            <w:vAlign w:val="center"/>
          </w:tcPr>
          <w:p w14:paraId="516EE241" w14:textId="77777777" w:rsidR="000E7A5A" w:rsidRPr="0023397C" w:rsidRDefault="000E7A5A" w:rsidP="00E247FF">
            <w:pPr>
              <w:spacing w:after="0" w:line="276" w:lineRule="auto"/>
              <w:jc w:val="both"/>
              <w:rPr>
                <w:rFonts w:cs="Arial"/>
                <w:color w:val="000000"/>
                <w:sz w:val="16"/>
                <w:szCs w:val="16"/>
              </w:rPr>
            </w:pPr>
          </w:p>
        </w:tc>
        <w:tc>
          <w:tcPr>
            <w:tcW w:w="1536" w:type="dxa"/>
            <w:tcBorders>
              <w:bottom w:val="single" w:sz="8" w:space="0" w:color="000000"/>
            </w:tcBorders>
            <w:shd w:val="clear" w:color="auto" w:fill="auto"/>
            <w:noWrap/>
            <w:tcMar>
              <w:top w:w="0" w:type="dxa"/>
              <w:left w:w="70" w:type="dxa"/>
              <w:bottom w:w="0" w:type="dxa"/>
              <w:right w:w="70" w:type="dxa"/>
            </w:tcMar>
            <w:vAlign w:val="center"/>
          </w:tcPr>
          <w:p w14:paraId="25EAA7CA" w14:textId="77777777" w:rsidR="000E7A5A" w:rsidRPr="00A11EF1" w:rsidRDefault="00306071" w:rsidP="00E247FF">
            <w:pPr>
              <w:spacing w:after="0" w:line="276" w:lineRule="auto"/>
              <w:jc w:val="right"/>
              <w:rPr>
                <w:rFonts w:cs="Arial"/>
                <w:sz w:val="16"/>
                <w:szCs w:val="16"/>
              </w:rPr>
            </w:pPr>
            <w:r w:rsidRPr="0023397C">
              <w:rPr>
                <w:rFonts w:cs="Arial"/>
                <w:color w:val="000000"/>
                <w:sz w:val="16"/>
                <w:szCs w:val="16"/>
              </w:rPr>
              <w:t>Vzhod</w:t>
            </w:r>
          </w:p>
        </w:tc>
        <w:tc>
          <w:tcPr>
            <w:tcW w:w="1715"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3633B17F" w14:textId="77777777" w:rsidR="000E7A5A" w:rsidRPr="00A11EF1" w:rsidRDefault="00306071" w:rsidP="00E247FF">
            <w:pPr>
              <w:spacing w:before="240" w:after="0" w:line="276" w:lineRule="auto"/>
              <w:jc w:val="right"/>
              <w:rPr>
                <w:rFonts w:cs="Arial"/>
                <w:color w:val="000000"/>
                <w:sz w:val="16"/>
                <w:szCs w:val="16"/>
              </w:rPr>
            </w:pPr>
            <w:r w:rsidRPr="00A11EF1">
              <w:rPr>
                <w:rFonts w:cs="Arial"/>
                <w:color w:val="000000"/>
                <w:sz w:val="16"/>
                <w:szCs w:val="16"/>
              </w:rPr>
              <w:t>1.175.037.520</w:t>
            </w:r>
          </w:p>
        </w:tc>
        <w:tc>
          <w:tcPr>
            <w:tcW w:w="1532" w:type="dxa"/>
            <w:tcBorders>
              <w:bottom w:val="single" w:sz="8" w:space="0" w:color="000000"/>
            </w:tcBorders>
            <w:shd w:val="clear" w:color="auto" w:fill="auto"/>
            <w:noWrap/>
            <w:tcMar>
              <w:top w:w="0" w:type="dxa"/>
              <w:left w:w="70" w:type="dxa"/>
              <w:bottom w:w="0" w:type="dxa"/>
              <w:right w:w="70" w:type="dxa"/>
            </w:tcMar>
            <w:vAlign w:val="center"/>
          </w:tcPr>
          <w:p w14:paraId="782D290E" w14:textId="77777777" w:rsidR="000E7A5A" w:rsidRPr="00A11EF1" w:rsidRDefault="00306071" w:rsidP="00E247FF">
            <w:pPr>
              <w:spacing w:before="240" w:after="0" w:line="276" w:lineRule="auto"/>
              <w:jc w:val="right"/>
              <w:rPr>
                <w:rFonts w:cs="Arial"/>
                <w:color w:val="000000"/>
                <w:sz w:val="16"/>
                <w:szCs w:val="16"/>
              </w:rPr>
            </w:pPr>
            <w:r w:rsidRPr="00A11EF1">
              <w:rPr>
                <w:rFonts w:cs="Arial"/>
                <w:color w:val="000000"/>
                <w:sz w:val="16"/>
                <w:szCs w:val="16"/>
              </w:rPr>
              <w:t>194.512.361</w:t>
            </w:r>
          </w:p>
        </w:tc>
        <w:tc>
          <w:tcPr>
            <w:tcW w:w="1535" w:type="dxa"/>
            <w:tcBorders>
              <w:left w:val="single" w:sz="8" w:space="0" w:color="000000"/>
              <w:bottom w:val="single" w:sz="8" w:space="0" w:color="000000"/>
            </w:tcBorders>
            <w:shd w:val="clear" w:color="auto" w:fill="auto"/>
            <w:noWrap/>
            <w:tcMar>
              <w:top w:w="0" w:type="dxa"/>
              <w:left w:w="70" w:type="dxa"/>
              <w:bottom w:w="0" w:type="dxa"/>
              <w:right w:w="70" w:type="dxa"/>
            </w:tcMar>
            <w:vAlign w:val="center"/>
          </w:tcPr>
          <w:p w14:paraId="778CE8B5" w14:textId="77777777" w:rsidR="000E7A5A" w:rsidRPr="00A11EF1" w:rsidRDefault="00306071" w:rsidP="00E247FF">
            <w:pPr>
              <w:spacing w:before="240" w:after="0" w:line="276" w:lineRule="auto"/>
              <w:jc w:val="center"/>
              <w:rPr>
                <w:rFonts w:cs="Arial"/>
                <w:color w:val="000000"/>
                <w:sz w:val="16"/>
                <w:szCs w:val="16"/>
              </w:rPr>
            </w:pPr>
            <w:r w:rsidRPr="00A11EF1">
              <w:rPr>
                <w:rFonts w:cs="Arial"/>
                <w:color w:val="000000"/>
                <w:sz w:val="16"/>
                <w:szCs w:val="16"/>
              </w:rPr>
              <w:t>17%</w:t>
            </w:r>
          </w:p>
        </w:tc>
        <w:tc>
          <w:tcPr>
            <w:tcW w:w="1532"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73C853DF" w14:textId="77777777" w:rsidR="000E7A5A" w:rsidRPr="00A11EF1" w:rsidRDefault="00306071" w:rsidP="00E247FF">
            <w:pPr>
              <w:spacing w:before="240" w:after="0" w:line="276" w:lineRule="auto"/>
              <w:jc w:val="right"/>
              <w:rPr>
                <w:rFonts w:cs="Arial"/>
                <w:color w:val="000000"/>
                <w:sz w:val="16"/>
                <w:szCs w:val="16"/>
              </w:rPr>
            </w:pPr>
            <w:r w:rsidRPr="00A11EF1">
              <w:rPr>
                <w:rFonts w:cs="Arial"/>
                <w:color w:val="000000"/>
                <w:sz w:val="16"/>
                <w:szCs w:val="16"/>
              </w:rPr>
              <w:t>137.358.382</w:t>
            </w:r>
          </w:p>
        </w:tc>
        <w:tc>
          <w:tcPr>
            <w:tcW w:w="1535"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67469668" w14:textId="77777777" w:rsidR="000E7A5A" w:rsidRPr="00A11EF1" w:rsidRDefault="00306071" w:rsidP="00E247FF">
            <w:pPr>
              <w:spacing w:before="240" w:after="0" w:line="276" w:lineRule="auto"/>
              <w:jc w:val="center"/>
              <w:rPr>
                <w:rFonts w:cs="Arial"/>
                <w:color w:val="000000"/>
                <w:sz w:val="16"/>
                <w:szCs w:val="16"/>
              </w:rPr>
            </w:pPr>
            <w:r w:rsidRPr="00A11EF1">
              <w:rPr>
                <w:rFonts w:cs="Arial"/>
                <w:color w:val="000000"/>
                <w:sz w:val="16"/>
                <w:szCs w:val="16"/>
              </w:rPr>
              <w:t>12%</w:t>
            </w:r>
          </w:p>
        </w:tc>
        <w:tc>
          <w:tcPr>
            <w:tcW w:w="1532" w:type="dxa"/>
            <w:tcBorders>
              <w:bottom w:val="single" w:sz="8" w:space="0" w:color="000000"/>
            </w:tcBorders>
            <w:shd w:val="clear" w:color="auto" w:fill="auto"/>
            <w:noWrap/>
            <w:tcMar>
              <w:top w:w="0" w:type="dxa"/>
              <w:left w:w="70" w:type="dxa"/>
              <w:bottom w:w="0" w:type="dxa"/>
              <w:right w:w="70" w:type="dxa"/>
            </w:tcMar>
            <w:vAlign w:val="center"/>
          </w:tcPr>
          <w:p w14:paraId="1A05127D" w14:textId="77777777" w:rsidR="000E7A5A" w:rsidRPr="00A11EF1" w:rsidRDefault="00306071" w:rsidP="00E247FF">
            <w:pPr>
              <w:spacing w:before="240" w:after="0" w:line="276" w:lineRule="auto"/>
              <w:jc w:val="right"/>
              <w:rPr>
                <w:rFonts w:cs="Arial"/>
                <w:color w:val="000000"/>
                <w:sz w:val="16"/>
                <w:szCs w:val="16"/>
              </w:rPr>
            </w:pPr>
            <w:r w:rsidRPr="00A11EF1">
              <w:rPr>
                <w:rFonts w:cs="Arial"/>
                <w:color w:val="000000"/>
                <w:sz w:val="16"/>
                <w:szCs w:val="16"/>
              </w:rPr>
              <w:t>22.381.269</w:t>
            </w:r>
          </w:p>
        </w:tc>
        <w:tc>
          <w:tcPr>
            <w:tcW w:w="1532"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4FA2FECE" w14:textId="77777777" w:rsidR="000E7A5A" w:rsidRPr="00A11EF1" w:rsidRDefault="00306071" w:rsidP="00E247FF">
            <w:pPr>
              <w:spacing w:before="240" w:after="0" w:line="276" w:lineRule="auto"/>
              <w:jc w:val="center"/>
              <w:rPr>
                <w:rFonts w:cs="Arial"/>
                <w:color w:val="000000"/>
                <w:sz w:val="16"/>
                <w:szCs w:val="16"/>
              </w:rPr>
            </w:pPr>
            <w:r w:rsidRPr="00A11EF1">
              <w:rPr>
                <w:rFonts w:cs="Arial"/>
                <w:color w:val="000000"/>
                <w:sz w:val="16"/>
                <w:szCs w:val="16"/>
              </w:rPr>
              <w:t>2%</w:t>
            </w:r>
          </w:p>
        </w:tc>
      </w:tr>
      <w:tr w:rsidR="000E7A5A" w:rsidRPr="00A11EF1" w14:paraId="5389E6E9" w14:textId="77777777" w:rsidTr="007302F7">
        <w:trPr>
          <w:trHeight w:val="313"/>
        </w:trPr>
        <w:tc>
          <w:tcPr>
            <w:tcW w:w="3069" w:type="dxa"/>
            <w:gridSpan w:val="2"/>
            <w:tcBorders>
              <w:left w:val="single" w:sz="8" w:space="0" w:color="000000"/>
              <w:bottom w:val="single" w:sz="8" w:space="0" w:color="000000"/>
              <w:right w:val="single" w:sz="8" w:space="0" w:color="000000"/>
            </w:tcBorders>
            <w:shd w:val="clear" w:color="auto" w:fill="DDEBF7"/>
            <w:tcMar>
              <w:top w:w="0" w:type="dxa"/>
              <w:left w:w="70" w:type="dxa"/>
              <w:bottom w:w="0" w:type="dxa"/>
              <w:right w:w="70" w:type="dxa"/>
            </w:tcMar>
            <w:vAlign w:val="center"/>
          </w:tcPr>
          <w:p w14:paraId="56A13B77" w14:textId="77777777" w:rsidR="000E7A5A" w:rsidRPr="00A11EF1" w:rsidRDefault="00306071" w:rsidP="00E247FF">
            <w:pPr>
              <w:spacing w:after="0" w:line="276" w:lineRule="auto"/>
              <w:jc w:val="right"/>
              <w:rPr>
                <w:rFonts w:cs="Arial"/>
                <w:sz w:val="16"/>
                <w:szCs w:val="16"/>
              </w:rPr>
            </w:pPr>
            <w:r w:rsidRPr="0023397C">
              <w:rPr>
                <w:rFonts w:cs="Arial"/>
                <w:color w:val="000000"/>
                <w:sz w:val="16"/>
                <w:szCs w:val="16"/>
              </w:rPr>
              <w:t>Skupaj ESRR</w:t>
            </w:r>
          </w:p>
        </w:tc>
        <w:tc>
          <w:tcPr>
            <w:tcW w:w="1715" w:type="dxa"/>
            <w:tcBorders>
              <w:bottom w:val="single" w:sz="8" w:space="0" w:color="000000"/>
              <w:right w:val="single" w:sz="8" w:space="0" w:color="000000"/>
            </w:tcBorders>
            <w:shd w:val="clear" w:color="auto" w:fill="DDEBF7"/>
            <w:noWrap/>
            <w:tcMar>
              <w:top w:w="0" w:type="dxa"/>
              <w:left w:w="70" w:type="dxa"/>
              <w:bottom w:w="0" w:type="dxa"/>
              <w:right w:w="70" w:type="dxa"/>
            </w:tcMar>
            <w:vAlign w:val="center"/>
          </w:tcPr>
          <w:p w14:paraId="0273300E" w14:textId="77777777" w:rsidR="000E7A5A" w:rsidRPr="00A11EF1" w:rsidRDefault="00306071" w:rsidP="00E247FF">
            <w:pPr>
              <w:spacing w:before="240" w:after="0" w:line="276" w:lineRule="auto"/>
              <w:jc w:val="right"/>
              <w:rPr>
                <w:rFonts w:cs="Arial"/>
                <w:color w:val="000000"/>
                <w:sz w:val="16"/>
                <w:szCs w:val="16"/>
              </w:rPr>
            </w:pPr>
            <w:r w:rsidRPr="00A11EF1">
              <w:rPr>
                <w:rFonts w:cs="Arial"/>
                <w:color w:val="000000"/>
                <w:sz w:val="16"/>
                <w:szCs w:val="16"/>
              </w:rPr>
              <w:t>1.545.686.286</w:t>
            </w:r>
          </w:p>
        </w:tc>
        <w:tc>
          <w:tcPr>
            <w:tcW w:w="1532" w:type="dxa"/>
            <w:tcBorders>
              <w:bottom w:val="single" w:sz="8" w:space="0" w:color="000000"/>
            </w:tcBorders>
            <w:shd w:val="clear" w:color="auto" w:fill="DDEBF7"/>
            <w:noWrap/>
            <w:tcMar>
              <w:top w:w="0" w:type="dxa"/>
              <w:left w:w="70" w:type="dxa"/>
              <w:bottom w:w="0" w:type="dxa"/>
              <w:right w:w="70" w:type="dxa"/>
            </w:tcMar>
            <w:vAlign w:val="center"/>
          </w:tcPr>
          <w:p w14:paraId="18074B2D" w14:textId="77777777" w:rsidR="000E7A5A" w:rsidRPr="00A11EF1" w:rsidRDefault="00306071" w:rsidP="00E247FF">
            <w:pPr>
              <w:spacing w:before="240" w:after="0" w:line="276" w:lineRule="auto"/>
              <w:jc w:val="right"/>
              <w:rPr>
                <w:rFonts w:cs="Arial"/>
                <w:color w:val="000000"/>
                <w:sz w:val="16"/>
                <w:szCs w:val="16"/>
              </w:rPr>
            </w:pPr>
            <w:r w:rsidRPr="00A11EF1">
              <w:rPr>
                <w:rFonts w:cs="Arial"/>
                <w:color w:val="000000"/>
                <w:sz w:val="16"/>
                <w:szCs w:val="16"/>
              </w:rPr>
              <w:t>244.623.641</w:t>
            </w:r>
          </w:p>
        </w:tc>
        <w:tc>
          <w:tcPr>
            <w:tcW w:w="1535" w:type="dxa"/>
            <w:tcBorders>
              <w:left w:val="single" w:sz="8" w:space="0" w:color="000000"/>
              <w:bottom w:val="single" w:sz="8" w:space="0" w:color="000000"/>
            </w:tcBorders>
            <w:shd w:val="clear" w:color="auto" w:fill="DDEBF7"/>
            <w:noWrap/>
            <w:tcMar>
              <w:top w:w="0" w:type="dxa"/>
              <w:left w:w="70" w:type="dxa"/>
              <w:bottom w:w="0" w:type="dxa"/>
              <w:right w:w="70" w:type="dxa"/>
            </w:tcMar>
            <w:vAlign w:val="center"/>
          </w:tcPr>
          <w:p w14:paraId="6ADBB8C4" w14:textId="77777777" w:rsidR="000E7A5A" w:rsidRPr="00A11EF1" w:rsidRDefault="00306071" w:rsidP="00E247FF">
            <w:pPr>
              <w:spacing w:before="240" w:after="0" w:line="276" w:lineRule="auto"/>
              <w:jc w:val="center"/>
              <w:rPr>
                <w:rFonts w:cs="Arial"/>
                <w:color w:val="000000"/>
                <w:sz w:val="16"/>
                <w:szCs w:val="16"/>
              </w:rPr>
            </w:pPr>
            <w:r w:rsidRPr="00A11EF1">
              <w:rPr>
                <w:rFonts w:cs="Arial"/>
                <w:color w:val="000000"/>
                <w:sz w:val="16"/>
                <w:szCs w:val="16"/>
              </w:rPr>
              <w:t>16%</w:t>
            </w:r>
          </w:p>
        </w:tc>
        <w:tc>
          <w:tcPr>
            <w:tcW w:w="1532" w:type="dxa"/>
            <w:tcBorders>
              <w:left w:val="single" w:sz="8" w:space="0" w:color="000000"/>
              <w:bottom w:val="single" w:sz="8" w:space="0" w:color="000000"/>
              <w:right w:val="single" w:sz="8" w:space="0" w:color="000000"/>
            </w:tcBorders>
            <w:shd w:val="clear" w:color="auto" w:fill="DDEBF7"/>
            <w:noWrap/>
            <w:tcMar>
              <w:top w:w="0" w:type="dxa"/>
              <w:left w:w="70" w:type="dxa"/>
              <w:bottom w:w="0" w:type="dxa"/>
              <w:right w:w="70" w:type="dxa"/>
            </w:tcMar>
            <w:vAlign w:val="center"/>
          </w:tcPr>
          <w:p w14:paraId="0A4C299F" w14:textId="77777777" w:rsidR="000E7A5A" w:rsidRPr="00A11EF1" w:rsidRDefault="00306071" w:rsidP="00E247FF">
            <w:pPr>
              <w:spacing w:before="240" w:after="0" w:line="276" w:lineRule="auto"/>
              <w:jc w:val="right"/>
              <w:rPr>
                <w:rFonts w:cs="Arial"/>
                <w:color w:val="000000"/>
                <w:sz w:val="16"/>
                <w:szCs w:val="16"/>
              </w:rPr>
            </w:pPr>
            <w:r w:rsidRPr="00A11EF1">
              <w:rPr>
                <w:rFonts w:cs="Arial"/>
                <w:color w:val="000000"/>
                <w:sz w:val="16"/>
                <w:szCs w:val="16"/>
              </w:rPr>
              <w:t>170.615.134</w:t>
            </w:r>
          </w:p>
        </w:tc>
        <w:tc>
          <w:tcPr>
            <w:tcW w:w="1535" w:type="dxa"/>
            <w:tcBorders>
              <w:bottom w:val="single" w:sz="8" w:space="0" w:color="000000"/>
              <w:right w:val="single" w:sz="8" w:space="0" w:color="000000"/>
            </w:tcBorders>
            <w:shd w:val="clear" w:color="auto" w:fill="DDEBF7"/>
            <w:noWrap/>
            <w:tcMar>
              <w:top w:w="0" w:type="dxa"/>
              <w:left w:w="70" w:type="dxa"/>
              <w:bottom w:w="0" w:type="dxa"/>
              <w:right w:w="70" w:type="dxa"/>
            </w:tcMar>
            <w:vAlign w:val="center"/>
          </w:tcPr>
          <w:p w14:paraId="26E57A53" w14:textId="77777777" w:rsidR="000E7A5A" w:rsidRPr="00A11EF1" w:rsidRDefault="00306071" w:rsidP="00E247FF">
            <w:pPr>
              <w:spacing w:before="240" w:after="0" w:line="276" w:lineRule="auto"/>
              <w:jc w:val="center"/>
              <w:rPr>
                <w:rFonts w:cs="Arial"/>
                <w:color w:val="000000"/>
                <w:sz w:val="16"/>
                <w:szCs w:val="16"/>
              </w:rPr>
            </w:pPr>
            <w:r w:rsidRPr="00A11EF1">
              <w:rPr>
                <w:rFonts w:cs="Arial"/>
                <w:color w:val="000000"/>
                <w:sz w:val="16"/>
                <w:szCs w:val="16"/>
              </w:rPr>
              <w:t>11%</w:t>
            </w:r>
          </w:p>
        </w:tc>
        <w:tc>
          <w:tcPr>
            <w:tcW w:w="1532" w:type="dxa"/>
            <w:tcBorders>
              <w:bottom w:val="single" w:sz="8" w:space="0" w:color="000000"/>
            </w:tcBorders>
            <w:shd w:val="clear" w:color="auto" w:fill="DDEBF7"/>
            <w:noWrap/>
            <w:tcMar>
              <w:top w:w="0" w:type="dxa"/>
              <w:left w:w="70" w:type="dxa"/>
              <w:bottom w:w="0" w:type="dxa"/>
              <w:right w:w="70" w:type="dxa"/>
            </w:tcMar>
            <w:vAlign w:val="center"/>
          </w:tcPr>
          <w:p w14:paraId="4C929985" w14:textId="77777777" w:rsidR="000E7A5A" w:rsidRPr="00A11EF1" w:rsidRDefault="00306071" w:rsidP="00E247FF">
            <w:pPr>
              <w:spacing w:before="240" w:after="0" w:line="276" w:lineRule="auto"/>
              <w:jc w:val="right"/>
              <w:rPr>
                <w:rFonts w:cs="Arial"/>
                <w:color w:val="000000"/>
                <w:sz w:val="16"/>
                <w:szCs w:val="16"/>
              </w:rPr>
            </w:pPr>
            <w:r w:rsidRPr="00A11EF1">
              <w:rPr>
                <w:rFonts w:cs="Arial"/>
                <w:color w:val="000000"/>
                <w:sz w:val="16"/>
                <w:szCs w:val="16"/>
              </w:rPr>
              <w:t>28.407.688</w:t>
            </w:r>
          </w:p>
        </w:tc>
        <w:tc>
          <w:tcPr>
            <w:tcW w:w="1532" w:type="dxa"/>
            <w:tcBorders>
              <w:left w:val="single" w:sz="8" w:space="0" w:color="000000"/>
              <w:bottom w:val="single" w:sz="8" w:space="0" w:color="000000"/>
              <w:right w:val="single" w:sz="8" w:space="0" w:color="000000"/>
            </w:tcBorders>
            <w:shd w:val="clear" w:color="auto" w:fill="DDEBF7"/>
            <w:noWrap/>
            <w:tcMar>
              <w:top w:w="0" w:type="dxa"/>
              <w:left w:w="70" w:type="dxa"/>
              <w:bottom w:w="0" w:type="dxa"/>
              <w:right w:w="70" w:type="dxa"/>
            </w:tcMar>
            <w:vAlign w:val="center"/>
          </w:tcPr>
          <w:p w14:paraId="2F185537" w14:textId="77777777" w:rsidR="000E7A5A" w:rsidRPr="00A11EF1" w:rsidRDefault="00306071" w:rsidP="00E247FF">
            <w:pPr>
              <w:spacing w:before="240" w:after="0" w:line="276" w:lineRule="auto"/>
              <w:jc w:val="center"/>
              <w:rPr>
                <w:rFonts w:cs="Arial"/>
                <w:color w:val="000000"/>
                <w:sz w:val="16"/>
                <w:szCs w:val="16"/>
              </w:rPr>
            </w:pPr>
            <w:r w:rsidRPr="00A11EF1">
              <w:rPr>
                <w:rFonts w:cs="Arial"/>
                <w:color w:val="000000"/>
                <w:sz w:val="16"/>
                <w:szCs w:val="16"/>
              </w:rPr>
              <w:t>2%</w:t>
            </w:r>
          </w:p>
        </w:tc>
      </w:tr>
      <w:tr w:rsidR="000E7A5A" w:rsidRPr="00A11EF1" w14:paraId="6F48F058" w14:textId="77777777" w:rsidTr="006A2AF1">
        <w:trPr>
          <w:trHeight w:val="452"/>
        </w:trPr>
        <w:tc>
          <w:tcPr>
            <w:tcW w:w="1533" w:type="dxa"/>
            <w:vMerge w:val="restart"/>
            <w:tcBorders>
              <w:left w:val="single" w:sz="8" w:space="0" w:color="000000"/>
              <w:right w:val="single" w:sz="8" w:space="0" w:color="000000"/>
            </w:tcBorders>
            <w:shd w:val="clear" w:color="auto" w:fill="auto"/>
            <w:tcMar>
              <w:top w:w="0" w:type="dxa"/>
              <w:left w:w="70" w:type="dxa"/>
              <w:bottom w:w="0" w:type="dxa"/>
              <w:right w:w="70" w:type="dxa"/>
            </w:tcMar>
            <w:vAlign w:val="center"/>
          </w:tcPr>
          <w:p w14:paraId="6C6C60DE" w14:textId="77777777" w:rsidR="000E7A5A" w:rsidRPr="00A11EF1" w:rsidRDefault="00306071" w:rsidP="00E247FF">
            <w:pPr>
              <w:spacing w:after="0" w:line="276" w:lineRule="auto"/>
              <w:jc w:val="center"/>
              <w:rPr>
                <w:rFonts w:cs="Arial"/>
                <w:sz w:val="16"/>
                <w:szCs w:val="16"/>
              </w:rPr>
            </w:pPr>
            <w:r w:rsidRPr="0023397C">
              <w:rPr>
                <w:rFonts w:cs="Arial"/>
                <w:color w:val="000000"/>
                <w:sz w:val="16"/>
                <w:szCs w:val="16"/>
              </w:rPr>
              <w:t>ESS+</w:t>
            </w:r>
          </w:p>
        </w:tc>
        <w:tc>
          <w:tcPr>
            <w:tcW w:w="1536" w:type="dxa"/>
            <w:tcBorders>
              <w:bottom w:val="single" w:sz="8" w:space="0" w:color="000000"/>
            </w:tcBorders>
            <w:shd w:val="clear" w:color="auto" w:fill="auto"/>
            <w:noWrap/>
            <w:tcMar>
              <w:top w:w="0" w:type="dxa"/>
              <w:left w:w="70" w:type="dxa"/>
              <w:bottom w:w="0" w:type="dxa"/>
              <w:right w:w="70" w:type="dxa"/>
            </w:tcMar>
            <w:vAlign w:val="center"/>
          </w:tcPr>
          <w:p w14:paraId="14CD17E4" w14:textId="77777777" w:rsidR="000E7A5A" w:rsidRPr="00A11EF1" w:rsidRDefault="00306071" w:rsidP="00E247FF">
            <w:pPr>
              <w:spacing w:after="0" w:line="276" w:lineRule="auto"/>
              <w:jc w:val="right"/>
              <w:rPr>
                <w:rFonts w:cs="Arial"/>
                <w:sz w:val="16"/>
                <w:szCs w:val="16"/>
              </w:rPr>
            </w:pPr>
            <w:r w:rsidRPr="0023397C">
              <w:rPr>
                <w:rFonts w:cs="Arial"/>
                <w:color w:val="000000"/>
                <w:sz w:val="16"/>
                <w:szCs w:val="16"/>
              </w:rPr>
              <w:t>Zahod</w:t>
            </w:r>
          </w:p>
        </w:tc>
        <w:tc>
          <w:tcPr>
            <w:tcW w:w="1715"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1B1A4765" w14:textId="77777777" w:rsidR="000E7A5A" w:rsidRPr="00A11EF1" w:rsidRDefault="00306071" w:rsidP="00E247FF">
            <w:pPr>
              <w:spacing w:before="240" w:after="0" w:line="276" w:lineRule="auto"/>
              <w:jc w:val="right"/>
              <w:rPr>
                <w:rFonts w:cs="Arial"/>
                <w:color w:val="000000"/>
                <w:sz w:val="16"/>
                <w:szCs w:val="16"/>
              </w:rPr>
            </w:pPr>
            <w:r w:rsidRPr="00A11EF1">
              <w:rPr>
                <w:rFonts w:cs="Arial"/>
                <w:color w:val="000000"/>
                <w:sz w:val="16"/>
                <w:szCs w:val="16"/>
              </w:rPr>
              <w:t>142.107.283</w:t>
            </w:r>
          </w:p>
        </w:tc>
        <w:tc>
          <w:tcPr>
            <w:tcW w:w="1532" w:type="dxa"/>
            <w:tcBorders>
              <w:bottom w:val="single" w:sz="8" w:space="0" w:color="000000"/>
            </w:tcBorders>
            <w:shd w:val="clear" w:color="auto" w:fill="auto"/>
            <w:noWrap/>
            <w:tcMar>
              <w:top w:w="0" w:type="dxa"/>
              <w:left w:w="70" w:type="dxa"/>
              <w:bottom w:w="0" w:type="dxa"/>
              <w:right w:w="70" w:type="dxa"/>
            </w:tcMar>
            <w:vAlign w:val="center"/>
          </w:tcPr>
          <w:p w14:paraId="5A319EB1" w14:textId="77777777" w:rsidR="000E7A5A" w:rsidRPr="00A11EF1" w:rsidRDefault="00306071" w:rsidP="00E247FF">
            <w:pPr>
              <w:spacing w:before="240" w:after="0" w:line="276" w:lineRule="auto"/>
              <w:jc w:val="right"/>
              <w:rPr>
                <w:rFonts w:cs="Arial"/>
                <w:color w:val="000000"/>
                <w:sz w:val="16"/>
                <w:szCs w:val="16"/>
              </w:rPr>
            </w:pPr>
            <w:r w:rsidRPr="00A11EF1">
              <w:rPr>
                <w:rFonts w:cs="Arial"/>
                <w:color w:val="000000"/>
                <w:sz w:val="16"/>
                <w:szCs w:val="16"/>
              </w:rPr>
              <w:t>50.717.005</w:t>
            </w:r>
          </w:p>
        </w:tc>
        <w:tc>
          <w:tcPr>
            <w:tcW w:w="1535" w:type="dxa"/>
            <w:tcBorders>
              <w:left w:val="single" w:sz="8" w:space="0" w:color="000000"/>
              <w:bottom w:val="single" w:sz="8" w:space="0" w:color="000000"/>
            </w:tcBorders>
            <w:shd w:val="clear" w:color="auto" w:fill="auto"/>
            <w:noWrap/>
            <w:tcMar>
              <w:top w:w="0" w:type="dxa"/>
              <w:left w:w="70" w:type="dxa"/>
              <w:bottom w:w="0" w:type="dxa"/>
              <w:right w:w="70" w:type="dxa"/>
            </w:tcMar>
            <w:vAlign w:val="center"/>
          </w:tcPr>
          <w:p w14:paraId="3CA1E490" w14:textId="77777777" w:rsidR="000E7A5A" w:rsidRPr="00A11EF1" w:rsidRDefault="00306071" w:rsidP="00E247FF">
            <w:pPr>
              <w:spacing w:before="240" w:after="0" w:line="276" w:lineRule="auto"/>
              <w:jc w:val="center"/>
              <w:rPr>
                <w:rFonts w:cs="Arial"/>
                <w:color w:val="000000"/>
                <w:sz w:val="16"/>
                <w:szCs w:val="16"/>
              </w:rPr>
            </w:pPr>
            <w:r w:rsidRPr="00A11EF1">
              <w:rPr>
                <w:rFonts w:cs="Arial"/>
                <w:color w:val="000000"/>
                <w:sz w:val="16"/>
                <w:szCs w:val="16"/>
              </w:rPr>
              <w:t>36%</w:t>
            </w:r>
          </w:p>
        </w:tc>
        <w:tc>
          <w:tcPr>
            <w:tcW w:w="1532"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29CA303F" w14:textId="77777777" w:rsidR="000E7A5A" w:rsidRPr="00A11EF1" w:rsidRDefault="00306071" w:rsidP="00E247FF">
            <w:pPr>
              <w:spacing w:before="240" w:after="0" w:line="276" w:lineRule="auto"/>
              <w:jc w:val="right"/>
              <w:rPr>
                <w:rFonts w:cs="Arial"/>
                <w:color w:val="000000"/>
                <w:sz w:val="16"/>
                <w:szCs w:val="16"/>
              </w:rPr>
            </w:pPr>
            <w:r w:rsidRPr="00A11EF1">
              <w:rPr>
                <w:rFonts w:cs="Arial"/>
                <w:color w:val="000000"/>
                <w:sz w:val="16"/>
                <w:szCs w:val="16"/>
              </w:rPr>
              <w:t>44.154.177</w:t>
            </w:r>
          </w:p>
        </w:tc>
        <w:tc>
          <w:tcPr>
            <w:tcW w:w="1535"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4CA9A2C0" w14:textId="77777777" w:rsidR="000E7A5A" w:rsidRPr="00A11EF1" w:rsidRDefault="00306071" w:rsidP="00E247FF">
            <w:pPr>
              <w:spacing w:before="240" w:after="0" w:line="276" w:lineRule="auto"/>
              <w:jc w:val="center"/>
              <w:rPr>
                <w:rFonts w:cs="Arial"/>
                <w:color w:val="000000"/>
                <w:sz w:val="16"/>
                <w:szCs w:val="16"/>
              </w:rPr>
            </w:pPr>
            <w:r w:rsidRPr="00A11EF1">
              <w:rPr>
                <w:rFonts w:cs="Arial"/>
                <w:color w:val="000000"/>
                <w:sz w:val="16"/>
                <w:szCs w:val="16"/>
              </w:rPr>
              <w:t>31%</w:t>
            </w:r>
          </w:p>
        </w:tc>
        <w:tc>
          <w:tcPr>
            <w:tcW w:w="1532" w:type="dxa"/>
            <w:tcBorders>
              <w:bottom w:val="single" w:sz="8" w:space="0" w:color="000000"/>
            </w:tcBorders>
            <w:shd w:val="clear" w:color="auto" w:fill="auto"/>
            <w:noWrap/>
            <w:tcMar>
              <w:top w:w="0" w:type="dxa"/>
              <w:left w:w="70" w:type="dxa"/>
              <w:bottom w:w="0" w:type="dxa"/>
              <w:right w:w="70" w:type="dxa"/>
            </w:tcMar>
            <w:vAlign w:val="center"/>
          </w:tcPr>
          <w:p w14:paraId="22D56CA1" w14:textId="77777777" w:rsidR="000E7A5A" w:rsidRPr="00A11EF1" w:rsidRDefault="00306071" w:rsidP="00E247FF">
            <w:pPr>
              <w:spacing w:before="240" w:after="0" w:line="276" w:lineRule="auto"/>
              <w:jc w:val="right"/>
              <w:rPr>
                <w:rFonts w:cs="Arial"/>
                <w:color w:val="000000"/>
                <w:sz w:val="16"/>
                <w:szCs w:val="16"/>
              </w:rPr>
            </w:pPr>
            <w:r w:rsidRPr="00A11EF1">
              <w:rPr>
                <w:rFonts w:cs="Arial"/>
                <w:color w:val="000000"/>
                <w:sz w:val="16"/>
                <w:szCs w:val="16"/>
              </w:rPr>
              <w:t>3.535.798</w:t>
            </w:r>
          </w:p>
        </w:tc>
        <w:tc>
          <w:tcPr>
            <w:tcW w:w="1532"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70B51DE6" w14:textId="77777777" w:rsidR="000E7A5A" w:rsidRPr="00A11EF1" w:rsidRDefault="00306071" w:rsidP="00E247FF">
            <w:pPr>
              <w:spacing w:before="240" w:after="0" w:line="276" w:lineRule="auto"/>
              <w:jc w:val="center"/>
              <w:rPr>
                <w:rFonts w:cs="Arial"/>
                <w:color w:val="000000"/>
                <w:sz w:val="16"/>
                <w:szCs w:val="16"/>
              </w:rPr>
            </w:pPr>
            <w:r w:rsidRPr="00A11EF1">
              <w:rPr>
                <w:rFonts w:cs="Arial"/>
                <w:color w:val="000000"/>
                <w:sz w:val="16"/>
                <w:szCs w:val="16"/>
              </w:rPr>
              <w:t>2%</w:t>
            </w:r>
          </w:p>
        </w:tc>
      </w:tr>
      <w:tr w:rsidR="000E7A5A" w:rsidRPr="00A11EF1" w14:paraId="46588495" w14:textId="77777777" w:rsidTr="006A2AF1">
        <w:trPr>
          <w:trHeight w:val="452"/>
        </w:trPr>
        <w:tc>
          <w:tcPr>
            <w:tcW w:w="1533" w:type="dxa"/>
            <w:vMerge/>
            <w:tcBorders>
              <w:left w:val="single" w:sz="8" w:space="0" w:color="000000"/>
              <w:right w:val="single" w:sz="8" w:space="0" w:color="000000"/>
            </w:tcBorders>
            <w:shd w:val="clear" w:color="auto" w:fill="auto"/>
            <w:tcMar>
              <w:top w:w="0" w:type="dxa"/>
              <w:left w:w="70" w:type="dxa"/>
              <w:bottom w:w="0" w:type="dxa"/>
              <w:right w:w="70" w:type="dxa"/>
            </w:tcMar>
            <w:vAlign w:val="center"/>
          </w:tcPr>
          <w:p w14:paraId="5C396078" w14:textId="77777777" w:rsidR="000E7A5A" w:rsidRPr="0023397C" w:rsidRDefault="000E7A5A" w:rsidP="00E247FF">
            <w:pPr>
              <w:spacing w:after="0" w:line="276" w:lineRule="auto"/>
              <w:jc w:val="both"/>
              <w:rPr>
                <w:rFonts w:cs="Arial"/>
                <w:color w:val="000000"/>
                <w:sz w:val="16"/>
                <w:szCs w:val="16"/>
              </w:rPr>
            </w:pPr>
          </w:p>
        </w:tc>
        <w:tc>
          <w:tcPr>
            <w:tcW w:w="1536" w:type="dxa"/>
            <w:tcBorders>
              <w:bottom w:val="single" w:sz="8" w:space="0" w:color="000000"/>
            </w:tcBorders>
            <w:shd w:val="clear" w:color="auto" w:fill="auto"/>
            <w:noWrap/>
            <w:tcMar>
              <w:top w:w="0" w:type="dxa"/>
              <w:left w:w="70" w:type="dxa"/>
              <w:bottom w:w="0" w:type="dxa"/>
              <w:right w:w="70" w:type="dxa"/>
            </w:tcMar>
            <w:vAlign w:val="center"/>
          </w:tcPr>
          <w:p w14:paraId="2036C937" w14:textId="77777777" w:rsidR="000E7A5A" w:rsidRPr="00A11EF1" w:rsidRDefault="00306071" w:rsidP="00E247FF">
            <w:pPr>
              <w:spacing w:after="0" w:line="276" w:lineRule="auto"/>
              <w:jc w:val="right"/>
              <w:rPr>
                <w:rFonts w:cs="Arial"/>
                <w:sz w:val="16"/>
                <w:szCs w:val="16"/>
              </w:rPr>
            </w:pPr>
            <w:r w:rsidRPr="0023397C">
              <w:rPr>
                <w:rFonts w:cs="Arial"/>
                <w:color w:val="000000"/>
                <w:sz w:val="16"/>
                <w:szCs w:val="16"/>
              </w:rPr>
              <w:t>Vzhod</w:t>
            </w:r>
          </w:p>
        </w:tc>
        <w:tc>
          <w:tcPr>
            <w:tcW w:w="1715"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70D212DA" w14:textId="77777777" w:rsidR="000E7A5A" w:rsidRPr="00A11EF1" w:rsidRDefault="00306071" w:rsidP="00E247FF">
            <w:pPr>
              <w:spacing w:before="240" w:after="0" w:line="276" w:lineRule="auto"/>
              <w:jc w:val="right"/>
              <w:rPr>
                <w:rFonts w:cs="Arial"/>
                <w:color w:val="000000"/>
                <w:sz w:val="16"/>
                <w:szCs w:val="16"/>
              </w:rPr>
            </w:pPr>
            <w:r w:rsidRPr="00A11EF1">
              <w:rPr>
                <w:rFonts w:cs="Arial"/>
                <w:color w:val="000000"/>
                <w:sz w:val="16"/>
                <w:szCs w:val="16"/>
              </w:rPr>
              <w:t>469.397.522</w:t>
            </w:r>
          </w:p>
        </w:tc>
        <w:tc>
          <w:tcPr>
            <w:tcW w:w="1532" w:type="dxa"/>
            <w:tcBorders>
              <w:bottom w:val="single" w:sz="8" w:space="0" w:color="000000"/>
            </w:tcBorders>
            <w:shd w:val="clear" w:color="auto" w:fill="auto"/>
            <w:noWrap/>
            <w:tcMar>
              <w:top w:w="0" w:type="dxa"/>
              <w:left w:w="70" w:type="dxa"/>
              <w:bottom w:w="0" w:type="dxa"/>
              <w:right w:w="70" w:type="dxa"/>
            </w:tcMar>
            <w:vAlign w:val="center"/>
          </w:tcPr>
          <w:p w14:paraId="462A2729" w14:textId="77777777" w:rsidR="000E7A5A" w:rsidRPr="00A11EF1" w:rsidRDefault="00306071" w:rsidP="00E247FF">
            <w:pPr>
              <w:spacing w:before="240" w:after="0" w:line="276" w:lineRule="auto"/>
              <w:jc w:val="right"/>
              <w:rPr>
                <w:rFonts w:cs="Arial"/>
                <w:color w:val="000000"/>
                <w:sz w:val="16"/>
                <w:szCs w:val="16"/>
              </w:rPr>
            </w:pPr>
            <w:r w:rsidRPr="00A11EF1">
              <w:rPr>
                <w:rFonts w:cs="Arial"/>
                <w:color w:val="000000"/>
                <w:sz w:val="16"/>
                <w:szCs w:val="16"/>
              </w:rPr>
              <w:t>233.344.643</w:t>
            </w:r>
          </w:p>
        </w:tc>
        <w:tc>
          <w:tcPr>
            <w:tcW w:w="1535" w:type="dxa"/>
            <w:tcBorders>
              <w:left w:val="single" w:sz="8" w:space="0" w:color="000000"/>
              <w:bottom w:val="single" w:sz="8" w:space="0" w:color="000000"/>
            </w:tcBorders>
            <w:shd w:val="clear" w:color="auto" w:fill="auto"/>
            <w:noWrap/>
            <w:tcMar>
              <w:top w:w="0" w:type="dxa"/>
              <w:left w:w="70" w:type="dxa"/>
              <w:bottom w:w="0" w:type="dxa"/>
              <w:right w:w="70" w:type="dxa"/>
            </w:tcMar>
            <w:vAlign w:val="center"/>
          </w:tcPr>
          <w:p w14:paraId="5A2D345F" w14:textId="77777777" w:rsidR="000E7A5A" w:rsidRPr="00A11EF1" w:rsidRDefault="00306071" w:rsidP="00E247FF">
            <w:pPr>
              <w:spacing w:before="240" w:after="0" w:line="276" w:lineRule="auto"/>
              <w:jc w:val="center"/>
              <w:rPr>
                <w:rFonts w:cs="Arial"/>
                <w:color w:val="000000"/>
                <w:sz w:val="16"/>
                <w:szCs w:val="16"/>
              </w:rPr>
            </w:pPr>
            <w:r w:rsidRPr="00A11EF1">
              <w:rPr>
                <w:rFonts w:cs="Arial"/>
                <w:color w:val="000000"/>
                <w:sz w:val="16"/>
                <w:szCs w:val="16"/>
              </w:rPr>
              <w:t>50%</w:t>
            </w:r>
          </w:p>
        </w:tc>
        <w:tc>
          <w:tcPr>
            <w:tcW w:w="1532"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133F109C" w14:textId="77777777" w:rsidR="000E7A5A" w:rsidRPr="00A11EF1" w:rsidRDefault="00306071" w:rsidP="00E247FF">
            <w:pPr>
              <w:spacing w:before="240" w:after="0" w:line="276" w:lineRule="auto"/>
              <w:jc w:val="right"/>
              <w:rPr>
                <w:rFonts w:cs="Arial"/>
                <w:color w:val="000000"/>
                <w:sz w:val="16"/>
                <w:szCs w:val="16"/>
              </w:rPr>
            </w:pPr>
            <w:r w:rsidRPr="00A11EF1">
              <w:rPr>
                <w:rFonts w:cs="Arial"/>
                <w:color w:val="000000"/>
                <w:sz w:val="16"/>
                <w:szCs w:val="16"/>
              </w:rPr>
              <w:t>222.008.737</w:t>
            </w:r>
          </w:p>
        </w:tc>
        <w:tc>
          <w:tcPr>
            <w:tcW w:w="1535"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756CD9F4" w14:textId="77777777" w:rsidR="000E7A5A" w:rsidRPr="00A11EF1" w:rsidRDefault="00306071" w:rsidP="00E247FF">
            <w:pPr>
              <w:spacing w:before="240" w:after="0" w:line="276" w:lineRule="auto"/>
              <w:jc w:val="center"/>
              <w:rPr>
                <w:rFonts w:cs="Arial"/>
                <w:color w:val="000000"/>
                <w:sz w:val="16"/>
                <w:szCs w:val="16"/>
              </w:rPr>
            </w:pPr>
            <w:r w:rsidRPr="00A11EF1">
              <w:rPr>
                <w:rFonts w:cs="Arial"/>
                <w:color w:val="000000"/>
                <w:sz w:val="16"/>
                <w:szCs w:val="16"/>
              </w:rPr>
              <w:t>47%</w:t>
            </w:r>
          </w:p>
        </w:tc>
        <w:tc>
          <w:tcPr>
            <w:tcW w:w="1532" w:type="dxa"/>
            <w:tcBorders>
              <w:bottom w:val="single" w:sz="8" w:space="0" w:color="000000"/>
            </w:tcBorders>
            <w:shd w:val="clear" w:color="auto" w:fill="auto"/>
            <w:noWrap/>
            <w:tcMar>
              <w:top w:w="0" w:type="dxa"/>
              <w:left w:w="70" w:type="dxa"/>
              <w:bottom w:w="0" w:type="dxa"/>
              <w:right w:w="70" w:type="dxa"/>
            </w:tcMar>
            <w:vAlign w:val="center"/>
          </w:tcPr>
          <w:p w14:paraId="6BF26910" w14:textId="77777777" w:rsidR="000E7A5A" w:rsidRPr="00A11EF1" w:rsidRDefault="00306071" w:rsidP="00E247FF">
            <w:pPr>
              <w:spacing w:before="240" w:after="0" w:line="276" w:lineRule="auto"/>
              <w:jc w:val="right"/>
              <w:rPr>
                <w:rFonts w:cs="Arial"/>
                <w:color w:val="000000"/>
                <w:sz w:val="16"/>
                <w:szCs w:val="16"/>
              </w:rPr>
            </w:pPr>
            <w:r w:rsidRPr="00A11EF1">
              <w:rPr>
                <w:rFonts w:cs="Arial"/>
                <w:color w:val="000000"/>
                <w:sz w:val="16"/>
                <w:szCs w:val="16"/>
              </w:rPr>
              <w:t>13.517.606</w:t>
            </w:r>
          </w:p>
        </w:tc>
        <w:tc>
          <w:tcPr>
            <w:tcW w:w="1532"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4DB57BBB" w14:textId="77777777" w:rsidR="000E7A5A" w:rsidRPr="00A11EF1" w:rsidRDefault="00306071" w:rsidP="00E247FF">
            <w:pPr>
              <w:spacing w:before="240" w:after="0" w:line="276" w:lineRule="auto"/>
              <w:jc w:val="center"/>
              <w:rPr>
                <w:rFonts w:cs="Arial"/>
                <w:color w:val="000000"/>
                <w:sz w:val="16"/>
                <w:szCs w:val="16"/>
              </w:rPr>
            </w:pPr>
            <w:r w:rsidRPr="00A11EF1">
              <w:rPr>
                <w:rFonts w:cs="Arial"/>
                <w:color w:val="000000"/>
                <w:sz w:val="16"/>
                <w:szCs w:val="16"/>
              </w:rPr>
              <w:t>3%</w:t>
            </w:r>
          </w:p>
        </w:tc>
      </w:tr>
      <w:tr w:rsidR="000E7A5A" w:rsidRPr="00A11EF1" w14:paraId="62F79B1A" w14:textId="77777777" w:rsidTr="006A2AF1">
        <w:trPr>
          <w:trHeight w:val="452"/>
        </w:trPr>
        <w:tc>
          <w:tcPr>
            <w:tcW w:w="3069" w:type="dxa"/>
            <w:gridSpan w:val="2"/>
            <w:tcBorders>
              <w:left w:val="single" w:sz="8" w:space="0" w:color="000000"/>
              <w:bottom w:val="single" w:sz="8" w:space="0" w:color="000000"/>
              <w:right w:val="single" w:sz="8" w:space="0" w:color="000000"/>
            </w:tcBorders>
            <w:shd w:val="clear" w:color="auto" w:fill="DDEBF7"/>
            <w:tcMar>
              <w:top w:w="0" w:type="dxa"/>
              <w:left w:w="70" w:type="dxa"/>
              <w:bottom w:w="0" w:type="dxa"/>
              <w:right w:w="70" w:type="dxa"/>
            </w:tcMar>
            <w:vAlign w:val="center"/>
          </w:tcPr>
          <w:p w14:paraId="4CE32530" w14:textId="77777777" w:rsidR="000E7A5A" w:rsidRPr="00A11EF1" w:rsidRDefault="00306071" w:rsidP="00E247FF">
            <w:pPr>
              <w:spacing w:after="0" w:line="276" w:lineRule="auto"/>
              <w:jc w:val="right"/>
              <w:rPr>
                <w:rFonts w:cs="Arial"/>
                <w:sz w:val="16"/>
                <w:szCs w:val="16"/>
              </w:rPr>
            </w:pPr>
            <w:r w:rsidRPr="0023397C">
              <w:rPr>
                <w:rFonts w:cs="Arial"/>
                <w:color w:val="000000"/>
                <w:sz w:val="16"/>
                <w:szCs w:val="16"/>
              </w:rPr>
              <w:t>Skupaj ESS+</w:t>
            </w:r>
          </w:p>
        </w:tc>
        <w:tc>
          <w:tcPr>
            <w:tcW w:w="1715" w:type="dxa"/>
            <w:tcBorders>
              <w:bottom w:val="single" w:sz="8" w:space="0" w:color="000000"/>
              <w:right w:val="single" w:sz="8" w:space="0" w:color="000000"/>
            </w:tcBorders>
            <w:shd w:val="clear" w:color="auto" w:fill="DDEBF7"/>
            <w:noWrap/>
            <w:tcMar>
              <w:top w:w="0" w:type="dxa"/>
              <w:left w:w="70" w:type="dxa"/>
              <w:bottom w:w="0" w:type="dxa"/>
              <w:right w:w="70" w:type="dxa"/>
            </w:tcMar>
            <w:vAlign w:val="center"/>
          </w:tcPr>
          <w:p w14:paraId="41169334" w14:textId="77777777" w:rsidR="000E7A5A" w:rsidRPr="00A11EF1" w:rsidRDefault="00306071" w:rsidP="00E247FF">
            <w:pPr>
              <w:spacing w:before="240" w:after="0" w:line="276" w:lineRule="auto"/>
              <w:jc w:val="right"/>
              <w:rPr>
                <w:rFonts w:cs="Arial"/>
                <w:color w:val="000000"/>
                <w:sz w:val="16"/>
                <w:szCs w:val="16"/>
              </w:rPr>
            </w:pPr>
            <w:r w:rsidRPr="00A11EF1">
              <w:rPr>
                <w:rFonts w:cs="Arial"/>
                <w:color w:val="000000"/>
                <w:sz w:val="16"/>
                <w:szCs w:val="16"/>
              </w:rPr>
              <w:t>611.504.805</w:t>
            </w:r>
          </w:p>
        </w:tc>
        <w:tc>
          <w:tcPr>
            <w:tcW w:w="1532" w:type="dxa"/>
            <w:tcBorders>
              <w:bottom w:val="single" w:sz="8" w:space="0" w:color="000000"/>
            </w:tcBorders>
            <w:shd w:val="clear" w:color="auto" w:fill="DDEBF7"/>
            <w:noWrap/>
            <w:tcMar>
              <w:top w:w="0" w:type="dxa"/>
              <w:left w:w="70" w:type="dxa"/>
              <w:bottom w:w="0" w:type="dxa"/>
              <w:right w:w="70" w:type="dxa"/>
            </w:tcMar>
            <w:vAlign w:val="center"/>
          </w:tcPr>
          <w:p w14:paraId="1A1A19E5" w14:textId="77777777" w:rsidR="000E7A5A" w:rsidRPr="00A11EF1" w:rsidRDefault="00306071" w:rsidP="00E247FF">
            <w:pPr>
              <w:spacing w:before="240" w:after="0" w:line="276" w:lineRule="auto"/>
              <w:jc w:val="right"/>
              <w:rPr>
                <w:rFonts w:cs="Arial"/>
                <w:color w:val="000000"/>
                <w:sz w:val="16"/>
                <w:szCs w:val="16"/>
              </w:rPr>
            </w:pPr>
            <w:r w:rsidRPr="00A11EF1">
              <w:rPr>
                <w:rFonts w:cs="Arial"/>
                <w:color w:val="000000"/>
                <w:sz w:val="16"/>
                <w:szCs w:val="16"/>
              </w:rPr>
              <w:t>284.061.648</w:t>
            </w:r>
          </w:p>
        </w:tc>
        <w:tc>
          <w:tcPr>
            <w:tcW w:w="1535" w:type="dxa"/>
            <w:tcBorders>
              <w:left w:val="single" w:sz="8" w:space="0" w:color="000000"/>
              <w:bottom w:val="single" w:sz="8" w:space="0" w:color="000000"/>
            </w:tcBorders>
            <w:shd w:val="clear" w:color="auto" w:fill="DDEBF7"/>
            <w:noWrap/>
            <w:tcMar>
              <w:top w:w="0" w:type="dxa"/>
              <w:left w:w="70" w:type="dxa"/>
              <w:bottom w:w="0" w:type="dxa"/>
              <w:right w:w="70" w:type="dxa"/>
            </w:tcMar>
            <w:vAlign w:val="center"/>
          </w:tcPr>
          <w:p w14:paraId="76601E29" w14:textId="77777777" w:rsidR="000E7A5A" w:rsidRPr="00A11EF1" w:rsidRDefault="00306071" w:rsidP="00E247FF">
            <w:pPr>
              <w:spacing w:before="240" w:after="0" w:line="276" w:lineRule="auto"/>
              <w:jc w:val="center"/>
              <w:rPr>
                <w:rFonts w:cs="Arial"/>
                <w:color w:val="000000"/>
                <w:sz w:val="16"/>
                <w:szCs w:val="16"/>
              </w:rPr>
            </w:pPr>
            <w:r w:rsidRPr="00A11EF1">
              <w:rPr>
                <w:rFonts w:cs="Arial"/>
                <w:color w:val="000000"/>
                <w:sz w:val="16"/>
                <w:szCs w:val="16"/>
              </w:rPr>
              <w:t>46%</w:t>
            </w:r>
          </w:p>
        </w:tc>
        <w:tc>
          <w:tcPr>
            <w:tcW w:w="1532" w:type="dxa"/>
            <w:tcBorders>
              <w:left w:val="single" w:sz="8" w:space="0" w:color="000000"/>
              <w:bottom w:val="single" w:sz="8" w:space="0" w:color="000000"/>
              <w:right w:val="single" w:sz="8" w:space="0" w:color="000000"/>
            </w:tcBorders>
            <w:shd w:val="clear" w:color="auto" w:fill="DDEBF7"/>
            <w:noWrap/>
            <w:tcMar>
              <w:top w:w="0" w:type="dxa"/>
              <w:left w:w="70" w:type="dxa"/>
              <w:bottom w:w="0" w:type="dxa"/>
              <w:right w:w="70" w:type="dxa"/>
            </w:tcMar>
            <w:vAlign w:val="center"/>
          </w:tcPr>
          <w:p w14:paraId="6071FF08" w14:textId="77777777" w:rsidR="000E7A5A" w:rsidRPr="00A11EF1" w:rsidRDefault="00306071" w:rsidP="00E247FF">
            <w:pPr>
              <w:spacing w:before="240" w:after="0" w:line="276" w:lineRule="auto"/>
              <w:jc w:val="right"/>
              <w:rPr>
                <w:rFonts w:cs="Arial"/>
                <w:color w:val="000000"/>
                <w:sz w:val="16"/>
                <w:szCs w:val="16"/>
              </w:rPr>
            </w:pPr>
            <w:r w:rsidRPr="00A11EF1">
              <w:rPr>
                <w:rFonts w:cs="Arial"/>
                <w:color w:val="000000"/>
                <w:sz w:val="16"/>
                <w:szCs w:val="16"/>
              </w:rPr>
              <w:t>266.162.914</w:t>
            </w:r>
          </w:p>
        </w:tc>
        <w:tc>
          <w:tcPr>
            <w:tcW w:w="1535" w:type="dxa"/>
            <w:tcBorders>
              <w:bottom w:val="single" w:sz="8" w:space="0" w:color="000000"/>
              <w:right w:val="single" w:sz="8" w:space="0" w:color="000000"/>
            </w:tcBorders>
            <w:shd w:val="clear" w:color="auto" w:fill="DDEBF7"/>
            <w:noWrap/>
            <w:tcMar>
              <w:top w:w="0" w:type="dxa"/>
              <w:left w:w="70" w:type="dxa"/>
              <w:bottom w:w="0" w:type="dxa"/>
              <w:right w:w="70" w:type="dxa"/>
            </w:tcMar>
            <w:vAlign w:val="center"/>
          </w:tcPr>
          <w:p w14:paraId="1051C4BA" w14:textId="77777777" w:rsidR="000E7A5A" w:rsidRPr="00A11EF1" w:rsidRDefault="00306071" w:rsidP="00E247FF">
            <w:pPr>
              <w:spacing w:before="240" w:after="0" w:line="276" w:lineRule="auto"/>
              <w:jc w:val="center"/>
              <w:rPr>
                <w:rFonts w:cs="Arial"/>
                <w:color w:val="000000"/>
                <w:sz w:val="16"/>
                <w:szCs w:val="16"/>
              </w:rPr>
            </w:pPr>
            <w:r w:rsidRPr="00A11EF1">
              <w:rPr>
                <w:rFonts w:cs="Arial"/>
                <w:color w:val="000000"/>
                <w:sz w:val="16"/>
                <w:szCs w:val="16"/>
              </w:rPr>
              <w:t>44%</w:t>
            </w:r>
          </w:p>
        </w:tc>
        <w:tc>
          <w:tcPr>
            <w:tcW w:w="1532" w:type="dxa"/>
            <w:tcBorders>
              <w:bottom w:val="single" w:sz="8" w:space="0" w:color="000000"/>
            </w:tcBorders>
            <w:shd w:val="clear" w:color="auto" w:fill="DDEBF7"/>
            <w:noWrap/>
            <w:tcMar>
              <w:top w:w="0" w:type="dxa"/>
              <w:left w:w="70" w:type="dxa"/>
              <w:bottom w:w="0" w:type="dxa"/>
              <w:right w:w="70" w:type="dxa"/>
            </w:tcMar>
            <w:vAlign w:val="center"/>
          </w:tcPr>
          <w:p w14:paraId="2BF4DFD9" w14:textId="77777777" w:rsidR="000E7A5A" w:rsidRPr="00A11EF1" w:rsidRDefault="00306071" w:rsidP="00E247FF">
            <w:pPr>
              <w:spacing w:before="240" w:after="0" w:line="276" w:lineRule="auto"/>
              <w:jc w:val="right"/>
              <w:rPr>
                <w:rFonts w:cs="Arial"/>
                <w:color w:val="000000"/>
                <w:sz w:val="16"/>
                <w:szCs w:val="16"/>
              </w:rPr>
            </w:pPr>
            <w:r w:rsidRPr="00A11EF1">
              <w:rPr>
                <w:rFonts w:cs="Arial"/>
                <w:color w:val="000000"/>
                <w:sz w:val="16"/>
                <w:szCs w:val="16"/>
              </w:rPr>
              <w:t>17.053.404</w:t>
            </w:r>
          </w:p>
        </w:tc>
        <w:tc>
          <w:tcPr>
            <w:tcW w:w="1532" w:type="dxa"/>
            <w:tcBorders>
              <w:left w:val="single" w:sz="8" w:space="0" w:color="000000"/>
              <w:bottom w:val="single" w:sz="8" w:space="0" w:color="000000"/>
              <w:right w:val="single" w:sz="8" w:space="0" w:color="000000"/>
            </w:tcBorders>
            <w:shd w:val="clear" w:color="auto" w:fill="DDEBF7"/>
            <w:noWrap/>
            <w:tcMar>
              <w:top w:w="0" w:type="dxa"/>
              <w:left w:w="70" w:type="dxa"/>
              <w:bottom w:w="0" w:type="dxa"/>
              <w:right w:w="70" w:type="dxa"/>
            </w:tcMar>
            <w:vAlign w:val="center"/>
          </w:tcPr>
          <w:p w14:paraId="6C3C5E39" w14:textId="77777777" w:rsidR="000E7A5A" w:rsidRPr="00A11EF1" w:rsidRDefault="00306071" w:rsidP="00E247FF">
            <w:pPr>
              <w:spacing w:before="240" w:after="0" w:line="276" w:lineRule="auto"/>
              <w:jc w:val="center"/>
              <w:rPr>
                <w:rFonts w:cs="Arial"/>
                <w:color w:val="000000"/>
                <w:sz w:val="16"/>
                <w:szCs w:val="16"/>
              </w:rPr>
            </w:pPr>
            <w:r w:rsidRPr="00A11EF1">
              <w:rPr>
                <w:rFonts w:cs="Arial"/>
                <w:color w:val="000000"/>
                <w:sz w:val="16"/>
                <w:szCs w:val="16"/>
              </w:rPr>
              <w:t>3%</w:t>
            </w:r>
          </w:p>
        </w:tc>
      </w:tr>
      <w:tr w:rsidR="000E7A5A" w:rsidRPr="00A11EF1" w14:paraId="250F0030" w14:textId="77777777" w:rsidTr="006A2AF1">
        <w:trPr>
          <w:trHeight w:val="452"/>
        </w:trPr>
        <w:tc>
          <w:tcPr>
            <w:tcW w:w="1533"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500631F3" w14:textId="77777777" w:rsidR="000E7A5A" w:rsidRPr="00A11EF1" w:rsidRDefault="00306071" w:rsidP="00E247FF">
            <w:pPr>
              <w:spacing w:after="0" w:line="276" w:lineRule="auto"/>
              <w:jc w:val="center"/>
              <w:rPr>
                <w:rFonts w:cs="Arial"/>
                <w:sz w:val="16"/>
                <w:szCs w:val="16"/>
              </w:rPr>
            </w:pPr>
            <w:r w:rsidRPr="0023397C">
              <w:rPr>
                <w:rFonts w:cs="Arial"/>
                <w:color w:val="000000"/>
                <w:sz w:val="16"/>
                <w:szCs w:val="16"/>
              </w:rPr>
              <w:t>KS</w:t>
            </w:r>
          </w:p>
        </w:tc>
        <w:tc>
          <w:tcPr>
            <w:tcW w:w="1536" w:type="dxa"/>
            <w:tcBorders>
              <w:bottom w:val="single" w:sz="8" w:space="0" w:color="000000"/>
            </w:tcBorders>
            <w:shd w:val="clear" w:color="auto" w:fill="auto"/>
            <w:noWrap/>
            <w:tcMar>
              <w:top w:w="0" w:type="dxa"/>
              <w:left w:w="70" w:type="dxa"/>
              <w:bottom w:w="0" w:type="dxa"/>
              <w:right w:w="70" w:type="dxa"/>
            </w:tcMar>
            <w:vAlign w:val="center"/>
          </w:tcPr>
          <w:p w14:paraId="18B71AA3" w14:textId="77777777" w:rsidR="000E7A5A" w:rsidRPr="00A11EF1" w:rsidRDefault="00306071" w:rsidP="00E247FF">
            <w:pPr>
              <w:spacing w:after="0" w:line="276" w:lineRule="auto"/>
              <w:jc w:val="right"/>
              <w:rPr>
                <w:rFonts w:cs="Arial"/>
                <w:sz w:val="16"/>
                <w:szCs w:val="16"/>
              </w:rPr>
            </w:pPr>
            <w:r w:rsidRPr="0023397C">
              <w:rPr>
                <w:rFonts w:cs="Arial"/>
                <w:color w:val="000000"/>
                <w:sz w:val="16"/>
                <w:szCs w:val="16"/>
              </w:rPr>
              <w:t>Celotna SI</w:t>
            </w:r>
          </w:p>
        </w:tc>
        <w:tc>
          <w:tcPr>
            <w:tcW w:w="1715" w:type="dxa"/>
            <w:tcBorders>
              <w:left w:val="single" w:sz="8" w:space="0" w:color="000000"/>
              <w:right w:val="single" w:sz="8" w:space="0" w:color="000000"/>
            </w:tcBorders>
            <w:shd w:val="clear" w:color="auto" w:fill="auto"/>
            <w:noWrap/>
            <w:tcMar>
              <w:top w:w="0" w:type="dxa"/>
              <w:left w:w="70" w:type="dxa"/>
              <w:bottom w:w="0" w:type="dxa"/>
              <w:right w:w="70" w:type="dxa"/>
            </w:tcMar>
            <w:vAlign w:val="center"/>
          </w:tcPr>
          <w:p w14:paraId="43858D25" w14:textId="77777777" w:rsidR="000E7A5A" w:rsidRPr="00A11EF1" w:rsidRDefault="00306071" w:rsidP="00E247FF">
            <w:pPr>
              <w:spacing w:before="240" w:after="0" w:line="276" w:lineRule="auto"/>
              <w:jc w:val="right"/>
              <w:rPr>
                <w:rFonts w:cs="Arial"/>
                <w:color w:val="000000"/>
                <w:sz w:val="16"/>
                <w:szCs w:val="16"/>
              </w:rPr>
            </w:pPr>
            <w:r w:rsidRPr="00A11EF1">
              <w:rPr>
                <w:rFonts w:cs="Arial"/>
                <w:color w:val="000000"/>
                <w:sz w:val="16"/>
                <w:szCs w:val="16"/>
              </w:rPr>
              <w:t>700.675.721</w:t>
            </w:r>
          </w:p>
        </w:tc>
        <w:tc>
          <w:tcPr>
            <w:tcW w:w="1532" w:type="dxa"/>
            <w:shd w:val="clear" w:color="auto" w:fill="auto"/>
            <w:noWrap/>
            <w:tcMar>
              <w:top w:w="0" w:type="dxa"/>
              <w:left w:w="70" w:type="dxa"/>
              <w:bottom w:w="0" w:type="dxa"/>
              <w:right w:w="70" w:type="dxa"/>
            </w:tcMar>
            <w:vAlign w:val="center"/>
          </w:tcPr>
          <w:p w14:paraId="7584AB8A" w14:textId="77777777" w:rsidR="000E7A5A" w:rsidRPr="00A11EF1" w:rsidRDefault="00306071" w:rsidP="00E247FF">
            <w:pPr>
              <w:spacing w:before="240" w:after="0" w:line="276" w:lineRule="auto"/>
              <w:jc w:val="right"/>
              <w:rPr>
                <w:rFonts w:cs="Arial"/>
                <w:color w:val="000000"/>
                <w:sz w:val="16"/>
                <w:szCs w:val="16"/>
              </w:rPr>
            </w:pPr>
            <w:r w:rsidRPr="00A11EF1">
              <w:rPr>
                <w:rFonts w:cs="Arial"/>
                <w:color w:val="000000"/>
                <w:sz w:val="16"/>
                <w:szCs w:val="16"/>
              </w:rPr>
              <w:t>105.025.661</w:t>
            </w:r>
          </w:p>
        </w:tc>
        <w:tc>
          <w:tcPr>
            <w:tcW w:w="1535" w:type="dxa"/>
            <w:tcBorders>
              <w:left w:val="single" w:sz="8" w:space="0" w:color="000000"/>
            </w:tcBorders>
            <w:shd w:val="clear" w:color="auto" w:fill="auto"/>
            <w:noWrap/>
            <w:tcMar>
              <w:top w:w="0" w:type="dxa"/>
              <w:left w:w="70" w:type="dxa"/>
              <w:bottom w:w="0" w:type="dxa"/>
              <w:right w:w="70" w:type="dxa"/>
            </w:tcMar>
            <w:vAlign w:val="center"/>
          </w:tcPr>
          <w:p w14:paraId="7DB5CAEF" w14:textId="77777777" w:rsidR="000E7A5A" w:rsidRPr="00A11EF1" w:rsidRDefault="00306071" w:rsidP="00E247FF">
            <w:pPr>
              <w:spacing w:before="240" w:after="0" w:line="276" w:lineRule="auto"/>
              <w:jc w:val="center"/>
              <w:rPr>
                <w:rFonts w:cs="Arial"/>
                <w:color w:val="000000"/>
                <w:sz w:val="16"/>
                <w:szCs w:val="16"/>
              </w:rPr>
            </w:pPr>
            <w:r w:rsidRPr="00A11EF1">
              <w:rPr>
                <w:rFonts w:cs="Arial"/>
                <w:color w:val="000000"/>
                <w:sz w:val="16"/>
                <w:szCs w:val="16"/>
              </w:rPr>
              <w:t>15%</w:t>
            </w:r>
          </w:p>
        </w:tc>
        <w:tc>
          <w:tcPr>
            <w:tcW w:w="1532" w:type="dxa"/>
            <w:tcBorders>
              <w:left w:val="single" w:sz="8" w:space="0" w:color="000000"/>
              <w:right w:val="single" w:sz="8" w:space="0" w:color="000000"/>
            </w:tcBorders>
            <w:shd w:val="clear" w:color="auto" w:fill="auto"/>
            <w:noWrap/>
            <w:tcMar>
              <w:top w:w="0" w:type="dxa"/>
              <w:left w:w="70" w:type="dxa"/>
              <w:bottom w:w="0" w:type="dxa"/>
              <w:right w:w="70" w:type="dxa"/>
            </w:tcMar>
            <w:vAlign w:val="center"/>
          </w:tcPr>
          <w:p w14:paraId="42373221" w14:textId="77777777" w:rsidR="000E7A5A" w:rsidRPr="00A11EF1" w:rsidRDefault="00306071" w:rsidP="00E247FF">
            <w:pPr>
              <w:spacing w:before="240" w:after="0" w:line="276" w:lineRule="auto"/>
              <w:jc w:val="right"/>
              <w:rPr>
                <w:rFonts w:cs="Arial"/>
                <w:color w:val="000000"/>
                <w:sz w:val="16"/>
                <w:szCs w:val="16"/>
              </w:rPr>
            </w:pPr>
            <w:r w:rsidRPr="00A11EF1">
              <w:rPr>
                <w:rFonts w:cs="Arial"/>
                <w:color w:val="000000"/>
                <w:sz w:val="16"/>
                <w:szCs w:val="16"/>
              </w:rPr>
              <w:t>56.102.158</w:t>
            </w:r>
          </w:p>
        </w:tc>
        <w:tc>
          <w:tcPr>
            <w:tcW w:w="1535" w:type="dxa"/>
            <w:tcBorders>
              <w:right w:val="single" w:sz="8" w:space="0" w:color="000000"/>
            </w:tcBorders>
            <w:shd w:val="clear" w:color="auto" w:fill="auto"/>
            <w:noWrap/>
            <w:tcMar>
              <w:top w:w="0" w:type="dxa"/>
              <w:left w:w="70" w:type="dxa"/>
              <w:bottom w:w="0" w:type="dxa"/>
              <w:right w:w="70" w:type="dxa"/>
            </w:tcMar>
            <w:vAlign w:val="center"/>
          </w:tcPr>
          <w:p w14:paraId="5A8AE6D7" w14:textId="77777777" w:rsidR="000E7A5A" w:rsidRPr="00A11EF1" w:rsidRDefault="00306071" w:rsidP="00E247FF">
            <w:pPr>
              <w:spacing w:before="240" w:after="0" w:line="276" w:lineRule="auto"/>
              <w:jc w:val="center"/>
              <w:rPr>
                <w:rFonts w:cs="Arial"/>
                <w:color w:val="000000"/>
                <w:sz w:val="16"/>
                <w:szCs w:val="16"/>
              </w:rPr>
            </w:pPr>
            <w:r w:rsidRPr="00A11EF1">
              <w:rPr>
                <w:rFonts w:cs="Arial"/>
                <w:color w:val="000000"/>
                <w:sz w:val="16"/>
                <w:szCs w:val="16"/>
              </w:rPr>
              <w:t>8%</w:t>
            </w:r>
          </w:p>
        </w:tc>
        <w:tc>
          <w:tcPr>
            <w:tcW w:w="1532" w:type="dxa"/>
            <w:shd w:val="clear" w:color="auto" w:fill="auto"/>
            <w:noWrap/>
            <w:tcMar>
              <w:top w:w="0" w:type="dxa"/>
              <w:left w:w="70" w:type="dxa"/>
              <w:bottom w:w="0" w:type="dxa"/>
              <w:right w:w="70" w:type="dxa"/>
            </w:tcMar>
            <w:vAlign w:val="center"/>
          </w:tcPr>
          <w:p w14:paraId="1DC6B18E" w14:textId="77777777" w:rsidR="000E7A5A" w:rsidRPr="00A11EF1" w:rsidRDefault="00306071" w:rsidP="00E247FF">
            <w:pPr>
              <w:spacing w:before="240" w:after="0" w:line="276" w:lineRule="auto"/>
              <w:jc w:val="right"/>
              <w:rPr>
                <w:rFonts w:cs="Arial"/>
                <w:color w:val="000000"/>
                <w:sz w:val="16"/>
                <w:szCs w:val="16"/>
              </w:rPr>
            </w:pPr>
            <w:r w:rsidRPr="00A11EF1">
              <w:rPr>
                <w:rFonts w:cs="Arial"/>
                <w:color w:val="000000"/>
                <w:sz w:val="16"/>
                <w:szCs w:val="16"/>
              </w:rPr>
              <w:t>19.753.316</w:t>
            </w:r>
          </w:p>
        </w:tc>
        <w:tc>
          <w:tcPr>
            <w:tcW w:w="1532" w:type="dxa"/>
            <w:tcBorders>
              <w:left w:val="single" w:sz="8" w:space="0" w:color="000000"/>
              <w:right w:val="single" w:sz="8" w:space="0" w:color="000000"/>
            </w:tcBorders>
            <w:shd w:val="clear" w:color="auto" w:fill="auto"/>
            <w:noWrap/>
            <w:tcMar>
              <w:top w:w="0" w:type="dxa"/>
              <w:left w:w="70" w:type="dxa"/>
              <w:bottom w:w="0" w:type="dxa"/>
              <w:right w:w="70" w:type="dxa"/>
            </w:tcMar>
            <w:vAlign w:val="center"/>
          </w:tcPr>
          <w:p w14:paraId="6A965A31" w14:textId="77777777" w:rsidR="000E7A5A" w:rsidRPr="00A11EF1" w:rsidRDefault="00306071" w:rsidP="00E247FF">
            <w:pPr>
              <w:spacing w:before="240" w:after="0" w:line="276" w:lineRule="auto"/>
              <w:jc w:val="center"/>
              <w:rPr>
                <w:rFonts w:cs="Arial"/>
                <w:color w:val="000000"/>
                <w:sz w:val="16"/>
                <w:szCs w:val="16"/>
              </w:rPr>
            </w:pPr>
            <w:r w:rsidRPr="00A11EF1">
              <w:rPr>
                <w:rFonts w:cs="Arial"/>
                <w:color w:val="000000"/>
                <w:sz w:val="16"/>
                <w:szCs w:val="16"/>
              </w:rPr>
              <w:t>3%</w:t>
            </w:r>
          </w:p>
        </w:tc>
      </w:tr>
      <w:tr w:rsidR="000E7A5A" w:rsidRPr="00A11EF1" w14:paraId="02B82CE4" w14:textId="77777777" w:rsidTr="006A2AF1">
        <w:trPr>
          <w:trHeight w:val="452"/>
        </w:trPr>
        <w:tc>
          <w:tcPr>
            <w:tcW w:w="3069" w:type="dxa"/>
            <w:gridSpan w:val="2"/>
            <w:tcBorders>
              <w:top w:val="single" w:sz="8" w:space="0" w:color="000000"/>
              <w:left w:val="single" w:sz="8" w:space="0" w:color="000000"/>
              <w:bottom w:val="single" w:sz="8" w:space="0" w:color="000000"/>
              <w:right w:val="single" w:sz="8" w:space="0" w:color="000000"/>
            </w:tcBorders>
            <w:shd w:val="clear" w:color="auto" w:fill="DDEBF7"/>
            <w:tcMar>
              <w:top w:w="0" w:type="dxa"/>
              <w:left w:w="70" w:type="dxa"/>
              <w:bottom w:w="0" w:type="dxa"/>
              <w:right w:w="70" w:type="dxa"/>
            </w:tcMar>
            <w:vAlign w:val="center"/>
          </w:tcPr>
          <w:p w14:paraId="4B870AFA" w14:textId="77777777" w:rsidR="000E7A5A" w:rsidRPr="00A11EF1" w:rsidRDefault="00306071" w:rsidP="00E247FF">
            <w:pPr>
              <w:spacing w:after="0" w:line="276" w:lineRule="auto"/>
              <w:jc w:val="right"/>
              <w:rPr>
                <w:rFonts w:cs="Arial"/>
                <w:sz w:val="16"/>
                <w:szCs w:val="16"/>
              </w:rPr>
            </w:pPr>
            <w:r w:rsidRPr="0023397C">
              <w:rPr>
                <w:rFonts w:cs="Arial"/>
                <w:color w:val="000000"/>
                <w:sz w:val="16"/>
                <w:szCs w:val="16"/>
              </w:rPr>
              <w:t>Skupaj KS</w:t>
            </w:r>
          </w:p>
        </w:tc>
        <w:tc>
          <w:tcPr>
            <w:tcW w:w="1715" w:type="dxa"/>
            <w:tcBorders>
              <w:top w:val="single" w:sz="8" w:space="0" w:color="000000"/>
              <w:bottom w:val="single" w:sz="8" w:space="0" w:color="000000"/>
              <w:right w:val="single" w:sz="8" w:space="0" w:color="000000"/>
            </w:tcBorders>
            <w:shd w:val="clear" w:color="auto" w:fill="DDEBF7"/>
            <w:noWrap/>
            <w:tcMar>
              <w:top w:w="0" w:type="dxa"/>
              <w:left w:w="70" w:type="dxa"/>
              <w:bottom w:w="0" w:type="dxa"/>
              <w:right w:w="70" w:type="dxa"/>
            </w:tcMar>
            <w:vAlign w:val="center"/>
          </w:tcPr>
          <w:p w14:paraId="16BCF4FC" w14:textId="77777777" w:rsidR="000E7A5A" w:rsidRPr="00A11EF1" w:rsidRDefault="00306071" w:rsidP="00E247FF">
            <w:pPr>
              <w:spacing w:before="240" w:after="0" w:line="276" w:lineRule="auto"/>
              <w:jc w:val="right"/>
              <w:rPr>
                <w:rFonts w:cs="Arial"/>
                <w:color w:val="000000"/>
                <w:sz w:val="16"/>
                <w:szCs w:val="16"/>
              </w:rPr>
            </w:pPr>
            <w:r w:rsidRPr="00A11EF1">
              <w:rPr>
                <w:rFonts w:cs="Arial"/>
                <w:color w:val="000000"/>
                <w:sz w:val="16"/>
                <w:szCs w:val="16"/>
              </w:rPr>
              <w:t>700.675.721</w:t>
            </w:r>
          </w:p>
        </w:tc>
        <w:tc>
          <w:tcPr>
            <w:tcW w:w="1532" w:type="dxa"/>
            <w:tcBorders>
              <w:top w:val="single" w:sz="8" w:space="0" w:color="000000"/>
              <w:bottom w:val="single" w:sz="8" w:space="0" w:color="000000"/>
            </w:tcBorders>
            <w:shd w:val="clear" w:color="auto" w:fill="DDEBF7"/>
            <w:noWrap/>
            <w:tcMar>
              <w:top w:w="0" w:type="dxa"/>
              <w:left w:w="70" w:type="dxa"/>
              <w:bottom w:w="0" w:type="dxa"/>
              <w:right w:w="70" w:type="dxa"/>
            </w:tcMar>
            <w:vAlign w:val="center"/>
          </w:tcPr>
          <w:p w14:paraId="6A0F2B0E" w14:textId="77777777" w:rsidR="000E7A5A" w:rsidRPr="00A11EF1" w:rsidRDefault="00306071" w:rsidP="00E247FF">
            <w:pPr>
              <w:spacing w:before="240" w:after="0" w:line="276" w:lineRule="auto"/>
              <w:jc w:val="right"/>
              <w:rPr>
                <w:rFonts w:cs="Arial"/>
                <w:color w:val="000000"/>
                <w:sz w:val="16"/>
                <w:szCs w:val="16"/>
              </w:rPr>
            </w:pPr>
            <w:r w:rsidRPr="00A11EF1">
              <w:rPr>
                <w:rFonts w:cs="Arial"/>
                <w:color w:val="000000"/>
                <w:sz w:val="16"/>
                <w:szCs w:val="16"/>
              </w:rPr>
              <w:t>105.025.661</w:t>
            </w:r>
          </w:p>
        </w:tc>
        <w:tc>
          <w:tcPr>
            <w:tcW w:w="1535" w:type="dxa"/>
            <w:tcBorders>
              <w:top w:val="single" w:sz="8" w:space="0" w:color="000000"/>
              <w:left w:val="single" w:sz="8" w:space="0" w:color="000000"/>
              <w:bottom w:val="single" w:sz="8" w:space="0" w:color="000000"/>
            </w:tcBorders>
            <w:shd w:val="clear" w:color="auto" w:fill="DDEBF7"/>
            <w:noWrap/>
            <w:tcMar>
              <w:top w:w="0" w:type="dxa"/>
              <w:left w:w="70" w:type="dxa"/>
              <w:bottom w:w="0" w:type="dxa"/>
              <w:right w:w="70" w:type="dxa"/>
            </w:tcMar>
            <w:vAlign w:val="center"/>
          </w:tcPr>
          <w:p w14:paraId="62F3AB2D" w14:textId="77777777" w:rsidR="000E7A5A" w:rsidRPr="00A11EF1" w:rsidRDefault="00306071" w:rsidP="00E247FF">
            <w:pPr>
              <w:spacing w:before="240" w:after="0" w:line="276" w:lineRule="auto"/>
              <w:jc w:val="center"/>
              <w:rPr>
                <w:rFonts w:cs="Arial"/>
                <w:color w:val="000000"/>
                <w:sz w:val="16"/>
                <w:szCs w:val="16"/>
              </w:rPr>
            </w:pPr>
            <w:r w:rsidRPr="00A11EF1">
              <w:rPr>
                <w:rFonts w:cs="Arial"/>
                <w:color w:val="000000"/>
                <w:sz w:val="16"/>
                <w:szCs w:val="16"/>
              </w:rPr>
              <w:t>15%</w:t>
            </w:r>
          </w:p>
        </w:tc>
        <w:tc>
          <w:tcPr>
            <w:tcW w:w="1532" w:type="dxa"/>
            <w:tcBorders>
              <w:top w:val="single" w:sz="8" w:space="0" w:color="000000"/>
              <w:left w:val="single" w:sz="8" w:space="0" w:color="000000"/>
              <w:bottom w:val="single" w:sz="8" w:space="0" w:color="000000"/>
              <w:right w:val="single" w:sz="8" w:space="0" w:color="000000"/>
            </w:tcBorders>
            <w:shd w:val="clear" w:color="auto" w:fill="DDEBF7"/>
            <w:noWrap/>
            <w:tcMar>
              <w:top w:w="0" w:type="dxa"/>
              <w:left w:w="70" w:type="dxa"/>
              <w:bottom w:w="0" w:type="dxa"/>
              <w:right w:w="70" w:type="dxa"/>
            </w:tcMar>
            <w:vAlign w:val="center"/>
          </w:tcPr>
          <w:p w14:paraId="38FAB730" w14:textId="77777777" w:rsidR="000E7A5A" w:rsidRPr="00A11EF1" w:rsidRDefault="00306071" w:rsidP="00E247FF">
            <w:pPr>
              <w:spacing w:before="240" w:after="0" w:line="276" w:lineRule="auto"/>
              <w:jc w:val="right"/>
              <w:rPr>
                <w:rFonts w:cs="Arial"/>
                <w:color w:val="000000"/>
                <w:sz w:val="16"/>
                <w:szCs w:val="16"/>
              </w:rPr>
            </w:pPr>
            <w:r w:rsidRPr="00A11EF1">
              <w:rPr>
                <w:rFonts w:cs="Arial"/>
                <w:color w:val="000000"/>
                <w:sz w:val="16"/>
                <w:szCs w:val="16"/>
              </w:rPr>
              <w:t>56.102.158</w:t>
            </w:r>
          </w:p>
        </w:tc>
        <w:tc>
          <w:tcPr>
            <w:tcW w:w="1535" w:type="dxa"/>
            <w:tcBorders>
              <w:top w:val="single" w:sz="8" w:space="0" w:color="000000"/>
              <w:bottom w:val="single" w:sz="8" w:space="0" w:color="000000"/>
              <w:right w:val="single" w:sz="8" w:space="0" w:color="000000"/>
            </w:tcBorders>
            <w:shd w:val="clear" w:color="auto" w:fill="DDEBF7"/>
            <w:noWrap/>
            <w:tcMar>
              <w:top w:w="0" w:type="dxa"/>
              <w:left w:w="70" w:type="dxa"/>
              <w:bottom w:w="0" w:type="dxa"/>
              <w:right w:w="70" w:type="dxa"/>
            </w:tcMar>
            <w:vAlign w:val="center"/>
          </w:tcPr>
          <w:p w14:paraId="05527E1D" w14:textId="77777777" w:rsidR="000E7A5A" w:rsidRPr="00A11EF1" w:rsidRDefault="00306071" w:rsidP="00E247FF">
            <w:pPr>
              <w:spacing w:before="240" w:after="0" w:line="276" w:lineRule="auto"/>
              <w:jc w:val="center"/>
              <w:rPr>
                <w:rFonts w:cs="Arial"/>
                <w:color w:val="000000"/>
                <w:sz w:val="16"/>
                <w:szCs w:val="16"/>
              </w:rPr>
            </w:pPr>
            <w:r w:rsidRPr="00A11EF1">
              <w:rPr>
                <w:rFonts w:cs="Arial"/>
                <w:color w:val="000000"/>
                <w:sz w:val="16"/>
                <w:szCs w:val="16"/>
              </w:rPr>
              <w:t>8%</w:t>
            </w:r>
          </w:p>
        </w:tc>
        <w:tc>
          <w:tcPr>
            <w:tcW w:w="1532" w:type="dxa"/>
            <w:tcBorders>
              <w:top w:val="single" w:sz="8" w:space="0" w:color="000000"/>
              <w:bottom w:val="single" w:sz="8" w:space="0" w:color="000000"/>
            </w:tcBorders>
            <w:shd w:val="clear" w:color="auto" w:fill="DDEBF7"/>
            <w:noWrap/>
            <w:tcMar>
              <w:top w:w="0" w:type="dxa"/>
              <w:left w:w="70" w:type="dxa"/>
              <w:bottom w:w="0" w:type="dxa"/>
              <w:right w:w="70" w:type="dxa"/>
            </w:tcMar>
            <w:vAlign w:val="center"/>
          </w:tcPr>
          <w:p w14:paraId="48BCD190" w14:textId="77777777" w:rsidR="000E7A5A" w:rsidRPr="00A11EF1" w:rsidRDefault="00306071" w:rsidP="00E247FF">
            <w:pPr>
              <w:spacing w:before="240" w:after="0" w:line="276" w:lineRule="auto"/>
              <w:jc w:val="right"/>
              <w:rPr>
                <w:rFonts w:cs="Arial"/>
                <w:color w:val="000000"/>
                <w:sz w:val="16"/>
                <w:szCs w:val="16"/>
              </w:rPr>
            </w:pPr>
            <w:r w:rsidRPr="00A11EF1">
              <w:rPr>
                <w:rFonts w:cs="Arial"/>
                <w:color w:val="000000"/>
                <w:sz w:val="16"/>
                <w:szCs w:val="16"/>
              </w:rPr>
              <w:t>19.753.316</w:t>
            </w:r>
          </w:p>
        </w:tc>
        <w:tc>
          <w:tcPr>
            <w:tcW w:w="1532" w:type="dxa"/>
            <w:tcBorders>
              <w:top w:val="single" w:sz="8" w:space="0" w:color="000000"/>
              <w:left w:val="single" w:sz="8" w:space="0" w:color="000000"/>
              <w:bottom w:val="single" w:sz="8" w:space="0" w:color="000000"/>
              <w:right w:val="single" w:sz="8" w:space="0" w:color="000000"/>
            </w:tcBorders>
            <w:shd w:val="clear" w:color="auto" w:fill="DDEBF7"/>
            <w:noWrap/>
            <w:tcMar>
              <w:top w:w="0" w:type="dxa"/>
              <w:left w:w="70" w:type="dxa"/>
              <w:bottom w:w="0" w:type="dxa"/>
              <w:right w:w="70" w:type="dxa"/>
            </w:tcMar>
            <w:vAlign w:val="center"/>
          </w:tcPr>
          <w:p w14:paraId="0EC04F8A" w14:textId="77777777" w:rsidR="000E7A5A" w:rsidRPr="00A11EF1" w:rsidRDefault="00306071" w:rsidP="00E247FF">
            <w:pPr>
              <w:spacing w:before="240" w:after="0" w:line="276" w:lineRule="auto"/>
              <w:jc w:val="center"/>
              <w:rPr>
                <w:rFonts w:cs="Arial"/>
                <w:color w:val="000000"/>
                <w:sz w:val="16"/>
                <w:szCs w:val="16"/>
              </w:rPr>
            </w:pPr>
            <w:r w:rsidRPr="00A11EF1">
              <w:rPr>
                <w:rFonts w:cs="Arial"/>
                <w:color w:val="000000"/>
                <w:sz w:val="16"/>
                <w:szCs w:val="16"/>
              </w:rPr>
              <w:t>3%</w:t>
            </w:r>
          </w:p>
        </w:tc>
      </w:tr>
      <w:tr w:rsidR="000E7A5A" w:rsidRPr="00A11EF1" w14:paraId="171CD835" w14:textId="77777777" w:rsidTr="006A2AF1">
        <w:trPr>
          <w:trHeight w:val="452"/>
        </w:trPr>
        <w:tc>
          <w:tcPr>
            <w:tcW w:w="1533"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6E9ECC71" w14:textId="77777777" w:rsidR="000E7A5A" w:rsidRPr="00A11EF1" w:rsidRDefault="00306071" w:rsidP="00E247FF">
            <w:pPr>
              <w:spacing w:after="0" w:line="276" w:lineRule="auto"/>
              <w:jc w:val="center"/>
              <w:rPr>
                <w:rFonts w:cs="Arial"/>
                <w:sz w:val="16"/>
                <w:szCs w:val="16"/>
              </w:rPr>
            </w:pPr>
            <w:r w:rsidRPr="0023397C">
              <w:rPr>
                <w:rFonts w:cs="Arial"/>
                <w:color w:val="000000"/>
                <w:sz w:val="16"/>
                <w:szCs w:val="16"/>
              </w:rPr>
              <w:t>SPP</w:t>
            </w:r>
          </w:p>
        </w:tc>
        <w:tc>
          <w:tcPr>
            <w:tcW w:w="1536" w:type="dxa"/>
            <w:tcBorders>
              <w:bottom w:val="single" w:sz="8" w:space="0" w:color="000000"/>
            </w:tcBorders>
            <w:shd w:val="clear" w:color="auto" w:fill="auto"/>
            <w:noWrap/>
            <w:tcMar>
              <w:top w:w="0" w:type="dxa"/>
              <w:left w:w="70" w:type="dxa"/>
              <w:bottom w:w="0" w:type="dxa"/>
              <w:right w:w="70" w:type="dxa"/>
            </w:tcMar>
            <w:vAlign w:val="center"/>
          </w:tcPr>
          <w:p w14:paraId="5D15EBEF" w14:textId="77777777" w:rsidR="000E7A5A" w:rsidRPr="00A11EF1" w:rsidRDefault="00306071" w:rsidP="00E247FF">
            <w:pPr>
              <w:spacing w:after="0" w:line="276" w:lineRule="auto"/>
              <w:jc w:val="right"/>
              <w:rPr>
                <w:rFonts w:cs="Arial"/>
                <w:sz w:val="16"/>
                <w:szCs w:val="16"/>
              </w:rPr>
            </w:pPr>
            <w:r w:rsidRPr="0023397C">
              <w:rPr>
                <w:rFonts w:cs="Arial"/>
                <w:color w:val="000000"/>
                <w:sz w:val="16"/>
                <w:szCs w:val="16"/>
              </w:rPr>
              <w:t>Celotna SI</w:t>
            </w:r>
          </w:p>
        </w:tc>
        <w:tc>
          <w:tcPr>
            <w:tcW w:w="1715" w:type="dxa"/>
            <w:tcBorders>
              <w:left w:val="single" w:sz="8" w:space="0" w:color="000000"/>
              <w:right w:val="single" w:sz="8" w:space="0" w:color="000000"/>
            </w:tcBorders>
            <w:shd w:val="clear" w:color="auto" w:fill="auto"/>
            <w:noWrap/>
            <w:tcMar>
              <w:top w:w="0" w:type="dxa"/>
              <w:left w:w="70" w:type="dxa"/>
              <w:bottom w:w="0" w:type="dxa"/>
              <w:right w:w="70" w:type="dxa"/>
            </w:tcMar>
            <w:vAlign w:val="center"/>
          </w:tcPr>
          <w:p w14:paraId="2D091B59" w14:textId="77777777" w:rsidR="000E7A5A" w:rsidRPr="00A11EF1" w:rsidRDefault="00306071" w:rsidP="00E247FF">
            <w:pPr>
              <w:spacing w:before="240" w:after="0" w:line="276" w:lineRule="auto"/>
              <w:jc w:val="right"/>
              <w:rPr>
                <w:rFonts w:cs="Arial"/>
                <w:color w:val="000000"/>
                <w:sz w:val="16"/>
                <w:szCs w:val="16"/>
              </w:rPr>
            </w:pPr>
            <w:r w:rsidRPr="00A11EF1">
              <w:rPr>
                <w:rFonts w:cs="Arial"/>
                <w:color w:val="000000"/>
                <w:sz w:val="16"/>
                <w:szCs w:val="16"/>
              </w:rPr>
              <w:t>248.773.600</w:t>
            </w:r>
          </w:p>
        </w:tc>
        <w:tc>
          <w:tcPr>
            <w:tcW w:w="1532" w:type="dxa"/>
            <w:shd w:val="clear" w:color="auto" w:fill="auto"/>
            <w:noWrap/>
            <w:tcMar>
              <w:top w:w="0" w:type="dxa"/>
              <w:left w:w="70" w:type="dxa"/>
              <w:bottom w:w="0" w:type="dxa"/>
              <w:right w:w="70" w:type="dxa"/>
            </w:tcMar>
            <w:vAlign w:val="center"/>
          </w:tcPr>
          <w:p w14:paraId="516AF1E8" w14:textId="77777777" w:rsidR="000E7A5A" w:rsidRPr="00A11EF1" w:rsidRDefault="00306071" w:rsidP="00E247FF">
            <w:pPr>
              <w:spacing w:before="240" w:after="0" w:line="276" w:lineRule="auto"/>
              <w:jc w:val="right"/>
              <w:rPr>
                <w:rFonts w:cs="Arial"/>
                <w:color w:val="000000"/>
                <w:sz w:val="16"/>
                <w:szCs w:val="16"/>
              </w:rPr>
            </w:pPr>
            <w:r w:rsidRPr="00A11EF1">
              <w:rPr>
                <w:rFonts w:cs="Arial"/>
                <w:color w:val="000000"/>
                <w:sz w:val="16"/>
                <w:szCs w:val="16"/>
              </w:rPr>
              <w:t>157.603.166</w:t>
            </w:r>
          </w:p>
        </w:tc>
        <w:tc>
          <w:tcPr>
            <w:tcW w:w="1535" w:type="dxa"/>
            <w:tcBorders>
              <w:left w:val="single" w:sz="8" w:space="0" w:color="000000"/>
            </w:tcBorders>
            <w:shd w:val="clear" w:color="auto" w:fill="auto"/>
            <w:noWrap/>
            <w:tcMar>
              <w:top w:w="0" w:type="dxa"/>
              <w:left w:w="70" w:type="dxa"/>
              <w:bottom w:w="0" w:type="dxa"/>
              <w:right w:w="70" w:type="dxa"/>
            </w:tcMar>
            <w:vAlign w:val="center"/>
          </w:tcPr>
          <w:p w14:paraId="0ECF438D" w14:textId="77777777" w:rsidR="000E7A5A" w:rsidRPr="00A11EF1" w:rsidRDefault="00306071" w:rsidP="00E247FF">
            <w:pPr>
              <w:spacing w:before="240" w:after="0" w:line="276" w:lineRule="auto"/>
              <w:jc w:val="center"/>
              <w:rPr>
                <w:rFonts w:cs="Arial"/>
                <w:color w:val="000000"/>
                <w:sz w:val="16"/>
                <w:szCs w:val="16"/>
              </w:rPr>
            </w:pPr>
            <w:r w:rsidRPr="00A11EF1">
              <w:rPr>
                <w:rFonts w:cs="Arial"/>
                <w:color w:val="000000"/>
                <w:sz w:val="16"/>
                <w:szCs w:val="16"/>
              </w:rPr>
              <w:t>63%</w:t>
            </w:r>
          </w:p>
        </w:tc>
        <w:tc>
          <w:tcPr>
            <w:tcW w:w="1532" w:type="dxa"/>
            <w:tcBorders>
              <w:left w:val="single" w:sz="8" w:space="0" w:color="000000"/>
              <w:right w:val="single" w:sz="8" w:space="0" w:color="000000"/>
            </w:tcBorders>
            <w:shd w:val="clear" w:color="auto" w:fill="auto"/>
            <w:noWrap/>
            <w:tcMar>
              <w:top w:w="0" w:type="dxa"/>
              <w:left w:w="70" w:type="dxa"/>
              <w:bottom w:w="0" w:type="dxa"/>
              <w:right w:w="70" w:type="dxa"/>
            </w:tcMar>
            <w:vAlign w:val="center"/>
          </w:tcPr>
          <w:p w14:paraId="405F2BC6" w14:textId="77777777" w:rsidR="000E7A5A" w:rsidRPr="00A11EF1" w:rsidRDefault="00306071" w:rsidP="00E247FF">
            <w:pPr>
              <w:spacing w:before="240" w:after="0" w:line="276" w:lineRule="auto"/>
              <w:jc w:val="right"/>
              <w:rPr>
                <w:rFonts w:cs="Arial"/>
                <w:color w:val="000000"/>
                <w:sz w:val="16"/>
                <w:szCs w:val="16"/>
              </w:rPr>
            </w:pPr>
            <w:r w:rsidRPr="00A11EF1">
              <w:rPr>
                <w:rFonts w:cs="Arial"/>
                <w:color w:val="000000"/>
                <w:sz w:val="16"/>
                <w:szCs w:val="16"/>
              </w:rPr>
              <w:t>28.533.599</w:t>
            </w:r>
          </w:p>
        </w:tc>
        <w:tc>
          <w:tcPr>
            <w:tcW w:w="1535" w:type="dxa"/>
            <w:tcBorders>
              <w:right w:val="single" w:sz="8" w:space="0" w:color="000000"/>
            </w:tcBorders>
            <w:shd w:val="clear" w:color="auto" w:fill="auto"/>
            <w:noWrap/>
            <w:tcMar>
              <w:top w:w="0" w:type="dxa"/>
              <w:left w:w="70" w:type="dxa"/>
              <w:bottom w:w="0" w:type="dxa"/>
              <w:right w:w="70" w:type="dxa"/>
            </w:tcMar>
            <w:vAlign w:val="center"/>
          </w:tcPr>
          <w:p w14:paraId="1E1F2392" w14:textId="77777777" w:rsidR="000E7A5A" w:rsidRPr="00A11EF1" w:rsidRDefault="00306071" w:rsidP="00E247FF">
            <w:pPr>
              <w:spacing w:before="240" w:after="0" w:line="276" w:lineRule="auto"/>
              <w:jc w:val="center"/>
              <w:rPr>
                <w:rFonts w:cs="Arial"/>
                <w:color w:val="000000"/>
                <w:sz w:val="16"/>
                <w:szCs w:val="16"/>
              </w:rPr>
            </w:pPr>
            <w:r w:rsidRPr="00A11EF1">
              <w:rPr>
                <w:rFonts w:cs="Arial"/>
                <w:color w:val="000000"/>
                <w:sz w:val="16"/>
                <w:szCs w:val="16"/>
              </w:rPr>
              <w:t>11%</w:t>
            </w:r>
          </w:p>
        </w:tc>
        <w:tc>
          <w:tcPr>
            <w:tcW w:w="1532" w:type="dxa"/>
            <w:shd w:val="clear" w:color="auto" w:fill="auto"/>
            <w:noWrap/>
            <w:tcMar>
              <w:top w:w="0" w:type="dxa"/>
              <w:left w:w="70" w:type="dxa"/>
              <w:bottom w:w="0" w:type="dxa"/>
              <w:right w:w="70" w:type="dxa"/>
            </w:tcMar>
            <w:vAlign w:val="center"/>
          </w:tcPr>
          <w:p w14:paraId="2BA46D4F" w14:textId="77777777" w:rsidR="000E7A5A" w:rsidRPr="00A11EF1" w:rsidRDefault="00306071" w:rsidP="00E247FF">
            <w:pPr>
              <w:spacing w:before="240" w:after="0" w:line="276" w:lineRule="auto"/>
              <w:jc w:val="right"/>
              <w:rPr>
                <w:rFonts w:cs="Arial"/>
                <w:color w:val="000000"/>
                <w:sz w:val="16"/>
                <w:szCs w:val="16"/>
              </w:rPr>
            </w:pPr>
            <w:r w:rsidRPr="00A11EF1">
              <w:rPr>
                <w:rFonts w:cs="Arial"/>
                <w:color w:val="000000"/>
                <w:sz w:val="16"/>
                <w:szCs w:val="16"/>
              </w:rPr>
              <w:t>9.033.858</w:t>
            </w:r>
          </w:p>
        </w:tc>
        <w:tc>
          <w:tcPr>
            <w:tcW w:w="1532" w:type="dxa"/>
            <w:tcBorders>
              <w:left w:val="single" w:sz="8" w:space="0" w:color="000000"/>
              <w:right w:val="single" w:sz="8" w:space="0" w:color="000000"/>
            </w:tcBorders>
            <w:shd w:val="clear" w:color="auto" w:fill="auto"/>
            <w:noWrap/>
            <w:tcMar>
              <w:top w:w="0" w:type="dxa"/>
              <w:left w:w="70" w:type="dxa"/>
              <w:bottom w:w="0" w:type="dxa"/>
              <w:right w:w="70" w:type="dxa"/>
            </w:tcMar>
            <w:vAlign w:val="center"/>
          </w:tcPr>
          <w:p w14:paraId="5E023E4C" w14:textId="77777777" w:rsidR="000E7A5A" w:rsidRPr="00A11EF1" w:rsidRDefault="00306071" w:rsidP="00E247FF">
            <w:pPr>
              <w:spacing w:before="240" w:after="0" w:line="276" w:lineRule="auto"/>
              <w:jc w:val="center"/>
              <w:rPr>
                <w:rFonts w:cs="Arial"/>
                <w:color w:val="000000"/>
                <w:sz w:val="16"/>
                <w:szCs w:val="16"/>
              </w:rPr>
            </w:pPr>
            <w:r w:rsidRPr="00A11EF1">
              <w:rPr>
                <w:rFonts w:cs="Arial"/>
                <w:color w:val="000000"/>
                <w:sz w:val="16"/>
                <w:szCs w:val="16"/>
              </w:rPr>
              <w:t>4%</w:t>
            </w:r>
          </w:p>
        </w:tc>
      </w:tr>
      <w:tr w:rsidR="000E7A5A" w:rsidRPr="00A11EF1" w14:paraId="6F3B4B84" w14:textId="77777777" w:rsidTr="006A2AF1">
        <w:trPr>
          <w:trHeight w:val="452"/>
        </w:trPr>
        <w:tc>
          <w:tcPr>
            <w:tcW w:w="3069" w:type="dxa"/>
            <w:gridSpan w:val="2"/>
            <w:tcBorders>
              <w:top w:val="single" w:sz="8" w:space="0" w:color="000000"/>
              <w:left w:val="single" w:sz="8" w:space="0" w:color="000000"/>
              <w:bottom w:val="single" w:sz="8" w:space="0" w:color="000000"/>
              <w:right w:val="single" w:sz="8" w:space="0" w:color="000000"/>
            </w:tcBorders>
            <w:shd w:val="clear" w:color="auto" w:fill="DDEBF7"/>
            <w:noWrap/>
            <w:tcMar>
              <w:top w:w="0" w:type="dxa"/>
              <w:left w:w="70" w:type="dxa"/>
              <w:bottom w:w="0" w:type="dxa"/>
              <w:right w:w="70" w:type="dxa"/>
            </w:tcMar>
            <w:vAlign w:val="center"/>
          </w:tcPr>
          <w:p w14:paraId="489F20A0" w14:textId="77777777" w:rsidR="000E7A5A" w:rsidRPr="00A11EF1" w:rsidRDefault="00306071" w:rsidP="00E247FF">
            <w:pPr>
              <w:spacing w:after="0" w:line="276" w:lineRule="auto"/>
              <w:jc w:val="right"/>
              <w:rPr>
                <w:rFonts w:cs="Arial"/>
                <w:sz w:val="16"/>
                <w:szCs w:val="16"/>
              </w:rPr>
            </w:pPr>
            <w:r w:rsidRPr="0023397C">
              <w:rPr>
                <w:rFonts w:cs="Arial"/>
                <w:color w:val="000000"/>
                <w:sz w:val="16"/>
                <w:szCs w:val="16"/>
              </w:rPr>
              <w:t>Skupaj SPP</w:t>
            </w:r>
          </w:p>
        </w:tc>
        <w:tc>
          <w:tcPr>
            <w:tcW w:w="1715" w:type="dxa"/>
            <w:tcBorders>
              <w:top w:val="single" w:sz="8" w:space="0" w:color="000000"/>
              <w:bottom w:val="single" w:sz="8" w:space="0" w:color="000000"/>
              <w:right w:val="single" w:sz="8" w:space="0" w:color="000000"/>
            </w:tcBorders>
            <w:shd w:val="clear" w:color="auto" w:fill="DDEBF7"/>
            <w:noWrap/>
            <w:tcMar>
              <w:top w:w="0" w:type="dxa"/>
              <w:left w:w="70" w:type="dxa"/>
              <w:bottom w:w="0" w:type="dxa"/>
              <w:right w:w="70" w:type="dxa"/>
            </w:tcMar>
            <w:vAlign w:val="center"/>
          </w:tcPr>
          <w:p w14:paraId="1BB37CE2" w14:textId="77777777" w:rsidR="000E7A5A" w:rsidRPr="00A11EF1" w:rsidRDefault="00306071" w:rsidP="00E247FF">
            <w:pPr>
              <w:spacing w:before="240" w:after="0" w:line="276" w:lineRule="auto"/>
              <w:jc w:val="right"/>
              <w:rPr>
                <w:rFonts w:cs="Arial"/>
                <w:color w:val="000000"/>
                <w:sz w:val="16"/>
                <w:szCs w:val="16"/>
              </w:rPr>
            </w:pPr>
            <w:r w:rsidRPr="00A11EF1">
              <w:rPr>
                <w:rFonts w:cs="Arial"/>
                <w:color w:val="000000"/>
                <w:sz w:val="16"/>
                <w:szCs w:val="16"/>
              </w:rPr>
              <w:t>248.773.600</w:t>
            </w:r>
          </w:p>
        </w:tc>
        <w:tc>
          <w:tcPr>
            <w:tcW w:w="1532" w:type="dxa"/>
            <w:tcBorders>
              <w:top w:val="single" w:sz="8" w:space="0" w:color="000000"/>
              <w:bottom w:val="single" w:sz="8" w:space="0" w:color="000000"/>
              <w:right w:val="single" w:sz="8" w:space="0" w:color="000000"/>
            </w:tcBorders>
            <w:shd w:val="clear" w:color="auto" w:fill="DDEBF7"/>
            <w:noWrap/>
            <w:tcMar>
              <w:top w:w="0" w:type="dxa"/>
              <w:left w:w="70" w:type="dxa"/>
              <w:bottom w:w="0" w:type="dxa"/>
              <w:right w:w="70" w:type="dxa"/>
            </w:tcMar>
            <w:vAlign w:val="center"/>
          </w:tcPr>
          <w:p w14:paraId="4FCAAD03" w14:textId="77777777" w:rsidR="000E7A5A" w:rsidRPr="00A11EF1" w:rsidRDefault="00306071" w:rsidP="00E247FF">
            <w:pPr>
              <w:spacing w:before="240" w:after="0" w:line="276" w:lineRule="auto"/>
              <w:jc w:val="right"/>
              <w:rPr>
                <w:rFonts w:cs="Arial"/>
                <w:color w:val="000000"/>
                <w:sz w:val="16"/>
                <w:szCs w:val="16"/>
              </w:rPr>
            </w:pPr>
            <w:r w:rsidRPr="00A11EF1">
              <w:rPr>
                <w:rFonts w:cs="Arial"/>
                <w:color w:val="000000"/>
                <w:sz w:val="16"/>
                <w:szCs w:val="16"/>
              </w:rPr>
              <w:t>157.603.166</w:t>
            </w:r>
          </w:p>
        </w:tc>
        <w:tc>
          <w:tcPr>
            <w:tcW w:w="1535" w:type="dxa"/>
            <w:tcBorders>
              <w:top w:val="single" w:sz="8" w:space="0" w:color="000000"/>
              <w:bottom w:val="single" w:sz="8" w:space="0" w:color="000000"/>
            </w:tcBorders>
            <w:shd w:val="clear" w:color="auto" w:fill="DDEBF7"/>
            <w:noWrap/>
            <w:tcMar>
              <w:top w:w="0" w:type="dxa"/>
              <w:left w:w="70" w:type="dxa"/>
              <w:bottom w:w="0" w:type="dxa"/>
              <w:right w:w="70" w:type="dxa"/>
            </w:tcMar>
            <w:vAlign w:val="center"/>
          </w:tcPr>
          <w:p w14:paraId="2D5C2DCC" w14:textId="77777777" w:rsidR="000E7A5A" w:rsidRPr="00A11EF1" w:rsidRDefault="00306071" w:rsidP="00E247FF">
            <w:pPr>
              <w:spacing w:before="240" w:after="0" w:line="276" w:lineRule="auto"/>
              <w:jc w:val="center"/>
              <w:rPr>
                <w:rFonts w:cs="Arial"/>
                <w:color w:val="000000"/>
                <w:sz w:val="16"/>
                <w:szCs w:val="16"/>
              </w:rPr>
            </w:pPr>
            <w:r w:rsidRPr="00A11EF1">
              <w:rPr>
                <w:rFonts w:cs="Arial"/>
                <w:color w:val="000000"/>
                <w:sz w:val="16"/>
                <w:szCs w:val="16"/>
              </w:rPr>
              <w:t>63%</w:t>
            </w:r>
          </w:p>
        </w:tc>
        <w:tc>
          <w:tcPr>
            <w:tcW w:w="1532" w:type="dxa"/>
            <w:tcBorders>
              <w:top w:val="single" w:sz="8" w:space="0" w:color="000000"/>
              <w:left w:val="single" w:sz="8" w:space="0" w:color="000000"/>
              <w:bottom w:val="single" w:sz="8" w:space="0" w:color="000000"/>
              <w:right w:val="single" w:sz="8" w:space="0" w:color="000000"/>
            </w:tcBorders>
            <w:shd w:val="clear" w:color="auto" w:fill="DDEBF7"/>
            <w:noWrap/>
            <w:tcMar>
              <w:top w:w="0" w:type="dxa"/>
              <w:left w:w="70" w:type="dxa"/>
              <w:bottom w:w="0" w:type="dxa"/>
              <w:right w:w="70" w:type="dxa"/>
            </w:tcMar>
            <w:vAlign w:val="center"/>
          </w:tcPr>
          <w:p w14:paraId="4455BF8E" w14:textId="77777777" w:rsidR="000E7A5A" w:rsidRPr="00A11EF1" w:rsidRDefault="00306071" w:rsidP="00E247FF">
            <w:pPr>
              <w:spacing w:before="240" w:after="0" w:line="276" w:lineRule="auto"/>
              <w:jc w:val="right"/>
              <w:rPr>
                <w:rFonts w:cs="Arial"/>
                <w:color w:val="000000"/>
                <w:sz w:val="16"/>
                <w:szCs w:val="16"/>
              </w:rPr>
            </w:pPr>
            <w:r w:rsidRPr="00A11EF1">
              <w:rPr>
                <w:rFonts w:cs="Arial"/>
                <w:color w:val="000000"/>
                <w:sz w:val="16"/>
                <w:szCs w:val="16"/>
              </w:rPr>
              <w:t>28.533.599</w:t>
            </w:r>
          </w:p>
        </w:tc>
        <w:tc>
          <w:tcPr>
            <w:tcW w:w="1535" w:type="dxa"/>
            <w:tcBorders>
              <w:top w:val="single" w:sz="8" w:space="0" w:color="000000"/>
              <w:bottom w:val="single" w:sz="8" w:space="0" w:color="000000"/>
              <w:right w:val="single" w:sz="8" w:space="0" w:color="000000"/>
            </w:tcBorders>
            <w:shd w:val="clear" w:color="auto" w:fill="DDEBF7"/>
            <w:noWrap/>
            <w:tcMar>
              <w:top w:w="0" w:type="dxa"/>
              <w:left w:w="70" w:type="dxa"/>
              <w:bottom w:w="0" w:type="dxa"/>
              <w:right w:w="70" w:type="dxa"/>
            </w:tcMar>
            <w:vAlign w:val="center"/>
          </w:tcPr>
          <w:p w14:paraId="28A27943" w14:textId="77777777" w:rsidR="000E7A5A" w:rsidRPr="00A11EF1" w:rsidRDefault="00306071" w:rsidP="00E247FF">
            <w:pPr>
              <w:spacing w:before="240" w:after="0" w:line="276" w:lineRule="auto"/>
              <w:jc w:val="center"/>
              <w:rPr>
                <w:rFonts w:cs="Arial"/>
                <w:color w:val="000000"/>
                <w:sz w:val="16"/>
                <w:szCs w:val="16"/>
              </w:rPr>
            </w:pPr>
            <w:r w:rsidRPr="00A11EF1">
              <w:rPr>
                <w:rFonts w:cs="Arial"/>
                <w:color w:val="000000"/>
                <w:sz w:val="16"/>
                <w:szCs w:val="16"/>
              </w:rPr>
              <w:t>11%</w:t>
            </w:r>
          </w:p>
        </w:tc>
        <w:tc>
          <w:tcPr>
            <w:tcW w:w="1532" w:type="dxa"/>
            <w:tcBorders>
              <w:top w:val="single" w:sz="8" w:space="0" w:color="000000"/>
              <w:bottom w:val="single" w:sz="8" w:space="0" w:color="000000"/>
              <w:right w:val="single" w:sz="8" w:space="0" w:color="000000"/>
            </w:tcBorders>
            <w:shd w:val="clear" w:color="auto" w:fill="DDEBF7"/>
            <w:noWrap/>
            <w:tcMar>
              <w:top w:w="0" w:type="dxa"/>
              <w:left w:w="70" w:type="dxa"/>
              <w:bottom w:w="0" w:type="dxa"/>
              <w:right w:w="70" w:type="dxa"/>
            </w:tcMar>
            <w:vAlign w:val="center"/>
          </w:tcPr>
          <w:p w14:paraId="7C12CE89" w14:textId="77777777" w:rsidR="000E7A5A" w:rsidRPr="00A11EF1" w:rsidRDefault="00306071" w:rsidP="00E247FF">
            <w:pPr>
              <w:spacing w:before="240" w:after="0" w:line="276" w:lineRule="auto"/>
              <w:jc w:val="right"/>
              <w:rPr>
                <w:rFonts w:cs="Arial"/>
                <w:color w:val="000000"/>
                <w:sz w:val="16"/>
                <w:szCs w:val="16"/>
              </w:rPr>
            </w:pPr>
            <w:r w:rsidRPr="00A11EF1">
              <w:rPr>
                <w:rFonts w:cs="Arial"/>
                <w:color w:val="000000"/>
                <w:sz w:val="16"/>
                <w:szCs w:val="16"/>
              </w:rPr>
              <w:t>9.033.858</w:t>
            </w:r>
          </w:p>
        </w:tc>
        <w:tc>
          <w:tcPr>
            <w:tcW w:w="1532" w:type="dxa"/>
            <w:tcBorders>
              <w:top w:val="single" w:sz="8" w:space="0" w:color="000000"/>
              <w:bottom w:val="single" w:sz="8" w:space="0" w:color="000000"/>
              <w:right w:val="single" w:sz="8" w:space="0" w:color="000000"/>
            </w:tcBorders>
            <w:shd w:val="clear" w:color="auto" w:fill="DDEBF7"/>
            <w:noWrap/>
            <w:tcMar>
              <w:top w:w="0" w:type="dxa"/>
              <w:left w:w="70" w:type="dxa"/>
              <w:bottom w:w="0" w:type="dxa"/>
              <w:right w:w="70" w:type="dxa"/>
            </w:tcMar>
            <w:vAlign w:val="center"/>
          </w:tcPr>
          <w:p w14:paraId="788A5DBE" w14:textId="77777777" w:rsidR="000E7A5A" w:rsidRPr="00A11EF1" w:rsidRDefault="00306071" w:rsidP="00E247FF">
            <w:pPr>
              <w:spacing w:before="240" w:after="0" w:line="276" w:lineRule="auto"/>
              <w:jc w:val="center"/>
              <w:rPr>
                <w:rFonts w:cs="Arial"/>
                <w:color w:val="000000"/>
                <w:sz w:val="16"/>
                <w:szCs w:val="16"/>
              </w:rPr>
            </w:pPr>
            <w:r w:rsidRPr="00A11EF1">
              <w:rPr>
                <w:rFonts w:cs="Arial"/>
                <w:color w:val="000000"/>
                <w:sz w:val="16"/>
                <w:szCs w:val="16"/>
              </w:rPr>
              <w:t>4%</w:t>
            </w:r>
          </w:p>
        </w:tc>
      </w:tr>
      <w:tr w:rsidR="000E7A5A" w:rsidRPr="00A11EF1" w14:paraId="3D5651A9" w14:textId="77777777" w:rsidTr="006A2AF1">
        <w:trPr>
          <w:trHeight w:val="452"/>
        </w:trPr>
        <w:tc>
          <w:tcPr>
            <w:tcW w:w="1533" w:type="dxa"/>
            <w:vMerge w:val="restart"/>
            <w:tcBorders>
              <w:left w:val="single" w:sz="8" w:space="0" w:color="000000"/>
              <w:right w:val="single" w:sz="8" w:space="0" w:color="000000"/>
            </w:tcBorders>
            <w:shd w:val="clear" w:color="auto" w:fill="auto"/>
            <w:noWrap/>
            <w:tcMar>
              <w:top w:w="0" w:type="dxa"/>
              <w:left w:w="70" w:type="dxa"/>
              <w:bottom w:w="0" w:type="dxa"/>
              <w:right w:w="70" w:type="dxa"/>
            </w:tcMar>
            <w:vAlign w:val="center"/>
          </w:tcPr>
          <w:p w14:paraId="50CCECC8" w14:textId="77777777" w:rsidR="000E7A5A" w:rsidRPr="00A11EF1" w:rsidRDefault="00306071" w:rsidP="00E247FF">
            <w:pPr>
              <w:spacing w:after="0" w:line="276" w:lineRule="auto"/>
              <w:jc w:val="center"/>
              <w:rPr>
                <w:rFonts w:cs="Arial"/>
                <w:sz w:val="16"/>
                <w:szCs w:val="16"/>
              </w:rPr>
            </w:pPr>
            <w:r w:rsidRPr="0023397C">
              <w:rPr>
                <w:rFonts w:cs="Arial"/>
                <w:color w:val="000000"/>
                <w:sz w:val="16"/>
                <w:szCs w:val="16"/>
              </w:rPr>
              <w:t xml:space="preserve">OP </w:t>
            </w:r>
          </w:p>
        </w:tc>
        <w:tc>
          <w:tcPr>
            <w:tcW w:w="1536" w:type="dxa"/>
            <w:tcBorders>
              <w:bottom w:val="single" w:sz="8" w:space="0" w:color="000000"/>
            </w:tcBorders>
            <w:shd w:val="clear" w:color="auto" w:fill="auto"/>
            <w:noWrap/>
            <w:tcMar>
              <w:top w:w="0" w:type="dxa"/>
              <w:left w:w="70" w:type="dxa"/>
              <w:bottom w:w="0" w:type="dxa"/>
              <w:right w:w="70" w:type="dxa"/>
            </w:tcMar>
            <w:vAlign w:val="center"/>
          </w:tcPr>
          <w:p w14:paraId="60A488CD" w14:textId="77777777" w:rsidR="000E7A5A" w:rsidRPr="00A11EF1" w:rsidRDefault="00306071" w:rsidP="00E247FF">
            <w:pPr>
              <w:spacing w:after="0" w:line="276" w:lineRule="auto"/>
              <w:jc w:val="right"/>
              <w:rPr>
                <w:rFonts w:cs="Arial"/>
                <w:sz w:val="16"/>
                <w:szCs w:val="16"/>
              </w:rPr>
            </w:pPr>
            <w:r w:rsidRPr="0023397C">
              <w:rPr>
                <w:rFonts w:cs="Arial"/>
                <w:color w:val="000000"/>
                <w:sz w:val="16"/>
                <w:szCs w:val="16"/>
              </w:rPr>
              <w:t>Zahod</w:t>
            </w:r>
          </w:p>
        </w:tc>
        <w:tc>
          <w:tcPr>
            <w:tcW w:w="1715"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2320F9A4" w14:textId="77777777" w:rsidR="000E7A5A" w:rsidRPr="00A11EF1" w:rsidRDefault="00306071" w:rsidP="00E247FF">
            <w:pPr>
              <w:spacing w:before="240" w:after="0" w:line="276" w:lineRule="auto"/>
              <w:jc w:val="right"/>
              <w:rPr>
                <w:rFonts w:cs="Arial"/>
                <w:color w:val="000000"/>
                <w:sz w:val="16"/>
                <w:szCs w:val="16"/>
              </w:rPr>
            </w:pPr>
            <w:r w:rsidRPr="00A11EF1">
              <w:rPr>
                <w:rFonts w:cs="Arial"/>
                <w:color w:val="000000"/>
                <w:sz w:val="16"/>
                <w:szCs w:val="16"/>
              </w:rPr>
              <w:t>512.756.049</w:t>
            </w:r>
          </w:p>
        </w:tc>
        <w:tc>
          <w:tcPr>
            <w:tcW w:w="1532"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4315C1E6" w14:textId="77777777" w:rsidR="000E7A5A" w:rsidRPr="00A11EF1" w:rsidRDefault="00306071" w:rsidP="00E247FF">
            <w:pPr>
              <w:spacing w:before="240" w:after="0" w:line="276" w:lineRule="auto"/>
              <w:jc w:val="right"/>
              <w:rPr>
                <w:rFonts w:cs="Arial"/>
                <w:color w:val="000000"/>
                <w:sz w:val="16"/>
                <w:szCs w:val="16"/>
              </w:rPr>
            </w:pPr>
            <w:r w:rsidRPr="00A11EF1">
              <w:rPr>
                <w:rFonts w:cs="Arial"/>
                <w:color w:val="000000"/>
                <w:sz w:val="16"/>
                <w:szCs w:val="16"/>
              </w:rPr>
              <w:t>100.828.285</w:t>
            </w:r>
          </w:p>
        </w:tc>
        <w:tc>
          <w:tcPr>
            <w:tcW w:w="1535" w:type="dxa"/>
            <w:tcBorders>
              <w:bottom w:val="single" w:sz="8" w:space="0" w:color="000000"/>
            </w:tcBorders>
            <w:shd w:val="clear" w:color="auto" w:fill="auto"/>
            <w:noWrap/>
            <w:tcMar>
              <w:top w:w="0" w:type="dxa"/>
              <w:left w:w="70" w:type="dxa"/>
              <w:bottom w:w="0" w:type="dxa"/>
              <w:right w:w="70" w:type="dxa"/>
            </w:tcMar>
            <w:vAlign w:val="center"/>
          </w:tcPr>
          <w:p w14:paraId="34BC6CAC" w14:textId="77777777" w:rsidR="000E7A5A" w:rsidRPr="00A11EF1" w:rsidRDefault="00306071" w:rsidP="00E247FF">
            <w:pPr>
              <w:spacing w:before="240" w:after="0" w:line="276" w:lineRule="auto"/>
              <w:jc w:val="center"/>
              <w:rPr>
                <w:rFonts w:cs="Arial"/>
                <w:color w:val="000000"/>
                <w:sz w:val="16"/>
                <w:szCs w:val="16"/>
              </w:rPr>
            </w:pPr>
            <w:r w:rsidRPr="00A11EF1">
              <w:rPr>
                <w:rFonts w:cs="Arial"/>
                <w:color w:val="000000"/>
                <w:sz w:val="16"/>
                <w:szCs w:val="16"/>
              </w:rPr>
              <w:t>20%</w:t>
            </w:r>
          </w:p>
        </w:tc>
        <w:tc>
          <w:tcPr>
            <w:tcW w:w="1532"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3BA1CD57" w14:textId="77777777" w:rsidR="000E7A5A" w:rsidRPr="00A11EF1" w:rsidRDefault="00306071" w:rsidP="00E247FF">
            <w:pPr>
              <w:spacing w:before="240" w:after="0" w:line="276" w:lineRule="auto"/>
              <w:jc w:val="right"/>
              <w:rPr>
                <w:rFonts w:cs="Arial"/>
                <w:color w:val="000000"/>
                <w:sz w:val="16"/>
                <w:szCs w:val="16"/>
              </w:rPr>
            </w:pPr>
            <w:r w:rsidRPr="00A11EF1">
              <w:rPr>
                <w:rFonts w:cs="Arial"/>
                <w:color w:val="000000"/>
                <w:sz w:val="16"/>
                <w:szCs w:val="16"/>
              </w:rPr>
              <w:t>77.410.928</w:t>
            </w:r>
          </w:p>
        </w:tc>
        <w:tc>
          <w:tcPr>
            <w:tcW w:w="1535"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494F47B0" w14:textId="77777777" w:rsidR="000E7A5A" w:rsidRPr="00A11EF1" w:rsidRDefault="00306071" w:rsidP="00E247FF">
            <w:pPr>
              <w:spacing w:before="240" w:after="0" w:line="276" w:lineRule="auto"/>
              <w:jc w:val="center"/>
              <w:rPr>
                <w:rFonts w:cs="Arial"/>
                <w:color w:val="000000"/>
                <w:sz w:val="16"/>
                <w:szCs w:val="16"/>
              </w:rPr>
            </w:pPr>
            <w:r w:rsidRPr="00A11EF1">
              <w:rPr>
                <w:rFonts w:cs="Arial"/>
                <w:color w:val="000000"/>
                <w:sz w:val="16"/>
                <w:szCs w:val="16"/>
              </w:rPr>
              <w:t>15%</w:t>
            </w:r>
          </w:p>
        </w:tc>
        <w:tc>
          <w:tcPr>
            <w:tcW w:w="1532"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017E16EA" w14:textId="77777777" w:rsidR="000E7A5A" w:rsidRPr="00A11EF1" w:rsidRDefault="00306071" w:rsidP="00E247FF">
            <w:pPr>
              <w:spacing w:before="240" w:after="0" w:line="276" w:lineRule="auto"/>
              <w:jc w:val="right"/>
              <w:rPr>
                <w:rFonts w:cs="Arial"/>
                <w:color w:val="000000"/>
                <w:sz w:val="16"/>
                <w:szCs w:val="16"/>
              </w:rPr>
            </w:pPr>
            <w:r w:rsidRPr="00A11EF1">
              <w:rPr>
                <w:rFonts w:cs="Arial"/>
                <w:color w:val="000000"/>
                <w:sz w:val="16"/>
                <w:szCs w:val="16"/>
              </w:rPr>
              <w:t>9.562.218</w:t>
            </w:r>
          </w:p>
        </w:tc>
        <w:tc>
          <w:tcPr>
            <w:tcW w:w="1532"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5D41B8AB" w14:textId="77777777" w:rsidR="000E7A5A" w:rsidRPr="00A11EF1" w:rsidRDefault="00306071" w:rsidP="00E247FF">
            <w:pPr>
              <w:spacing w:before="240" w:after="0" w:line="276" w:lineRule="auto"/>
              <w:jc w:val="center"/>
              <w:rPr>
                <w:rFonts w:cs="Arial"/>
                <w:color w:val="000000"/>
                <w:sz w:val="16"/>
                <w:szCs w:val="16"/>
              </w:rPr>
            </w:pPr>
            <w:r w:rsidRPr="00A11EF1">
              <w:rPr>
                <w:rFonts w:cs="Arial"/>
                <w:color w:val="000000"/>
                <w:sz w:val="16"/>
                <w:szCs w:val="16"/>
              </w:rPr>
              <w:t>2%</w:t>
            </w:r>
          </w:p>
        </w:tc>
      </w:tr>
      <w:tr w:rsidR="000E7A5A" w:rsidRPr="00A11EF1" w14:paraId="458BFB9A" w14:textId="77777777" w:rsidTr="006A2AF1">
        <w:trPr>
          <w:trHeight w:val="452"/>
        </w:trPr>
        <w:tc>
          <w:tcPr>
            <w:tcW w:w="1533" w:type="dxa"/>
            <w:vMerge/>
            <w:tcBorders>
              <w:left w:val="single" w:sz="8" w:space="0" w:color="000000"/>
              <w:right w:val="single" w:sz="8" w:space="0" w:color="000000"/>
            </w:tcBorders>
            <w:shd w:val="clear" w:color="auto" w:fill="auto"/>
            <w:noWrap/>
            <w:tcMar>
              <w:top w:w="0" w:type="dxa"/>
              <w:left w:w="70" w:type="dxa"/>
              <w:bottom w:w="0" w:type="dxa"/>
              <w:right w:w="70" w:type="dxa"/>
            </w:tcMar>
            <w:vAlign w:val="center"/>
          </w:tcPr>
          <w:p w14:paraId="3387A805" w14:textId="77777777" w:rsidR="000E7A5A" w:rsidRPr="0023397C" w:rsidRDefault="000E7A5A" w:rsidP="00E247FF">
            <w:pPr>
              <w:spacing w:after="0" w:line="276" w:lineRule="auto"/>
              <w:jc w:val="both"/>
              <w:rPr>
                <w:rFonts w:cs="Arial"/>
                <w:color w:val="000000"/>
                <w:sz w:val="16"/>
                <w:szCs w:val="16"/>
              </w:rPr>
            </w:pPr>
          </w:p>
        </w:tc>
        <w:tc>
          <w:tcPr>
            <w:tcW w:w="1536" w:type="dxa"/>
            <w:tcBorders>
              <w:bottom w:val="single" w:sz="8" w:space="0" w:color="000000"/>
            </w:tcBorders>
            <w:shd w:val="clear" w:color="auto" w:fill="auto"/>
            <w:noWrap/>
            <w:tcMar>
              <w:top w:w="0" w:type="dxa"/>
              <w:left w:w="70" w:type="dxa"/>
              <w:bottom w:w="0" w:type="dxa"/>
              <w:right w:w="70" w:type="dxa"/>
            </w:tcMar>
            <w:vAlign w:val="center"/>
          </w:tcPr>
          <w:p w14:paraId="7645A9AB" w14:textId="77777777" w:rsidR="000E7A5A" w:rsidRPr="00A11EF1" w:rsidRDefault="00306071" w:rsidP="00E247FF">
            <w:pPr>
              <w:spacing w:after="0" w:line="276" w:lineRule="auto"/>
              <w:jc w:val="right"/>
              <w:rPr>
                <w:rFonts w:cs="Arial"/>
                <w:sz w:val="16"/>
                <w:szCs w:val="16"/>
              </w:rPr>
            </w:pPr>
            <w:r w:rsidRPr="0023397C">
              <w:rPr>
                <w:rFonts w:cs="Arial"/>
                <w:color w:val="000000"/>
                <w:sz w:val="16"/>
                <w:szCs w:val="16"/>
              </w:rPr>
              <w:t>Vzhod</w:t>
            </w:r>
          </w:p>
        </w:tc>
        <w:tc>
          <w:tcPr>
            <w:tcW w:w="1715"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698B0DDD" w14:textId="77777777" w:rsidR="000E7A5A" w:rsidRPr="00A11EF1" w:rsidRDefault="00306071" w:rsidP="00E247FF">
            <w:pPr>
              <w:spacing w:before="240" w:after="0" w:line="276" w:lineRule="auto"/>
              <w:jc w:val="right"/>
              <w:rPr>
                <w:rFonts w:cs="Arial"/>
                <w:color w:val="000000"/>
                <w:sz w:val="16"/>
                <w:szCs w:val="16"/>
              </w:rPr>
            </w:pPr>
            <w:r w:rsidRPr="00A11EF1">
              <w:rPr>
                <w:rFonts w:cs="Arial"/>
                <w:color w:val="000000"/>
                <w:sz w:val="16"/>
                <w:szCs w:val="16"/>
              </w:rPr>
              <w:t>1.644.435.042</w:t>
            </w:r>
          </w:p>
        </w:tc>
        <w:tc>
          <w:tcPr>
            <w:tcW w:w="1532"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169FC429" w14:textId="77777777" w:rsidR="000E7A5A" w:rsidRPr="00A11EF1" w:rsidRDefault="00306071" w:rsidP="00E247FF">
            <w:pPr>
              <w:spacing w:before="240" w:after="0" w:line="276" w:lineRule="auto"/>
              <w:jc w:val="right"/>
              <w:rPr>
                <w:rFonts w:cs="Arial"/>
                <w:color w:val="000000"/>
                <w:sz w:val="16"/>
                <w:szCs w:val="16"/>
              </w:rPr>
            </w:pPr>
            <w:r w:rsidRPr="00A11EF1">
              <w:rPr>
                <w:rFonts w:cs="Arial"/>
                <w:color w:val="000000"/>
                <w:sz w:val="16"/>
                <w:szCs w:val="16"/>
              </w:rPr>
              <w:t>427.857.005</w:t>
            </w:r>
          </w:p>
        </w:tc>
        <w:tc>
          <w:tcPr>
            <w:tcW w:w="1535" w:type="dxa"/>
            <w:tcBorders>
              <w:bottom w:val="single" w:sz="8" w:space="0" w:color="000000"/>
            </w:tcBorders>
            <w:shd w:val="clear" w:color="auto" w:fill="auto"/>
            <w:noWrap/>
            <w:tcMar>
              <w:top w:w="0" w:type="dxa"/>
              <w:left w:w="70" w:type="dxa"/>
              <w:bottom w:w="0" w:type="dxa"/>
              <w:right w:w="70" w:type="dxa"/>
            </w:tcMar>
            <w:vAlign w:val="center"/>
          </w:tcPr>
          <w:p w14:paraId="0A350974" w14:textId="77777777" w:rsidR="000E7A5A" w:rsidRPr="00A11EF1" w:rsidRDefault="00306071" w:rsidP="00E247FF">
            <w:pPr>
              <w:spacing w:before="240" w:after="0" w:line="276" w:lineRule="auto"/>
              <w:jc w:val="center"/>
              <w:rPr>
                <w:rFonts w:cs="Arial"/>
                <w:color w:val="000000"/>
                <w:sz w:val="16"/>
                <w:szCs w:val="16"/>
              </w:rPr>
            </w:pPr>
            <w:r w:rsidRPr="00A11EF1">
              <w:rPr>
                <w:rFonts w:cs="Arial"/>
                <w:color w:val="000000"/>
                <w:sz w:val="16"/>
                <w:szCs w:val="16"/>
              </w:rPr>
              <w:t>26%</w:t>
            </w:r>
          </w:p>
        </w:tc>
        <w:tc>
          <w:tcPr>
            <w:tcW w:w="1532"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2FB84F3B" w14:textId="77777777" w:rsidR="000E7A5A" w:rsidRPr="00A11EF1" w:rsidRDefault="00306071" w:rsidP="00E247FF">
            <w:pPr>
              <w:spacing w:before="240" w:after="0" w:line="276" w:lineRule="auto"/>
              <w:jc w:val="right"/>
              <w:rPr>
                <w:rFonts w:cs="Arial"/>
                <w:color w:val="000000"/>
                <w:sz w:val="16"/>
                <w:szCs w:val="16"/>
              </w:rPr>
            </w:pPr>
            <w:r w:rsidRPr="00A11EF1">
              <w:rPr>
                <w:rFonts w:cs="Arial"/>
                <w:color w:val="000000"/>
                <w:sz w:val="16"/>
                <w:szCs w:val="16"/>
              </w:rPr>
              <w:t>359.367.119</w:t>
            </w:r>
          </w:p>
        </w:tc>
        <w:tc>
          <w:tcPr>
            <w:tcW w:w="1535"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4CC444BA" w14:textId="77777777" w:rsidR="000E7A5A" w:rsidRPr="00A11EF1" w:rsidRDefault="00306071" w:rsidP="00E247FF">
            <w:pPr>
              <w:spacing w:before="240" w:after="0" w:line="276" w:lineRule="auto"/>
              <w:jc w:val="center"/>
              <w:rPr>
                <w:rFonts w:cs="Arial"/>
                <w:color w:val="000000"/>
                <w:sz w:val="16"/>
                <w:szCs w:val="16"/>
              </w:rPr>
            </w:pPr>
            <w:r w:rsidRPr="00A11EF1">
              <w:rPr>
                <w:rFonts w:cs="Arial"/>
                <w:color w:val="000000"/>
                <w:sz w:val="16"/>
                <w:szCs w:val="16"/>
              </w:rPr>
              <w:t>22%</w:t>
            </w:r>
          </w:p>
        </w:tc>
        <w:tc>
          <w:tcPr>
            <w:tcW w:w="1532"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208D798D" w14:textId="77777777" w:rsidR="000E7A5A" w:rsidRPr="00A11EF1" w:rsidRDefault="00306071" w:rsidP="00E247FF">
            <w:pPr>
              <w:spacing w:before="240" w:after="0" w:line="276" w:lineRule="auto"/>
              <w:jc w:val="right"/>
              <w:rPr>
                <w:rFonts w:cs="Arial"/>
                <w:color w:val="000000"/>
                <w:sz w:val="16"/>
                <w:szCs w:val="16"/>
              </w:rPr>
            </w:pPr>
            <w:r w:rsidRPr="00A11EF1">
              <w:rPr>
                <w:rFonts w:cs="Arial"/>
                <w:color w:val="000000"/>
                <w:sz w:val="16"/>
                <w:szCs w:val="16"/>
              </w:rPr>
              <w:t>35.898.875</w:t>
            </w:r>
          </w:p>
        </w:tc>
        <w:tc>
          <w:tcPr>
            <w:tcW w:w="1532"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6E7CD1DD" w14:textId="77777777" w:rsidR="000E7A5A" w:rsidRPr="00A11EF1" w:rsidRDefault="00306071" w:rsidP="00E247FF">
            <w:pPr>
              <w:spacing w:before="240" w:after="0" w:line="276" w:lineRule="auto"/>
              <w:jc w:val="center"/>
              <w:rPr>
                <w:rFonts w:cs="Arial"/>
                <w:color w:val="000000"/>
                <w:sz w:val="16"/>
                <w:szCs w:val="16"/>
              </w:rPr>
            </w:pPr>
            <w:r w:rsidRPr="00A11EF1">
              <w:rPr>
                <w:rFonts w:cs="Arial"/>
                <w:color w:val="000000"/>
                <w:sz w:val="16"/>
                <w:szCs w:val="16"/>
              </w:rPr>
              <w:t>2%</w:t>
            </w:r>
          </w:p>
        </w:tc>
      </w:tr>
      <w:tr w:rsidR="000E7A5A" w:rsidRPr="00A11EF1" w14:paraId="2C89BF48" w14:textId="77777777" w:rsidTr="007302F7">
        <w:trPr>
          <w:trHeight w:val="266"/>
        </w:trPr>
        <w:tc>
          <w:tcPr>
            <w:tcW w:w="1533" w:type="dxa"/>
            <w:vMerge/>
            <w:tcBorders>
              <w:left w:val="single" w:sz="8" w:space="0" w:color="000000"/>
              <w:right w:val="single" w:sz="8" w:space="0" w:color="000000"/>
            </w:tcBorders>
            <w:shd w:val="clear" w:color="auto" w:fill="auto"/>
            <w:noWrap/>
            <w:tcMar>
              <w:top w:w="0" w:type="dxa"/>
              <w:left w:w="70" w:type="dxa"/>
              <w:bottom w:w="0" w:type="dxa"/>
              <w:right w:w="70" w:type="dxa"/>
            </w:tcMar>
            <w:vAlign w:val="center"/>
          </w:tcPr>
          <w:p w14:paraId="26402793" w14:textId="77777777" w:rsidR="000E7A5A" w:rsidRPr="0023397C" w:rsidRDefault="000E7A5A" w:rsidP="00E247FF">
            <w:pPr>
              <w:spacing w:after="0" w:line="276" w:lineRule="auto"/>
              <w:jc w:val="both"/>
              <w:rPr>
                <w:rFonts w:cs="Arial"/>
                <w:color w:val="000000"/>
                <w:sz w:val="16"/>
                <w:szCs w:val="16"/>
              </w:rPr>
            </w:pPr>
          </w:p>
        </w:tc>
        <w:tc>
          <w:tcPr>
            <w:tcW w:w="1536" w:type="dxa"/>
            <w:tcBorders>
              <w:bottom w:val="single" w:sz="8" w:space="0" w:color="000000"/>
            </w:tcBorders>
            <w:shd w:val="clear" w:color="auto" w:fill="auto"/>
            <w:noWrap/>
            <w:tcMar>
              <w:top w:w="0" w:type="dxa"/>
              <w:left w:w="70" w:type="dxa"/>
              <w:bottom w:w="0" w:type="dxa"/>
              <w:right w:w="70" w:type="dxa"/>
            </w:tcMar>
            <w:vAlign w:val="center"/>
          </w:tcPr>
          <w:p w14:paraId="063B0A13" w14:textId="77777777" w:rsidR="000E7A5A" w:rsidRPr="00A11EF1" w:rsidRDefault="00306071" w:rsidP="00E247FF">
            <w:pPr>
              <w:spacing w:after="0" w:line="276" w:lineRule="auto"/>
              <w:jc w:val="right"/>
              <w:rPr>
                <w:rFonts w:cs="Arial"/>
                <w:sz w:val="16"/>
                <w:szCs w:val="16"/>
              </w:rPr>
            </w:pPr>
            <w:r w:rsidRPr="0023397C">
              <w:rPr>
                <w:rFonts w:cs="Arial"/>
                <w:color w:val="000000"/>
                <w:sz w:val="16"/>
                <w:szCs w:val="16"/>
              </w:rPr>
              <w:t>Celotna SI - KS</w:t>
            </w:r>
          </w:p>
        </w:tc>
        <w:tc>
          <w:tcPr>
            <w:tcW w:w="1715"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21FE1BF3" w14:textId="77777777" w:rsidR="000E7A5A" w:rsidRPr="00A11EF1" w:rsidRDefault="00306071" w:rsidP="00E247FF">
            <w:pPr>
              <w:spacing w:before="240" w:after="0" w:line="276" w:lineRule="auto"/>
              <w:jc w:val="right"/>
              <w:rPr>
                <w:rFonts w:cs="Arial"/>
                <w:color w:val="000000"/>
                <w:sz w:val="16"/>
                <w:szCs w:val="16"/>
              </w:rPr>
            </w:pPr>
            <w:r w:rsidRPr="00A11EF1">
              <w:rPr>
                <w:rFonts w:cs="Arial"/>
                <w:color w:val="000000"/>
                <w:sz w:val="16"/>
                <w:szCs w:val="16"/>
              </w:rPr>
              <w:t>700.675.721</w:t>
            </w:r>
          </w:p>
        </w:tc>
        <w:tc>
          <w:tcPr>
            <w:tcW w:w="1532"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2C82F0BA" w14:textId="77777777" w:rsidR="000E7A5A" w:rsidRPr="00A11EF1" w:rsidRDefault="00306071" w:rsidP="00E247FF">
            <w:pPr>
              <w:spacing w:before="240" w:after="0" w:line="276" w:lineRule="auto"/>
              <w:jc w:val="right"/>
              <w:rPr>
                <w:rFonts w:cs="Arial"/>
                <w:color w:val="000000"/>
                <w:sz w:val="16"/>
                <w:szCs w:val="16"/>
              </w:rPr>
            </w:pPr>
            <w:r w:rsidRPr="00A11EF1">
              <w:rPr>
                <w:rFonts w:cs="Arial"/>
                <w:color w:val="000000"/>
                <w:sz w:val="16"/>
                <w:szCs w:val="16"/>
              </w:rPr>
              <w:t>105.025.661</w:t>
            </w:r>
          </w:p>
        </w:tc>
        <w:tc>
          <w:tcPr>
            <w:tcW w:w="1535" w:type="dxa"/>
            <w:tcBorders>
              <w:bottom w:val="single" w:sz="8" w:space="0" w:color="000000"/>
            </w:tcBorders>
            <w:shd w:val="clear" w:color="auto" w:fill="auto"/>
            <w:noWrap/>
            <w:tcMar>
              <w:top w:w="0" w:type="dxa"/>
              <w:left w:w="70" w:type="dxa"/>
              <w:bottom w:w="0" w:type="dxa"/>
              <w:right w:w="70" w:type="dxa"/>
            </w:tcMar>
            <w:vAlign w:val="center"/>
          </w:tcPr>
          <w:p w14:paraId="3659D2EF" w14:textId="77777777" w:rsidR="000E7A5A" w:rsidRPr="00A11EF1" w:rsidRDefault="00306071" w:rsidP="00E247FF">
            <w:pPr>
              <w:spacing w:before="240" w:after="0" w:line="276" w:lineRule="auto"/>
              <w:jc w:val="center"/>
              <w:rPr>
                <w:rFonts w:cs="Arial"/>
                <w:color w:val="000000"/>
                <w:sz w:val="16"/>
                <w:szCs w:val="16"/>
              </w:rPr>
            </w:pPr>
            <w:r w:rsidRPr="00A11EF1">
              <w:rPr>
                <w:rFonts w:cs="Arial"/>
                <w:color w:val="000000"/>
                <w:sz w:val="16"/>
                <w:szCs w:val="16"/>
              </w:rPr>
              <w:t>15%</w:t>
            </w:r>
          </w:p>
        </w:tc>
        <w:tc>
          <w:tcPr>
            <w:tcW w:w="1532"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2EFDD99E" w14:textId="77777777" w:rsidR="000E7A5A" w:rsidRPr="00A11EF1" w:rsidRDefault="00306071" w:rsidP="00E247FF">
            <w:pPr>
              <w:spacing w:before="240" w:after="0" w:line="276" w:lineRule="auto"/>
              <w:jc w:val="right"/>
              <w:rPr>
                <w:rFonts w:cs="Arial"/>
                <w:color w:val="000000"/>
                <w:sz w:val="16"/>
                <w:szCs w:val="16"/>
              </w:rPr>
            </w:pPr>
            <w:r w:rsidRPr="00A11EF1">
              <w:rPr>
                <w:rFonts w:cs="Arial"/>
                <w:color w:val="000000"/>
                <w:sz w:val="16"/>
                <w:szCs w:val="16"/>
              </w:rPr>
              <w:t>56.102.158</w:t>
            </w:r>
          </w:p>
        </w:tc>
        <w:tc>
          <w:tcPr>
            <w:tcW w:w="1535"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5B923E1D" w14:textId="77777777" w:rsidR="000E7A5A" w:rsidRPr="00A11EF1" w:rsidRDefault="00306071" w:rsidP="00E247FF">
            <w:pPr>
              <w:spacing w:before="240" w:after="0" w:line="276" w:lineRule="auto"/>
              <w:jc w:val="center"/>
              <w:rPr>
                <w:rFonts w:cs="Arial"/>
                <w:color w:val="000000"/>
                <w:sz w:val="16"/>
                <w:szCs w:val="16"/>
              </w:rPr>
            </w:pPr>
            <w:r w:rsidRPr="00A11EF1">
              <w:rPr>
                <w:rFonts w:cs="Arial"/>
                <w:color w:val="000000"/>
                <w:sz w:val="16"/>
                <w:szCs w:val="16"/>
              </w:rPr>
              <w:t>8%</w:t>
            </w:r>
          </w:p>
        </w:tc>
        <w:tc>
          <w:tcPr>
            <w:tcW w:w="1532"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1465D5D3" w14:textId="77777777" w:rsidR="000E7A5A" w:rsidRPr="00A11EF1" w:rsidRDefault="00306071" w:rsidP="00E247FF">
            <w:pPr>
              <w:spacing w:before="240" w:after="0" w:line="276" w:lineRule="auto"/>
              <w:jc w:val="right"/>
              <w:rPr>
                <w:rFonts w:cs="Arial"/>
                <w:color w:val="000000"/>
                <w:sz w:val="16"/>
                <w:szCs w:val="16"/>
              </w:rPr>
            </w:pPr>
            <w:r w:rsidRPr="00A11EF1">
              <w:rPr>
                <w:rFonts w:cs="Arial"/>
                <w:color w:val="000000"/>
                <w:sz w:val="16"/>
                <w:szCs w:val="16"/>
              </w:rPr>
              <w:t>19.753.316</w:t>
            </w:r>
          </w:p>
        </w:tc>
        <w:tc>
          <w:tcPr>
            <w:tcW w:w="1532"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21C8B9B9" w14:textId="77777777" w:rsidR="000E7A5A" w:rsidRPr="00A11EF1" w:rsidRDefault="00306071" w:rsidP="00E247FF">
            <w:pPr>
              <w:spacing w:before="240" w:after="0" w:line="276" w:lineRule="auto"/>
              <w:jc w:val="center"/>
              <w:rPr>
                <w:rFonts w:cs="Arial"/>
                <w:color w:val="000000"/>
                <w:sz w:val="16"/>
                <w:szCs w:val="16"/>
              </w:rPr>
            </w:pPr>
            <w:r w:rsidRPr="00A11EF1">
              <w:rPr>
                <w:rFonts w:cs="Arial"/>
                <w:color w:val="000000"/>
                <w:sz w:val="16"/>
                <w:szCs w:val="16"/>
              </w:rPr>
              <w:t>3%</w:t>
            </w:r>
          </w:p>
        </w:tc>
      </w:tr>
      <w:tr w:rsidR="000E7A5A" w:rsidRPr="00A11EF1" w14:paraId="5AB20E0A" w14:textId="77777777" w:rsidTr="006A2AF1">
        <w:trPr>
          <w:trHeight w:val="452"/>
        </w:trPr>
        <w:tc>
          <w:tcPr>
            <w:tcW w:w="1533" w:type="dxa"/>
            <w:vMerge/>
            <w:tcBorders>
              <w:left w:val="single" w:sz="8" w:space="0" w:color="000000"/>
              <w:right w:val="single" w:sz="8" w:space="0" w:color="000000"/>
            </w:tcBorders>
            <w:shd w:val="clear" w:color="auto" w:fill="auto"/>
            <w:noWrap/>
            <w:tcMar>
              <w:top w:w="0" w:type="dxa"/>
              <w:left w:w="70" w:type="dxa"/>
              <w:bottom w:w="0" w:type="dxa"/>
              <w:right w:w="70" w:type="dxa"/>
            </w:tcMar>
            <w:vAlign w:val="center"/>
          </w:tcPr>
          <w:p w14:paraId="3B7BF52A" w14:textId="77777777" w:rsidR="000E7A5A" w:rsidRPr="0023397C" w:rsidRDefault="000E7A5A" w:rsidP="00E247FF">
            <w:pPr>
              <w:spacing w:after="0" w:line="276" w:lineRule="auto"/>
              <w:jc w:val="both"/>
              <w:rPr>
                <w:rFonts w:cs="Arial"/>
                <w:color w:val="000000"/>
                <w:sz w:val="16"/>
                <w:szCs w:val="16"/>
              </w:rPr>
            </w:pPr>
          </w:p>
        </w:tc>
        <w:tc>
          <w:tcPr>
            <w:tcW w:w="1536" w:type="dxa"/>
            <w:tcBorders>
              <w:bottom w:val="single" w:sz="8" w:space="0" w:color="000000"/>
            </w:tcBorders>
            <w:shd w:val="clear" w:color="auto" w:fill="auto"/>
            <w:noWrap/>
            <w:tcMar>
              <w:top w:w="0" w:type="dxa"/>
              <w:left w:w="70" w:type="dxa"/>
              <w:bottom w:w="0" w:type="dxa"/>
              <w:right w:w="70" w:type="dxa"/>
            </w:tcMar>
            <w:vAlign w:val="center"/>
          </w:tcPr>
          <w:p w14:paraId="1D791517" w14:textId="77777777" w:rsidR="000E7A5A" w:rsidRPr="00A11EF1" w:rsidRDefault="00306071" w:rsidP="00E247FF">
            <w:pPr>
              <w:spacing w:after="0" w:line="276" w:lineRule="auto"/>
              <w:jc w:val="right"/>
              <w:rPr>
                <w:rFonts w:cs="Arial"/>
                <w:sz w:val="16"/>
                <w:szCs w:val="16"/>
              </w:rPr>
            </w:pPr>
            <w:r w:rsidRPr="0023397C">
              <w:rPr>
                <w:rFonts w:cs="Arial"/>
                <w:color w:val="000000"/>
                <w:sz w:val="16"/>
                <w:szCs w:val="16"/>
              </w:rPr>
              <w:t>Celotna SI - SPP</w:t>
            </w:r>
          </w:p>
        </w:tc>
        <w:tc>
          <w:tcPr>
            <w:tcW w:w="1715"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492ADC1C" w14:textId="77777777" w:rsidR="000E7A5A" w:rsidRPr="00A11EF1" w:rsidRDefault="00306071" w:rsidP="00E247FF">
            <w:pPr>
              <w:spacing w:before="240" w:after="0" w:line="276" w:lineRule="auto"/>
              <w:jc w:val="right"/>
              <w:rPr>
                <w:rFonts w:cs="Arial"/>
                <w:color w:val="000000"/>
                <w:sz w:val="16"/>
                <w:szCs w:val="16"/>
              </w:rPr>
            </w:pPr>
            <w:r w:rsidRPr="00A11EF1">
              <w:rPr>
                <w:rFonts w:cs="Arial"/>
                <w:color w:val="000000"/>
                <w:sz w:val="16"/>
                <w:szCs w:val="16"/>
              </w:rPr>
              <w:t>248.773.600</w:t>
            </w:r>
          </w:p>
        </w:tc>
        <w:tc>
          <w:tcPr>
            <w:tcW w:w="1532"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0C4B0653" w14:textId="77777777" w:rsidR="000E7A5A" w:rsidRPr="00A11EF1" w:rsidRDefault="00306071" w:rsidP="00E247FF">
            <w:pPr>
              <w:spacing w:before="240" w:after="0" w:line="276" w:lineRule="auto"/>
              <w:jc w:val="right"/>
              <w:rPr>
                <w:rFonts w:cs="Arial"/>
                <w:color w:val="000000"/>
                <w:sz w:val="16"/>
                <w:szCs w:val="16"/>
              </w:rPr>
            </w:pPr>
            <w:r w:rsidRPr="00A11EF1">
              <w:rPr>
                <w:rFonts w:cs="Arial"/>
                <w:color w:val="000000"/>
                <w:sz w:val="16"/>
                <w:szCs w:val="16"/>
              </w:rPr>
              <w:t>157.603.166</w:t>
            </w:r>
          </w:p>
        </w:tc>
        <w:tc>
          <w:tcPr>
            <w:tcW w:w="1535" w:type="dxa"/>
            <w:tcBorders>
              <w:bottom w:val="single" w:sz="8" w:space="0" w:color="000000"/>
            </w:tcBorders>
            <w:shd w:val="clear" w:color="auto" w:fill="auto"/>
            <w:noWrap/>
            <w:tcMar>
              <w:top w:w="0" w:type="dxa"/>
              <w:left w:w="70" w:type="dxa"/>
              <w:bottom w:w="0" w:type="dxa"/>
              <w:right w:w="70" w:type="dxa"/>
            </w:tcMar>
            <w:vAlign w:val="center"/>
          </w:tcPr>
          <w:p w14:paraId="353E6410" w14:textId="77777777" w:rsidR="000E7A5A" w:rsidRPr="00A11EF1" w:rsidRDefault="00306071" w:rsidP="00E247FF">
            <w:pPr>
              <w:spacing w:before="240" w:after="0" w:line="276" w:lineRule="auto"/>
              <w:jc w:val="center"/>
              <w:rPr>
                <w:rFonts w:cs="Arial"/>
                <w:color w:val="000000"/>
                <w:sz w:val="16"/>
                <w:szCs w:val="16"/>
              </w:rPr>
            </w:pPr>
            <w:r w:rsidRPr="00A11EF1">
              <w:rPr>
                <w:rFonts w:cs="Arial"/>
                <w:color w:val="000000"/>
                <w:sz w:val="16"/>
                <w:szCs w:val="16"/>
              </w:rPr>
              <w:t>63%</w:t>
            </w:r>
          </w:p>
        </w:tc>
        <w:tc>
          <w:tcPr>
            <w:tcW w:w="1532"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35917F59" w14:textId="77777777" w:rsidR="000E7A5A" w:rsidRPr="00A11EF1" w:rsidRDefault="00306071" w:rsidP="00E247FF">
            <w:pPr>
              <w:spacing w:before="240" w:after="0" w:line="276" w:lineRule="auto"/>
              <w:jc w:val="right"/>
              <w:rPr>
                <w:rFonts w:cs="Arial"/>
                <w:color w:val="000000"/>
                <w:sz w:val="16"/>
                <w:szCs w:val="16"/>
              </w:rPr>
            </w:pPr>
            <w:r w:rsidRPr="00A11EF1">
              <w:rPr>
                <w:rFonts w:cs="Arial"/>
                <w:color w:val="000000"/>
                <w:sz w:val="16"/>
                <w:szCs w:val="16"/>
              </w:rPr>
              <w:t>28.533.599</w:t>
            </w:r>
          </w:p>
        </w:tc>
        <w:tc>
          <w:tcPr>
            <w:tcW w:w="1535"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29CF4264" w14:textId="77777777" w:rsidR="000E7A5A" w:rsidRPr="00A11EF1" w:rsidRDefault="00306071" w:rsidP="00E247FF">
            <w:pPr>
              <w:spacing w:before="240" w:after="0" w:line="276" w:lineRule="auto"/>
              <w:jc w:val="center"/>
              <w:rPr>
                <w:rFonts w:cs="Arial"/>
                <w:color w:val="000000"/>
                <w:sz w:val="16"/>
                <w:szCs w:val="16"/>
              </w:rPr>
            </w:pPr>
            <w:r w:rsidRPr="00A11EF1">
              <w:rPr>
                <w:rFonts w:cs="Arial"/>
                <w:color w:val="000000"/>
                <w:sz w:val="16"/>
                <w:szCs w:val="16"/>
              </w:rPr>
              <w:t>11%</w:t>
            </w:r>
          </w:p>
        </w:tc>
        <w:tc>
          <w:tcPr>
            <w:tcW w:w="1532"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0F32ADA1" w14:textId="77777777" w:rsidR="000E7A5A" w:rsidRPr="00A11EF1" w:rsidRDefault="00306071" w:rsidP="00E247FF">
            <w:pPr>
              <w:spacing w:before="240" w:after="0" w:line="276" w:lineRule="auto"/>
              <w:jc w:val="right"/>
              <w:rPr>
                <w:rFonts w:cs="Arial"/>
                <w:color w:val="000000"/>
                <w:sz w:val="16"/>
                <w:szCs w:val="16"/>
              </w:rPr>
            </w:pPr>
            <w:r w:rsidRPr="00A11EF1">
              <w:rPr>
                <w:rFonts w:cs="Arial"/>
                <w:color w:val="000000"/>
                <w:sz w:val="16"/>
                <w:szCs w:val="16"/>
              </w:rPr>
              <w:t>9.033.858</w:t>
            </w:r>
          </w:p>
        </w:tc>
        <w:tc>
          <w:tcPr>
            <w:tcW w:w="1532"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263BAEEA" w14:textId="77777777" w:rsidR="000E7A5A" w:rsidRPr="00A11EF1" w:rsidRDefault="00306071" w:rsidP="00E247FF">
            <w:pPr>
              <w:spacing w:before="240" w:after="0" w:line="276" w:lineRule="auto"/>
              <w:jc w:val="center"/>
              <w:rPr>
                <w:rFonts w:cs="Arial"/>
                <w:color w:val="000000"/>
                <w:sz w:val="16"/>
                <w:szCs w:val="16"/>
              </w:rPr>
            </w:pPr>
            <w:r w:rsidRPr="00A11EF1">
              <w:rPr>
                <w:rFonts w:cs="Arial"/>
                <w:color w:val="000000"/>
                <w:sz w:val="16"/>
                <w:szCs w:val="16"/>
              </w:rPr>
              <w:t>4%</w:t>
            </w:r>
          </w:p>
        </w:tc>
      </w:tr>
      <w:tr w:rsidR="000E7A5A" w:rsidRPr="00A11EF1" w14:paraId="65543B9D" w14:textId="77777777" w:rsidTr="006A2AF1">
        <w:trPr>
          <w:trHeight w:val="452"/>
        </w:trPr>
        <w:tc>
          <w:tcPr>
            <w:tcW w:w="3069" w:type="dxa"/>
            <w:gridSpan w:val="2"/>
            <w:tcBorders>
              <w:left w:val="single" w:sz="8" w:space="0" w:color="000000"/>
              <w:bottom w:val="single" w:sz="8" w:space="0" w:color="000000"/>
              <w:right w:val="single" w:sz="8" w:space="0" w:color="000000"/>
            </w:tcBorders>
            <w:shd w:val="clear" w:color="auto" w:fill="DDEBF7"/>
            <w:noWrap/>
            <w:tcMar>
              <w:top w:w="0" w:type="dxa"/>
              <w:left w:w="70" w:type="dxa"/>
              <w:bottom w:w="0" w:type="dxa"/>
              <w:right w:w="70" w:type="dxa"/>
            </w:tcMar>
            <w:vAlign w:val="center"/>
          </w:tcPr>
          <w:p w14:paraId="7BD176F6" w14:textId="77777777" w:rsidR="000E7A5A" w:rsidRPr="001126C1" w:rsidRDefault="00306071" w:rsidP="00E247FF">
            <w:pPr>
              <w:spacing w:after="0" w:line="276" w:lineRule="auto"/>
              <w:jc w:val="right"/>
              <w:rPr>
                <w:rFonts w:cs="Arial"/>
                <w:b/>
                <w:bCs/>
                <w:sz w:val="16"/>
                <w:szCs w:val="16"/>
              </w:rPr>
            </w:pPr>
            <w:r w:rsidRPr="001126C1">
              <w:rPr>
                <w:rFonts w:cs="Arial"/>
                <w:b/>
                <w:bCs/>
                <w:color w:val="000000"/>
                <w:sz w:val="16"/>
                <w:szCs w:val="16"/>
              </w:rPr>
              <w:lastRenderedPageBreak/>
              <w:t xml:space="preserve">Skupaj OP </w:t>
            </w:r>
          </w:p>
        </w:tc>
        <w:tc>
          <w:tcPr>
            <w:tcW w:w="1715" w:type="dxa"/>
            <w:tcBorders>
              <w:bottom w:val="single" w:sz="8" w:space="0" w:color="000000"/>
              <w:right w:val="single" w:sz="8" w:space="0" w:color="000000"/>
            </w:tcBorders>
            <w:shd w:val="clear" w:color="auto" w:fill="DDEBF7"/>
            <w:noWrap/>
            <w:tcMar>
              <w:top w:w="0" w:type="dxa"/>
              <w:left w:w="70" w:type="dxa"/>
              <w:bottom w:w="0" w:type="dxa"/>
              <w:right w:w="70" w:type="dxa"/>
            </w:tcMar>
            <w:vAlign w:val="center"/>
          </w:tcPr>
          <w:p w14:paraId="2DCDB9B3" w14:textId="77777777" w:rsidR="000E7A5A" w:rsidRPr="00A11EF1" w:rsidRDefault="00306071" w:rsidP="00E247FF">
            <w:pPr>
              <w:spacing w:before="240" w:after="0" w:line="276" w:lineRule="auto"/>
              <w:jc w:val="right"/>
              <w:rPr>
                <w:rFonts w:cs="Arial"/>
                <w:b/>
                <w:bCs/>
                <w:color w:val="000000"/>
                <w:sz w:val="16"/>
                <w:szCs w:val="16"/>
              </w:rPr>
            </w:pPr>
            <w:r w:rsidRPr="00A11EF1">
              <w:rPr>
                <w:rFonts w:cs="Arial"/>
                <w:b/>
                <w:bCs/>
                <w:color w:val="000000"/>
                <w:sz w:val="16"/>
                <w:szCs w:val="16"/>
              </w:rPr>
              <w:t>3.106.640.412</w:t>
            </w:r>
          </w:p>
        </w:tc>
        <w:tc>
          <w:tcPr>
            <w:tcW w:w="1532" w:type="dxa"/>
            <w:tcBorders>
              <w:bottom w:val="single" w:sz="8" w:space="0" w:color="000000"/>
              <w:right w:val="single" w:sz="8" w:space="0" w:color="000000"/>
            </w:tcBorders>
            <w:shd w:val="clear" w:color="auto" w:fill="DDEBF7"/>
            <w:noWrap/>
            <w:tcMar>
              <w:top w:w="0" w:type="dxa"/>
              <w:left w:w="70" w:type="dxa"/>
              <w:bottom w:w="0" w:type="dxa"/>
              <w:right w:w="70" w:type="dxa"/>
            </w:tcMar>
            <w:vAlign w:val="center"/>
          </w:tcPr>
          <w:p w14:paraId="4859C518" w14:textId="77777777" w:rsidR="000E7A5A" w:rsidRPr="00A11EF1" w:rsidRDefault="00306071" w:rsidP="00E247FF">
            <w:pPr>
              <w:spacing w:before="240" w:after="0" w:line="276" w:lineRule="auto"/>
              <w:jc w:val="right"/>
              <w:rPr>
                <w:rFonts w:cs="Arial"/>
                <w:b/>
                <w:bCs/>
                <w:color w:val="000000"/>
                <w:sz w:val="16"/>
                <w:szCs w:val="16"/>
              </w:rPr>
            </w:pPr>
            <w:r w:rsidRPr="00A11EF1">
              <w:rPr>
                <w:rFonts w:cs="Arial"/>
                <w:b/>
                <w:bCs/>
                <w:color w:val="000000"/>
                <w:sz w:val="16"/>
                <w:szCs w:val="16"/>
              </w:rPr>
              <w:t>791.314.116</w:t>
            </w:r>
          </w:p>
        </w:tc>
        <w:tc>
          <w:tcPr>
            <w:tcW w:w="1535" w:type="dxa"/>
            <w:tcBorders>
              <w:bottom w:val="single" w:sz="8" w:space="0" w:color="000000"/>
            </w:tcBorders>
            <w:shd w:val="clear" w:color="auto" w:fill="DDEBF7"/>
            <w:noWrap/>
            <w:tcMar>
              <w:top w:w="0" w:type="dxa"/>
              <w:left w:w="70" w:type="dxa"/>
              <w:bottom w:w="0" w:type="dxa"/>
              <w:right w:w="70" w:type="dxa"/>
            </w:tcMar>
            <w:vAlign w:val="center"/>
          </w:tcPr>
          <w:p w14:paraId="36EB04FB" w14:textId="77777777" w:rsidR="000E7A5A" w:rsidRPr="00A11EF1" w:rsidRDefault="00306071" w:rsidP="00E247FF">
            <w:pPr>
              <w:spacing w:before="240" w:after="0" w:line="276" w:lineRule="auto"/>
              <w:jc w:val="center"/>
              <w:rPr>
                <w:rFonts w:cs="Arial"/>
                <w:b/>
                <w:bCs/>
                <w:color w:val="000000"/>
                <w:sz w:val="16"/>
                <w:szCs w:val="16"/>
              </w:rPr>
            </w:pPr>
            <w:r w:rsidRPr="00A11EF1">
              <w:rPr>
                <w:rFonts w:cs="Arial"/>
                <w:b/>
                <w:bCs/>
                <w:color w:val="000000"/>
                <w:sz w:val="16"/>
                <w:szCs w:val="16"/>
              </w:rPr>
              <w:t>25%</w:t>
            </w:r>
          </w:p>
        </w:tc>
        <w:tc>
          <w:tcPr>
            <w:tcW w:w="1532" w:type="dxa"/>
            <w:tcBorders>
              <w:left w:val="single" w:sz="8" w:space="0" w:color="000000"/>
              <w:bottom w:val="single" w:sz="8" w:space="0" w:color="000000"/>
              <w:right w:val="single" w:sz="8" w:space="0" w:color="000000"/>
            </w:tcBorders>
            <w:shd w:val="clear" w:color="auto" w:fill="DDEBF7"/>
            <w:noWrap/>
            <w:tcMar>
              <w:top w:w="0" w:type="dxa"/>
              <w:left w:w="70" w:type="dxa"/>
              <w:bottom w:w="0" w:type="dxa"/>
              <w:right w:w="70" w:type="dxa"/>
            </w:tcMar>
            <w:vAlign w:val="center"/>
          </w:tcPr>
          <w:p w14:paraId="712AF429" w14:textId="77777777" w:rsidR="000E7A5A" w:rsidRPr="00A11EF1" w:rsidRDefault="00306071" w:rsidP="00E247FF">
            <w:pPr>
              <w:spacing w:before="240" w:after="0" w:line="276" w:lineRule="auto"/>
              <w:jc w:val="right"/>
              <w:rPr>
                <w:rFonts w:cs="Arial"/>
                <w:b/>
                <w:bCs/>
                <w:color w:val="000000"/>
                <w:sz w:val="16"/>
                <w:szCs w:val="16"/>
              </w:rPr>
            </w:pPr>
            <w:r w:rsidRPr="00A11EF1">
              <w:rPr>
                <w:rFonts w:cs="Arial"/>
                <w:b/>
                <w:bCs/>
                <w:color w:val="000000"/>
                <w:sz w:val="16"/>
                <w:szCs w:val="16"/>
              </w:rPr>
              <w:t>521.413.805</w:t>
            </w:r>
          </w:p>
        </w:tc>
        <w:tc>
          <w:tcPr>
            <w:tcW w:w="1535" w:type="dxa"/>
            <w:tcBorders>
              <w:bottom w:val="single" w:sz="8" w:space="0" w:color="000000"/>
              <w:right w:val="single" w:sz="8" w:space="0" w:color="000000"/>
            </w:tcBorders>
            <w:shd w:val="clear" w:color="auto" w:fill="DDEBF7"/>
            <w:noWrap/>
            <w:tcMar>
              <w:top w:w="0" w:type="dxa"/>
              <w:left w:w="70" w:type="dxa"/>
              <w:bottom w:w="0" w:type="dxa"/>
              <w:right w:w="70" w:type="dxa"/>
            </w:tcMar>
            <w:vAlign w:val="center"/>
          </w:tcPr>
          <w:p w14:paraId="17E5C714" w14:textId="77777777" w:rsidR="000E7A5A" w:rsidRPr="00A11EF1" w:rsidRDefault="00306071" w:rsidP="00E247FF">
            <w:pPr>
              <w:spacing w:before="240" w:after="0" w:line="276" w:lineRule="auto"/>
              <w:jc w:val="center"/>
              <w:rPr>
                <w:rFonts w:cs="Arial"/>
                <w:b/>
                <w:bCs/>
                <w:color w:val="000000"/>
                <w:sz w:val="16"/>
                <w:szCs w:val="16"/>
              </w:rPr>
            </w:pPr>
            <w:r w:rsidRPr="00A11EF1">
              <w:rPr>
                <w:rFonts w:cs="Arial"/>
                <w:b/>
                <w:bCs/>
                <w:color w:val="000000"/>
                <w:sz w:val="16"/>
                <w:szCs w:val="16"/>
              </w:rPr>
              <w:t>17%</w:t>
            </w:r>
          </w:p>
        </w:tc>
        <w:tc>
          <w:tcPr>
            <w:tcW w:w="1532" w:type="dxa"/>
            <w:tcBorders>
              <w:bottom w:val="single" w:sz="8" w:space="0" w:color="000000"/>
              <w:right w:val="single" w:sz="8" w:space="0" w:color="000000"/>
            </w:tcBorders>
            <w:shd w:val="clear" w:color="auto" w:fill="DDEBF7"/>
            <w:noWrap/>
            <w:tcMar>
              <w:top w:w="0" w:type="dxa"/>
              <w:left w:w="70" w:type="dxa"/>
              <w:bottom w:w="0" w:type="dxa"/>
              <w:right w:w="70" w:type="dxa"/>
            </w:tcMar>
            <w:vAlign w:val="center"/>
          </w:tcPr>
          <w:p w14:paraId="6512F93E" w14:textId="77777777" w:rsidR="000E7A5A" w:rsidRPr="00A11EF1" w:rsidRDefault="00306071" w:rsidP="00E247FF">
            <w:pPr>
              <w:spacing w:before="240" w:after="0" w:line="276" w:lineRule="auto"/>
              <w:jc w:val="right"/>
              <w:rPr>
                <w:rFonts w:cs="Arial"/>
                <w:b/>
                <w:bCs/>
                <w:color w:val="000000"/>
                <w:sz w:val="16"/>
                <w:szCs w:val="16"/>
              </w:rPr>
            </w:pPr>
            <w:r w:rsidRPr="00A11EF1">
              <w:rPr>
                <w:rFonts w:cs="Arial"/>
                <w:b/>
                <w:bCs/>
                <w:color w:val="000000"/>
                <w:sz w:val="16"/>
                <w:szCs w:val="16"/>
              </w:rPr>
              <w:t>74.248.266</w:t>
            </w:r>
          </w:p>
        </w:tc>
        <w:tc>
          <w:tcPr>
            <w:tcW w:w="1532" w:type="dxa"/>
            <w:tcBorders>
              <w:bottom w:val="single" w:sz="8" w:space="0" w:color="000000"/>
              <w:right w:val="single" w:sz="8" w:space="0" w:color="000000"/>
            </w:tcBorders>
            <w:shd w:val="clear" w:color="auto" w:fill="DDEBF7"/>
            <w:noWrap/>
            <w:tcMar>
              <w:top w:w="0" w:type="dxa"/>
              <w:left w:w="70" w:type="dxa"/>
              <w:bottom w:w="0" w:type="dxa"/>
              <w:right w:w="70" w:type="dxa"/>
            </w:tcMar>
            <w:vAlign w:val="center"/>
          </w:tcPr>
          <w:p w14:paraId="23F0BB75" w14:textId="77777777" w:rsidR="000E7A5A" w:rsidRPr="00A11EF1" w:rsidRDefault="00306071" w:rsidP="007664ED">
            <w:pPr>
              <w:keepNext/>
              <w:spacing w:before="240" w:after="0" w:line="276" w:lineRule="auto"/>
              <w:jc w:val="center"/>
              <w:rPr>
                <w:rFonts w:cs="Arial"/>
                <w:b/>
                <w:bCs/>
                <w:color w:val="000000"/>
                <w:sz w:val="16"/>
                <w:szCs w:val="16"/>
              </w:rPr>
            </w:pPr>
            <w:r w:rsidRPr="00A11EF1">
              <w:rPr>
                <w:rFonts w:cs="Arial"/>
                <w:b/>
                <w:bCs/>
                <w:color w:val="000000"/>
                <w:sz w:val="16"/>
                <w:szCs w:val="16"/>
              </w:rPr>
              <w:t>2%</w:t>
            </w:r>
          </w:p>
        </w:tc>
      </w:tr>
    </w:tbl>
    <w:p w14:paraId="79223232" w14:textId="1067BF35" w:rsidR="007664ED" w:rsidRPr="00FF43D4" w:rsidRDefault="007664ED" w:rsidP="007664ED">
      <w:pPr>
        <w:pStyle w:val="Napis"/>
        <w:spacing w:after="0"/>
        <w:rPr>
          <w:rFonts w:cs="Arial"/>
          <w:b w:val="0"/>
          <w:bCs w:val="0"/>
          <w:color w:val="auto"/>
          <w:sz w:val="18"/>
          <w:szCs w:val="18"/>
        </w:rPr>
      </w:pPr>
      <w:r w:rsidRPr="00FF43D4">
        <w:rPr>
          <w:rFonts w:cs="Arial"/>
          <w:b w:val="0"/>
          <w:bCs w:val="0"/>
          <w:color w:val="auto"/>
          <w:sz w:val="18"/>
          <w:szCs w:val="18"/>
        </w:rPr>
        <w:t xml:space="preserve">Vir: e-MA2, MKRR, </w:t>
      </w:r>
      <w:proofErr w:type="spellStart"/>
      <w:r w:rsidRPr="00FF43D4">
        <w:rPr>
          <w:rFonts w:cs="Arial"/>
          <w:b w:val="0"/>
          <w:bCs w:val="0"/>
          <w:color w:val="auto"/>
          <w:sz w:val="18"/>
          <w:szCs w:val="18"/>
        </w:rPr>
        <w:t>MFeRAC</w:t>
      </w:r>
      <w:proofErr w:type="spellEnd"/>
      <w:r w:rsidRPr="00FF43D4">
        <w:rPr>
          <w:rFonts w:cs="Arial"/>
          <w:b w:val="0"/>
          <w:bCs w:val="0"/>
          <w:color w:val="auto"/>
          <w:sz w:val="18"/>
          <w:szCs w:val="18"/>
        </w:rPr>
        <w:t>, MF</w:t>
      </w:r>
    </w:p>
    <w:p w14:paraId="64C5AB8F" w14:textId="77777777" w:rsidR="006A2AF1" w:rsidRPr="006A2AF1" w:rsidRDefault="006A2AF1" w:rsidP="006A2AF1">
      <w:pPr>
        <w:spacing w:after="0"/>
      </w:pPr>
    </w:p>
    <w:p w14:paraId="21FA6EAD" w14:textId="77777777" w:rsidR="000E7A5A" w:rsidRPr="001451CD" w:rsidRDefault="00306071" w:rsidP="00E247FF">
      <w:pPr>
        <w:spacing w:after="0" w:line="276" w:lineRule="auto"/>
        <w:contextualSpacing/>
        <w:jc w:val="both"/>
        <w:rPr>
          <w:rFonts w:eastAsia="SimSun" w:cs="Arial"/>
          <w:sz w:val="18"/>
          <w:szCs w:val="18"/>
          <w:lang w:eastAsia="zh-CN"/>
        </w:rPr>
      </w:pPr>
      <w:r w:rsidRPr="001451CD">
        <w:rPr>
          <w:rFonts w:eastAsia="SimSun" w:cs="Arial"/>
          <w:sz w:val="18"/>
          <w:szCs w:val="18"/>
          <w:lang w:eastAsia="zh-CN"/>
        </w:rPr>
        <w:t>* Razpoložljiva sredstva/pravice porabe EKP za obdobje 2021−2027 (EU del) – PEKP 21–27.</w:t>
      </w:r>
    </w:p>
    <w:p w14:paraId="1F74B798" w14:textId="77777777" w:rsidR="000E7A5A" w:rsidRPr="001451CD" w:rsidRDefault="00306071" w:rsidP="00E247FF">
      <w:pPr>
        <w:spacing w:after="0" w:line="276" w:lineRule="auto"/>
        <w:contextualSpacing/>
        <w:jc w:val="both"/>
        <w:rPr>
          <w:rFonts w:eastAsia="SimSun" w:cs="Arial"/>
          <w:sz w:val="18"/>
          <w:szCs w:val="18"/>
          <w:lang w:eastAsia="zh-CN"/>
        </w:rPr>
      </w:pPr>
      <w:r w:rsidRPr="001451CD">
        <w:rPr>
          <w:rFonts w:eastAsia="SimSun" w:cs="Arial"/>
          <w:sz w:val="18"/>
          <w:szCs w:val="18"/>
          <w:lang w:eastAsia="zh-CN"/>
        </w:rPr>
        <w:t xml:space="preserve">** Odločitve o podpori zajemajo vrednost vlog za posamezen projekt, program ali javni razpis/poziv, brez neupravičenih stroškov. </w:t>
      </w:r>
    </w:p>
    <w:p w14:paraId="5BB40667" w14:textId="77777777" w:rsidR="000E7A5A" w:rsidRPr="001451CD" w:rsidRDefault="00306071" w:rsidP="00E247FF">
      <w:pPr>
        <w:spacing w:after="0" w:line="276" w:lineRule="auto"/>
        <w:contextualSpacing/>
        <w:jc w:val="both"/>
        <w:rPr>
          <w:rFonts w:eastAsia="SimSun" w:cs="Arial"/>
          <w:sz w:val="18"/>
          <w:szCs w:val="18"/>
          <w:lang w:eastAsia="zh-CN"/>
        </w:rPr>
      </w:pPr>
      <w:r w:rsidRPr="001451CD">
        <w:rPr>
          <w:rFonts w:eastAsia="SimSun" w:cs="Arial"/>
          <w:sz w:val="18"/>
          <w:szCs w:val="18"/>
          <w:lang w:eastAsia="zh-CN"/>
        </w:rPr>
        <w:t>*** Potrjene operacije pomenijo pogodbe o sofinanciranju oziroma odločitve o podpori, kadar je upravičenec neposredni proračunski uporabnik.</w:t>
      </w:r>
    </w:p>
    <w:p w14:paraId="24668280" w14:textId="77777777" w:rsidR="000E7A5A" w:rsidRPr="001451CD" w:rsidRDefault="00306071" w:rsidP="00E247FF">
      <w:pPr>
        <w:spacing w:after="0" w:line="276" w:lineRule="auto"/>
        <w:contextualSpacing/>
        <w:jc w:val="both"/>
        <w:rPr>
          <w:rFonts w:eastAsia="SimSun" w:cs="Arial"/>
          <w:sz w:val="18"/>
          <w:szCs w:val="18"/>
          <w:lang w:eastAsia="zh-CN"/>
        </w:rPr>
        <w:sectPr w:rsidR="000E7A5A" w:rsidRPr="001451CD" w:rsidSect="007302F7">
          <w:headerReference w:type="even" r:id="rId22"/>
          <w:headerReference w:type="default" r:id="rId23"/>
          <w:footerReference w:type="default" r:id="rId24"/>
          <w:headerReference w:type="first" r:id="rId25"/>
          <w:pgSz w:w="16838" w:h="11906" w:orient="landscape"/>
          <w:pgMar w:top="1418" w:right="1418" w:bottom="1418" w:left="1418" w:header="708" w:footer="708" w:gutter="0"/>
          <w:cols w:space="708"/>
          <w:docGrid w:linePitch="272"/>
        </w:sectPr>
      </w:pPr>
      <w:r w:rsidRPr="001451CD">
        <w:rPr>
          <w:rFonts w:eastAsia="SimSun" w:cs="Arial"/>
          <w:sz w:val="18"/>
          <w:szCs w:val="18"/>
          <w:lang w:eastAsia="zh-CN"/>
        </w:rPr>
        <w:t xml:space="preserve">**** Izplačila iz državnega proračuna (vir: </w:t>
      </w:r>
      <w:proofErr w:type="spellStart"/>
      <w:r w:rsidRPr="001451CD">
        <w:rPr>
          <w:rFonts w:eastAsia="SimSun" w:cs="Arial"/>
          <w:sz w:val="18"/>
          <w:szCs w:val="18"/>
          <w:lang w:eastAsia="zh-CN"/>
        </w:rPr>
        <w:t>MFeRAC</w:t>
      </w:r>
      <w:proofErr w:type="spellEnd"/>
      <w:r w:rsidRPr="001451CD">
        <w:rPr>
          <w:rFonts w:eastAsia="SimSun" w:cs="Arial"/>
          <w:sz w:val="18"/>
          <w:szCs w:val="18"/>
          <w:lang w:eastAsia="zh-CN"/>
        </w:rPr>
        <w:t>, izpis za obdobje do 31. 12. 2024).</w:t>
      </w:r>
    </w:p>
    <w:p w14:paraId="612049EF" w14:textId="56673B07" w:rsidR="00AF5D74" w:rsidRPr="00AF5D74" w:rsidRDefault="00AF5D74" w:rsidP="00E247FF">
      <w:pPr>
        <w:spacing w:after="0" w:line="276" w:lineRule="auto"/>
        <w:jc w:val="both"/>
        <w:rPr>
          <w:rFonts w:cs="Arial"/>
          <w:szCs w:val="20"/>
        </w:rPr>
      </w:pPr>
      <w:r>
        <w:rPr>
          <w:rFonts w:cs="Arial"/>
          <w:szCs w:val="20"/>
        </w:rPr>
        <w:lastRenderedPageBreak/>
        <w:t>Tabela prikazuje stanje izvajanja v celotnem obdobju izvajanja do konca decembra 2024:</w:t>
      </w:r>
    </w:p>
    <w:p w14:paraId="71D3F54A" w14:textId="76DDAD0F" w:rsidR="000E7A5A" w:rsidRPr="00AF5D74" w:rsidRDefault="00306071" w:rsidP="00E247FF">
      <w:pPr>
        <w:numPr>
          <w:ilvl w:val="0"/>
          <w:numId w:val="14"/>
        </w:numPr>
        <w:spacing w:after="0" w:line="276" w:lineRule="auto"/>
        <w:jc w:val="both"/>
        <w:rPr>
          <w:rFonts w:eastAsia="SimSun" w:cs="Arial"/>
          <w:szCs w:val="20"/>
          <w:lang w:eastAsia="zh-CN"/>
        </w:rPr>
      </w:pPr>
      <w:bookmarkStart w:id="193" w:name="_Hlk156810655"/>
      <w:r w:rsidRPr="00AF5D74">
        <w:rPr>
          <w:rFonts w:eastAsia="SimSun" w:cs="Arial"/>
          <w:szCs w:val="20"/>
          <w:lang w:eastAsia="zh-CN"/>
        </w:rPr>
        <w:t xml:space="preserve">odločitve o podpori v skupni vrednosti </w:t>
      </w:r>
      <w:bookmarkStart w:id="194" w:name="_Hlk157421511"/>
      <w:r w:rsidR="007A2FDF">
        <w:rPr>
          <w:rFonts w:eastAsia="SimSun" w:cs="Arial"/>
          <w:szCs w:val="20"/>
          <w:lang w:eastAsia="zh-CN"/>
        </w:rPr>
        <w:t>791.314.116</w:t>
      </w:r>
      <w:r w:rsidRPr="00AF5D74">
        <w:rPr>
          <w:rFonts w:eastAsia="SimSun" w:cs="Arial"/>
          <w:szCs w:val="20"/>
          <w:lang w:eastAsia="zh-CN"/>
        </w:rPr>
        <w:t xml:space="preserve"> </w:t>
      </w:r>
      <w:bookmarkEnd w:id="194"/>
      <w:r w:rsidRPr="00AF5D74">
        <w:rPr>
          <w:rFonts w:eastAsia="SimSun" w:cs="Arial"/>
          <w:szCs w:val="20"/>
          <w:lang w:eastAsia="zh-CN"/>
        </w:rPr>
        <w:t>EUR (EU del), kar je 2</w:t>
      </w:r>
      <w:r w:rsidR="007A2FDF">
        <w:rPr>
          <w:rFonts w:eastAsia="SimSun" w:cs="Arial"/>
          <w:szCs w:val="20"/>
          <w:lang w:eastAsia="zh-CN"/>
        </w:rPr>
        <w:t>5</w:t>
      </w:r>
      <w:r w:rsidRPr="00AF5D74">
        <w:rPr>
          <w:rFonts w:eastAsia="SimSun" w:cs="Arial"/>
          <w:szCs w:val="20"/>
          <w:lang w:eastAsia="zh-CN"/>
        </w:rPr>
        <w:t xml:space="preserve"> % vseh razpoložljivih sredstev (1. faza);</w:t>
      </w:r>
    </w:p>
    <w:p w14:paraId="6B761E4D" w14:textId="369ADB1C" w:rsidR="000E7A5A" w:rsidRPr="00AF5D74" w:rsidRDefault="00306071" w:rsidP="00E247FF">
      <w:pPr>
        <w:numPr>
          <w:ilvl w:val="0"/>
          <w:numId w:val="15"/>
        </w:numPr>
        <w:spacing w:after="0" w:line="276" w:lineRule="auto"/>
        <w:jc w:val="both"/>
        <w:rPr>
          <w:rFonts w:eastAsia="SimSun" w:cs="Arial"/>
          <w:szCs w:val="20"/>
          <w:lang w:eastAsia="zh-CN"/>
        </w:rPr>
      </w:pPr>
      <w:r w:rsidRPr="00AF5D74">
        <w:rPr>
          <w:rFonts w:eastAsia="SimSun" w:cs="Arial"/>
          <w:szCs w:val="20"/>
          <w:lang w:eastAsia="zh-CN"/>
        </w:rPr>
        <w:t xml:space="preserve">znesek potrjenih operacij v skupni vrednosti </w:t>
      </w:r>
      <w:bookmarkStart w:id="195" w:name="_Hlk157421552"/>
      <w:r w:rsidR="007A2FDF">
        <w:rPr>
          <w:rFonts w:eastAsia="SimSun" w:cs="Arial"/>
          <w:szCs w:val="20"/>
          <w:lang w:eastAsia="zh-CN"/>
        </w:rPr>
        <w:t>521.413.805</w:t>
      </w:r>
      <w:r w:rsidRPr="00AF5D74">
        <w:rPr>
          <w:rFonts w:eastAsia="SimSun" w:cs="Arial"/>
          <w:szCs w:val="20"/>
          <w:lang w:eastAsia="zh-CN"/>
        </w:rPr>
        <w:t xml:space="preserve"> </w:t>
      </w:r>
      <w:bookmarkEnd w:id="195"/>
      <w:r w:rsidRPr="00AF5D74">
        <w:rPr>
          <w:rFonts w:eastAsia="SimSun" w:cs="Arial"/>
          <w:szCs w:val="20"/>
          <w:lang w:eastAsia="zh-CN"/>
        </w:rPr>
        <w:t>EUR (EU del), kar je 1</w:t>
      </w:r>
      <w:r w:rsidR="007A2FDF">
        <w:rPr>
          <w:rFonts w:eastAsia="SimSun" w:cs="Arial"/>
          <w:szCs w:val="20"/>
          <w:lang w:eastAsia="zh-CN"/>
        </w:rPr>
        <w:t>7</w:t>
      </w:r>
      <w:r w:rsidRPr="00AF5D74">
        <w:rPr>
          <w:rFonts w:eastAsia="SimSun" w:cs="Arial"/>
          <w:szCs w:val="20"/>
          <w:lang w:eastAsia="zh-CN"/>
        </w:rPr>
        <w:t xml:space="preserve"> % razpoložljivih sredstev (2. faza);</w:t>
      </w:r>
    </w:p>
    <w:p w14:paraId="2D756B15" w14:textId="4DE14A62" w:rsidR="000E7A5A" w:rsidRPr="00AF5D74" w:rsidRDefault="00306071" w:rsidP="00E247FF">
      <w:pPr>
        <w:numPr>
          <w:ilvl w:val="0"/>
          <w:numId w:val="15"/>
        </w:numPr>
        <w:spacing w:after="0" w:line="276" w:lineRule="auto"/>
        <w:jc w:val="both"/>
        <w:rPr>
          <w:rFonts w:eastAsia="SimSun" w:cs="Arial"/>
          <w:szCs w:val="20"/>
          <w:lang w:eastAsia="zh-CN"/>
        </w:rPr>
      </w:pPr>
      <w:r w:rsidRPr="00AF5D74">
        <w:rPr>
          <w:rFonts w:eastAsia="SimSun" w:cs="Arial"/>
          <w:szCs w:val="20"/>
          <w:lang w:eastAsia="zh-CN"/>
        </w:rPr>
        <w:t xml:space="preserve">izplačila iz državnega proračuna v skupni vrednosti </w:t>
      </w:r>
      <w:bookmarkStart w:id="196" w:name="_Hlk157421593"/>
      <w:r w:rsidR="007A2FDF">
        <w:rPr>
          <w:rFonts w:eastAsia="SimSun" w:cs="Arial"/>
          <w:szCs w:val="20"/>
          <w:lang w:eastAsia="zh-CN"/>
        </w:rPr>
        <w:t>7</w:t>
      </w:r>
      <w:r w:rsidRPr="00AF5D74">
        <w:rPr>
          <w:rFonts w:eastAsia="SimSun" w:cs="Arial"/>
          <w:szCs w:val="20"/>
          <w:lang w:eastAsia="zh-CN"/>
        </w:rPr>
        <w:t>4.</w:t>
      </w:r>
      <w:bookmarkEnd w:id="196"/>
      <w:r w:rsidR="007A2FDF">
        <w:rPr>
          <w:rFonts w:eastAsia="SimSun" w:cs="Arial"/>
          <w:szCs w:val="20"/>
          <w:lang w:eastAsia="zh-CN"/>
        </w:rPr>
        <w:t>248.266 EUR</w:t>
      </w:r>
      <w:r w:rsidRPr="00AF5D74">
        <w:rPr>
          <w:rFonts w:eastAsia="SimSun" w:cs="Arial"/>
          <w:szCs w:val="20"/>
          <w:lang w:eastAsia="zh-CN"/>
        </w:rPr>
        <w:t xml:space="preserve"> (EU del), kar je </w:t>
      </w:r>
      <w:r w:rsidR="007A2FDF">
        <w:rPr>
          <w:rFonts w:eastAsia="SimSun" w:cs="Arial"/>
          <w:szCs w:val="20"/>
          <w:lang w:eastAsia="zh-CN"/>
        </w:rPr>
        <w:t>2</w:t>
      </w:r>
      <w:r w:rsidRPr="00AF5D74">
        <w:rPr>
          <w:rFonts w:eastAsia="SimSun" w:cs="Arial"/>
          <w:szCs w:val="20"/>
          <w:lang w:eastAsia="zh-CN"/>
        </w:rPr>
        <w:t xml:space="preserve"> % razpoložljivih sredstev (3. faza); </w:t>
      </w:r>
    </w:p>
    <w:p w14:paraId="0C99C8E4" w14:textId="77777777" w:rsidR="000E7A5A" w:rsidRPr="00B9113E" w:rsidRDefault="00306071" w:rsidP="00E247FF">
      <w:pPr>
        <w:numPr>
          <w:ilvl w:val="0"/>
          <w:numId w:val="15"/>
        </w:numPr>
        <w:autoSpaceDE w:val="0"/>
        <w:spacing w:after="0" w:line="276" w:lineRule="auto"/>
        <w:jc w:val="both"/>
        <w:rPr>
          <w:rFonts w:cs="Arial"/>
          <w:szCs w:val="20"/>
        </w:rPr>
      </w:pPr>
      <w:r w:rsidRPr="00B9113E">
        <w:rPr>
          <w:rFonts w:eastAsia="SimSun" w:cs="Arial"/>
          <w:szCs w:val="20"/>
          <w:lang w:eastAsia="zh-CN"/>
        </w:rPr>
        <w:t>certificirani izdatki v skupni vrednosti 0 EUR (EU del), kar je 0 % razpoložljivih sredstev (4. faza)</w:t>
      </w:r>
      <w:r w:rsidRPr="00B9113E">
        <w:rPr>
          <w:rFonts w:eastAsia="Calibri" w:cs="Arial"/>
          <w:color w:val="000000"/>
          <w:szCs w:val="20"/>
        </w:rPr>
        <w:t>.</w:t>
      </w:r>
      <w:bookmarkEnd w:id="193"/>
    </w:p>
    <w:p w14:paraId="02BC9884" w14:textId="77777777" w:rsidR="000E7A5A" w:rsidRPr="00B9113E" w:rsidRDefault="000E7A5A" w:rsidP="00E247FF">
      <w:pPr>
        <w:spacing w:after="0" w:line="276" w:lineRule="auto"/>
        <w:jc w:val="both"/>
        <w:rPr>
          <w:rFonts w:cs="Arial"/>
          <w:szCs w:val="20"/>
        </w:rPr>
      </w:pPr>
    </w:p>
    <w:p w14:paraId="1DA6DAB5" w14:textId="064D6AF7" w:rsidR="000C1654" w:rsidRPr="00B9113E" w:rsidRDefault="00306071" w:rsidP="00E247FF">
      <w:pPr>
        <w:spacing w:after="0" w:line="276" w:lineRule="auto"/>
        <w:jc w:val="both"/>
        <w:rPr>
          <w:rFonts w:cs="Arial"/>
          <w:szCs w:val="20"/>
        </w:rPr>
      </w:pPr>
      <w:r w:rsidRPr="00B9113E">
        <w:rPr>
          <w:rFonts w:cs="Arial"/>
          <w:szCs w:val="20"/>
        </w:rPr>
        <w:t>Slovenija na podlagi Programa EKP 2021–2027 izvaja naslednje vsebine v okviru desetih prednostnih nalog:</w:t>
      </w:r>
    </w:p>
    <w:p w14:paraId="120A198D" w14:textId="77777777" w:rsidR="000E7A5A" w:rsidRPr="00B9113E" w:rsidRDefault="00306071" w:rsidP="00E247FF">
      <w:pPr>
        <w:numPr>
          <w:ilvl w:val="0"/>
          <w:numId w:val="16"/>
        </w:numPr>
        <w:spacing w:after="0" w:line="276" w:lineRule="auto"/>
        <w:jc w:val="both"/>
        <w:rPr>
          <w:rFonts w:cs="Arial"/>
          <w:szCs w:val="20"/>
        </w:rPr>
      </w:pPr>
      <w:r w:rsidRPr="00B9113E">
        <w:rPr>
          <w:rFonts w:cs="Arial"/>
          <w:szCs w:val="20"/>
        </w:rPr>
        <w:t>Prednostna naloga 1: Inovacijska družba znanja</w:t>
      </w:r>
    </w:p>
    <w:p w14:paraId="28830367" w14:textId="77777777" w:rsidR="000E7A5A" w:rsidRPr="00B9113E" w:rsidRDefault="00306071" w:rsidP="00E247FF">
      <w:pPr>
        <w:numPr>
          <w:ilvl w:val="0"/>
          <w:numId w:val="16"/>
        </w:numPr>
        <w:spacing w:after="0" w:line="276" w:lineRule="auto"/>
        <w:jc w:val="both"/>
        <w:rPr>
          <w:rFonts w:cs="Arial"/>
          <w:szCs w:val="20"/>
        </w:rPr>
      </w:pPr>
      <w:r w:rsidRPr="00B9113E">
        <w:rPr>
          <w:rFonts w:cs="Arial"/>
          <w:szCs w:val="20"/>
        </w:rPr>
        <w:t>Prednostna naloga 2: Digitalna povezljivost</w:t>
      </w:r>
    </w:p>
    <w:p w14:paraId="45263D57" w14:textId="77777777" w:rsidR="000E7A5A" w:rsidRPr="00B9113E" w:rsidRDefault="00306071" w:rsidP="00E247FF">
      <w:pPr>
        <w:numPr>
          <w:ilvl w:val="0"/>
          <w:numId w:val="16"/>
        </w:numPr>
        <w:spacing w:after="0" w:line="276" w:lineRule="auto"/>
        <w:jc w:val="both"/>
        <w:rPr>
          <w:rFonts w:cs="Arial"/>
          <w:szCs w:val="20"/>
        </w:rPr>
      </w:pPr>
      <w:r w:rsidRPr="00B9113E">
        <w:rPr>
          <w:rFonts w:cs="Arial"/>
          <w:szCs w:val="20"/>
        </w:rPr>
        <w:t>Prednostna naloga 3: Zelena preobrazba za podnebno nevtralnost</w:t>
      </w:r>
    </w:p>
    <w:p w14:paraId="670C11EA" w14:textId="77777777" w:rsidR="000E7A5A" w:rsidRPr="00B9113E" w:rsidRDefault="00306071" w:rsidP="00E247FF">
      <w:pPr>
        <w:numPr>
          <w:ilvl w:val="0"/>
          <w:numId w:val="16"/>
        </w:numPr>
        <w:spacing w:after="0" w:line="276" w:lineRule="auto"/>
        <w:jc w:val="both"/>
        <w:rPr>
          <w:rFonts w:cs="Arial"/>
          <w:szCs w:val="20"/>
        </w:rPr>
      </w:pPr>
      <w:r w:rsidRPr="00B9113E">
        <w:rPr>
          <w:rFonts w:cs="Arial"/>
          <w:szCs w:val="20"/>
        </w:rPr>
        <w:t>Prednostna naloga 4: Trajnostna urbana mobilnost</w:t>
      </w:r>
    </w:p>
    <w:p w14:paraId="551819A5" w14:textId="77777777" w:rsidR="000E7A5A" w:rsidRPr="00B9113E" w:rsidRDefault="00306071" w:rsidP="00E247FF">
      <w:pPr>
        <w:numPr>
          <w:ilvl w:val="0"/>
          <w:numId w:val="16"/>
        </w:numPr>
        <w:spacing w:after="0" w:line="276" w:lineRule="auto"/>
        <w:jc w:val="both"/>
        <w:rPr>
          <w:rFonts w:cs="Arial"/>
          <w:szCs w:val="20"/>
        </w:rPr>
      </w:pPr>
      <w:r w:rsidRPr="00B9113E">
        <w:rPr>
          <w:rFonts w:cs="Arial"/>
          <w:szCs w:val="20"/>
        </w:rPr>
        <w:t>Prednostna naloga 5: Trajnostna (čez)regionalna mobilnost in povezljivost</w:t>
      </w:r>
    </w:p>
    <w:p w14:paraId="189CAE67" w14:textId="77777777" w:rsidR="000E7A5A" w:rsidRPr="00B9113E" w:rsidRDefault="00306071" w:rsidP="00E247FF">
      <w:pPr>
        <w:numPr>
          <w:ilvl w:val="0"/>
          <w:numId w:val="16"/>
        </w:numPr>
        <w:spacing w:after="0" w:line="276" w:lineRule="auto"/>
        <w:jc w:val="both"/>
        <w:rPr>
          <w:rFonts w:cs="Arial"/>
          <w:szCs w:val="20"/>
        </w:rPr>
      </w:pPr>
      <w:r w:rsidRPr="00B9113E">
        <w:rPr>
          <w:rFonts w:cs="Arial"/>
          <w:szCs w:val="20"/>
        </w:rPr>
        <w:t>Prednostna naloga 6: Znanja in spretnosti ter odzivni trg dela</w:t>
      </w:r>
    </w:p>
    <w:p w14:paraId="4DDB68A1" w14:textId="77777777" w:rsidR="000E7A5A" w:rsidRPr="00B9113E" w:rsidRDefault="00306071" w:rsidP="00E247FF">
      <w:pPr>
        <w:numPr>
          <w:ilvl w:val="0"/>
          <w:numId w:val="16"/>
        </w:numPr>
        <w:spacing w:after="0" w:line="276" w:lineRule="auto"/>
        <w:jc w:val="both"/>
        <w:rPr>
          <w:rFonts w:cs="Arial"/>
          <w:szCs w:val="20"/>
        </w:rPr>
      </w:pPr>
      <w:r w:rsidRPr="00B9113E">
        <w:rPr>
          <w:rFonts w:cs="Arial"/>
          <w:szCs w:val="20"/>
        </w:rPr>
        <w:t>Prednostna naloga 7: Dolgotrajna oskrba in zdravje ter socialna vključenost</w:t>
      </w:r>
    </w:p>
    <w:p w14:paraId="7549BFB4" w14:textId="77777777" w:rsidR="000E7A5A" w:rsidRPr="00B9113E" w:rsidRDefault="00306071" w:rsidP="00E247FF">
      <w:pPr>
        <w:numPr>
          <w:ilvl w:val="0"/>
          <w:numId w:val="16"/>
        </w:numPr>
        <w:spacing w:after="0" w:line="276" w:lineRule="auto"/>
        <w:jc w:val="both"/>
        <w:rPr>
          <w:rFonts w:cs="Arial"/>
          <w:szCs w:val="20"/>
        </w:rPr>
      </w:pPr>
      <w:r w:rsidRPr="00B9113E">
        <w:rPr>
          <w:rFonts w:cs="Arial"/>
          <w:szCs w:val="20"/>
        </w:rPr>
        <w:t>Prednostna naloga 8: Trajnostna turizem in kultura</w:t>
      </w:r>
    </w:p>
    <w:p w14:paraId="294C46B7" w14:textId="77777777" w:rsidR="000E7A5A" w:rsidRPr="00B9113E" w:rsidRDefault="00306071" w:rsidP="00E247FF">
      <w:pPr>
        <w:numPr>
          <w:ilvl w:val="0"/>
          <w:numId w:val="16"/>
        </w:numPr>
        <w:spacing w:after="0" w:line="276" w:lineRule="auto"/>
        <w:jc w:val="both"/>
        <w:rPr>
          <w:rFonts w:cs="Arial"/>
          <w:szCs w:val="20"/>
        </w:rPr>
      </w:pPr>
      <w:r w:rsidRPr="00B9113E">
        <w:rPr>
          <w:rFonts w:cs="Arial"/>
          <w:szCs w:val="20"/>
        </w:rPr>
        <w:t>Prednostna naloga 9: Trajnostni razvoj lokalnih območij</w:t>
      </w:r>
    </w:p>
    <w:p w14:paraId="6E41AABA" w14:textId="77777777" w:rsidR="000E7A5A" w:rsidRPr="00B9113E" w:rsidRDefault="00306071" w:rsidP="00E247FF">
      <w:pPr>
        <w:numPr>
          <w:ilvl w:val="0"/>
          <w:numId w:val="16"/>
        </w:numPr>
        <w:spacing w:after="0" w:line="276" w:lineRule="auto"/>
        <w:jc w:val="both"/>
        <w:rPr>
          <w:rFonts w:cs="Arial"/>
          <w:szCs w:val="20"/>
        </w:rPr>
      </w:pPr>
      <w:r w:rsidRPr="00B9113E">
        <w:rPr>
          <w:rFonts w:cs="Arial"/>
          <w:szCs w:val="20"/>
        </w:rPr>
        <w:t>Prednostna naloga 10: Prestrukturiranje premogovnih regij</w:t>
      </w:r>
    </w:p>
    <w:p w14:paraId="683F9003" w14:textId="77777777" w:rsidR="000E7A5A" w:rsidRPr="00B9113E" w:rsidRDefault="000E7A5A" w:rsidP="00E247FF">
      <w:pPr>
        <w:spacing w:after="0" w:line="276" w:lineRule="auto"/>
        <w:jc w:val="both"/>
        <w:rPr>
          <w:rFonts w:cs="Arial"/>
          <w:szCs w:val="20"/>
        </w:rPr>
      </w:pPr>
    </w:p>
    <w:p w14:paraId="6984B966" w14:textId="635E8C6E" w:rsidR="000E7A5A" w:rsidRPr="00B9113E" w:rsidRDefault="00306071" w:rsidP="00E247FF">
      <w:pPr>
        <w:spacing w:after="0" w:line="276" w:lineRule="auto"/>
        <w:jc w:val="both"/>
        <w:rPr>
          <w:rFonts w:cs="Arial"/>
          <w:szCs w:val="20"/>
        </w:rPr>
      </w:pPr>
      <w:r w:rsidRPr="00B9113E">
        <w:rPr>
          <w:rFonts w:cs="Arial"/>
          <w:szCs w:val="20"/>
        </w:rPr>
        <w:t xml:space="preserve">V tabeli </w:t>
      </w:r>
      <w:r w:rsidR="00A052DB">
        <w:rPr>
          <w:rFonts w:cs="Arial"/>
          <w:szCs w:val="20"/>
        </w:rPr>
        <w:t>2</w:t>
      </w:r>
      <w:r w:rsidRPr="00B9113E">
        <w:rPr>
          <w:rFonts w:cs="Arial"/>
          <w:szCs w:val="20"/>
        </w:rPr>
        <w:t xml:space="preserve"> so predstavljeni finančni podatki za obdobje 1. 1. 2021 </w:t>
      </w:r>
      <w:r w:rsidR="00A052DB">
        <w:rPr>
          <w:rFonts w:cs="Arial"/>
          <w:szCs w:val="20"/>
        </w:rPr>
        <w:t>do</w:t>
      </w:r>
      <w:r w:rsidRPr="00B9113E">
        <w:rPr>
          <w:rFonts w:cs="Arial"/>
          <w:szCs w:val="20"/>
        </w:rPr>
        <w:t xml:space="preserve"> 3</w:t>
      </w:r>
      <w:r w:rsidR="00A052DB">
        <w:rPr>
          <w:rFonts w:cs="Arial"/>
          <w:szCs w:val="20"/>
        </w:rPr>
        <w:t>1</w:t>
      </w:r>
      <w:r w:rsidRPr="00B9113E">
        <w:rPr>
          <w:rFonts w:cs="Arial"/>
          <w:szCs w:val="20"/>
        </w:rPr>
        <w:t xml:space="preserve">. </w:t>
      </w:r>
      <w:r w:rsidR="00A052DB">
        <w:rPr>
          <w:rFonts w:cs="Arial"/>
          <w:szCs w:val="20"/>
        </w:rPr>
        <w:t>12</w:t>
      </w:r>
      <w:r w:rsidRPr="00B9113E">
        <w:rPr>
          <w:rFonts w:cs="Arial"/>
          <w:szCs w:val="20"/>
        </w:rPr>
        <w:t>. 2024 po posameznih prednostnih nalogah.</w:t>
      </w:r>
    </w:p>
    <w:p w14:paraId="23C976FE" w14:textId="77777777" w:rsidR="000E7A5A" w:rsidRPr="00F425EA" w:rsidRDefault="000E7A5A" w:rsidP="00E247FF">
      <w:pPr>
        <w:spacing w:line="276" w:lineRule="auto"/>
        <w:jc w:val="both"/>
        <w:rPr>
          <w:rFonts w:cs="Arial"/>
          <w:sz w:val="22"/>
          <w:szCs w:val="22"/>
        </w:rPr>
        <w:sectPr w:rsidR="000E7A5A" w:rsidRPr="00F425EA">
          <w:headerReference w:type="even" r:id="rId26"/>
          <w:headerReference w:type="default" r:id="rId27"/>
          <w:footerReference w:type="default" r:id="rId28"/>
          <w:headerReference w:type="first" r:id="rId29"/>
          <w:pgSz w:w="11906" w:h="16838"/>
          <w:pgMar w:top="1418" w:right="1418" w:bottom="1418" w:left="1418" w:header="708" w:footer="708" w:gutter="0"/>
          <w:cols w:space="708"/>
        </w:sectPr>
      </w:pPr>
    </w:p>
    <w:p w14:paraId="2DF8403B" w14:textId="4D6D568E" w:rsidR="00DC25D9" w:rsidRDefault="00DC25D9" w:rsidP="0023397C">
      <w:pPr>
        <w:pStyle w:val="Napis"/>
        <w:keepNext/>
        <w:spacing w:after="0"/>
        <w:rPr>
          <w:rFonts w:cs="Arial"/>
          <w:b w:val="0"/>
          <w:bCs w:val="0"/>
          <w:sz w:val="18"/>
          <w:szCs w:val="18"/>
        </w:rPr>
      </w:pPr>
      <w:bookmarkStart w:id="197" w:name="_Toc191379191"/>
      <w:r w:rsidRPr="00D07111">
        <w:rPr>
          <w:rFonts w:cs="Arial"/>
          <w:b w:val="0"/>
          <w:bCs w:val="0"/>
          <w:sz w:val="18"/>
          <w:szCs w:val="18"/>
        </w:rPr>
        <w:lastRenderedPageBreak/>
        <w:t xml:space="preserve">Tabela </w:t>
      </w:r>
      <w:r w:rsidRPr="00D07111">
        <w:rPr>
          <w:rFonts w:cs="Arial"/>
          <w:b w:val="0"/>
          <w:bCs w:val="0"/>
          <w:sz w:val="18"/>
          <w:szCs w:val="18"/>
        </w:rPr>
        <w:fldChar w:fldCharType="begin"/>
      </w:r>
      <w:r w:rsidRPr="00D07111">
        <w:rPr>
          <w:rFonts w:cs="Arial"/>
          <w:b w:val="0"/>
          <w:bCs w:val="0"/>
          <w:sz w:val="18"/>
          <w:szCs w:val="18"/>
        </w:rPr>
        <w:instrText xml:space="preserve"> SEQ Tabela \* ARABIC </w:instrText>
      </w:r>
      <w:r w:rsidRPr="00D07111">
        <w:rPr>
          <w:rFonts w:cs="Arial"/>
          <w:b w:val="0"/>
          <w:bCs w:val="0"/>
          <w:sz w:val="18"/>
          <w:szCs w:val="18"/>
        </w:rPr>
        <w:fldChar w:fldCharType="separate"/>
      </w:r>
      <w:r w:rsidR="00064E01">
        <w:rPr>
          <w:rFonts w:cs="Arial"/>
          <w:b w:val="0"/>
          <w:bCs w:val="0"/>
          <w:noProof/>
          <w:sz w:val="18"/>
          <w:szCs w:val="18"/>
        </w:rPr>
        <w:t>2</w:t>
      </w:r>
      <w:r w:rsidRPr="00D07111">
        <w:rPr>
          <w:rFonts w:cs="Arial"/>
          <w:b w:val="0"/>
          <w:bCs w:val="0"/>
          <w:sz w:val="18"/>
          <w:szCs w:val="18"/>
        </w:rPr>
        <w:fldChar w:fldCharType="end"/>
      </w:r>
      <w:r w:rsidRPr="00D07111">
        <w:rPr>
          <w:rFonts w:cs="Arial"/>
          <w:b w:val="0"/>
          <w:bCs w:val="0"/>
          <w:sz w:val="18"/>
          <w:szCs w:val="18"/>
        </w:rPr>
        <w:t>: Izvajanje PEKP 2021–2027 po prednostnih nalogah skupaj: obdobje od 1. 1. 2021 do 31. 12. 2024</w:t>
      </w:r>
      <w:bookmarkEnd w:id="197"/>
    </w:p>
    <w:p w14:paraId="42EA2565" w14:textId="77777777" w:rsidR="0023397C" w:rsidRPr="0023397C" w:rsidRDefault="0023397C" w:rsidP="0023397C">
      <w:pPr>
        <w:spacing w:after="0"/>
      </w:pPr>
    </w:p>
    <w:tbl>
      <w:tblPr>
        <w:tblW w:w="5000" w:type="pct"/>
        <w:tblCellMar>
          <w:left w:w="10" w:type="dxa"/>
          <w:right w:w="10" w:type="dxa"/>
        </w:tblCellMar>
        <w:tblLook w:val="04A0" w:firstRow="1" w:lastRow="0" w:firstColumn="1" w:lastColumn="0" w:noHBand="0" w:noVBand="1"/>
      </w:tblPr>
      <w:tblGrid>
        <w:gridCol w:w="1827"/>
        <w:gridCol w:w="1506"/>
        <w:gridCol w:w="1267"/>
        <w:gridCol w:w="708"/>
        <w:gridCol w:w="1263"/>
        <w:gridCol w:w="706"/>
        <w:gridCol w:w="1144"/>
        <w:gridCol w:w="701"/>
        <w:gridCol w:w="222"/>
      </w:tblGrid>
      <w:tr w:rsidR="000E7A5A" w:rsidRPr="00A11EF1" w14:paraId="5727ED10" w14:textId="77777777" w:rsidTr="00EE5788">
        <w:trPr>
          <w:trHeight w:val="360"/>
        </w:trPr>
        <w:tc>
          <w:tcPr>
            <w:tcW w:w="977" w:type="pct"/>
            <w:vMerge w:val="restart"/>
            <w:tcBorders>
              <w:top w:val="single" w:sz="8" w:space="0" w:color="000000"/>
              <w:left w:val="single" w:sz="8" w:space="0" w:color="000000"/>
              <w:bottom w:val="single" w:sz="2" w:space="0" w:color="000000"/>
              <w:right w:val="single" w:sz="8" w:space="0" w:color="000000"/>
            </w:tcBorders>
            <w:shd w:val="clear" w:color="auto" w:fill="DDEBF7"/>
            <w:tcMar>
              <w:top w:w="0" w:type="dxa"/>
              <w:left w:w="70" w:type="dxa"/>
              <w:bottom w:w="0" w:type="dxa"/>
              <w:right w:w="70" w:type="dxa"/>
            </w:tcMar>
            <w:vAlign w:val="center"/>
          </w:tcPr>
          <w:p w14:paraId="5C3BDF39" w14:textId="77777777" w:rsidR="000E7A5A" w:rsidRPr="0023397C" w:rsidRDefault="00306071" w:rsidP="00A11EF1">
            <w:pPr>
              <w:spacing w:after="0" w:line="276" w:lineRule="auto"/>
              <w:jc w:val="center"/>
              <w:rPr>
                <w:rFonts w:cs="Arial"/>
                <w:b/>
                <w:bCs/>
                <w:color w:val="000000"/>
                <w:sz w:val="16"/>
                <w:szCs w:val="16"/>
              </w:rPr>
            </w:pPr>
            <w:r w:rsidRPr="0023397C">
              <w:rPr>
                <w:rFonts w:cs="Arial"/>
                <w:b/>
                <w:bCs/>
                <w:color w:val="000000"/>
                <w:sz w:val="16"/>
                <w:szCs w:val="16"/>
              </w:rPr>
              <w:t>Prednostna naloga</w:t>
            </w:r>
          </w:p>
        </w:tc>
        <w:tc>
          <w:tcPr>
            <w:tcW w:w="806" w:type="pct"/>
            <w:vMerge w:val="restart"/>
            <w:tcBorders>
              <w:top w:val="single" w:sz="8" w:space="0" w:color="000000"/>
              <w:left w:val="single" w:sz="8" w:space="0" w:color="000000"/>
              <w:bottom w:val="single" w:sz="2" w:space="0" w:color="000000"/>
              <w:right w:val="single" w:sz="8" w:space="0" w:color="000000"/>
            </w:tcBorders>
            <w:shd w:val="clear" w:color="auto" w:fill="DDEBF7"/>
            <w:tcMar>
              <w:top w:w="0" w:type="dxa"/>
              <w:left w:w="70" w:type="dxa"/>
              <w:bottom w:w="0" w:type="dxa"/>
              <w:right w:w="70" w:type="dxa"/>
            </w:tcMar>
            <w:vAlign w:val="center"/>
          </w:tcPr>
          <w:p w14:paraId="7FEF6CCA" w14:textId="77777777" w:rsidR="000E7A5A" w:rsidRPr="0023397C" w:rsidRDefault="00306071" w:rsidP="00A11EF1">
            <w:pPr>
              <w:spacing w:after="0" w:line="276" w:lineRule="auto"/>
              <w:jc w:val="center"/>
              <w:rPr>
                <w:rFonts w:cs="Arial"/>
                <w:b/>
                <w:bCs/>
                <w:color w:val="000000"/>
                <w:sz w:val="16"/>
                <w:szCs w:val="16"/>
              </w:rPr>
            </w:pPr>
            <w:r w:rsidRPr="0023397C">
              <w:rPr>
                <w:rFonts w:cs="Arial"/>
                <w:b/>
                <w:bCs/>
                <w:color w:val="000000"/>
                <w:sz w:val="16"/>
                <w:szCs w:val="16"/>
              </w:rPr>
              <w:t>Pravice porabe brez tehnične pomoči</w:t>
            </w:r>
          </w:p>
        </w:tc>
        <w:tc>
          <w:tcPr>
            <w:tcW w:w="1057" w:type="pct"/>
            <w:gridSpan w:val="2"/>
            <w:tcBorders>
              <w:top w:val="single" w:sz="8" w:space="0" w:color="000000"/>
              <w:left w:val="single" w:sz="8" w:space="0" w:color="000000"/>
              <w:bottom w:val="single" w:sz="8" w:space="0" w:color="000000"/>
              <w:right w:val="single" w:sz="8" w:space="0" w:color="000000"/>
            </w:tcBorders>
            <w:shd w:val="clear" w:color="auto" w:fill="DDEBF7"/>
            <w:tcMar>
              <w:top w:w="0" w:type="dxa"/>
              <w:left w:w="70" w:type="dxa"/>
              <w:bottom w:w="0" w:type="dxa"/>
              <w:right w:w="70" w:type="dxa"/>
            </w:tcMar>
            <w:vAlign w:val="center"/>
          </w:tcPr>
          <w:p w14:paraId="1F2D6E7B" w14:textId="77777777" w:rsidR="000E7A5A" w:rsidRPr="0023397C" w:rsidRDefault="00306071" w:rsidP="00A11EF1">
            <w:pPr>
              <w:spacing w:after="0" w:line="276" w:lineRule="auto"/>
              <w:jc w:val="center"/>
              <w:rPr>
                <w:rFonts w:cs="Arial"/>
                <w:color w:val="000000"/>
                <w:sz w:val="16"/>
                <w:szCs w:val="16"/>
              </w:rPr>
            </w:pPr>
            <w:r w:rsidRPr="0023397C">
              <w:rPr>
                <w:rFonts w:cs="Arial"/>
                <w:color w:val="000000"/>
                <w:sz w:val="16"/>
                <w:szCs w:val="16"/>
              </w:rPr>
              <w:t>A</w:t>
            </w:r>
          </w:p>
        </w:tc>
        <w:tc>
          <w:tcPr>
            <w:tcW w:w="1054" w:type="pct"/>
            <w:gridSpan w:val="2"/>
            <w:tcBorders>
              <w:top w:val="single" w:sz="8" w:space="0" w:color="000000"/>
              <w:bottom w:val="single" w:sz="8" w:space="0" w:color="000000"/>
              <w:right w:val="single" w:sz="8" w:space="0" w:color="000000"/>
            </w:tcBorders>
            <w:shd w:val="clear" w:color="auto" w:fill="DDEBF7"/>
            <w:tcMar>
              <w:top w:w="0" w:type="dxa"/>
              <w:left w:w="70" w:type="dxa"/>
              <w:bottom w:w="0" w:type="dxa"/>
              <w:right w:w="70" w:type="dxa"/>
            </w:tcMar>
            <w:vAlign w:val="center"/>
          </w:tcPr>
          <w:p w14:paraId="2CF42A25" w14:textId="77777777" w:rsidR="000E7A5A" w:rsidRPr="0023397C" w:rsidRDefault="00306071" w:rsidP="00A11EF1">
            <w:pPr>
              <w:spacing w:after="0" w:line="276" w:lineRule="auto"/>
              <w:jc w:val="center"/>
              <w:rPr>
                <w:rFonts w:cs="Arial"/>
                <w:color w:val="000000"/>
                <w:sz w:val="16"/>
                <w:szCs w:val="16"/>
              </w:rPr>
            </w:pPr>
            <w:r w:rsidRPr="0023397C">
              <w:rPr>
                <w:rFonts w:cs="Arial"/>
                <w:color w:val="000000"/>
                <w:sz w:val="16"/>
                <w:szCs w:val="16"/>
              </w:rPr>
              <w:t>B</w:t>
            </w:r>
          </w:p>
        </w:tc>
        <w:tc>
          <w:tcPr>
            <w:tcW w:w="987" w:type="pct"/>
            <w:gridSpan w:val="2"/>
            <w:tcBorders>
              <w:top w:val="single" w:sz="8" w:space="0" w:color="000000"/>
              <w:bottom w:val="single" w:sz="8" w:space="0" w:color="000000"/>
              <w:right w:val="single" w:sz="8" w:space="0" w:color="000000"/>
            </w:tcBorders>
            <w:shd w:val="clear" w:color="auto" w:fill="DDEBF7"/>
            <w:tcMar>
              <w:top w:w="0" w:type="dxa"/>
              <w:left w:w="70" w:type="dxa"/>
              <w:bottom w:w="0" w:type="dxa"/>
              <w:right w:w="70" w:type="dxa"/>
            </w:tcMar>
            <w:vAlign w:val="center"/>
          </w:tcPr>
          <w:p w14:paraId="2E018F88" w14:textId="77777777" w:rsidR="000E7A5A" w:rsidRPr="0023397C" w:rsidRDefault="00306071" w:rsidP="00A11EF1">
            <w:pPr>
              <w:spacing w:after="0" w:line="276" w:lineRule="auto"/>
              <w:jc w:val="center"/>
              <w:rPr>
                <w:rFonts w:cs="Arial"/>
                <w:color w:val="000000"/>
                <w:sz w:val="16"/>
                <w:szCs w:val="16"/>
              </w:rPr>
            </w:pPr>
            <w:r w:rsidRPr="0023397C">
              <w:rPr>
                <w:rFonts w:cs="Arial"/>
                <w:color w:val="000000"/>
                <w:sz w:val="16"/>
                <w:szCs w:val="16"/>
              </w:rPr>
              <w:t>C</w:t>
            </w:r>
          </w:p>
        </w:tc>
        <w:tc>
          <w:tcPr>
            <w:tcW w:w="119" w:type="pct"/>
            <w:shd w:val="clear" w:color="auto" w:fill="auto"/>
            <w:tcMar>
              <w:top w:w="0" w:type="dxa"/>
              <w:left w:w="108" w:type="dxa"/>
              <w:bottom w:w="0" w:type="dxa"/>
              <w:right w:w="108" w:type="dxa"/>
            </w:tcMar>
            <w:vAlign w:val="center"/>
          </w:tcPr>
          <w:p w14:paraId="0CEC0FD4" w14:textId="77777777" w:rsidR="000E7A5A" w:rsidRPr="00A11EF1" w:rsidRDefault="000E7A5A" w:rsidP="0023397C">
            <w:pPr>
              <w:spacing w:line="276" w:lineRule="auto"/>
              <w:rPr>
                <w:rFonts w:cs="Arial"/>
                <w:sz w:val="16"/>
                <w:szCs w:val="16"/>
              </w:rPr>
            </w:pPr>
          </w:p>
        </w:tc>
      </w:tr>
      <w:tr w:rsidR="000E7A5A" w:rsidRPr="00A11EF1" w14:paraId="6C8308CA" w14:textId="77777777" w:rsidTr="00EE5788">
        <w:trPr>
          <w:trHeight w:val="450"/>
        </w:trPr>
        <w:tc>
          <w:tcPr>
            <w:tcW w:w="977" w:type="pct"/>
            <w:vMerge/>
            <w:tcBorders>
              <w:top w:val="single" w:sz="8" w:space="0" w:color="000000"/>
              <w:left w:val="single" w:sz="8" w:space="0" w:color="000000"/>
              <w:bottom w:val="single" w:sz="2" w:space="0" w:color="000000"/>
              <w:right w:val="single" w:sz="8" w:space="0" w:color="000000"/>
            </w:tcBorders>
            <w:shd w:val="clear" w:color="auto" w:fill="DDEBF7"/>
            <w:tcMar>
              <w:top w:w="0" w:type="dxa"/>
              <w:left w:w="70" w:type="dxa"/>
              <w:bottom w:w="0" w:type="dxa"/>
              <w:right w:w="70" w:type="dxa"/>
            </w:tcMar>
            <w:vAlign w:val="center"/>
          </w:tcPr>
          <w:p w14:paraId="31BE6FBB" w14:textId="77777777" w:rsidR="000E7A5A" w:rsidRPr="00A11EF1" w:rsidRDefault="000E7A5A" w:rsidP="0023397C">
            <w:pPr>
              <w:spacing w:line="276" w:lineRule="auto"/>
              <w:rPr>
                <w:rFonts w:cs="Arial"/>
                <w:sz w:val="16"/>
                <w:szCs w:val="16"/>
              </w:rPr>
            </w:pPr>
          </w:p>
        </w:tc>
        <w:tc>
          <w:tcPr>
            <w:tcW w:w="806" w:type="pct"/>
            <w:vMerge/>
            <w:tcBorders>
              <w:top w:val="single" w:sz="8" w:space="0" w:color="000000"/>
              <w:left w:val="single" w:sz="8" w:space="0" w:color="000000"/>
              <w:bottom w:val="single" w:sz="2" w:space="0" w:color="000000"/>
              <w:right w:val="single" w:sz="8" w:space="0" w:color="000000"/>
            </w:tcBorders>
            <w:shd w:val="clear" w:color="auto" w:fill="DDEBF7"/>
            <w:tcMar>
              <w:top w:w="0" w:type="dxa"/>
              <w:left w:w="70" w:type="dxa"/>
              <w:bottom w:w="0" w:type="dxa"/>
              <w:right w:w="70" w:type="dxa"/>
            </w:tcMar>
            <w:vAlign w:val="center"/>
          </w:tcPr>
          <w:p w14:paraId="71D12881" w14:textId="77777777" w:rsidR="000E7A5A" w:rsidRPr="00A11EF1" w:rsidRDefault="000E7A5A" w:rsidP="0023397C">
            <w:pPr>
              <w:spacing w:line="276" w:lineRule="auto"/>
              <w:rPr>
                <w:rFonts w:cs="Arial"/>
                <w:sz w:val="16"/>
                <w:szCs w:val="16"/>
              </w:rPr>
            </w:pPr>
          </w:p>
        </w:tc>
        <w:tc>
          <w:tcPr>
            <w:tcW w:w="1057" w:type="pct"/>
            <w:gridSpan w:val="2"/>
            <w:vMerge w:val="restart"/>
            <w:tcBorders>
              <w:top w:val="single" w:sz="8" w:space="0" w:color="000000"/>
              <w:bottom w:val="single" w:sz="2" w:space="0" w:color="000000"/>
              <w:right w:val="single" w:sz="8" w:space="0" w:color="000000"/>
            </w:tcBorders>
            <w:shd w:val="clear" w:color="auto" w:fill="DDEBF7"/>
            <w:tcMar>
              <w:top w:w="0" w:type="dxa"/>
              <w:left w:w="70" w:type="dxa"/>
              <w:bottom w:w="0" w:type="dxa"/>
              <w:right w:w="70" w:type="dxa"/>
            </w:tcMar>
          </w:tcPr>
          <w:p w14:paraId="000BD953" w14:textId="77777777" w:rsidR="000E7A5A" w:rsidRPr="0023397C" w:rsidRDefault="00306071" w:rsidP="00A11EF1">
            <w:pPr>
              <w:spacing w:after="0" w:line="276" w:lineRule="auto"/>
              <w:jc w:val="center"/>
              <w:rPr>
                <w:rFonts w:cs="Arial"/>
                <w:b/>
                <w:bCs/>
                <w:color w:val="000000"/>
                <w:sz w:val="16"/>
                <w:szCs w:val="16"/>
              </w:rPr>
            </w:pPr>
            <w:r w:rsidRPr="0023397C">
              <w:rPr>
                <w:rFonts w:cs="Arial"/>
                <w:b/>
                <w:bCs/>
                <w:color w:val="000000"/>
                <w:sz w:val="16"/>
                <w:szCs w:val="16"/>
              </w:rPr>
              <w:t>Odločitve o podpori 31.12.2024</w:t>
            </w:r>
          </w:p>
        </w:tc>
        <w:tc>
          <w:tcPr>
            <w:tcW w:w="1054" w:type="pct"/>
            <w:gridSpan w:val="2"/>
            <w:vMerge w:val="restart"/>
            <w:tcBorders>
              <w:top w:val="single" w:sz="8" w:space="0" w:color="000000"/>
              <w:bottom w:val="single" w:sz="2" w:space="0" w:color="000000"/>
              <w:right w:val="single" w:sz="8" w:space="0" w:color="000000"/>
            </w:tcBorders>
            <w:shd w:val="clear" w:color="auto" w:fill="DDEBF7"/>
            <w:tcMar>
              <w:top w:w="0" w:type="dxa"/>
              <w:left w:w="70" w:type="dxa"/>
              <w:bottom w:w="0" w:type="dxa"/>
              <w:right w:w="70" w:type="dxa"/>
            </w:tcMar>
          </w:tcPr>
          <w:p w14:paraId="619CED63" w14:textId="77777777" w:rsidR="000E7A5A" w:rsidRPr="0023397C" w:rsidRDefault="00306071" w:rsidP="00A11EF1">
            <w:pPr>
              <w:spacing w:after="0" w:line="276" w:lineRule="auto"/>
              <w:jc w:val="center"/>
              <w:rPr>
                <w:rFonts w:cs="Arial"/>
                <w:b/>
                <w:bCs/>
                <w:color w:val="000000"/>
                <w:sz w:val="16"/>
                <w:szCs w:val="16"/>
              </w:rPr>
            </w:pPr>
            <w:r w:rsidRPr="0023397C">
              <w:rPr>
                <w:rFonts w:cs="Arial"/>
                <w:b/>
                <w:bCs/>
                <w:color w:val="000000"/>
                <w:sz w:val="16"/>
                <w:szCs w:val="16"/>
              </w:rPr>
              <w:t>Potrjene operacije 31.12.2024</w:t>
            </w:r>
          </w:p>
        </w:tc>
        <w:tc>
          <w:tcPr>
            <w:tcW w:w="987" w:type="pct"/>
            <w:gridSpan w:val="2"/>
            <w:vMerge w:val="restart"/>
            <w:tcBorders>
              <w:top w:val="single" w:sz="8" w:space="0" w:color="000000"/>
              <w:bottom w:val="single" w:sz="2" w:space="0" w:color="000000"/>
              <w:right w:val="single" w:sz="8" w:space="0" w:color="000000"/>
            </w:tcBorders>
            <w:shd w:val="clear" w:color="auto" w:fill="DDEBF7"/>
            <w:tcMar>
              <w:top w:w="0" w:type="dxa"/>
              <w:left w:w="70" w:type="dxa"/>
              <w:bottom w:w="0" w:type="dxa"/>
              <w:right w:w="70" w:type="dxa"/>
            </w:tcMar>
          </w:tcPr>
          <w:p w14:paraId="5C4BDD8F" w14:textId="28396060" w:rsidR="000E7A5A" w:rsidRPr="0023397C" w:rsidRDefault="00306071" w:rsidP="00A11EF1">
            <w:pPr>
              <w:spacing w:after="0" w:line="276" w:lineRule="auto"/>
              <w:jc w:val="center"/>
              <w:rPr>
                <w:rFonts w:cs="Arial"/>
                <w:b/>
                <w:bCs/>
                <w:color w:val="000000"/>
                <w:sz w:val="16"/>
                <w:szCs w:val="16"/>
              </w:rPr>
            </w:pPr>
            <w:r w:rsidRPr="0023397C">
              <w:rPr>
                <w:rFonts w:cs="Arial"/>
                <w:b/>
                <w:bCs/>
                <w:color w:val="000000"/>
                <w:sz w:val="16"/>
                <w:szCs w:val="16"/>
              </w:rPr>
              <w:t>Izplačila iz DP 31.12.2024</w:t>
            </w:r>
          </w:p>
        </w:tc>
        <w:tc>
          <w:tcPr>
            <w:tcW w:w="119" w:type="pct"/>
            <w:shd w:val="clear" w:color="auto" w:fill="auto"/>
            <w:tcMar>
              <w:top w:w="0" w:type="dxa"/>
              <w:left w:w="108" w:type="dxa"/>
              <w:bottom w:w="0" w:type="dxa"/>
              <w:right w:w="108" w:type="dxa"/>
            </w:tcMar>
            <w:vAlign w:val="center"/>
          </w:tcPr>
          <w:p w14:paraId="657FA252" w14:textId="77777777" w:rsidR="000E7A5A" w:rsidRPr="00A11EF1" w:rsidRDefault="000E7A5A" w:rsidP="0023397C">
            <w:pPr>
              <w:spacing w:line="276" w:lineRule="auto"/>
              <w:rPr>
                <w:rFonts w:cs="Arial"/>
                <w:sz w:val="16"/>
                <w:szCs w:val="16"/>
              </w:rPr>
            </w:pPr>
          </w:p>
        </w:tc>
      </w:tr>
      <w:tr w:rsidR="000E7A5A" w:rsidRPr="00A11EF1" w14:paraId="459A6A6E" w14:textId="77777777" w:rsidTr="00EE5788">
        <w:trPr>
          <w:trHeight w:val="218"/>
        </w:trPr>
        <w:tc>
          <w:tcPr>
            <w:tcW w:w="977" w:type="pct"/>
            <w:vMerge/>
            <w:tcBorders>
              <w:top w:val="single" w:sz="8" w:space="0" w:color="000000"/>
              <w:left w:val="single" w:sz="8" w:space="0" w:color="000000"/>
              <w:bottom w:val="single" w:sz="2" w:space="0" w:color="000000"/>
              <w:right w:val="single" w:sz="8" w:space="0" w:color="000000"/>
            </w:tcBorders>
            <w:shd w:val="clear" w:color="auto" w:fill="DDEBF7"/>
            <w:tcMar>
              <w:top w:w="0" w:type="dxa"/>
              <w:left w:w="70" w:type="dxa"/>
              <w:bottom w:w="0" w:type="dxa"/>
              <w:right w:w="70" w:type="dxa"/>
            </w:tcMar>
            <w:vAlign w:val="center"/>
          </w:tcPr>
          <w:p w14:paraId="79F527E3" w14:textId="77777777" w:rsidR="000E7A5A" w:rsidRPr="00A11EF1" w:rsidRDefault="000E7A5A" w:rsidP="0023397C">
            <w:pPr>
              <w:spacing w:line="276" w:lineRule="auto"/>
              <w:rPr>
                <w:rFonts w:cs="Arial"/>
                <w:sz w:val="16"/>
                <w:szCs w:val="16"/>
              </w:rPr>
            </w:pPr>
          </w:p>
        </w:tc>
        <w:tc>
          <w:tcPr>
            <w:tcW w:w="806" w:type="pct"/>
            <w:vMerge/>
            <w:tcBorders>
              <w:top w:val="single" w:sz="8" w:space="0" w:color="000000"/>
              <w:left w:val="single" w:sz="8" w:space="0" w:color="000000"/>
              <w:bottom w:val="single" w:sz="2" w:space="0" w:color="000000"/>
              <w:right w:val="single" w:sz="8" w:space="0" w:color="000000"/>
            </w:tcBorders>
            <w:shd w:val="clear" w:color="auto" w:fill="DDEBF7"/>
            <w:tcMar>
              <w:top w:w="0" w:type="dxa"/>
              <w:left w:w="70" w:type="dxa"/>
              <w:bottom w:w="0" w:type="dxa"/>
              <w:right w:w="70" w:type="dxa"/>
            </w:tcMar>
            <w:vAlign w:val="center"/>
          </w:tcPr>
          <w:p w14:paraId="4D082F11" w14:textId="77777777" w:rsidR="000E7A5A" w:rsidRPr="00A11EF1" w:rsidRDefault="000E7A5A" w:rsidP="0023397C">
            <w:pPr>
              <w:spacing w:line="276" w:lineRule="auto"/>
              <w:rPr>
                <w:rFonts w:cs="Arial"/>
                <w:sz w:val="16"/>
                <w:szCs w:val="16"/>
              </w:rPr>
            </w:pPr>
          </w:p>
        </w:tc>
        <w:tc>
          <w:tcPr>
            <w:tcW w:w="1057" w:type="pct"/>
            <w:gridSpan w:val="2"/>
            <w:vMerge/>
            <w:tcBorders>
              <w:top w:val="single" w:sz="8" w:space="0" w:color="000000"/>
              <w:bottom w:val="single" w:sz="2" w:space="0" w:color="000000"/>
              <w:right w:val="single" w:sz="8" w:space="0" w:color="000000"/>
            </w:tcBorders>
            <w:shd w:val="clear" w:color="auto" w:fill="DDEBF7"/>
            <w:tcMar>
              <w:top w:w="0" w:type="dxa"/>
              <w:left w:w="70" w:type="dxa"/>
              <w:bottom w:w="0" w:type="dxa"/>
              <w:right w:w="70" w:type="dxa"/>
            </w:tcMar>
            <w:vAlign w:val="center"/>
          </w:tcPr>
          <w:p w14:paraId="4E0285E7" w14:textId="77777777" w:rsidR="000E7A5A" w:rsidRPr="00A11EF1" w:rsidRDefault="000E7A5A" w:rsidP="0023397C">
            <w:pPr>
              <w:spacing w:line="276" w:lineRule="auto"/>
              <w:rPr>
                <w:rFonts w:cs="Arial"/>
                <w:sz w:val="16"/>
                <w:szCs w:val="16"/>
              </w:rPr>
            </w:pPr>
          </w:p>
        </w:tc>
        <w:tc>
          <w:tcPr>
            <w:tcW w:w="1054" w:type="pct"/>
            <w:gridSpan w:val="2"/>
            <w:vMerge/>
            <w:tcBorders>
              <w:top w:val="single" w:sz="8" w:space="0" w:color="000000"/>
              <w:bottom w:val="single" w:sz="2" w:space="0" w:color="000000"/>
              <w:right w:val="single" w:sz="8" w:space="0" w:color="000000"/>
            </w:tcBorders>
            <w:shd w:val="clear" w:color="auto" w:fill="DDEBF7"/>
            <w:tcMar>
              <w:top w:w="0" w:type="dxa"/>
              <w:left w:w="70" w:type="dxa"/>
              <w:bottom w:w="0" w:type="dxa"/>
              <w:right w:w="70" w:type="dxa"/>
            </w:tcMar>
            <w:vAlign w:val="center"/>
          </w:tcPr>
          <w:p w14:paraId="51D7C9E1" w14:textId="77777777" w:rsidR="000E7A5A" w:rsidRPr="00A11EF1" w:rsidRDefault="000E7A5A" w:rsidP="0023397C">
            <w:pPr>
              <w:spacing w:line="276" w:lineRule="auto"/>
              <w:rPr>
                <w:rFonts w:cs="Arial"/>
                <w:sz w:val="16"/>
                <w:szCs w:val="16"/>
              </w:rPr>
            </w:pPr>
          </w:p>
        </w:tc>
        <w:tc>
          <w:tcPr>
            <w:tcW w:w="987" w:type="pct"/>
            <w:gridSpan w:val="2"/>
            <w:vMerge/>
            <w:tcBorders>
              <w:top w:val="single" w:sz="8" w:space="0" w:color="000000"/>
              <w:bottom w:val="single" w:sz="2" w:space="0" w:color="000000"/>
              <w:right w:val="single" w:sz="8" w:space="0" w:color="000000"/>
            </w:tcBorders>
            <w:shd w:val="clear" w:color="auto" w:fill="DDEBF7"/>
            <w:tcMar>
              <w:top w:w="0" w:type="dxa"/>
              <w:left w:w="70" w:type="dxa"/>
              <w:bottom w:w="0" w:type="dxa"/>
              <w:right w:w="70" w:type="dxa"/>
            </w:tcMar>
            <w:vAlign w:val="center"/>
          </w:tcPr>
          <w:p w14:paraId="5E68AA35" w14:textId="77777777" w:rsidR="000E7A5A" w:rsidRPr="00A11EF1" w:rsidRDefault="000E7A5A" w:rsidP="0023397C">
            <w:pPr>
              <w:spacing w:line="276" w:lineRule="auto"/>
              <w:rPr>
                <w:rFonts w:cs="Arial"/>
                <w:sz w:val="16"/>
                <w:szCs w:val="16"/>
              </w:rPr>
            </w:pPr>
          </w:p>
        </w:tc>
        <w:tc>
          <w:tcPr>
            <w:tcW w:w="119" w:type="pct"/>
            <w:shd w:val="clear" w:color="auto" w:fill="auto"/>
            <w:tcMar>
              <w:top w:w="0" w:type="dxa"/>
              <w:left w:w="108" w:type="dxa"/>
              <w:bottom w:w="0" w:type="dxa"/>
              <w:right w:w="108" w:type="dxa"/>
            </w:tcMar>
            <w:vAlign w:val="center"/>
          </w:tcPr>
          <w:p w14:paraId="70569B8D" w14:textId="77777777" w:rsidR="000E7A5A" w:rsidRPr="00A11EF1" w:rsidRDefault="000E7A5A" w:rsidP="0023397C">
            <w:pPr>
              <w:spacing w:line="276" w:lineRule="auto"/>
              <w:rPr>
                <w:rFonts w:cs="Arial"/>
                <w:sz w:val="16"/>
                <w:szCs w:val="16"/>
              </w:rPr>
            </w:pPr>
          </w:p>
        </w:tc>
      </w:tr>
      <w:tr w:rsidR="000E7A5A" w:rsidRPr="00A11EF1" w14:paraId="113ADA9B" w14:textId="77777777" w:rsidTr="00EE5788">
        <w:trPr>
          <w:trHeight w:val="315"/>
        </w:trPr>
        <w:tc>
          <w:tcPr>
            <w:tcW w:w="977" w:type="pct"/>
            <w:vMerge/>
            <w:tcBorders>
              <w:top w:val="single" w:sz="8" w:space="0" w:color="000000"/>
              <w:left w:val="single" w:sz="8" w:space="0" w:color="000000"/>
              <w:bottom w:val="single" w:sz="2" w:space="0" w:color="000000"/>
              <w:right w:val="single" w:sz="8" w:space="0" w:color="000000"/>
            </w:tcBorders>
            <w:shd w:val="clear" w:color="auto" w:fill="DDEBF7"/>
            <w:tcMar>
              <w:top w:w="0" w:type="dxa"/>
              <w:left w:w="70" w:type="dxa"/>
              <w:bottom w:w="0" w:type="dxa"/>
              <w:right w:w="70" w:type="dxa"/>
            </w:tcMar>
            <w:vAlign w:val="center"/>
          </w:tcPr>
          <w:p w14:paraId="4FF1E1B1" w14:textId="77777777" w:rsidR="000E7A5A" w:rsidRPr="00A11EF1" w:rsidRDefault="000E7A5A" w:rsidP="0023397C">
            <w:pPr>
              <w:spacing w:line="276" w:lineRule="auto"/>
              <w:rPr>
                <w:rFonts w:cs="Arial"/>
                <w:sz w:val="16"/>
                <w:szCs w:val="16"/>
              </w:rPr>
            </w:pPr>
          </w:p>
        </w:tc>
        <w:tc>
          <w:tcPr>
            <w:tcW w:w="806" w:type="pct"/>
            <w:vMerge w:val="restart"/>
            <w:tcBorders>
              <w:bottom w:val="single" w:sz="2" w:space="0" w:color="000000"/>
              <w:right w:val="single" w:sz="8" w:space="0" w:color="000000"/>
            </w:tcBorders>
            <w:shd w:val="clear" w:color="auto" w:fill="DDEBF7"/>
            <w:tcMar>
              <w:top w:w="0" w:type="dxa"/>
              <w:left w:w="70" w:type="dxa"/>
              <w:bottom w:w="0" w:type="dxa"/>
              <w:right w:w="70" w:type="dxa"/>
            </w:tcMar>
            <w:vAlign w:val="center"/>
          </w:tcPr>
          <w:p w14:paraId="0D6C1414" w14:textId="77777777" w:rsidR="000E7A5A" w:rsidRPr="0023397C" w:rsidRDefault="00306071" w:rsidP="00A11EF1">
            <w:pPr>
              <w:spacing w:after="0" w:line="276" w:lineRule="auto"/>
              <w:jc w:val="center"/>
              <w:rPr>
                <w:rFonts w:cs="Arial"/>
                <w:b/>
                <w:bCs/>
                <w:color w:val="000000"/>
                <w:sz w:val="16"/>
                <w:szCs w:val="16"/>
              </w:rPr>
            </w:pPr>
            <w:r w:rsidRPr="0023397C">
              <w:rPr>
                <w:rFonts w:cs="Arial"/>
                <w:b/>
                <w:bCs/>
                <w:color w:val="000000"/>
                <w:sz w:val="16"/>
                <w:szCs w:val="16"/>
              </w:rPr>
              <w:t>EU del (EUR)</w:t>
            </w:r>
          </w:p>
        </w:tc>
        <w:tc>
          <w:tcPr>
            <w:tcW w:w="678" w:type="pct"/>
            <w:vMerge w:val="restart"/>
            <w:tcBorders>
              <w:left w:val="single" w:sz="8" w:space="0" w:color="000000"/>
              <w:bottom w:val="single" w:sz="2" w:space="0" w:color="000000"/>
              <w:right w:val="single" w:sz="8" w:space="0" w:color="000000"/>
            </w:tcBorders>
            <w:shd w:val="clear" w:color="auto" w:fill="DDEBF7"/>
            <w:tcMar>
              <w:top w:w="0" w:type="dxa"/>
              <w:left w:w="70" w:type="dxa"/>
              <w:bottom w:w="0" w:type="dxa"/>
              <w:right w:w="70" w:type="dxa"/>
            </w:tcMar>
            <w:vAlign w:val="center"/>
          </w:tcPr>
          <w:p w14:paraId="064AEF67" w14:textId="77777777" w:rsidR="000E7A5A" w:rsidRPr="0023397C" w:rsidRDefault="00306071" w:rsidP="00A11EF1">
            <w:pPr>
              <w:spacing w:after="0" w:line="276" w:lineRule="auto"/>
              <w:jc w:val="center"/>
              <w:rPr>
                <w:rFonts w:cs="Arial"/>
                <w:b/>
                <w:bCs/>
                <w:color w:val="000000"/>
                <w:sz w:val="16"/>
                <w:szCs w:val="16"/>
              </w:rPr>
            </w:pPr>
            <w:r w:rsidRPr="0023397C">
              <w:rPr>
                <w:rFonts w:cs="Arial"/>
                <w:b/>
                <w:bCs/>
                <w:color w:val="000000"/>
                <w:sz w:val="16"/>
                <w:szCs w:val="16"/>
              </w:rPr>
              <w:t>EU del (EUR)</w:t>
            </w:r>
          </w:p>
        </w:tc>
        <w:tc>
          <w:tcPr>
            <w:tcW w:w="379" w:type="pct"/>
            <w:tcBorders>
              <w:left w:val="single" w:sz="8" w:space="0" w:color="000000"/>
              <w:bottom w:val="single" w:sz="8" w:space="0" w:color="000000"/>
              <w:right w:val="single" w:sz="8" w:space="0" w:color="000000"/>
            </w:tcBorders>
            <w:shd w:val="clear" w:color="auto" w:fill="DDEBF7"/>
            <w:tcMar>
              <w:top w:w="0" w:type="dxa"/>
              <w:left w:w="70" w:type="dxa"/>
              <w:bottom w:w="0" w:type="dxa"/>
              <w:right w:w="70" w:type="dxa"/>
            </w:tcMar>
            <w:vAlign w:val="center"/>
          </w:tcPr>
          <w:p w14:paraId="03CEF560" w14:textId="77777777" w:rsidR="000E7A5A" w:rsidRPr="0023397C" w:rsidRDefault="00306071" w:rsidP="00A11EF1">
            <w:pPr>
              <w:spacing w:after="0" w:line="276" w:lineRule="auto"/>
              <w:jc w:val="center"/>
              <w:rPr>
                <w:rFonts w:cs="Arial"/>
                <w:b/>
                <w:bCs/>
                <w:color w:val="000000"/>
                <w:sz w:val="16"/>
                <w:szCs w:val="16"/>
              </w:rPr>
            </w:pPr>
            <w:r w:rsidRPr="0023397C">
              <w:rPr>
                <w:rFonts w:cs="Arial"/>
                <w:b/>
                <w:bCs/>
                <w:color w:val="000000"/>
                <w:sz w:val="16"/>
                <w:szCs w:val="16"/>
              </w:rPr>
              <w:t>% EU del</w:t>
            </w:r>
          </w:p>
        </w:tc>
        <w:tc>
          <w:tcPr>
            <w:tcW w:w="676" w:type="pct"/>
            <w:vMerge w:val="restart"/>
            <w:tcBorders>
              <w:left w:val="single" w:sz="8" w:space="0" w:color="000000"/>
              <w:bottom w:val="single" w:sz="2" w:space="0" w:color="000000"/>
              <w:right w:val="single" w:sz="8" w:space="0" w:color="000000"/>
            </w:tcBorders>
            <w:shd w:val="clear" w:color="auto" w:fill="DDEBF7"/>
            <w:tcMar>
              <w:top w:w="0" w:type="dxa"/>
              <w:left w:w="70" w:type="dxa"/>
              <w:bottom w:w="0" w:type="dxa"/>
              <w:right w:w="70" w:type="dxa"/>
            </w:tcMar>
            <w:vAlign w:val="center"/>
          </w:tcPr>
          <w:p w14:paraId="35A804C5" w14:textId="77777777" w:rsidR="000E7A5A" w:rsidRPr="0023397C" w:rsidRDefault="00306071" w:rsidP="00A11EF1">
            <w:pPr>
              <w:spacing w:after="0" w:line="276" w:lineRule="auto"/>
              <w:jc w:val="center"/>
              <w:rPr>
                <w:rFonts w:cs="Arial"/>
                <w:b/>
                <w:bCs/>
                <w:color w:val="000000"/>
                <w:sz w:val="16"/>
                <w:szCs w:val="16"/>
              </w:rPr>
            </w:pPr>
            <w:r w:rsidRPr="0023397C">
              <w:rPr>
                <w:rFonts w:cs="Arial"/>
                <w:b/>
                <w:bCs/>
                <w:color w:val="000000"/>
                <w:sz w:val="16"/>
                <w:szCs w:val="16"/>
              </w:rPr>
              <w:t>EU del (EUR)</w:t>
            </w:r>
          </w:p>
        </w:tc>
        <w:tc>
          <w:tcPr>
            <w:tcW w:w="378" w:type="pct"/>
            <w:tcBorders>
              <w:left w:val="single" w:sz="8" w:space="0" w:color="000000"/>
              <w:bottom w:val="single" w:sz="8" w:space="0" w:color="000000"/>
              <w:right w:val="single" w:sz="8" w:space="0" w:color="000000"/>
            </w:tcBorders>
            <w:shd w:val="clear" w:color="auto" w:fill="DDEBF7"/>
            <w:tcMar>
              <w:top w:w="0" w:type="dxa"/>
              <w:left w:w="70" w:type="dxa"/>
              <w:bottom w:w="0" w:type="dxa"/>
              <w:right w:w="70" w:type="dxa"/>
            </w:tcMar>
            <w:vAlign w:val="center"/>
          </w:tcPr>
          <w:p w14:paraId="09CBC972" w14:textId="77777777" w:rsidR="000E7A5A" w:rsidRPr="0023397C" w:rsidRDefault="00306071" w:rsidP="00A11EF1">
            <w:pPr>
              <w:spacing w:after="0" w:line="276" w:lineRule="auto"/>
              <w:jc w:val="center"/>
              <w:rPr>
                <w:rFonts w:cs="Arial"/>
                <w:b/>
                <w:bCs/>
                <w:color w:val="000000"/>
                <w:sz w:val="16"/>
                <w:szCs w:val="16"/>
              </w:rPr>
            </w:pPr>
            <w:r w:rsidRPr="0023397C">
              <w:rPr>
                <w:rFonts w:cs="Arial"/>
                <w:b/>
                <w:bCs/>
                <w:color w:val="000000"/>
                <w:sz w:val="16"/>
                <w:szCs w:val="16"/>
              </w:rPr>
              <w:t>% EU del</w:t>
            </w:r>
          </w:p>
        </w:tc>
        <w:tc>
          <w:tcPr>
            <w:tcW w:w="612" w:type="pct"/>
            <w:vMerge w:val="restart"/>
            <w:tcBorders>
              <w:left w:val="single" w:sz="8" w:space="0" w:color="000000"/>
              <w:bottom w:val="single" w:sz="2" w:space="0" w:color="000000"/>
              <w:right w:val="single" w:sz="8" w:space="0" w:color="000000"/>
            </w:tcBorders>
            <w:shd w:val="clear" w:color="auto" w:fill="DDEBF7"/>
            <w:tcMar>
              <w:top w:w="0" w:type="dxa"/>
              <w:left w:w="70" w:type="dxa"/>
              <w:bottom w:w="0" w:type="dxa"/>
              <w:right w:w="70" w:type="dxa"/>
            </w:tcMar>
            <w:vAlign w:val="center"/>
          </w:tcPr>
          <w:p w14:paraId="69FBBFA7" w14:textId="77777777" w:rsidR="000E7A5A" w:rsidRPr="0023397C" w:rsidRDefault="00306071" w:rsidP="00A11EF1">
            <w:pPr>
              <w:spacing w:after="0" w:line="276" w:lineRule="auto"/>
              <w:jc w:val="center"/>
              <w:rPr>
                <w:rFonts w:cs="Arial"/>
                <w:b/>
                <w:bCs/>
                <w:color w:val="000000"/>
                <w:sz w:val="16"/>
                <w:szCs w:val="16"/>
              </w:rPr>
            </w:pPr>
            <w:r w:rsidRPr="0023397C">
              <w:rPr>
                <w:rFonts w:cs="Arial"/>
                <w:b/>
                <w:bCs/>
                <w:color w:val="000000"/>
                <w:sz w:val="16"/>
                <w:szCs w:val="16"/>
              </w:rPr>
              <w:t>EU del (EUR)</w:t>
            </w:r>
          </w:p>
        </w:tc>
        <w:tc>
          <w:tcPr>
            <w:tcW w:w="375" w:type="pct"/>
            <w:tcBorders>
              <w:left w:val="single" w:sz="8" w:space="0" w:color="000000"/>
              <w:bottom w:val="single" w:sz="8" w:space="0" w:color="000000"/>
              <w:right w:val="single" w:sz="8" w:space="0" w:color="000000"/>
            </w:tcBorders>
            <w:shd w:val="clear" w:color="auto" w:fill="DDEBF7"/>
            <w:tcMar>
              <w:top w:w="0" w:type="dxa"/>
              <w:left w:w="70" w:type="dxa"/>
              <w:bottom w:w="0" w:type="dxa"/>
              <w:right w:w="70" w:type="dxa"/>
            </w:tcMar>
            <w:vAlign w:val="center"/>
          </w:tcPr>
          <w:p w14:paraId="79F44E12" w14:textId="77777777" w:rsidR="000E7A5A" w:rsidRPr="0023397C" w:rsidRDefault="00306071" w:rsidP="00A11EF1">
            <w:pPr>
              <w:spacing w:after="0" w:line="276" w:lineRule="auto"/>
              <w:jc w:val="center"/>
              <w:rPr>
                <w:rFonts w:cs="Arial"/>
                <w:b/>
                <w:bCs/>
                <w:color w:val="000000"/>
                <w:sz w:val="16"/>
                <w:szCs w:val="16"/>
              </w:rPr>
            </w:pPr>
            <w:r w:rsidRPr="0023397C">
              <w:rPr>
                <w:rFonts w:cs="Arial"/>
                <w:b/>
                <w:bCs/>
                <w:color w:val="000000"/>
                <w:sz w:val="16"/>
                <w:szCs w:val="16"/>
              </w:rPr>
              <w:t>% EU del</w:t>
            </w:r>
          </w:p>
        </w:tc>
        <w:tc>
          <w:tcPr>
            <w:tcW w:w="119" w:type="pct"/>
            <w:tcBorders>
              <w:left w:val="single" w:sz="8" w:space="0" w:color="000000"/>
            </w:tcBorders>
            <w:shd w:val="clear" w:color="auto" w:fill="auto"/>
            <w:tcMar>
              <w:top w:w="0" w:type="dxa"/>
              <w:left w:w="108" w:type="dxa"/>
              <w:bottom w:w="0" w:type="dxa"/>
              <w:right w:w="108" w:type="dxa"/>
            </w:tcMar>
            <w:vAlign w:val="center"/>
          </w:tcPr>
          <w:p w14:paraId="2C63F1AA" w14:textId="77777777" w:rsidR="000E7A5A" w:rsidRPr="00A11EF1" w:rsidRDefault="000E7A5A" w:rsidP="0023397C">
            <w:pPr>
              <w:spacing w:line="276" w:lineRule="auto"/>
              <w:rPr>
                <w:rFonts w:cs="Arial"/>
                <w:sz w:val="16"/>
                <w:szCs w:val="16"/>
              </w:rPr>
            </w:pPr>
          </w:p>
        </w:tc>
      </w:tr>
      <w:tr w:rsidR="000E7A5A" w:rsidRPr="00A11EF1" w14:paraId="19C5B77D" w14:textId="77777777" w:rsidTr="00EE5788">
        <w:trPr>
          <w:trHeight w:val="315"/>
        </w:trPr>
        <w:tc>
          <w:tcPr>
            <w:tcW w:w="977" w:type="pct"/>
            <w:vMerge/>
            <w:tcBorders>
              <w:top w:val="single" w:sz="8" w:space="0" w:color="000000"/>
              <w:left w:val="single" w:sz="8" w:space="0" w:color="000000"/>
              <w:bottom w:val="single" w:sz="2" w:space="0" w:color="000000"/>
              <w:right w:val="single" w:sz="8" w:space="0" w:color="000000"/>
            </w:tcBorders>
            <w:shd w:val="clear" w:color="auto" w:fill="DDEBF7"/>
            <w:tcMar>
              <w:top w:w="0" w:type="dxa"/>
              <w:left w:w="70" w:type="dxa"/>
              <w:bottom w:w="0" w:type="dxa"/>
              <w:right w:w="70" w:type="dxa"/>
            </w:tcMar>
            <w:vAlign w:val="center"/>
          </w:tcPr>
          <w:p w14:paraId="19E1299A" w14:textId="77777777" w:rsidR="000E7A5A" w:rsidRPr="00A11EF1" w:rsidRDefault="000E7A5A" w:rsidP="0023397C">
            <w:pPr>
              <w:spacing w:line="276" w:lineRule="auto"/>
              <w:rPr>
                <w:rFonts w:cs="Arial"/>
                <w:sz w:val="16"/>
                <w:szCs w:val="16"/>
              </w:rPr>
            </w:pPr>
          </w:p>
        </w:tc>
        <w:tc>
          <w:tcPr>
            <w:tcW w:w="806" w:type="pct"/>
            <w:vMerge/>
            <w:tcBorders>
              <w:bottom w:val="single" w:sz="2" w:space="0" w:color="000000"/>
              <w:right w:val="single" w:sz="8" w:space="0" w:color="000000"/>
            </w:tcBorders>
            <w:shd w:val="clear" w:color="auto" w:fill="DDEBF7"/>
            <w:tcMar>
              <w:top w:w="0" w:type="dxa"/>
              <w:left w:w="70" w:type="dxa"/>
              <w:bottom w:w="0" w:type="dxa"/>
              <w:right w:w="70" w:type="dxa"/>
            </w:tcMar>
            <w:vAlign w:val="center"/>
          </w:tcPr>
          <w:p w14:paraId="6E05C2BF" w14:textId="77777777" w:rsidR="000E7A5A" w:rsidRPr="00A11EF1" w:rsidRDefault="000E7A5A" w:rsidP="0023397C">
            <w:pPr>
              <w:spacing w:line="276" w:lineRule="auto"/>
              <w:jc w:val="center"/>
              <w:rPr>
                <w:rFonts w:cs="Arial"/>
                <w:sz w:val="16"/>
                <w:szCs w:val="16"/>
              </w:rPr>
            </w:pPr>
          </w:p>
        </w:tc>
        <w:tc>
          <w:tcPr>
            <w:tcW w:w="678" w:type="pct"/>
            <w:vMerge/>
            <w:tcBorders>
              <w:left w:val="single" w:sz="8" w:space="0" w:color="000000"/>
              <w:bottom w:val="single" w:sz="2" w:space="0" w:color="000000"/>
              <w:right w:val="single" w:sz="8" w:space="0" w:color="000000"/>
            </w:tcBorders>
            <w:shd w:val="clear" w:color="auto" w:fill="DDEBF7"/>
            <w:tcMar>
              <w:top w:w="0" w:type="dxa"/>
              <w:left w:w="70" w:type="dxa"/>
              <w:bottom w:w="0" w:type="dxa"/>
              <w:right w:w="70" w:type="dxa"/>
            </w:tcMar>
            <w:vAlign w:val="center"/>
          </w:tcPr>
          <w:p w14:paraId="6E0D165D" w14:textId="77777777" w:rsidR="000E7A5A" w:rsidRPr="00A11EF1" w:rsidRDefault="000E7A5A" w:rsidP="0023397C">
            <w:pPr>
              <w:spacing w:line="276" w:lineRule="auto"/>
              <w:jc w:val="center"/>
              <w:rPr>
                <w:rFonts w:cs="Arial"/>
                <w:sz w:val="16"/>
                <w:szCs w:val="16"/>
              </w:rPr>
            </w:pPr>
          </w:p>
        </w:tc>
        <w:tc>
          <w:tcPr>
            <w:tcW w:w="379" w:type="pct"/>
            <w:tcBorders>
              <w:top w:val="single" w:sz="8" w:space="0" w:color="000000"/>
              <w:bottom w:val="single" w:sz="8" w:space="0" w:color="000000"/>
              <w:right w:val="single" w:sz="8" w:space="0" w:color="000000"/>
            </w:tcBorders>
            <w:shd w:val="clear" w:color="auto" w:fill="DDEBF7"/>
            <w:tcMar>
              <w:top w:w="0" w:type="dxa"/>
              <w:left w:w="70" w:type="dxa"/>
              <w:bottom w:w="0" w:type="dxa"/>
              <w:right w:w="70" w:type="dxa"/>
            </w:tcMar>
            <w:vAlign w:val="center"/>
          </w:tcPr>
          <w:p w14:paraId="071FED18" w14:textId="77777777" w:rsidR="000E7A5A" w:rsidRPr="0023397C" w:rsidRDefault="00306071" w:rsidP="00A11EF1">
            <w:pPr>
              <w:spacing w:after="0" w:line="276" w:lineRule="auto"/>
              <w:jc w:val="center"/>
              <w:rPr>
                <w:rFonts w:cs="Arial"/>
                <w:b/>
                <w:bCs/>
                <w:color w:val="000000"/>
                <w:sz w:val="16"/>
                <w:szCs w:val="16"/>
              </w:rPr>
            </w:pPr>
            <w:r w:rsidRPr="0023397C">
              <w:rPr>
                <w:rFonts w:cs="Arial"/>
                <w:b/>
                <w:bCs/>
                <w:color w:val="000000"/>
                <w:sz w:val="16"/>
                <w:szCs w:val="16"/>
              </w:rPr>
              <w:t>3/2*100</w:t>
            </w:r>
          </w:p>
        </w:tc>
        <w:tc>
          <w:tcPr>
            <w:tcW w:w="676" w:type="pct"/>
            <w:vMerge/>
            <w:tcBorders>
              <w:left w:val="single" w:sz="8" w:space="0" w:color="000000"/>
              <w:bottom w:val="single" w:sz="2" w:space="0" w:color="000000"/>
              <w:right w:val="single" w:sz="8" w:space="0" w:color="000000"/>
            </w:tcBorders>
            <w:shd w:val="clear" w:color="auto" w:fill="DDEBF7"/>
            <w:tcMar>
              <w:top w:w="0" w:type="dxa"/>
              <w:left w:w="70" w:type="dxa"/>
              <w:bottom w:w="0" w:type="dxa"/>
              <w:right w:w="70" w:type="dxa"/>
            </w:tcMar>
            <w:vAlign w:val="center"/>
          </w:tcPr>
          <w:p w14:paraId="6ED75635" w14:textId="77777777" w:rsidR="000E7A5A" w:rsidRPr="00A11EF1" w:rsidRDefault="000E7A5A" w:rsidP="0023397C">
            <w:pPr>
              <w:spacing w:line="276" w:lineRule="auto"/>
              <w:jc w:val="center"/>
              <w:rPr>
                <w:rFonts w:cs="Arial"/>
                <w:sz w:val="16"/>
                <w:szCs w:val="16"/>
              </w:rPr>
            </w:pPr>
          </w:p>
        </w:tc>
        <w:tc>
          <w:tcPr>
            <w:tcW w:w="378" w:type="pct"/>
            <w:tcBorders>
              <w:top w:val="single" w:sz="8" w:space="0" w:color="000000"/>
              <w:bottom w:val="single" w:sz="8" w:space="0" w:color="000000"/>
              <w:right w:val="single" w:sz="8" w:space="0" w:color="000000"/>
            </w:tcBorders>
            <w:shd w:val="clear" w:color="auto" w:fill="DDEBF7"/>
            <w:tcMar>
              <w:top w:w="0" w:type="dxa"/>
              <w:left w:w="70" w:type="dxa"/>
              <w:bottom w:w="0" w:type="dxa"/>
              <w:right w:w="70" w:type="dxa"/>
            </w:tcMar>
            <w:vAlign w:val="center"/>
          </w:tcPr>
          <w:p w14:paraId="56131AB3" w14:textId="77777777" w:rsidR="000E7A5A" w:rsidRPr="0023397C" w:rsidRDefault="00306071" w:rsidP="00A11EF1">
            <w:pPr>
              <w:spacing w:after="0" w:line="276" w:lineRule="auto"/>
              <w:jc w:val="center"/>
              <w:rPr>
                <w:rFonts w:cs="Arial"/>
                <w:b/>
                <w:bCs/>
                <w:color w:val="000000"/>
                <w:sz w:val="16"/>
                <w:szCs w:val="16"/>
              </w:rPr>
            </w:pPr>
            <w:r w:rsidRPr="0023397C">
              <w:rPr>
                <w:rFonts w:cs="Arial"/>
                <w:b/>
                <w:bCs/>
                <w:color w:val="000000"/>
                <w:sz w:val="16"/>
                <w:szCs w:val="16"/>
              </w:rPr>
              <w:t>5/2*100</w:t>
            </w:r>
          </w:p>
        </w:tc>
        <w:tc>
          <w:tcPr>
            <w:tcW w:w="612" w:type="pct"/>
            <w:vMerge/>
            <w:tcBorders>
              <w:left w:val="single" w:sz="8" w:space="0" w:color="000000"/>
              <w:bottom w:val="single" w:sz="2" w:space="0" w:color="000000"/>
              <w:right w:val="single" w:sz="8" w:space="0" w:color="000000"/>
            </w:tcBorders>
            <w:shd w:val="clear" w:color="auto" w:fill="DDEBF7"/>
            <w:tcMar>
              <w:top w:w="0" w:type="dxa"/>
              <w:left w:w="70" w:type="dxa"/>
              <w:bottom w:w="0" w:type="dxa"/>
              <w:right w:w="70" w:type="dxa"/>
            </w:tcMar>
            <w:vAlign w:val="center"/>
          </w:tcPr>
          <w:p w14:paraId="35F43126" w14:textId="77777777" w:rsidR="000E7A5A" w:rsidRPr="00A11EF1" w:rsidRDefault="000E7A5A" w:rsidP="0023397C">
            <w:pPr>
              <w:spacing w:line="276" w:lineRule="auto"/>
              <w:jc w:val="center"/>
              <w:rPr>
                <w:rFonts w:cs="Arial"/>
                <w:sz w:val="16"/>
                <w:szCs w:val="16"/>
              </w:rPr>
            </w:pPr>
          </w:p>
        </w:tc>
        <w:tc>
          <w:tcPr>
            <w:tcW w:w="375" w:type="pct"/>
            <w:tcBorders>
              <w:top w:val="single" w:sz="8" w:space="0" w:color="000000"/>
              <w:bottom w:val="single" w:sz="8" w:space="0" w:color="000000"/>
              <w:right w:val="single" w:sz="8" w:space="0" w:color="000000"/>
            </w:tcBorders>
            <w:shd w:val="clear" w:color="auto" w:fill="DDEBF7"/>
            <w:tcMar>
              <w:top w:w="0" w:type="dxa"/>
              <w:left w:w="70" w:type="dxa"/>
              <w:bottom w:w="0" w:type="dxa"/>
              <w:right w:w="70" w:type="dxa"/>
            </w:tcMar>
            <w:vAlign w:val="center"/>
          </w:tcPr>
          <w:p w14:paraId="740E5CC3" w14:textId="77777777" w:rsidR="000E7A5A" w:rsidRPr="0023397C" w:rsidRDefault="00306071" w:rsidP="00A11EF1">
            <w:pPr>
              <w:spacing w:after="0" w:line="276" w:lineRule="auto"/>
              <w:jc w:val="center"/>
              <w:rPr>
                <w:rFonts w:cs="Arial"/>
                <w:b/>
                <w:bCs/>
                <w:color w:val="000000"/>
                <w:sz w:val="16"/>
                <w:szCs w:val="16"/>
              </w:rPr>
            </w:pPr>
            <w:r w:rsidRPr="0023397C">
              <w:rPr>
                <w:rFonts w:cs="Arial"/>
                <w:b/>
                <w:bCs/>
                <w:color w:val="000000"/>
                <w:sz w:val="16"/>
                <w:szCs w:val="16"/>
              </w:rPr>
              <w:t>7/2*100</w:t>
            </w:r>
          </w:p>
        </w:tc>
        <w:tc>
          <w:tcPr>
            <w:tcW w:w="119" w:type="pct"/>
            <w:tcBorders>
              <w:left w:val="single" w:sz="8" w:space="0" w:color="000000"/>
            </w:tcBorders>
            <w:shd w:val="clear" w:color="auto" w:fill="auto"/>
            <w:tcMar>
              <w:top w:w="0" w:type="dxa"/>
              <w:left w:w="108" w:type="dxa"/>
              <w:bottom w:w="0" w:type="dxa"/>
              <w:right w:w="108" w:type="dxa"/>
            </w:tcMar>
            <w:vAlign w:val="center"/>
          </w:tcPr>
          <w:p w14:paraId="66099C80" w14:textId="77777777" w:rsidR="000E7A5A" w:rsidRPr="00A11EF1" w:rsidRDefault="000E7A5A" w:rsidP="0023397C">
            <w:pPr>
              <w:spacing w:line="276" w:lineRule="auto"/>
              <w:rPr>
                <w:rFonts w:cs="Arial"/>
                <w:sz w:val="16"/>
                <w:szCs w:val="16"/>
              </w:rPr>
            </w:pPr>
          </w:p>
        </w:tc>
      </w:tr>
      <w:tr w:rsidR="000E7A5A" w:rsidRPr="00A11EF1" w14:paraId="4F49C1FB" w14:textId="77777777" w:rsidTr="00EE5788">
        <w:trPr>
          <w:trHeight w:val="367"/>
        </w:trPr>
        <w:tc>
          <w:tcPr>
            <w:tcW w:w="977" w:type="pct"/>
            <w:tcBorders>
              <w:left w:val="single" w:sz="8" w:space="0" w:color="000000"/>
              <w:bottom w:val="single" w:sz="8" w:space="0" w:color="000000"/>
              <w:right w:val="single" w:sz="8" w:space="0" w:color="000000"/>
            </w:tcBorders>
            <w:shd w:val="clear" w:color="auto" w:fill="DDEBF7"/>
            <w:tcMar>
              <w:top w:w="0" w:type="dxa"/>
              <w:left w:w="70" w:type="dxa"/>
              <w:bottom w:w="0" w:type="dxa"/>
              <w:right w:w="70" w:type="dxa"/>
            </w:tcMar>
            <w:vAlign w:val="center"/>
          </w:tcPr>
          <w:p w14:paraId="511CF9D8" w14:textId="77777777" w:rsidR="000E7A5A" w:rsidRPr="00A11EF1" w:rsidRDefault="00306071" w:rsidP="00A11EF1">
            <w:pPr>
              <w:spacing w:after="0" w:line="276" w:lineRule="auto"/>
              <w:jc w:val="center"/>
              <w:rPr>
                <w:rFonts w:cs="Arial"/>
                <w:b/>
                <w:bCs/>
                <w:color w:val="000000"/>
                <w:sz w:val="16"/>
                <w:szCs w:val="16"/>
              </w:rPr>
            </w:pPr>
            <w:r w:rsidRPr="00A11EF1">
              <w:rPr>
                <w:rFonts w:cs="Arial"/>
                <w:b/>
                <w:bCs/>
                <w:color w:val="000000"/>
                <w:sz w:val="16"/>
                <w:szCs w:val="16"/>
              </w:rPr>
              <w:t>1</w:t>
            </w:r>
          </w:p>
        </w:tc>
        <w:tc>
          <w:tcPr>
            <w:tcW w:w="806" w:type="pct"/>
            <w:tcBorders>
              <w:left w:val="single" w:sz="8" w:space="0" w:color="000000"/>
              <w:bottom w:val="single" w:sz="8" w:space="0" w:color="000000"/>
              <w:right w:val="single" w:sz="8" w:space="0" w:color="000000"/>
            </w:tcBorders>
            <w:shd w:val="clear" w:color="auto" w:fill="DDEBF7"/>
            <w:tcMar>
              <w:top w:w="0" w:type="dxa"/>
              <w:left w:w="70" w:type="dxa"/>
              <w:bottom w:w="0" w:type="dxa"/>
              <w:right w:w="70" w:type="dxa"/>
            </w:tcMar>
            <w:vAlign w:val="center"/>
          </w:tcPr>
          <w:p w14:paraId="5FA9BF97" w14:textId="77777777" w:rsidR="000E7A5A" w:rsidRPr="00A11EF1" w:rsidRDefault="00306071" w:rsidP="00A11EF1">
            <w:pPr>
              <w:spacing w:after="0" w:line="276" w:lineRule="auto"/>
              <w:jc w:val="center"/>
              <w:rPr>
                <w:rFonts w:cs="Arial"/>
                <w:b/>
                <w:bCs/>
                <w:color w:val="000000"/>
                <w:sz w:val="16"/>
                <w:szCs w:val="16"/>
              </w:rPr>
            </w:pPr>
            <w:r w:rsidRPr="00A11EF1">
              <w:rPr>
                <w:rFonts w:cs="Arial"/>
                <w:b/>
                <w:bCs/>
                <w:color w:val="000000"/>
                <w:sz w:val="16"/>
                <w:szCs w:val="16"/>
              </w:rPr>
              <w:t>2</w:t>
            </w:r>
          </w:p>
        </w:tc>
        <w:tc>
          <w:tcPr>
            <w:tcW w:w="678" w:type="pct"/>
            <w:tcBorders>
              <w:left w:val="single" w:sz="8" w:space="0" w:color="000000"/>
              <w:bottom w:val="single" w:sz="8" w:space="0" w:color="000000"/>
              <w:right w:val="single" w:sz="8" w:space="0" w:color="000000"/>
            </w:tcBorders>
            <w:shd w:val="clear" w:color="auto" w:fill="DDEBF7"/>
            <w:tcMar>
              <w:top w:w="0" w:type="dxa"/>
              <w:left w:w="70" w:type="dxa"/>
              <w:bottom w:w="0" w:type="dxa"/>
              <w:right w:w="70" w:type="dxa"/>
            </w:tcMar>
            <w:vAlign w:val="center"/>
          </w:tcPr>
          <w:p w14:paraId="0E27E1D2" w14:textId="77777777" w:rsidR="000E7A5A" w:rsidRPr="00A11EF1" w:rsidRDefault="00306071" w:rsidP="00A11EF1">
            <w:pPr>
              <w:spacing w:after="0" w:line="276" w:lineRule="auto"/>
              <w:jc w:val="center"/>
              <w:rPr>
                <w:rFonts w:cs="Arial"/>
                <w:b/>
                <w:bCs/>
                <w:color w:val="000000"/>
                <w:sz w:val="16"/>
                <w:szCs w:val="16"/>
              </w:rPr>
            </w:pPr>
            <w:r w:rsidRPr="00A11EF1">
              <w:rPr>
                <w:rFonts w:cs="Arial"/>
                <w:b/>
                <w:bCs/>
                <w:color w:val="000000"/>
                <w:sz w:val="16"/>
                <w:szCs w:val="16"/>
              </w:rPr>
              <w:t>3</w:t>
            </w:r>
          </w:p>
        </w:tc>
        <w:tc>
          <w:tcPr>
            <w:tcW w:w="379" w:type="pct"/>
            <w:tcBorders>
              <w:top w:val="single" w:sz="8" w:space="0" w:color="000000"/>
              <w:left w:val="single" w:sz="8" w:space="0" w:color="000000"/>
              <w:bottom w:val="single" w:sz="8" w:space="0" w:color="000000"/>
              <w:right w:val="single" w:sz="8" w:space="0" w:color="000000"/>
            </w:tcBorders>
            <w:shd w:val="clear" w:color="auto" w:fill="DDEBF7"/>
            <w:tcMar>
              <w:top w:w="0" w:type="dxa"/>
              <w:left w:w="70" w:type="dxa"/>
              <w:bottom w:w="0" w:type="dxa"/>
              <w:right w:w="70" w:type="dxa"/>
            </w:tcMar>
            <w:vAlign w:val="center"/>
          </w:tcPr>
          <w:p w14:paraId="2B0EE039" w14:textId="77777777" w:rsidR="000E7A5A" w:rsidRPr="00A11EF1" w:rsidRDefault="00306071" w:rsidP="00A11EF1">
            <w:pPr>
              <w:spacing w:after="0" w:line="276" w:lineRule="auto"/>
              <w:jc w:val="center"/>
              <w:rPr>
                <w:rFonts w:cs="Arial"/>
                <w:b/>
                <w:bCs/>
                <w:color w:val="000000"/>
                <w:sz w:val="16"/>
                <w:szCs w:val="16"/>
              </w:rPr>
            </w:pPr>
            <w:r w:rsidRPr="00A11EF1">
              <w:rPr>
                <w:rFonts w:cs="Arial"/>
                <w:b/>
                <w:bCs/>
                <w:color w:val="000000"/>
                <w:sz w:val="16"/>
                <w:szCs w:val="16"/>
              </w:rPr>
              <w:t>4</w:t>
            </w:r>
          </w:p>
        </w:tc>
        <w:tc>
          <w:tcPr>
            <w:tcW w:w="676" w:type="pct"/>
            <w:tcBorders>
              <w:left w:val="single" w:sz="8" w:space="0" w:color="000000"/>
              <w:bottom w:val="single" w:sz="8" w:space="0" w:color="000000"/>
              <w:right w:val="single" w:sz="8" w:space="0" w:color="000000"/>
            </w:tcBorders>
            <w:shd w:val="clear" w:color="auto" w:fill="DDEBF7"/>
            <w:tcMar>
              <w:top w:w="0" w:type="dxa"/>
              <w:left w:w="70" w:type="dxa"/>
              <w:bottom w:w="0" w:type="dxa"/>
              <w:right w:w="70" w:type="dxa"/>
            </w:tcMar>
            <w:vAlign w:val="center"/>
          </w:tcPr>
          <w:p w14:paraId="74BCC79D" w14:textId="77777777" w:rsidR="000E7A5A" w:rsidRPr="00A11EF1" w:rsidRDefault="00306071" w:rsidP="00A11EF1">
            <w:pPr>
              <w:spacing w:after="0" w:line="276" w:lineRule="auto"/>
              <w:jc w:val="center"/>
              <w:rPr>
                <w:rFonts w:cs="Arial"/>
                <w:b/>
                <w:bCs/>
                <w:color w:val="000000"/>
                <w:sz w:val="16"/>
                <w:szCs w:val="16"/>
              </w:rPr>
            </w:pPr>
            <w:r w:rsidRPr="00A11EF1">
              <w:rPr>
                <w:rFonts w:cs="Arial"/>
                <w:b/>
                <w:bCs/>
                <w:color w:val="000000"/>
                <w:sz w:val="16"/>
                <w:szCs w:val="16"/>
              </w:rPr>
              <w:t>5</w:t>
            </w:r>
          </w:p>
        </w:tc>
        <w:tc>
          <w:tcPr>
            <w:tcW w:w="378" w:type="pct"/>
            <w:tcBorders>
              <w:top w:val="single" w:sz="8" w:space="0" w:color="000000"/>
              <w:left w:val="single" w:sz="8" w:space="0" w:color="000000"/>
              <w:bottom w:val="single" w:sz="8" w:space="0" w:color="000000"/>
              <w:right w:val="single" w:sz="8" w:space="0" w:color="000000"/>
            </w:tcBorders>
            <w:shd w:val="clear" w:color="auto" w:fill="DDEBF7"/>
            <w:tcMar>
              <w:top w:w="0" w:type="dxa"/>
              <w:left w:w="70" w:type="dxa"/>
              <w:bottom w:w="0" w:type="dxa"/>
              <w:right w:w="70" w:type="dxa"/>
            </w:tcMar>
            <w:vAlign w:val="center"/>
          </w:tcPr>
          <w:p w14:paraId="0942DB3C" w14:textId="77777777" w:rsidR="000E7A5A" w:rsidRPr="00A11EF1" w:rsidRDefault="00306071" w:rsidP="00A11EF1">
            <w:pPr>
              <w:spacing w:after="0" w:line="276" w:lineRule="auto"/>
              <w:jc w:val="center"/>
              <w:rPr>
                <w:rFonts w:cs="Arial"/>
                <w:b/>
                <w:bCs/>
                <w:color w:val="000000"/>
                <w:sz w:val="16"/>
                <w:szCs w:val="16"/>
              </w:rPr>
            </w:pPr>
            <w:r w:rsidRPr="00A11EF1">
              <w:rPr>
                <w:rFonts w:cs="Arial"/>
                <w:b/>
                <w:bCs/>
                <w:color w:val="000000"/>
                <w:sz w:val="16"/>
                <w:szCs w:val="16"/>
              </w:rPr>
              <w:t>6</w:t>
            </w:r>
          </w:p>
        </w:tc>
        <w:tc>
          <w:tcPr>
            <w:tcW w:w="612" w:type="pct"/>
            <w:tcBorders>
              <w:left w:val="single" w:sz="8" w:space="0" w:color="000000"/>
              <w:bottom w:val="single" w:sz="8" w:space="0" w:color="000000"/>
              <w:right w:val="single" w:sz="8" w:space="0" w:color="000000"/>
            </w:tcBorders>
            <w:shd w:val="clear" w:color="auto" w:fill="DDEBF7"/>
            <w:tcMar>
              <w:top w:w="0" w:type="dxa"/>
              <w:left w:w="70" w:type="dxa"/>
              <w:bottom w:w="0" w:type="dxa"/>
              <w:right w:w="70" w:type="dxa"/>
            </w:tcMar>
            <w:vAlign w:val="center"/>
          </w:tcPr>
          <w:p w14:paraId="64E13063" w14:textId="77777777" w:rsidR="000E7A5A" w:rsidRPr="00A11EF1" w:rsidRDefault="00306071" w:rsidP="00A11EF1">
            <w:pPr>
              <w:spacing w:after="0" w:line="276" w:lineRule="auto"/>
              <w:jc w:val="center"/>
              <w:rPr>
                <w:rFonts w:cs="Arial"/>
                <w:b/>
                <w:bCs/>
                <w:color w:val="000000"/>
                <w:sz w:val="16"/>
                <w:szCs w:val="16"/>
              </w:rPr>
            </w:pPr>
            <w:r w:rsidRPr="00A11EF1">
              <w:rPr>
                <w:rFonts w:cs="Arial"/>
                <w:b/>
                <w:bCs/>
                <w:color w:val="000000"/>
                <w:sz w:val="16"/>
                <w:szCs w:val="16"/>
              </w:rPr>
              <w:t>7</w:t>
            </w:r>
          </w:p>
        </w:tc>
        <w:tc>
          <w:tcPr>
            <w:tcW w:w="375" w:type="pct"/>
            <w:tcBorders>
              <w:top w:val="single" w:sz="8" w:space="0" w:color="000000"/>
              <w:left w:val="single" w:sz="8" w:space="0" w:color="000000"/>
              <w:bottom w:val="single" w:sz="8" w:space="0" w:color="000000"/>
              <w:right w:val="single" w:sz="8" w:space="0" w:color="000000"/>
            </w:tcBorders>
            <w:shd w:val="clear" w:color="auto" w:fill="DDEBF7"/>
            <w:tcMar>
              <w:top w:w="0" w:type="dxa"/>
              <w:left w:w="70" w:type="dxa"/>
              <w:bottom w:w="0" w:type="dxa"/>
              <w:right w:w="70" w:type="dxa"/>
            </w:tcMar>
            <w:vAlign w:val="center"/>
          </w:tcPr>
          <w:p w14:paraId="2E0A2A85" w14:textId="77777777" w:rsidR="000E7A5A" w:rsidRPr="00A11EF1" w:rsidRDefault="00306071" w:rsidP="00A11EF1">
            <w:pPr>
              <w:spacing w:after="0" w:line="276" w:lineRule="auto"/>
              <w:jc w:val="center"/>
              <w:rPr>
                <w:rFonts w:cs="Arial"/>
                <w:b/>
                <w:bCs/>
                <w:color w:val="000000"/>
                <w:sz w:val="16"/>
                <w:szCs w:val="16"/>
              </w:rPr>
            </w:pPr>
            <w:r w:rsidRPr="00A11EF1">
              <w:rPr>
                <w:rFonts w:cs="Arial"/>
                <w:b/>
                <w:bCs/>
                <w:color w:val="000000"/>
                <w:sz w:val="16"/>
                <w:szCs w:val="16"/>
              </w:rPr>
              <w:t>8</w:t>
            </w:r>
          </w:p>
        </w:tc>
        <w:tc>
          <w:tcPr>
            <w:tcW w:w="119" w:type="pct"/>
            <w:tcBorders>
              <w:left w:val="single" w:sz="8" w:space="0" w:color="000000"/>
            </w:tcBorders>
            <w:shd w:val="clear" w:color="auto" w:fill="auto"/>
            <w:tcMar>
              <w:top w:w="0" w:type="dxa"/>
              <w:left w:w="108" w:type="dxa"/>
              <w:bottom w:w="0" w:type="dxa"/>
              <w:right w:w="108" w:type="dxa"/>
            </w:tcMar>
            <w:vAlign w:val="center"/>
          </w:tcPr>
          <w:p w14:paraId="570E0103" w14:textId="77777777" w:rsidR="000E7A5A" w:rsidRPr="00A11EF1" w:rsidRDefault="000E7A5A" w:rsidP="0023397C">
            <w:pPr>
              <w:spacing w:line="276" w:lineRule="auto"/>
              <w:rPr>
                <w:rFonts w:cs="Arial"/>
                <w:sz w:val="16"/>
                <w:szCs w:val="16"/>
              </w:rPr>
            </w:pPr>
          </w:p>
        </w:tc>
      </w:tr>
      <w:tr w:rsidR="000E7A5A" w:rsidRPr="00A11EF1" w14:paraId="7CD9826C" w14:textId="77777777" w:rsidTr="00EE5788">
        <w:trPr>
          <w:trHeight w:val="657"/>
        </w:trPr>
        <w:tc>
          <w:tcPr>
            <w:tcW w:w="977" w:type="pc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tcPr>
          <w:p w14:paraId="5BA3979E" w14:textId="77777777" w:rsidR="000E7A5A" w:rsidRPr="00A11EF1" w:rsidRDefault="00306071" w:rsidP="00A11EF1">
            <w:pPr>
              <w:spacing w:after="0" w:line="276" w:lineRule="auto"/>
              <w:rPr>
                <w:rFonts w:cs="Arial"/>
                <w:color w:val="000000"/>
                <w:sz w:val="16"/>
                <w:szCs w:val="16"/>
              </w:rPr>
            </w:pPr>
            <w:r w:rsidRPr="00A11EF1">
              <w:rPr>
                <w:rFonts w:cs="Arial"/>
                <w:color w:val="000000"/>
                <w:sz w:val="16"/>
                <w:szCs w:val="16"/>
              </w:rPr>
              <w:t>PN 1 - Inovacijska družba znanja</w:t>
            </w:r>
          </w:p>
        </w:tc>
        <w:tc>
          <w:tcPr>
            <w:tcW w:w="806" w:type="pc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bottom"/>
          </w:tcPr>
          <w:p w14:paraId="2DFC75A5" w14:textId="77777777" w:rsidR="000E7A5A" w:rsidRPr="00A11EF1" w:rsidRDefault="00306071" w:rsidP="00A11EF1">
            <w:pPr>
              <w:spacing w:after="0" w:line="276" w:lineRule="auto"/>
              <w:jc w:val="right"/>
              <w:rPr>
                <w:rFonts w:cs="Arial"/>
                <w:color w:val="000000"/>
                <w:sz w:val="16"/>
                <w:szCs w:val="16"/>
              </w:rPr>
            </w:pPr>
            <w:r w:rsidRPr="00A11EF1">
              <w:rPr>
                <w:rFonts w:cs="Arial"/>
                <w:color w:val="000000"/>
                <w:sz w:val="16"/>
                <w:szCs w:val="16"/>
              </w:rPr>
              <w:t>707.511.069</w:t>
            </w:r>
          </w:p>
        </w:tc>
        <w:tc>
          <w:tcPr>
            <w:tcW w:w="678" w:type="pc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bottom"/>
          </w:tcPr>
          <w:p w14:paraId="493A0E56" w14:textId="77777777" w:rsidR="000E7A5A" w:rsidRPr="00A11EF1" w:rsidRDefault="00306071" w:rsidP="00A11EF1">
            <w:pPr>
              <w:spacing w:after="0" w:line="276" w:lineRule="auto"/>
              <w:jc w:val="right"/>
              <w:rPr>
                <w:rFonts w:cs="Arial"/>
                <w:color w:val="000000"/>
                <w:sz w:val="16"/>
                <w:szCs w:val="16"/>
              </w:rPr>
            </w:pPr>
            <w:r w:rsidRPr="00A11EF1">
              <w:rPr>
                <w:rFonts w:cs="Arial"/>
                <w:color w:val="000000"/>
                <w:sz w:val="16"/>
                <w:szCs w:val="16"/>
              </w:rPr>
              <w:t>115.260.951</w:t>
            </w:r>
          </w:p>
        </w:tc>
        <w:tc>
          <w:tcPr>
            <w:tcW w:w="379" w:type="pc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bottom"/>
          </w:tcPr>
          <w:p w14:paraId="5344D973" w14:textId="77777777" w:rsidR="000E7A5A" w:rsidRPr="00A11EF1" w:rsidRDefault="00306071" w:rsidP="00A11EF1">
            <w:pPr>
              <w:spacing w:after="0" w:line="276" w:lineRule="auto"/>
              <w:jc w:val="right"/>
              <w:rPr>
                <w:rFonts w:cs="Arial"/>
                <w:color w:val="000000"/>
                <w:sz w:val="16"/>
                <w:szCs w:val="16"/>
              </w:rPr>
            </w:pPr>
            <w:r w:rsidRPr="00A11EF1">
              <w:rPr>
                <w:rFonts w:cs="Arial"/>
                <w:color w:val="000000"/>
                <w:sz w:val="16"/>
                <w:szCs w:val="16"/>
              </w:rPr>
              <w:t>16%</w:t>
            </w:r>
          </w:p>
        </w:tc>
        <w:tc>
          <w:tcPr>
            <w:tcW w:w="676" w:type="pc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bottom"/>
          </w:tcPr>
          <w:p w14:paraId="1356F350" w14:textId="77777777" w:rsidR="000E7A5A" w:rsidRPr="00A11EF1" w:rsidRDefault="00306071" w:rsidP="00A11EF1">
            <w:pPr>
              <w:spacing w:after="0" w:line="276" w:lineRule="auto"/>
              <w:jc w:val="right"/>
              <w:rPr>
                <w:rFonts w:cs="Arial"/>
                <w:color w:val="000000"/>
                <w:sz w:val="16"/>
                <w:szCs w:val="16"/>
              </w:rPr>
            </w:pPr>
            <w:r w:rsidRPr="00A11EF1">
              <w:rPr>
                <w:rFonts w:cs="Arial"/>
                <w:color w:val="000000"/>
                <w:sz w:val="16"/>
                <w:szCs w:val="16"/>
              </w:rPr>
              <w:t>85.045.826</w:t>
            </w:r>
          </w:p>
        </w:tc>
        <w:tc>
          <w:tcPr>
            <w:tcW w:w="378" w:type="pc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bottom"/>
          </w:tcPr>
          <w:p w14:paraId="09C0F212" w14:textId="77777777" w:rsidR="000E7A5A" w:rsidRPr="00A11EF1" w:rsidRDefault="00306071" w:rsidP="00A11EF1">
            <w:pPr>
              <w:spacing w:after="0" w:line="276" w:lineRule="auto"/>
              <w:jc w:val="right"/>
              <w:rPr>
                <w:rFonts w:cs="Arial"/>
                <w:color w:val="000000"/>
                <w:sz w:val="16"/>
                <w:szCs w:val="16"/>
              </w:rPr>
            </w:pPr>
            <w:r w:rsidRPr="00A11EF1">
              <w:rPr>
                <w:rFonts w:cs="Arial"/>
                <w:color w:val="000000"/>
                <w:sz w:val="16"/>
                <w:szCs w:val="16"/>
              </w:rPr>
              <w:t>12%</w:t>
            </w:r>
          </w:p>
        </w:tc>
        <w:tc>
          <w:tcPr>
            <w:tcW w:w="612" w:type="pc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bottom"/>
          </w:tcPr>
          <w:p w14:paraId="4A13643F" w14:textId="77777777" w:rsidR="000E7A5A" w:rsidRPr="00A11EF1" w:rsidRDefault="00306071" w:rsidP="00A11EF1">
            <w:pPr>
              <w:spacing w:after="0" w:line="276" w:lineRule="auto"/>
              <w:jc w:val="right"/>
              <w:rPr>
                <w:rFonts w:cs="Arial"/>
                <w:color w:val="000000"/>
                <w:sz w:val="16"/>
                <w:szCs w:val="16"/>
              </w:rPr>
            </w:pPr>
            <w:r w:rsidRPr="00A11EF1">
              <w:rPr>
                <w:rFonts w:cs="Arial"/>
                <w:color w:val="000000"/>
                <w:sz w:val="16"/>
                <w:szCs w:val="16"/>
              </w:rPr>
              <w:t>9.532.127</w:t>
            </w:r>
          </w:p>
        </w:tc>
        <w:tc>
          <w:tcPr>
            <w:tcW w:w="375" w:type="pc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bottom"/>
          </w:tcPr>
          <w:p w14:paraId="64F99834" w14:textId="77777777" w:rsidR="000E7A5A" w:rsidRPr="00A11EF1" w:rsidRDefault="00306071" w:rsidP="00A11EF1">
            <w:pPr>
              <w:spacing w:after="0" w:line="276" w:lineRule="auto"/>
              <w:jc w:val="right"/>
              <w:rPr>
                <w:rFonts w:cs="Arial"/>
                <w:color w:val="000000"/>
                <w:sz w:val="16"/>
                <w:szCs w:val="16"/>
              </w:rPr>
            </w:pPr>
            <w:r w:rsidRPr="00A11EF1">
              <w:rPr>
                <w:rFonts w:cs="Arial"/>
                <w:color w:val="000000"/>
                <w:sz w:val="16"/>
                <w:szCs w:val="16"/>
              </w:rPr>
              <w:t>1%</w:t>
            </w:r>
          </w:p>
        </w:tc>
        <w:tc>
          <w:tcPr>
            <w:tcW w:w="119" w:type="pct"/>
            <w:tcBorders>
              <w:left w:val="single" w:sz="8" w:space="0" w:color="000000"/>
            </w:tcBorders>
            <w:shd w:val="clear" w:color="auto" w:fill="auto"/>
            <w:tcMar>
              <w:top w:w="0" w:type="dxa"/>
              <w:left w:w="108" w:type="dxa"/>
              <w:bottom w:w="0" w:type="dxa"/>
              <w:right w:w="108" w:type="dxa"/>
            </w:tcMar>
            <w:vAlign w:val="center"/>
          </w:tcPr>
          <w:p w14:paraId="5651027E" w14:textId="77777777" w:rsidR="000E7A5A" w:rsidRPr="00A11EF1" w:rsidRDefault="000E7A5A" w:rsidP="0023397C">
            <w:pPr>
              <w:spacing w:line="276" w:lineRule="auto"/>
              <w:rPr>
                <w:rFonts w:cs="Arial"/>
                <w:sz w:val="16"/>
                <w:szCs w:val="16"/>
              </w:rPr>
            </w:pPr>
          </w:p>
        </w:tc>
      </w:tr>
      <w:tr w:rsidR="000E7A5A" w:rsidRPr="00A11EF1" w14:paraId="5613253A" w14:textId="77777777" w:rsidTr="00EE5788">
        <w:trPr>
          <w:trHeight w:val="582"/>
        </w:trPr>
        <w:tc>
          <w:tcPr>
            <w:tcW w:w="977" w:type="pc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tcPr>
          <w:p w14:paraId="3F6D6398" w14:textId="77777777" w:rsidR="000E7A5A" w:rsidRPr="00A11EF1" w:rsidRDefault="00306071" w:rsidP="00A11EF1">
            <w:pPr>
              <w:spacing w:after="0" w:line="276" w:lineRule="auto"/>
              <w:rPr>
                <w:rFonts w:cs="Arial"/>
                <w:color w:val="000000"/>
                <w:sz w:val="16"/>
                <w:szCs w:val="16"/>
              </w:rPr>
            </w:pPr>
            <w:r w:rsidRPr="00A11EF1">
              <w:rPr>
                <w:rFonts w:cs="Arial"/>
                <w:color w:val="000000"/>
                <w:sz w:val="16"/>
                <w:szCs w:val="16"/>
              </w:rPr>
              <w:t>PN 2 - Digitalna povezljivost</w:t>
            </w:r>
          </w:p>
        </w:tc>
        <w:tc>
          <w:tcPr>
            <w:tcW w:w="806" w:type="pc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bottom"/>
          </w:tcPr>
          <w:p w14:paraId="62928985" w14:textId="77777777" w:rsidR="000E7A5A" w:rsidRPr="00A11EF1" w:rsidRDefault="00306071" w:rsidP="00A11EF1">
            <w:pPr>
              <w:spacing w:after="0" w:line="276" w:lineRule="auto"/>
              <w:jc w:val="right"/>
              <w:rPr>
                <w:rFonts w:cs="Arial"/>
                <w:color w:val="000000"/>
                <w:sz w:val="16"/>
                <w:szCs w:val="16"/>
              </w:rPr>
            </w:pPr>
            <w:r w:rsidRPr="00A11EF1">
              <w:rPr>
                <w:rFonts w:cs="Arial"/>
                <w:color w:val="000000"/>
                <w:sz w:val="16"/>
                <w:szCs w:val="16"/>
              </w:rPr>
              <w:t>19.662.744</w:t>
            </w:r>
          </w:p>
        </w:tc>
        <w:tc>
          <w:tcPr>
            <w:tcW w:w="678" w:type="pc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bottom"/>
          </w:tcPr>
          <w:p w14:paraId="2AB2A236" w14:textId="77777777" w:rsidR="000E7A5A" w:rsidRPr="00A11EF1" w:rsidRDefault="00306071" w:rsidP="00A11EF1">
            <w:pPr>
              <w:spacing w:after="0" w:line="276" w:lineRule="auto"/>
              <w:jc w:val="right"/>
              <w:rPr>
                <w:rFonts w:cs="Arial"/>
                <w:color w:val="000000"/>
                <w:sz w:val="16"/>
                <w:szCs w:val="16"/>
              </w:rPr>
            </w:pPr>
            <w:r w:rsidRPr="00A11EF1">
              <w:rPr>
                <w:rFonts w:cs="Arial"/>
                <w:color w:val="000000"/>
                <w:sz w:val="16"/>
                <w:szCs w:val="16"/>
              </w:rPr>
              <w:t>0</w:t>
            </w:r>
          </w:p>
        </w:tc>
        <w:tc>
          <w:tcPr>
            <w:tcW w:w="379" w:type="pc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bottom"/>
          </w:tcPr>
          <w:p w14:paraId="2205C4DD" w14:textId="77777777" w:rsidR="000E7A5A" w:rsidRPr="00A11EF1" w:rsidRDefault="00306071" w:rsidP="00A11EF1">
            <w:pPr>
              <w:spacing w:after="0" w:line="276" w:lineRule="auto"/>
              <w:jc w:val="right"/>
              <w:rPr>
                <w:rFonts w:cs="Arial"/>
                <w:color w:val="000000"/>
                <w:sz w:val="16"/>
                <w:szCs w:val="16"/>
              </w:rPr>
            </w:pPr>
            <w:r w:rsidRPr="00A11EF1">
              <w:rPr>
                <w:rFonts w:cs="Arial"/>
                <w:color w:val="000000"/>
                <w:sz w:val="16"/>
                <w:szCs w:val="16"/>
              </w:rPr>
              <w:t>0%</w:t>
            </w:r>
          </w:p>
        </w:tc>
        <w:tc>
          <w:tcPr>
            <w:tcW w:w="676" w:type="pc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bottom"/>
          </w:tcPr>
          <w:p w14:paraId="525E248E" w14:textId="77777777" w:rsidR="000E7A5A" w:rsidRPr="00A11EF1" w:rsidRDefault="00306071" w:rsidP="00A11EF1">
            <w:pPr>
              <w:spacing w:after="0" w:line="276" w:lineRule="auto"/>
              <w:jc w:val="right"/>
              <w:rPr>
                <w:rFonts w:cs="Arial"/>
                <w:color w:val="000000"/>
                <w:sz w:val="16"/>
                <w:szCs w:val="16"/>
              </w:rPr>
            </w:pPr>
            <w:r w:rsidRPr="00A11EF1">
              <w:rPr>
                <w:rFonts w:cs="Arial"/>
                <w:color w:val="000000"/>
                <w:sz w:val="16"/>
                <w:szCs w:val="16"/>
              </w:rPr>
              <w:t>0</w:t>
            </w:r>
          </w:p>
        </w:tc>
        <w:tc>
          <w:tcPr>
            <w:tcW w:w="378" w:type="pc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bottom"/>
          </w:tcPr>
          <w:p w14:paraId="00AD465D" w14:textId="77777777" w:rsidR="000E7A5A" w:rsidRPr="00A11EF1" w:rsidRDefault="00306071" w:rsidP="00A11EF1">
            <w:pPr>
              <w:spacing w:after="0" w:line="276" w:lineRule="auto"/>
              <w:jc w:val="right"/>
              <w:rPr>
                <w:rFonts w:cs="Arial"/>
                <w:color w:val="000000"/>
                <w:sz w:val="16"/>
                <w:szCs w:val="16"/>
              </w:rPr>
            </w:pPr>
            <w:r w:rsidRPr="00A11EF1">
              <w:rPr>
                <w:rFonts w:cs="Arial"/>
                <w:color w:val="000000"/>
                <w:sz w:val="16"/>
                <w:szCs w:val="16"/>
              </w:rPr>
              <w:t>0%</w:t>
            </w:r>
          </w:p>
        </w:tc>
        <w:tc>
          <w:tcPr>
            <w:tcW w:w="612" w:type="pc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bottom"/>
          </w:tcPr>
          <w:p w14:paraId="12710B0C" w14:textId="77777777" w:rsidR="000E7A5A" w:rsidRPr="00A11EF1" w:rsidRDefault="00306071" w:rsidP="00A11EF1">
            <w:pPr>
              <w:spacing w:after="0" w:line="276" w:lineRule="auto"/>
              <w:jc w:val="right"/>
              <w:rPr>
                <w:rFonts w:cs="Arial"/>
                <w:color w:val="000000"/>
                <w:sz w:val="16"/>
                <w:szCs w:val="16"/>
              </w:rPr>
            </w:pPr>
            <w:r w:rsidRPr="00A11EF1">
              <w:rPr>
                <w:rFonts w:cs="Arial"/>
                <w:color w:val="000000"/>
                <w:sz w:val="16"/>
                <w:szCs w:val="16"/>
              </w:rPr>
              <w:t>0</w:t>
            </w:r>
          </w:p>
        </w:tc>
        <w:tc>
          <w:tcPr>
            <w:tcW w:w="375" w:type="pc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bottom"/>
          </w:tcPr>
          <w:p w14:paraId="15C173C0" w14:textId="77777777" w:rsidR="000E7A5A" w:rsidRPr="00A11EF1" w:rsidRDefault="00306071" w:rsidP="00A11EF1">
            <w:pPr>
              <w:spacing w:after="0" w:line="276" w:lineRule="auto"/>
              <w:jc w:val="right"/>
              <w:rPr>
                <w:rFonts w:cs="Arial"/>
                <w:color w:val="000000"/>
                <w:sz w:val="16"/>
                <w:szCs w:val="16"/>
              </w:rPr>
            </w:pPr>
            <w:r w:rsidRPr="00A11EF1">
              <w:rPr>
                <w:rFonts w:cs="Arial"/>
                <w:color w:val="000000"/>
                <w:sz w:val="16"/>
                <w:szCs w:val="16"/>
              </w:rPr>
              <w:t>0%</w:t>
            </w:r>
          </w:p>
        </w:tc>
        <w:tc>
          <w:tcPr>
            <w:tcW w:w="119" w:type="pct"/>
            <w:tcBorders>
              <w:left w:val="single" w:sz="8" w:space="0" w:color="000000"/>
            </w:tcBorders>
            <w:shd w:val="clear" w:color="auto" w:fill="auto"/>
            <w:tcMar>
              <w:top w:w="0" w:type="dxa"/>
              <w:left w:w="108" w:type="dxa"/>
              <w:bottom w:w="0" w:type="dxa"/>
              <w:right w:w="108" w:type="dxa"/>
            </w:tcMar>
            <w:vAlign w:val="center"/>
          </w:tcPr>
          <w:p w14:paraId="3982480E" w14:textId="77777777" w:rsidR="000E7A5A" w:rsidRPr="00A11EF1" w:rsidRDefault="000E7A5A" w:rsidP="0023397C">
            <w:pPr>
              <w:spacing w:line="276" w:lineRule="auto"/>
              <w:rPr>
                <w:rFonts w:cs="Arial"/>
                <w:sz w:val="16"/>
                <w:szCs w:val="16"/>
              </w:rPr>
            </w:pPr>
          </w:p>
        </w:tc>
      </w:tr>
      <w:tr w:rsidR="000E7A5A" w:rsidRPr="00A11EF1" w14:paraId="671BABD8" w14:textId="77777777" w:rsidTr="00EE5788">
        <w:trPr>
          <w:trHeight w:val="1075"/>
        </w:trPr>
        <w:tc>
          <w:tcPr>
            <w:tcW w:w="977" w:type="pc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tcPr>
          <w:p w14:paraId="37880607" w14:textId="77777777" w:rsidR="000E7A5A" w:rsidRPr="00A11EF1" w:rsidRDefault="00306071" w:rsidP="00A11EF1">
            <w:pPr>
              <w:spacing w:after="0" w:line="276" w:lineRule="auto"/>
              <w:rPr>
                <w:rFonts w:cs="Arial"/>
                <w:color w:val="000000"/>
                <w:sz w:val="16"/>
                <w:szCs w:val="16"/>
              </w:rPr>
            </w:pPr>
            <w:r w:rsidRPr="00A11EF1">
              <w:rPr>
                <w:rFonts w:cs="Arial"/>
                <w:color w:val="000000"/>
                <w:sz w:val="16"/>
                <w:szCs w:val="16"/>
              </w:rPr>
              <w:t>PN 3 - Zelena preobrazba za podnebno nevtralnost</w:t>
            </w:r>
          </w:p>
        </w:tc>
        <w:tc>
          <w:tcPr>
            <w:tcW w:w="806" w:type="pc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bottom"/>
          </w:tcPr>
          <w:p w14:paraId="785BF9DB" w14:textId="77777777" w:rsidR="000E7A5A" w:rsidRPr="00A11EF1" w:rsidRDefault="00306071" w:rsidP="00A11EF1">
            <w:pPr>
              <w:spacing w:after="0" w:line="276" w:lineRule="auto"/>
              <w:jc w:val="right"/>
              <w:rPr>
                <w:rFonts w:cs="Arial"/>
                <w:color w:val="000000"/>
                <w:sz w:val="16"/>
                <w:szCs w:val="16"/>
              </w:rPr>
            </w:pPr>
            <w:r w:rsidRPr="00A11EF1">
              <w:rPr>
                <w:rFonts w:cs="Arial"/>
                <w:color w:val="000000"/>
                <w:sz w:val="16"/>
                <w:szCs w:val="16"/>
              </w:rPr>
              <w:t>739.117.182</w:t>
            </w:r>
          </w:p>
        </w:tc>
        <w:tc>
          <w:tcPr>
            <w:tcW w:w="678" w:type="pc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bottom"/>
          </w:tcPr>
          <w:p w14:paraId="7B8D330D" w14:textId="77777777" w:rsidR="000E7A5A" w:rsidRPr="00A11EF1" w:rsidRDefault="00306071" w:rsidP="00A11EF1">
            <w:pPr>
              <w:spacing w:after="0" w:line="276" w:lineRule="auto"/>
              <w:jc w:val="right"/>
              <w:rPr>
                <w:rFonts w:cs="Arial"/>
                <w:color w:val="000000"/>
                <w:sz w:val="16"/>
                <w:szCs w:val="16"/>
              </w:rPr>
            </w:pPr>
            <w:r w:rsidRPr="00A11EF1">
              <w:rPr>
                <w:rFonts w:cs="Arial"/>
                <w:color w:val="000000"/>
                <w:sz w:val="16"/>
                <w:szCs w:val="16"/>
              </w:rPr>
              <w:t>149.095.888</w:t>
            </w:r>
          </w:p>
        </w:tc>
        <w:tc>
          <w:tcPr>
            <w:tcW w:w="379" w:type="pc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bottom"/>
          </w:tcPr>
          <w:p w14:paraId="72EC7A86" w14:textId="77777777" w:rsidR="000E7A5A" w:rsidRPr="00A11EF1" w:rsidRDefault="00306071" w:rsidP="00A11EF1">
            <w:pPr>
              <w:spacing w:after="0" w:line="276" w:lineRule="auto"/>
              <w:jc w:val="right"/>
              <w:rPr>
                <w:rFonts w:cs="Arial"/>
                <w:color w:val="000000"/>
                <w:sz w:val="16"/>
                <w:szCs w:val="16"/>
              </w:rPr>
            </w:pPr>
            <w:r w:rsidRPr="00A11EF1">
              <w:rPr>
                <w:rFonts w:cs="Arial"/>
                <w:color w:val="000000"/>
                <w:sz w:val="16"/>
                <w:szCs w:val="16"/>
              </w:rPr>
              <w:t>20%</w:t>
            </w:r>
          </w:p>
        </w:tc>
        <w:tc>
          <w:tcPr>
            <w:tcW w:w="676" w:type="pc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bottom"/>
          </w:tcPr>
          <w:p w14:paraId="752549CF" w14:textId="77777777" w:rsidR="000E7A5A" w:rsidRPr="00A11EF1" w:rsidRDefault="00306071" w:rsidP="00A11EF1">
            <w:pPr>
              <w:spacing w:after="0" w:line="276" w:lineRule="auto"/>
              <w:jc w:val="right"/>
              <w:rPr>
                <w:rFonts w:cs="Arial"/>
                <w:color w:val="000000"/>
                <w:sz w:val="16"/>
                <w:szCs w:val="16"/>
              </w:rPr>
            </w:pPr>
            <w:r w:rsidRPr="00A11EF1">
              <w:rPr>
                <w:rFonts w:cs="Arial"/>
                <w:color w:val="000000"/>
                <w:sz w:val="16"/>
                <w:szCs w:val="16"/>
              </w:rPr>
              <w:t>116.870.903</w:t>
            </w:r>
          </w:p>
        </w:tc>
        <w:tc>
          <w:tcPr>
            <w:tcW w:w="378" w:type="pc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bottom"/>
          </w:tcPr>
          <w:p w14:paraId="328D7007" w14:textId="77777777" w:rsidR="000E7A5A" w:rsidRPr="00A11EF1" w:rsidRDefault="00306071" w:rsidP="00A11EF1">
            <w:pPr>
              <w:spacing w:after="0" w:line="276" w:lineRule="auto"/>
              <w:jc w:val="right"/>
              <w:rPr>
                <w:rFonts w:cs="Arial"/>
                <w:color w:val="000000"/>
                <w:sz w:val="16"/>
                <w:szCs w:val="16"/>
              </w:rPr>
            </w:pPr>
            <w:r w:rsidRPr="00A11EF1">
              <w:rPr>
                <w:rFonts w:cs="Arial"/>
                <w:color w:val="000000"/>
                <w:sz w:val="16"/>
                <w:szCs w:val="16"/>
              </w:rPr>
              <w:t>16%</w:t>
            </w:r>
          </w:p>
        </w:tc>
        <w:tc>
          <w:tcPr>
            <w:tcW w:w="612" w:type="pc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bottom"/>
          </w:tcPr>
          <w:p w14:paraId="770F90AF" w14:textId="77777777" w:rsidR="000E7A5A" w:rsidRPr="00A11EF1" w:rsidRDefault="00306071" w:rsidP="00A11EF1">
            <w:pPr>
              <w:spacing w:after="0" w:line="276" w:lineRule="auto"/>
              <w:jc w:val="right"/>
              <w:rPr>
                <w:rFonts w:cs="Arial"/>
                <w:color w:val="000000"/>
                <w:sz w:val="16"/>
                <w:szCs w:val="16"/>
              </w:rPr>
            </w:pPr>
            <w:r w:rsidRPr="00A11EF1">
              <w:rPr>
                <w:rFonts w:cs="Arial"/>
                <w:color w:val="000000"/>
                <w:sz w:val="16"/>
                <w:szCs w:val="16"/>
              </w:rPr>
              <w:t>23.717.265</w:t>
            </w:r>
          </w:p>
        </w:tc>
        <w:tc>
          <w:tcPr>
            <w:tcW w:w="375" w:type="pc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bottom"/>
          </w:tcPr>
          <w:p w14:paraId="2B2E891B" w14:textId="77777777" w:rsidR="000E7A5A" w:rsidRPr="00A11EF1" w:rsidRDefault="00306071" w:rsidP="00A11EF1">
            <w:pPr>
              <w:spacing w:after="0" w:line="276" w:lineRule="auto"/>
              <w:jc w:val="right"/>
              <w:rPr>
                <w:rFonts w:cs="Arial"/>
                <w:color w:val="000000"/>
                <w:sz w:val="16"/>
                <w:szCs w:val="16"/>
              </w:rPr>
            </w:pPr>
            <w:r w:rsidRPr="00A11EF1">
              <w:rPr>
                <w:rFonts w:cs="Arial"/>
                <w:color w:val="000000"/>
                <w:sz w:val="16"/>
                <w:szCs w:val="16"/>
              </w:rPr>
              <w:t>3%</w:t>
            </w:r>
          </w:p>
        </w:tc>
        <w:tc>
          <w:tcPr>
            <w:tcW w:w="119" w:type="pct"/>
            <w:tcBorders>
              <w:left w:val="single" w:sz="8" w:space="0" w:color="000000"/>
            </w:tcBorders>
            <w:shd w:val="clear" w:color="auto" w:fill="auto"/>
            <w:tcMar>
              <w:top w:w="0" w:type="dxa"/>
              <w:left w:w="108" w:type="dxa"/>
              <w:bottom w:w="0" w:type="dxa"/>
              <w:right w:w="108" w:type="dxa"/>
            </w:tcMar>
            <w:vAlign w:val="center"/>
          </w:tcPr>
          <w:p w14:paraId="334E8A48" w14:textId="77777777" w:rsidR="000E7A5A" w:rsidRPr="00A11EF1" w:rsidRDefault="000E7A5A" w:rsidP="0023397C">
            <w:pPr>
              <w:spacing w:line="276" w:lineRule="auto"/>
              <w:rPr>
                <w:rFonts w:cs="Arial"/>
                <w:sz w:val="16"/>
                <w:szCs w:val="16"/>
              </w:rPr>
            </w:pPr>
          </w:p>
        </w:tc>
      </w:tr>
      <w:tr w:rsidR="000E7A5A" w:rsidRPr="00A11EF1" w14:paraId="6B603648" w14:textId="77777777" w:rsidTr="00EE5788">
        <w:trPr>
          <w:trHeight w:val="315"/>
        </w:trPr>
        <w:tc>
          <w:tcPr>
            <w:tcW w:w="977" w:type="pc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tcPr>
          <w:p w14:paraId="2B9C6672" w14:textId="77777777" w:rsidR="000E7A5A" w:rsidRPr="00A11EF1" w:rsidRDefault="00306071" w:rsidP="00A11EF1">
            <w:pPr>
              <w:spacing w:after="0" w:line="276" w:lineRule="auto"/>
              <w:rPr>
                <w:rFonts w:cs="Arial"/>
                <w:color w:val="000000"/>
                <w:sz w:val="16"/>
                <w:szCs w:val="16"/>
              </w:rPr>
            </w:pPr>
            <w:r w:rsidRPr="00A11EF1">
              <w:rPr>
                <w:rFonts w:cs="Arial"/>
                <w:color w:val="000000"/>
                <w:sz w:val="16"/>
                <w:szCs w:val="16"/>
              </w:rPr>
              <w:t>PN 4 - Trajnostna urbana mobilnost</w:t>
            </w:r>
          </w:p>
        </w:tc>
        <w:tc>
          <w:tcPr>
            <w:tcW w:w="806" w:type="pc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bottom"/>
          </w:tcPr>
          <w:p w14:paraId="2A12E940" w14:textId="77777777" w:rsidR="000E7A5A" w:rsidRPr="00A11EF1" w:rsidRDefault="00306071" w:rsidP="00A11EF1">
            <w:pPr>
              <w:spacing w:after="0" w:line="276" w:lineRule="auto"/>
              <w:jc w:val="right"/>
              <w:rPr>
                <w:rFonts w:cs="Arial"/>
                <w:color w:val="000000"/>
                <w:sz w:val="16"/>
                <w:szCs w:val="16"/>
              </w:rPr>
            </w:pPr>
            <w:r w:rsidRPr="00A11EF1">
              <w:rPr>
                <w:rFonts w:cs="Arial"/>
                <w:color w:val="000000"/>
                <w:sz w:val="16"/>
                <w:szCs w:val="16"/>
              </w:rPr>
              <w:t>53.917.253</w:t>
            </w:r>
          </w:p>
        </w:tc>
        <w:tc>
          <w:tcPr>
            <w:tcW w:w="678" w:type="pc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bottom"/>
          </w:tcPr>
          <w:p w14:paraId="328AFAD1" w14:textId="77777777" w:rsidR="000E7A5A" w:rsidRPr="00A11EF1" w:rsidRDefault="00306071" w:rsidP="00A11EF1">
            <w:pPr>
              <w:spacing w:after="0" w:line="276" w:lineRule="auto"/>
              <w:jc w:val="right"/>
              <w:rPr>
                <w:rFonts w:cs="Arial"/>
                <w:color w:val="000000"/>
                <w:sz w:val="16"/>
                <w:szCs w:val="16"/>
              </w:rPr>
            </w:pPr>
            <w:r w:rsidRPr="00A11EF1">
              <w:rPr>
                <w:rFonts w:cs="Arial"/>
                <w:color w:val="000000"/>
                <w:sz w:val="16"/>
                <w:szCs w:val="16"/>
              </w:rPr>
              <w:t>0</w:t>
            </w:r>
          </w:p>
        </w:tc>
        <w:tc>
          <w:tcPr>
            <w:tcW w:w="379" w:type="pc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bottom"/>
          </w:tcPr>
          <w:p w14:paraId="18C4F11B" w14:textId="77777777" w:rsidR="000E7A5A" w:rsidRPr="00A11EF1" w:rsidRDefault="00306071" w:rsidP="00A11EF1">
            <w:pPr>
              <w:spacing w:after="0" w:line="276" w:lineRule="auto"/>
              <w:jc w:val="right"/>
              <w:rPr>
                <w:rFonts w:cs="Arial"/>
                <w:color w:val="000000"/>
                <w:sz w:val="16"/>
                <w:szCs w:val="16"/>
              </w:rPr>
            </w:pPr>
            <w:r w:rsidRPr="00A11EF1">
              <w:rPr>
                <w:rFonts w:cs="Arial"/>
                <w:color w:val="000000"/>
                <w:sz w:val="16"/>
                <w:szCs w:val="16"/>
              </w:rPr>
              <w:t>0%</w:t>
            </w:r>
          </w:p>
        </w:tc>
        <w:tc>
          <w:tcPr>
            <w:tcW w:w="676" w:type="pc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bottom"/>
          </w:tcPr>
          <w:p w14:paraId="56624FBB" w14:textId="77777777" w:rsidR="000E7A5A" w:rsidRPr="00A11EF1" w:rsidRDefault="00306071" w:rsidP="00A11EF1">
            <w:pPr>
              <w:spacing w:after="0" w:line="276" w:lineRule="auto"/>
              <w:jc w:val="right"/>
              <w:rPr>
                <w:rFonts w:cs="Arial"/>
                <w:color w:val="000000"/>
                <w:sz w:val="16"/>
                <w:szCs w:val="16"/>
              </w:rPr>
            </w:pPr>
            <w:r w:rsidRPr="00A11EF1">
              <w:rPr>
                <w:rFonts w:cs="Arial"/>
                <w:color w:val="000000"/>
                <w:sz w:val="16"/>
                <w:szCs w:val="16"/>
              </w:rPr>
              <w:t>0</w:t>
            </w:r>
          </w:p>
        </w:tc>
        <w:tc>
          <w:tcPr>
            <w:tcW w:w="378" w:type="pc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bottom"/>
          </w:tcPr>
          <w:p w14:paraId="1499983F" w14:textId="77777777" w:rsidR="000E7A5A" w:rsidRPr="00A11EF1" w:rsidRDefault="00306071" w:rsidP="00A11EF1">
            <w:pPr>
              <w:spacing w:after="0" w:line="276" w:lineRule="auto"/>
              <w:jc w:val="right"/>
              <w:rPr>
                <w:rFonts w:cs="Arial"/>
                <w:color w:val="000000"/>
                <w:sz w:val="16"/>
                <w:szCs w:val="16"/>
              </w:rPr>
            </w:pPr>
            <w:r w:rsidRPr="00A11EF1">
              <w:rPr>
                <w:rFonts w:cs="Arial"/>
                <w:color w:val="000000"/>
                <w:sz w:val="16"/>
                <w:szCs w:val="16"/>
              </w:rPr>
              <w:t>0%</w:t>
            </w:r>
          </w:p>
        </w:tc>
        <w:tc>
          <w:tcPr>
            <w:tcW w:w="612" w:type="pc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bottom"/>
          </w:tcPr>
          <w:p w14:paraId="63725E29" w14:textId="77777777" w:rsidR="000E7A5A" w:rsidRPr="00A11EF1" w:rsidRDefault="00306071" w:rsidP="00A11EF1">
            <w:pPr>
              <w:spacing w:after="0" w:line="276" w:lineRule="auto"/>
              <w:jc w:val="right"/>
              <w:rPr>
                <w:rFonts w:cs="Arial"/>
                <w:color w:val="000000"/>
                <w:sz w:val="16"/>
                <w:szCs w:val="16"/>
              </w:rPr>
            </w:pPr>
            <w:r w:rsidRPr="00A11EF1">
              <w:rPr>
                <w:rFonts w:cs="Arial"/>
                <w:color w:val="000000"/>
                <w:sz w:val="16"/>
                <w:szCs w:val="16"/>
              </w:rPr>
              <w:t>0</w:t>
            </w:r>
          </w:p>
        </w:tc>
        <w:tc>
          <w:tcPr>
            <w:tcW w:w="375" w:type="pc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bottom"/>
          </w:tcPr>
          <w:p w14:paraId="35932A5B" w14:textId="77777777" w:rsidR="000E7A5A" w:rsidRPr="00A11EF1" w:rsidRDefault="00306071" w:rsidP="00A11EF1">
            <w:pPr>
              <w:spacing w:after="0" w:line="276" w:lineRule="auto"/>
              <w:jc w:val="right"/>
              <w:rPr>
                <w:rFonts w:cs="Arial"/>
                <w:color w:val="000000"/>
                <w:sz w:val="16"/>
                <w:szCs w:val="16"/>
              </w:rPr>
            </w:pPr>
            <w:r w:rsidRPr="00A11EF1">
              <w:rPr>
                <w:rFonts w:cs="Arial"/>
                <w:color w:val="000000"/>
                <w:sz w:val="16"/>
                <w:szCs w:val="16"/>
              </w:rPr>
              <w:t>0%</w:t>
            </w:r>
          </w:p>
        </w:tc>
        <w:tc>
          <w:tcPr>
            <w:tcW w:w="119" w:type="pct"/>
            <w:tcBorders>
              <w:left w:val="single" w:sz="8" w:space="0" w:color="000000"/>
            </w:tcBorders>
            <w:shd w:val="clear" w:color="auto" w:fill="auto"/>
            <w:tcMar>
              <w:top w:w="0" w:type="dxa"/>
              <w:left w:w="108" w:type="dxa"/>
              <w:bottom w:w="0" w:type="dxa"/>
              <w:right w:w="108" w:type="dxa"/>
            </w:tcMar>
            <w:vAlign w:val="center"/>
          </w:tcPr>
          <w:p w14:paraId="69CCA844" w14:textId="77777777" w:rsidR="000E7A5A" w:rsidRPr="00A11EF1" w:rsidRDefault="000E7A5A" w:rsidP="0023397C">
            <w:pPr>
              <w:spacing w:line="276" w:lineRule="auto"/>
              <w:rPr>
                <w:rFonts w:cs="Arial"/>
                <w:sz w:val="16"/>
                <w:szCs w:val="16"/>
              </w:rPr>
            </w:pPr>
          </w:p>
        </w:tc>
      </w:tr>
      <w:tr w:rsidR="000E7A5A" w:rsidRPr="00A11EF1" w14:paraId="51E3415F" w14:textId="77777777" w:rsidTr="00EE5788">
        <w:trPr>
          <w:trHeight w:val="315"/>
        </w:trPr>
        <w:tc>
          <w:tcPr>
            <w:tcW w:w="977" w:type="pc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tcPr>
          <w:p w14:paraId="650F527A" w14:textId="77777777" w:rsidR="000E7A5A" w:rsidRPr="00A11EF1" w:rsidRDefault="00306071" w:rsidP="00A11EF1">
            <w:pPr>
              <w:spacing w:after="0" w:line="276" w:lineRule="auto"/>
              <w:rPr>
                <w:rFonts w:cs="Arial"/>
                <w:color w:val="000000"/>
                <w:sz w:val="16"/>
                <w:szCs w:val="16"/>
              </w:rPr>
            </w:pPr>
            <w:r w:rsidRPr="00A11EF1">
              <w:rPr>
                <w:rFonts w:cs="Arial"/>
                <w:color w:val="000000"/>
                <w:sz w:val="16"/>
                <w:szCs w:val="16"/>
              </w:rPr>
              <w:t>PN 5 - Trajnostna (čez)regionalna mobilnost in povezljivost</w:t>
            </w:r>
          </w:p>
        </w:tc>
        <w:tc>
          <w:tcPr>
            <w:tcW w:w="806" w:type="pc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bottom"/>
          </w:tcPr>
          <w:p w14:paraId="17DC08EF" w14:textId="77777777" w:rsidR="000E7A5A" w:rsidRPr="00A11EF1" w:rsidRDefault="00306071" w:rsidP="00A11EF1">
            <w:pPr>
              <w:spacing w:after="0" w:line="276" w:lineRule="auto"/>
              <w:jc w:val="right"/>
              <w:rPr>
                <w:rFonts w:cs="Arial"/>
                <w:color w:val="000000"/>
                <w:sz w:val="16"/>
                <w:szCs w:val="16"/>
              </w:rPr>
            </w:pPr>
            <w:r w:rsidRPr="00A11EF1">
              <w:rPr>
                <w:rFonts w:cs="Arial"/>
                <w:color w:val="000000"/>
                <w:sz w:val="16"/>
                <w:szCs w:val="16"/>
              </w:rPr>
              <w:t>511.031.161</w:t>
            </w:r>
          </w:p>
        </w:tc>
        <w:tc>
          <w:tcPr>
            <w:tcW w:w="678" w:type="pc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bottom"/>
          </w:tcPr>
          <w:p w14:paraId="6F4F80E7" w14:textId="77777777" w:rsidR="000E7A5A" w:rsidRPr="00A11EF1" w:rsidRDefault="00306071" w:rsidP="00A11EF1">
            <w:pPr>
              <w:spacing w:after="0" w:line="276" w:lineRule="auto"/>
              <w:jc w:val="right"/>
              <w:rPr>
                <w:rFonts w:cs="Arial"/>
                <w:color w:val="000000"/>
                <w:sz w:val="16"/>
                <w:szCs w:val="16"/>
              </w:rPr>
            </w:pPr>
            <w:r w:rsidRPr="00A11EF1">
              <w:rPr>
                <w:rFonts w:cs="Arial"/>
                <w:color w:val="000000"/>
                <w:sz w:val="16"/>
                <w:szCs w:val="16"/>
              </w:rPr>
              <w:t>39.634.567</w:t>
            </w:r>
          </w:p>
        </w:tc>
        <w:tc>
          <w:tcPr>
            <w:tcW w:w="379" w:type="pc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bottom"/>
          </w:tcPr>
          <w:p w14:paraId="58111414" w14:textId="77777777" w:rsidR="000E7A5A" w:rsidRPr="00A11EF1" w:rsidRDefault="00306071" w:rsidP="00A11EF1">
            <w:pPr>
              <w:spacing w:after="0" w:line="276" w:lineRule="auto"/>
              <w:jc w:val="right"/>
              <w:rPr>
                <w:rFonts w:cs="Arial"/>
                <w:color w:val="000000"/>
                <w:sz w:val="16"/>
                <w:szCs w:val="16"/>
              </w:rPr>
            </w:pPr>
            <w:r w:rsidRPr="00A11EF1">
              <w:rPr>
                <w:rFonts w:cs="Arial"/>
                <w:color w:val="000000"/>
                <w:sz w:val="16"/>
                <w:szCs w:val="16"/>
              </w:rPr>
              <w:t>8%</w:t>
            </w:r>
          </w:p>
        </w:tc>
        <w:tc>
          <w:tcPr>
            <w:tcW w:w="676" w:type="pc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bottom"/>
          </w:tcPr>
          <w:p w14:paraId="223C2E57" w14:textId="77777777" w:rsidR="000E7A5A" w:rsidRPr="00A11EF1" w:rsidRDefault="00306071" w:rsidP="00A11EF1">
            <w:pPr>
              <w:spacing w:after="0" w:line="276" w:lineRule="auto"/>
              <w:jc w:val="right"/>
              <w:rPr>
                <w:rFonts w:cs="Arial"/>
                <w:color w:val="000000"/>
                <w:sz w:val="16"/>
                <w:szCs w:val="16"/>
              </w:rPr>
            </w:pPr>
            <w:r w:rsidRPr="00A11EF1">
              <w:rPr>
                <w:rFonts w:cs="Arial"/>
                <w:color w:val="000000"/>
                <w:sz w:val="16"/>
                <w:szCs w:val="16"/>
              </w:rPr>
              <w:t>16.211.065</w:t>
            </w:r>
          </w:p>
        </w:tc>
        <w:tc>
          <w:tcPr>
            <w:tcW w:w="378" w:type="pc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bottom"/>
          </w:tcPr>
          <w:p w14:paraId="79CA88BB" w14:textId="77777777" w:rsidR="000E7A5A" w:rsidRPr="00A11EF1" w:rsidRDefault="00306071" w:rsidP="00A11EF1">
            <w:pPr>
              <w:spacing w:after="0" w:line="276" w:lineRule="auto"/>
              <w:jc w:val="right"/>
              <w:rPr>
                <w:rFonts w:cs="Arial"/>
                <w:color w:val="000000"/>
                <w:sz w:val="16"/>
                <w:szCs w:val="16"/>
              </w:rPr>
            </w:pPr>
            <w:r w:rsidRPr="00A11EF1">
              <w:rPr>
                <w:rFonts w:cs="Arial"/>
                <w:color w:val="000000"/>
                <w:sz w:val="16"/>
                <w:szCs w:val="16"/>
              </w:rPr>
              <w:t>3%</w:t>
            </w:r>
          </w:p>
        </w:tc>
        <w:tc>
          <w:tcPr>
            <w:tcW w:w="612" w:type="pc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bottom"/>
          </w:tcPr>
          <w:p w14:paraId="69EC78EC" w14:textId="77777777" w:rsidR="000E7A5A" w:rsidRPr="00A11EF1" w:rsidRDefault="00306071" w:rsidP="00A11EF1">
            <w:pPr>
              <w:spacing w:after="0" w:line="276" w:lineRule="auto"/>
              <w:jc w:val="right"/>
              <w:rPr>
                <w:rFonts w:cs="Arial"/>
                <w:color w:val="000000"/>
                <w:sz w:val="16"/>
                <w:szCs w:val="16"/>
              </w:rPr>
            </w:pPr>
            <w:r w:rsidRPr="00A11EF1">
              <w:rPr>
                <w:rFonts w:cs="Arial"/>
                <w:color w:val="000000"/>
                <w:sz w:val="16"/>
                <w:szCs w:val="16"/>
              </w:rPr>
              <w:t>11.010.792</w:t>
            </w:r>
          </w:p>
        </w:tc>
        <w:tc>
          <w:tcPr>
            <w:tcW w:w="375" w:type="pc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bottom"/>
          </w:tcPr>
          <w:p w14:paraId="2FE7F3D7" w14:textId="77777777" w:rsidR="000E7A5A" w:rsidRPr="00A11EF1" w:rsidRDefault="00306071" w:rsidP="00A11EF1">
            <w:pPr>
              <w:spacing w:after="0" w:line="276" w:lineRule="auto"/>
              <w:jc w:val="right"/>
              <w:rPr>
                <w:rFonts w:cs="Arial"/>
                <w:color w:val="000000"/>
                <w:sz w:val="16"/>
                <w:szCs w:val="16"/>
              </w:rPr>
            </w:pPr>
            <w:r w:rsidRPr="00A11EF1">
              <w:rPr>
                <w:rFonts w:cs="Arial"/>
                <w:color w:val="000000"/>
                <w:sz w:val="16"/>
                <w:szCs w:val="16"/>
              </w:rPr>
              <w:t>2%</w:t>
            </w:r>
          </w:p>
        </w:tc>
        <w:tc>
          <w:tcPr>
            <w:tcW w:w="119" w:type="pct"/>
            <w:tcBorders>
              <w:left w:val="single" w:sz="8" w:space="0" w:color="000000"/>
            </w:tcBorders>
            <w:shd w:val="clear" w:color="auto" w:fill="auto"/>
            <w:tcMar>
              <w:top w:w="0" w:type="dxa"/>
              <w:left w:w="108" w:type="dxa"/>
              <w:bottom w:w="0" w:type="dxa"/>
              <w:right w:w="108" w:type="dxa"/>
            </w:tcMar>
            <w:vAlign w:val="center"/>
          </w:tcPr>
          <w:p w14:paraId="70824D7A" w14:textId="77777777" w:rsidR="000E7A5A" w:rsidRPr="00A11EF1" w:rsidRDefault="000E7A5A" w:rsidP="0023397C">
            <w:pPr>
              <w:spacing w:line="276" w:lineRule="auto"/>
              <w:rPr>
                <w:rFonts w:cs="Arial"/>
                <w:sz w:val="16"/>
                <w:szCs w:val="16"/>
              </w:rPr>
            </w:pPr>
          </w:p>
        </w:tc>
      </w:tr>
      <w:tr w:rsidR="000E7A5A" w:rsidRPr="00A11EF1" w14:paraId="1F56E127" w14:textId="77777777" w:rsidTr="00EE5788">
        <w:trPr>
          <w:trHeight w:val="315"/>
        </w:trPr>
        <w:tc>
          <w:tcPr>
            <w:tcW w:w="977" w:type="pc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tcPr>
          <w:p w14:paraId="164FC3B0" w14:textId="77777777" w:rsidR="000E7A5A" w:rsidRPr="00A11EF1" w:rsidRDefault="00306071" w:rsidP="00A11EF1">
            <w:pPr>
              <w:spacing w:after="0" w:line="276" w:lineRule="auto"/>
              <w:rPr>
                <w:rFonts w:cs="Arial"/>
                <w:color w:val="000000"/>
                <w:sz w:val="16"/>
                <w:szCs w:val="16"/>
              </w:rPr>
            </w:pPr>
            <w:r w:rsidRPr="00A11EF1">
              <w:rPr>
                <w:rFonts w:cs="Arial"/>
                <w:color w:val="000000"/>
                <w:sz w:val="16"/>
                <w:szCs w:val="16"/>
              </w:rPr>
              <w:t>PN 6 - Znanja in spretnosti ter odzivni trg dela</w:t>
            </w:r>
          </w:p>
        </w:tc>
        <w:tc>
          <w:tcPr>
            <w:tcW w:w="806" w:type="pc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bottom"/>
          </w:tcPr>
          <w:p w14:paraId="0D12F92D" w14:textId="77777777" w:rsidR="000E7A5A" w:rsidRPr="00A11EF1" w:rsidRDefault="00306071" w:rsidP="00A11EF1">
            <w:pPr>
              <w:spacing w:after="0" w:line="276" w:lineRule="auto"/>
              <w:jc w:val="right"/>
              <w:rPr>
                <w:rFonts w:cs="Arial"/>
                <w:color w:val="000000"/>
                <w:sz w:val="16"/>
                <w:szCs w:val="16"/>
              </w:rPr>
            </w:pPr>
            <w:r w:rsidRPr="00A11EF1">
              <w:rPr>
                <w:rFonts w:cs="Arial"/>
                <w:color w:val="000000"/>
                <w:sz w:val="16"/>
                <w:szCs w:val="16"/>
              </w:rPr>
              <w:t>439.423.865</w:t>
            </w:r>
          </w:p>
        </w:tc>
        <w:tc>
          <w:tcPr>
            <w:tcW w:w="678" w:type="pc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bottom"/>
          </w:tcPr>
          <w:p w14:paraId="2BEDFCB4" w14:textId="77777777" w:rsidR="000E7A5A" w:rsidRPr="00A11EF1" w:rsidRDefault="00306071" w:rsidP="00A11EF1">
            <w:pPr>
              <w:spacing w:after="0" w:line="276" w:lineRule="auto"/>
              <w:jc w:val="right"/>
              <w:rPr>
                <w:rFonts w:cs="Arial"/>
                <w:color w:val="000000"/>
                <w:sz w:val="16"/>
                <w:szCs w:val="16"/>
              </w:rPr>
            </w:pPr>
            <w:r w:rsidRPr="00A11EF1">
              <w:rPr>
                <w:rFonts w:cs="Arial"/>
                <w:color w:val="000000"/>
                <w:sz w:val="16"/>
                <w:szCs w:val="16"/>
              </w:rPr>
              <w:t>211.474.380</w:t>
            </w:r>
          </w:p>
        </w:tc>
        <w:tc>
          <w:tcPr>
            <w:tcW w:w="379" w:type="pc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bottom"/>
          </w:tcPr>
          <w:p w14:paraId="6404588F" w14:textId="77777777" w:rsidR="000E7A5A" w:rsidRPr="00A11EF1" w:rsidRDefault="00306071" w:rsidP="00A11EF1">
            <w:pPr>
              <w:spacing w:after="0" w:line="276" w:lineRule="auto"/>
              <w:jc w:val="right"/>
              <w:rPr>
                <w:rFonts w:cs="Arial"/>
                <w:color w:val="000000"/>
                <w:sz w:val="16"/>
                <w:szCs w:val="16"/>
              </w:rPr>
            </w:pPr>
            <w:r w:rsidRPr="00A11EF1">
              <w:rPr>
                <w:rFonts w:cs="Arial"/>
                <w:color w:val="000000"/>
                <w:sz w:val="16"/>
                <w:szCs w:val="16"/>
              </w:rPr>
              <w:t>48%</w:t>
            </w:r>
          </w:p>
        </w:tc>
        <w:tc>
          <w:tcPr>
            <w:tcW w:w="676" w:type="pc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bottom"/>
          </w:tcPr>
          <w:p w14:paraId="15C6579E" w14:textId="77777777" w:rsidR="000E7A5A" w:rsidRPr="00A11EF1" w:rsidRDefault="00306071" w:rsidP="00A11EF1">
            <w:pPr>
              <w:spacing w:after="0" w:line="276" w:lineRule="auto"/>
              <w:jc w:val="right"/>
              <w:rPr>
                <w:rFonts w:cs="Arial"/>
                <w:color w:val="000000"/>
                <w:sz w:val="16"/>
                <w:szCs w:val="16"/>
              </w:rPr>
            </w:pPr>
            <w:r w:rsidRPr="00A11EF1">
              <w:rPr>
                <w:rFonts w:cs="Arial"/>
                <w:color w:val="000000"/>
                <w:sz w:val="16"/>
                <w:szCs w:val="16"/>
              </w:rPr>
              <w:t>202.524.108</w:t>
            </w:r>
          </w:p>
        </w:tc>
        <w:tc>
          <w:tcPr>
            <w:tcW w:w="378" w:type="pc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bottom"/>
          </w:tcPr>
          <w:p w14:paraId="751C10ED" w14:textId="77777777" w:rsidR="000E7A5A" w:rsidRPr="00A11EF1" w:rsidRDefault="00306071" w:rsidP="00A11EF1">
            <w:pPr>
              <w:spacing w:after="0" w:line="276" w:lineRule="auto"/>
              <w:jc w:val="right"/>
              <w:rPr>
                <w:rFonts w:cs="Arial"/>
                <w:color w:val="000000"/>
                <w:sz w:val="16"/>
                <w:szCs w:val="16"/>
              </w:rPr>
            </w:pPr>
            <w:r w:rsidRPr="00A11EF1">
              <w:rPr>
                <w:rFonts w:cs="Arial"/>
                <w:color w:val="000000"/>
                <w:sz w:val="16"/>
                <w:szCs w:val="16"/>
              </w:rPr>
              <w:t>46%</w:t>
            </w:r>
          </w:p>
        </w:tc>
        <w:tc>
          <w:tcPr>
            <w:tcW w:w="612" w:type="pc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bottom"/>
          </w:tcPr>
          <w:p w14:paraId="50C24DB5" w14:textId="77777777" w:rsidR="000E7A5A" w:rsidRPr="00A11EF1" w:rsidRDefault="00306071" w:rsidP="00A11EF1">
            <w:pPr>
              <w:spacing w:after="0" w:line="276" w:lineRule="auto"/>
              <w:jc w:val="right"/>
              <w:rPr>
                <w:rFonts w:cs="Arial"/>
                <w:color w:val="000000"/>
                <w:sz w:val="16"/>
                <w:szCs w:val="16"/>
              </w:rPr>
            </w:pPr>
            <w:r w:rsidRPr="00A11EF1">
              <w:rPr>
                <w:rFonts w:cs="Arial"/>
                <w:color w:val="000000"/>
                <w:sz w:val="16"/>
                <w:szCs w:val="16"/>
              </w:rPr>
              <w:t>11.241.011</w:t>
            </w:r>
          </w:p>
        </w:tc>
        <w:tc>
          <w:tcPr>
            <w:tcW w:w="375" w:type="pc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bottom"/>
          </w:tcPr>
          <w:p w14:paraId="492BEB1A" w14:textId="77777777" w:rsidR="000E7A5A" w:rsidRPr="00A11EF1" w:rsidRDefault="00306071" w:rsidP="00A11EF1">
            <w:pPr>
              <w:spacing w:after="0" w:line="276" w:lineRule="auto"/>
              <w:jc w:val="right"/>
              <w:rPr>
                <w:rFonts w:cs="Arial"/>
                <w:color w:val="000000"/>
                <w:sz w:val="16"/>
                <w:szCs w:val="16"/>
              </w:rPr>
            </w:pPr>
            <w:r w:rsidRPr="00A11EF1">
              <w:rPr>
                <w:rFonts w:cs="Arial"/>
                <w:color w:val="000000"/>
                <w:sz w:val="16"/>
                <w:szCs w:val="16"/>
              </w:rPr>
              <w:t>3%</w:t>
            </w:r>
          </w:p>
        </w:tc>
        <w:tc>
          <w:tcPr>
            <w:tcW w:w="119" w:type="pct"/>
            <w:tcBorders>
              <w:left w:val="single" w:sz="8" w:space="0" w:color="000000"/>
            </w:tcBorders>
            <w:shd w:val="clear" w:color="auto" w:fill="auto"/>
            <w:tcMar>
              <w:top w:w="0" w:type="dxa"/>
              <w:left w:w="108" w:type="dxa"/>
              <w:bottom w:w="0" w:type="dxa"/>
              <w:right w:w="108" w:type="dxa"/>
            </w:tcMar>
            <w:vAlign w:val="center"/>
          </w:tcPr>
          <w:p w14:paraId="34E70FD3" w14:textId="77777777" w:rsidR="000E7A5A" w:rsidRPr="00A11EF1" w:rsidRDefault="000E7A5A" w:rsidP="0023397C">
            <w:pPr>
              <w:spacing w:line="276" w:lineRule="auto"/>
              <w:rPr>
                <w:rFonts w:cs="Arial"/>
                <w:sz w:val="16"/>
                <w:szCs w:val="16"/>
              </w:rPr>
            </w:pPr>
          </w:p>
        </w:tc>
      </w:tr>
      <w:tr w:rsidR="000E7A5A" w:rsidRPr="00A11EF1" w14:paraId="7BF480AA" w14:textId="77777777" w:rsidTr="00EE5788">
        <w:trPr>
          <w:trHeight w:val="315"/>
        </w:trPr>
        <w:tc>
          <w:tcPr>
            <w:tcW w:w="977" w:type="pc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tcPr>
          <w:p w14:paraId="6308644A" w14:textId="77777777" w:rsidR="000E7A5A" w:rsidRPr="00A11EF1" w:rsidRDefault="00306071" w:rsidP="00A11EF1">
            <w:pPr>
              <w:spacing w:after="0" w:line="276" w:lineRule="auto"/>
              <w:rPr>
                <w:rFonts w:cs="Arial"/>
                <w:color w:val="000000"/>
                <w:sz w:val="16"/>
                <w:szCs w:val="16"/>
              </w:rPr>
            </w:pPr>
            <w:r w:rsidRPr="00A11EF1">
              <w:rPr>
                <w:rFonts w:cs="Arial"/>
                <w:color w:val="000000"/>
                <w:sz w:val="16"/>
                <w:szCs w:val="16"/>
              </w:rPr>
              <w:t>PN 7 - Dolgotrajna oskrba in zdravje ter socialna vključenost</w:t>
            </w:r>
          </w:p>
        </w:tc>
        <w:tc>
          <w:tcPr>
            <w:tcW w:w="806" w:type="pc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bottom"/>
          </w:tcPr>
          <w:p w14:paraId="53FC63E4" w14:textId="77777777" w:rsidR="000E7A5A" w:rsidRPr="00A11EF1" w:rsidRDefault="00306071" w:rsidP="00A11EF1">
            <w:pPr>
              <w:spacing w:after="0" w:line="276" w:lineRule="auto"/>
              <w:jc w:val="right"/>
              <w:rPr>
                <w:rFonts w:cs="Arial"/>
                <w:color w:val="000000"/>
                <w:sz w:val="16"/>
                <w:szCs w:val="16"/>
              </w:rPr>
            </w:pPr>
            <w:r w:rsidRPr="00A11EF1">
              <w:rPr>
                <w:rFonts w:cs="Arial"/>
                <w:color w:val="000000"/>
                <w:sz w:val="16"/>
                <w:szCs w:val="16"/>
              </w:rPr>
              <w:t>282.311.001</w:t>
            </w:r>
          </w:p>
        </w:tc>
        <w:tc>
          <w:tcPr>
            <w:tcW w:w="678" w:type="pc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bottom"/>
          </w:tcPr>
          <w:p w14:paraId="14910915" w14:textId="77777777" w:rsidR="000E7A5A" w:rsidRPr="00A11EF1" w:rsidRDefault="00306071" w:rsidP="00A11EF1">
            <w:pPr>
              <w:spacing w:after="0" w:line="276" w:lineRule="auto"/>
              <w:jc w:val="right"/>
              <w:rPr>
                <w:rFonts w:cs="Arial"/>
                <w:color w:val="000000"/>
                <w:sz w:val="16"/>
                <w:szCs w:val="16"/>
              </w:rPr>
            </w:pPr>
            <w:r w:rsidRPr="00A11EF1">
              <w:rPr>
                <w:rFonts w:cs="Arial"/>
                <w:color w:val="000000"/>
                <w:sz w:val="16"/>
                <w:szCs w:val="16"/>
              </w:rPr>
              <w:t>72.587.268</w:t>
            </w:r>
          </w:p>
        </w:tc>
        <w:tc>
          <w:tcPr>
            <w:tcW w:w="379" w:type="pc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bottom"/>
          </w:tcPr>
          <w:p w14:paraId="1B1629A5" w14:textId="77777777" w:rsidR="000E7A5A" w:rsidRPr="00A11EF1" w:rsidRDefault="00306071" w:rsidP="00A11EF1">
            <w:pPr>
              <w:spacing w:after="0" w:line="276" w:lineRule="auto"/>
              <w:jc w:val="right"/>
              <w:rPr>
                <w:rFonts w:cs="Arial"/>
                <w:color w:val="000000"/>
                <w:sz w:val="16"/>
                <w:szCs w:val="16"/>
              </w:rPr>
            </w:pPr>
            <w:r w:rsidRPr="00A11EF1">
              <w:rPr>
                <w:rFonts w:cs="Arial"/>
                <w:color w:val="000000"/>
                <w:sz w:val="16"/>
                <w:szCs w:val="16"/>
              </w:rPr>
              <w:t>26%</w:t>
            </w:r>
          </w:p>
        </w:tc>
        <w:tc>
          <w:tcPr>
            <w:tcW w:w="676" w:type="pc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bottom"/>
          </w:tcPr>
          <w:p w14:paraId="3C486F91" w14:textId="77777777" w:rsidR="000E7A5A" w:rsidRPr="00A11EF1" w:rsidRDefault="00306071" w:rsidP="00A11EF1">
            <w:pPr>
              <w:spacing w:after="0" w:line="276" w:lineRule="auto"/>
              <w:jc w:val="right"/>
              <w:rPr>
                <w:rFonts w:cs="Arial"/>
                <w:color w:val="000000"/>
                <w:sz w:val="16"/>
                <w:szCs w:val="16"/>
              </w:rPr>
            </w:pPr>
            <w:r w:rsidRPr="00A11EF1">
              <w:rPr>
                <w:rFonts w:cs="Arial"/>
                <w:color w:val="000000"/>
                <w:sz w:val="16"/>
                <w:szCs w:val="16"/>
              </w:rPr>
              <w:t>63.638.806</w:t>
            </w:r>
          </w:p>
        </w:tc>
        <w:tc>
          <w:tcPr>
            <w:tcW w:w="378" w:type="pc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bottom"/>
          </w:tcPr>
          <w:p w14:paraId="41ECD23C" w14:textId="77777777" w:rsidR="000E7A5A" w:rsidRPr="00A11EF1" w:rsidRDefault="00306071" w:rsidP="00A11EF1">
            <w:pPr>
              <w:spacing w:after="0" w:line="276" w:lineRule="auto"/>
              <w:jc w:val="right"/>
              <w:rPr>
                <w:rFonts w:cs="Arial"/>
                <w:color w:val="000000"/>
                <w:sz w:val="16"/>
                <w:szCs w:val="16"/>
              </w:rPr>
            </w:pPr>
            <w:r w:rsidRPr="00A11EF1">
              <w:rPr>
                <w:rFonts w:cs="Arial"/>
                <w:color w:val="000000"/>
                <w:sz w:val="16"/>
                <w:szCs w:val="16"/>
              </w:rPr>
              <w:t>23%</w:t>
            </w:r>
          </w:p>
        </w:tc>
        <w:tc>
          <w:tcPr>
            <w:tcW w:w="612" w:type="pc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bottom"/>
          </w:tcPr>
          <w:p w14:paraId="354A295B" w14:textId="77777777" w:rsidR="000E7A5A" w:rsidRPr="00A11EF1" w:rsidRDefault="00306071" w:rsidP="00A11EF1">
            <w:pPr>
              <w:spacing w:after="0" w:line="276" w:lineRule="auto"/>
              <w:jc w:val="right"/>
              <w:rPr>
                <w:rFonts w:cs="Arial"/>
                <w:color w:val="000000"/>
                <w:sz w:val="16"/>
                <w:szCs w:val="16"/>
              </w:rPr>
            </w:pPr>
            <w:r w:rsidRPr="00A11EF1">
              <w:rPr>
                <w:rFonts w:cs="Arial"/>
                <w:color w:val="000000"/>
                <w:sz w:val="16"/>
                <w:szCs w:val="16"/>
              </w:rPr>
              <w:t>5.812.393</w:t>
            </w:r>
          </w:p>
        </w:tc>
        <w:tc>
          <w:tcPr>
            <w:tcW w:w="375" w:type="pc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bottom"/>
          </w:tcPr>
          <w:p w14:paraId="79214E90" w14:textId="77777777" w:rsidR="000E7A5A" w:rsidRPr="00A11EF1" w:rsidRDefault="00306071" w:rsidP="00A11EF1">
            <w:pPr>
              <w:spacing w:after="0" w:line="276" w:lineRule="auto"/>
              <w:jc w:val="right"/>
              <w:rPr>
                <w:rFonts w:cs="Arial"/>
                <w:color w:val="000000"/>
                <w:sz w:val="16"/>
                <w:szCs w:val="16"/>
              </w:rPr>
            </w:pPr>
            <w:r w:rsidRPr="00A11EF1">
              <w:rPr>
                <w:rFonts w:cs="Arial"/>
                <w:color w:val="000000"/>
                <w:sz w:val="16"/>
                <w:szCs w:val="16"/>
              </w:rPr>
              <w:t>2%</w:t>
            </w:r>
          </w:p>
        </w:tc>
        <w:tc>
          <w:tcPr>
            <w:tcW w:w="119" w:type="pct"/>
            <w:tcBorders>
              <w:left w:val="single" w:sz="8" w:space="0" w:color="000000"/>
            </w:tcBorders>
            <w:shd w:val="clear" w:color="auto" w:fill="auto"/>
            <w:tcMar>
              <w:top w:w="0" w:type="dxa"/>
              <w:left w:w="108" w:type="dxa"/>
              <w:bottom w:w="0" w:type="dxa"/>
              <w:right w:w="108" w:type="dxa"/>
            </w:tcMar>
            <w:vAlign w:val="center"/>
          </w:tcPr>
          <w:p w14:paraId="0DCFE799" w14:textId="77777777" w:rsidR="000E7A5A" w:rsidRPr="00A11EF1" w:rsidRDefault="000E7A5A" w:rsidP="0023397C">
            <w:pPr>
              <w:spacing w:line="276" w:lineRule="auto"/>
              <w:rPr>
                <w:rFonts w:cs="Arial"/>
                <w:sz w:val="16"/>
                <w:szCs w:val="16"/>
              </w:rPr>
            </w:pPr>
          </w:p>
        </w:tc>
      </w:tr>
      <w:tr w:rsidR="000E7A5A" w:rsidRPr="00A11EF1" w14:paraId="7CE41F62" w14:textId="77777777" w:rsidTr="00EE5788">
        <w:trPr>
          <w:trHeight w:val="315"/>
        </w:trPr>
        <w:tc>
          <w:tcPr>
            <w:tcW w:w="977" w:type="pc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tcPr>
          <w:p w14:paraId="6DF900C7" w14:textId="77777777" w:rsidR="000E7A5A" w:rsidRPr="00A11EF1" w:rsidRDefault="00306071" w:rsidP="00A11EF1">
            <w:pPr>
              <w:spacing w:after="0" w:line="276" w:lineRule="auto"/>
              <w:rPr>
                <w:rFonts w:cs="Arial"/>
                <w:color w:val="000000"/>
                <w:sz w:val="16"/>
                <w:szCs w:val="16"/>
              </w:rPr>
            </w:pPr>
            <w:r w:rsidRPr="00A11EF1">
              <w:rPr>
                <w:rFonts w:cs="Arial"/>
                <w:color w:val="000000"/>
                <w:sz w:val="16"/>
                <w:szCs w:val="16"/>
              </w:rPr>
              <w:t>PN 8 - Trajnostna turizem in kultura</w:t>
            </w:r>
          </w:p>
        </w:tc>
        <w:tc>
          <w:tcPr>
            <w:tcW w:w="806" w:type="pc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bottom"/>
          </w:tcPr>
          <w:p w14:paraId="049FB86D" w14:textId="77777777" w:rsidR="000E7A5A" w:rsidRPr="00A11EF1" w:rsidRDefault="00306071" w:rsidP="00A11EF1">
            <w:pPr>
              <w:spacing w:after="0" w:line="276" w:lineRule="auto"/>
              <w:jc w:val="right"/>
              <w:rPr>
                <w:rFonts w:cs="Arial"/>
                <w:color w:val="000000"/>
                <w:sz w:val="16"/>
                <w:szCs w:val="16"/>
              </w:rPr>
            </w:pPr>
            <w:r w:rsidRPr="00A11EF1">
              <w:rPr>
                <w:rFonts w:cs="Arial"/>
                <w:color w:val="000000"/>
                <w:sz w:val="16"/>
                <w:szCs w:val="16"/>
              </w:rPr>
              <w:t>19.661.752</w:t>
            </w:r>
          </w:p>
        </w:tc>
        <w:tc>
          <w:tcPr>
            <w:tcW w:w="678" w:type="pc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bottom"/>
          </w:tcPr>
          <w:p w14:paraId="7E72D0E3" w14:textId="77777777" w:rsidR="000E7A5A" w:rsidRPr="00A11EF1" w:rsidRDefault="00306071" w:rsidP="00A11EF1">
            <w:pPr>
              <w:spacing w:after="0" w:line="276" w:lineRule="auto"/>
              <w:jc w:val="right"/>
              <w:rPr>
                <w:rFonts w:cs="Arial"/>
                <w:color w:val="000000"/>
                <w:sz w:val="16"/>
                <w:szCs w:val="16"/>
              </w:rPr>
            </w:pPr>
            <w:r w:rsidRPr="00A11EF1">
              <w:rPr>
                <w:rFonts w:cs="Arial"/>
                <w:color w:val="000000"/>
                <w:sz w:val="16"/>
                <w:szCs w:val="16"/>
              </w:rPr>
              <w:t>13.804.652</w:t>
            </w:r>
          </w:p>
        </w:tc>
        <w:tc>
          <w:tcPr>
            <w:tcW w:w="379" w:type="pc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bottom"/>
          </w:tcPr>
          <w:p w14:paraId="15C48383" w14:textId="77777777" w:rsidR="000E7A5A" w:rsidRPr="00A11EF1" w:rsidRDefault="00306071" w:rsidP="00A11EF1">
            <w:pPr>
              <w:spacing w:after="0" w:line="276" w:lineRule="auto"/>
              <w:jc w:val="right"/>
              <w:rPr>
                <w:rFonts w:cs="Arial"/>
                <w:color w:val="000000"/>
                <w:sz w:val="16"/>
                <w:szCs w:val="16"/>
              </w:rPr>
            </w:pPr>
            <w:r w:rsidRPr="00A11EF1">
              <w:rPr>
                <w:rFonts w:cs="Arial"/>
                <w:color w:val="000000"/>
                <w:sz w:val="16"/>
                <w:szCs w:val="16"/>
              </w:rPr>
              <w:t>70%</w:t>
            </w:r>
          </w:p>
        </w:tc>
        <w:tc>
          <w:tcPr>
            <w:tcW w:w="676" w:type="pc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bottom"/>
          </w:tcPr>
          <w:p w14:paraId="2EF5F38F" w14:textId="77777777" w:rsidR="000E7A5A" w:rsidRPr="00A11EF1" w:rsidRDefault="00306071" w:rsidP="00A11EF1">
            <w:pPr>
              <w:spacing w:after="0" w:line="276" w:lineRule="auto"/>
              <w:jc w:val="right"/>
              <w:rPr>
                <w:rFonts w:cs="Arial"/>
                <w:color w:val="000000"/>
                <w:sz w:val="16"/>
                <w:szCs w:val="16"/>
              </w:rPr>
            </w:pPr>
            <w:r w:rsidRPr="00A11EF1">
              <w:rPr>
                <w:rFonts w:cs="Arial"/>
                <w:color w:val="000000"/>
                <w:sz w:val="16"/>
                <w:szCs w:val="16"/>
              </w:rPr>
              <w:t>0</w:t>
            </w:r>
          </w:p>
        </w:tc>
        <w:tc>
          <w:tcPr>
            <w:tcW w:w="378" w:type="pc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bottom"/>
          </w:tcPr>
          <w:p w14:paraId="2C8D8CEB" w14:textId="77777777" w:rsidR="000E7A5A" w:rsidRPr="00A11EF1" w:rsidRDefault="00306071" w:rsidP="00A11EF1">
            <w:pPr>
              <w:spacing w:after="0" w:line="276" w:lineRule="auto"/>
              <w:jc w:val="right"/>
              <w:rPr>
                <w:rFonts w:cs="Arial"/>
                <w:color w:val="000000"/>
                <w:sz w:val="16"/>
                <w:szCs w:val="16"/>
              </w:rPr>
            </w:pPr>
            <w:r w:rsidRPr="00A11EF1">
              <w:rPr>
                <w:rFonts w:cs="Arial"/>
                <w:color w:val="000000"/>
                <w:sz w:val="16"/>
                <w:szCs w:val="16"/>
              </w:rPr>
              <w:t>0%</w:t>
            </w:r>
          </w:p>
        </w:tc>
        <w:tc>
          <w:tcPr>
            <w:tcW w:w="612" w:type="pc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bottom"/>
          </w:tcPr>
          <w:p w14:paraId="4D63D04A" w14:textId="77777777" w:rsidR="000E7A5A" w:rsidRPr="00A11EF1" w:rsidRDefault="00306071" w:rsidP="00A11EF1">
            <w:pPr>
              <w:spacing w:after="0" w:line="276" w:lineRule="auto"/>
              <w:jc w:val="right"/>
              <w:rPr>
                <w:rFonts w:cs="Arial"/>
                <w:color w:val="000000"/>
                <w:sz w:val="16"/>
                <w:szCs w:val="16"/>
              </w:rPr>
            </w:pPr>
            <w:r w:rsidRPr="00A11EF1">
              <w:rPr>
                <w:rFonts w:cs="Arial"/>
                <w:color w:val="000000"/>
                <w:sz w:val="16"/>
                <w:szCs w:val="16"/>
              </w:rPr>
              <w:t>0</w:t>
            </w:r>
          </w:p>
        </w:tc>
        <w:tc>
          <w:tcPr>
            <w:tcW w:w="375" w:type="pc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bottom"/>
          </w:tcPr>
          <w:p w14:paraId="093A7436" w14:textId="77777777" w:rsidR="000E7A5A" w:rsidRPr="00A11EF1" w:rsidRDefault="00306071" w:rsidP="00A11EF1">
            <w:pPr>
              <w:spacing w:after="0" w:line="276" w:lineRule="auto"/>
              <w:jc w:val="right"/>
              <w:rPr>
                <w:rFonts w:cs="Arial"/>
                <w:color w:val="000000"/>
                <w:sz w:val="16"/>
                <w:szCs w:val="16"/>
              </w:rPr>
            </w:pPr>
            <w:r w:rsidRPr="00A11EF1">
              <w:rPr>
                <w:rFonts w:cs="Arial"/>
                <w:color w:val="000000"/>
                <w:sz w:val="16"/>
                <w:szCs w:val="16"/>
              </w:rPr>
              <w:t>0%</w:t>
            </w:r>
          </w:p>
        </w:tc>
        <w:tc>
          <w:tcPr>
            <w:tcW w:w="119" w:type="pct"/>
            <w:tcBorders>
              <w:left w:val="single" w:sz="8" w:space="0" w:color="000000"/>
            </w:tcBorders>
            <w:shd w:val="clear" w:color="auto" w:fill="auto"/>
            <w:tcMar>
              <w:top w:w="0" w:type="dxa"/>
              <w:left w:w="108" w:type="dxa"/>
              <w:bottom w:w="0" w:type="dxa"/>
              <w:right w:w="108" w:type="dxa"/>
            </w:tcMar>
            <w:vAlign w:val="center"/>
          </w:tcPr>
          <w:p w14:paraId="2289007A" w14:textId="77777777" w:rsidR="000E7A5A" w:rsidRPr="00A11EF1" w:rsidRDefault="000E7A5A" w:rsidP="0023397C">
            <w:pPr>
              <w:spacing w:line="276" w:lineRule="auto"/>
              <w:rPr>
                <w:rFonts w:cs="Arial"/>
                <w:sz w:val="16"/>
                <w:szCs w:val="16"/>
              </w:rPr>
            </w:pPr>
          </w:p>
        </w:tc>
      </w:tr>
      <w:tr w:rsidR="000E7A5A" w:rsidRPr="00A11EF1" w14:paraId="27EB413A" w14:textId="77777777" w:rsidTr="00EE5788">
        <w:trPr>
          <w:trHeight w:val="315"/>
        </w:trPr>
        <w:tc>
          <w:tcPr>
            <w:tcW w:w="977" w:type="pc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tcPr>
          <w:p w14:paraId="5694F55A" w14:textId="77777777" w:rsidR="000E7A5A" w:rsidRPr="00A11EF1" w:rsidRDefault="00306071" w:rsidP="00A11EF1">
            <w:pPr>
              <w:spacing w:after="0" w:line="276" w:lineRule="auto"/>
              <w:rPr>
                <w:rFonts w:cs="Arial"/>
                <w:color w:val="000000"/>
                <w:sz w:val="16"/>
                <w:szCs w:val="16"/>
              </w:rPr>
            </w:pPr>
            <w:r w:rsidRPr="00A11EF1">
              <w:rPr>
                <w:rFonts w:cs="Arial"/>
                <w:color w:val="000000"/>
                <w:sz w:val="16"/>
                <w:szCs w:val="16"/>
              </w:rPr>
              <w:t>PN 9 - Trajnostni razvoj lokalnih območij</w:t>
            </w:r>
          </w:p>
        </w:tc>
        <w:tc>
          <w:tcPr>
            <w:tcW w:w="806" w:type="pc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bottom"/>
          </w:tcPr>
          <w:p w14:paraId="2B955630" w14:textId="77777777" w:rsidR="000E7A5A" w:rsidRPr="00A11EF1" w:rsidRDefault="00306071" w:rsidP="00A11EF1">
            <w:pPr>
              <w:spacing w:after="0" w:line="276" w:lineRule="auto"/>
              <w:jc w:val="right"/>
              <w:rPr>
                <w:rFonts w:cs="Arial"/>
                <w:color w:val="000000"/>
                <w:sz w:val="16"/>
                <w:szCs w:val="16"/>
              </w:rPr>
            </w:pPr>
            <w:r w:rsidRPr="00A11EF1">
              <w:rPr>
                <w:rFonts w:cs="Arial"/>
                <w:color w:val="000000"/>
                <w:sz w:val="16"/>
                <w:szCs w:val="16"/>
              </w:rPr>
              <w:t>85.230.785</w:t>
            </w:r>
          </w:p>
        </w:tc>
        <w:tc>
          <w:tcPr>
            <w:tcW w:w="678" w:type="pc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bottom"/>
          </w:tcPr>
          <w:p w14:paraId="1B1836C6" w14:textId="77777777" w:rsidR="000E7A5A" w:rsidRPr="00A11EF1" w:rsidRDefault="00306071" w:rsidP="00A11EF1">
            <w:pPr>
              <w:spacing w:after="0" w:line="276" w:lineRule="auto"/>
              <w:jc w:val="right"/>
              <w:rPr>
                <w:rFonts w:cs="Arial"/>
                <w:color w:val="000000"/>
                <w:sz w:val="16"/>
                <w:szCs w:val="16"/>
              </w:rPr>
            </w:pPr>
            <w:r w:rsidRPr="00A11EF1">
              <w:rPr>
                <w:rFonts w:cs="Arial"/>
                <w:color w:val="000000"/>
                <w:sz w:val="16"/>
                <w:szCs w:val="16"/>
              </w:rPr>
              <w:t>31.853.244</w:t>
            </w:r>
          </w:p>
        </w:tc>
        <w:tc>
          <w:tcPr>
            <w:tcW w:w="379" w:type="pc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bottom"/>
          </w:tcPr>
          <w:p w14:paraId="0AF9FA69" w14:textId="77777777" w:rsidR="000E7A5A" w:rsidRPr="00A11EF1" w:rsidRDefault="00306071" w:rsidP="00A11EF1">
            <w:pPr>
              <w:spacing w:after="0" w:line="276" w:lineRule="auto"/>
              <w:jc w:val="right"/>
              <w:rPr>
                <w:rFonts w:cs="Arial"/>
                <w:color w:val="000000"/>
                <w:sz w:val="16"/>
                <w:szCs w:val="16"/>
              </w:rPr>
            </w:pPr>
            <w:r w:rsidRPr="00A11EF1">
              <w:rPr>
                <w:rFonts w:cs="Arial"/>
                <w:color w:val="000000"/>
                <w:sz w:val="16"/>
                <w:szCs w:val="16"/>
              </w:rPr>
              <w:t>37%</w:t>
            </w:r>
          </w:p>
        </w:tc>
        <w:tc>
          <w:tcPr>
            <w:tcW w:w="676" w:type="pc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bottom"/>
          </w:tcPr>
          <w:p w14:paraId="330855A1" w14:textId="77777777" w:rsidR="000E7A5A" w:rsidRPr="00A11EF1" w:rsidRDefault="00306071" w:rsidP="00A11EF1">
            <w:pPr>
              <w:spacing w:after="0" w:line="276" w:lineRule="auto"/>
              <w:jc w:val="right"/>
              <w:rPr>
                <w:rFonts w:cs="Arial"/>
                <w:color w:val="000000"/>
                <w:sz w:val="16"/>
                <w:szCs w:val="16"/>
              </w:rPr>
            </w:pPr>
            <w:r w:rsidRPr="00A11EF1">
              <w:rPr>
                <w:rFonts w:cs="Arial"/>
                <w:color w:val="000000"/>
                <w:sz w:val="16"/>
                <w:szCs w:val="16"/>
              </w:rPr>
              <w:t>8.589.498</w:t>
            </w:r>
          </w:p>
        </w:tc>
        <w:tc>
          <w:tcPr>
            <w:tcW w:w="378" w:type="pc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bottom"/>
          </w:tcPr>
          <w:p w14:paraId="61C9BFE7" w14:textId="77777777" w:rsidR="000E7A5A" w:rsidRPr="00A11EF1" w:rsidRDefault="00306071" w:rsidP="00A11EF1">
            <w:pPr>
              <w:spacing w:after="0" w:line="276" w:lineRule="auto"/>
              <w:jc w:val="right"/>
              <w:rPr>
                <w:rFonts w:cs="Arial"/>
                <w:color w:val="000000"/>
                <w:sz w:val="16"/>
                <w:szCs w:val="16"/>
              </w:rPr>
            </w:pPr>
            <w:r w:rsidRPr="00A11EF1">
              <w:rPr>
                <w:rFonts w:cs="Arial"/>
                <w:color w:val="000000"/>
                <w:sz w:val="16"/>
                <w:szCs w:val="16"/>
              </w:rPr>
              <w:t>10%</w:t>
            </w:r>
          </w:p>
        </w:tc>
        <w:tc>
          <w:tcPr>
            <w:tcW w:w="612" w:type="pc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bottom"/>
          </w:tcPr>
          <w:p w14:paraId="13D3E686" w14:textId="77777777" w:rsidR="000E7A5A" w:rsidRPr="00A11EF1" w:rsidRDefault="00306071" w:rsidP="00A11EF1">
            <w:pPr>
              <w:spacing w:after="0" w:line="276" w:lineRule="auto"/>
              <w:jc w:val="right"/>
              <w:rPr>
                <w:rFonts w:cs="Arial"/>
                <w:color w:val="000000"/>
                <w:sz w:val="16"/>
                <w:szCs w:val="16"/>
              </w:rPr>
            </w:pPr>
            <w:r w:rsidRPr="00A11EF1">
              <w:rPr>
                <w:rFonts w:cs="Arial"/>
                <w:color w:val="000000"/>
                <w:sz w:val="16"/>
                <w:szCs w:val="16"/>
              </w:rPr>
              <w:t>3.900.820</w:t>
            </w:r>
          </w:p>
        </w:tc>
        <w:tc>
          <w:tcPr>
            <w:tcW w:w="375" w:type="pc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bottom"/>
          </w:tcPr>
          <w:p w14:paraId="433F61D8" w14:textId="77777777" w:rsidR="000E7A5A" w:rsidRPr="00A11EF1" w:rsidRDefault="00306071" w:rsidP="00A11EF1">
            <w:pPr>
              <w:spacing w:after="0" w:line="276" w:lineRule="auto"/>
              <w:jc w:val="right"/>
              <w:rPr>
                <w:rFonts w:cs="Arial"/>
                <w:color w:val="000000"/>
                <w:sz w:val="16"/>
                <w:szCs w:val="16"/>
              </w:rPr>
            </w:pPr>
            <w:r w:rsidRPr="00A11EF1">
              <w:rPr>
                <w:rFonts w:cs="Arial"/>
                <w:color w:val="000000"/>
                <w:sz w:val="16"/>
                <w:szCs w:val="16"/>
              </w:rPr>
              <w:t>5%</w:t>
            </w:r>
          </w:p>
        </w:tc>
        <w:tc>
          <w:tcPr>
            <w:tcW w:w="119" w:type="pct"/>
            <w:tcBorders>
              <w:left w:val="single" w:sz="8" w:space="0" w:color="000000"/>
            </w:tcBorders>
            <w:shd w:val="clear" w:color="auto" w:fill="auto"/>
            <w:tcMar>
              <w:top w:w="0" w:type="dxa"/>
              <w:left w:w="108" w:type="dxa"/>
              <w:bottom w:w="0" w:type="dxa"/>
              <w:right w:w="108" w:type="dxa"/>
            </w:tcMar>
            <w:vAlign w:val="center"/>
          </w:tcPr>
          <w:p w14:paraId="71997A07" w14:textId="77777777" w:rsidR="000E7A5A" w:rsidRPr="00A11EF1" w:rsidRDefault="000E7A5A" w:rsidP="0023397C">
            <w:pPr>
              <w:spacing w:line="276" w:lineRule="auto"/>
              <w:rPr>
                <w:rFonts w:cs="Arial"/>
                <w:sz w:val="16"/>
                <w:szCs w:val="16"/>
              </w:rPr>
            </w:pPr>
          </w:p>
        </w:tc>
      </w:tr>
      <w:tr w:rsidR="000E7A5A" w:rsidRPr="00A11EF1" w14:paraId="4059444F" w14:textId="77777777" w:rsidTr="00EE5788">
        <w:trPr>
          <w:trHeight w:val="315"/>
        </w:trPr>
        <w:tc>
          <w:tcPr>
            <w:tcW w:w="977" w:type="pc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tcPr>
          <w:p w14:paraId="07320A17" w14:textId="77777777" w:rsidR="000E7A5A" w:rsidRPr="00A11EF1" w:rsidRDefault="00306071" w:rsidP="00A11EF1">
            <w:pPr>
              <w:spacing w:after="0" w:line="276" w:lineRule="auto"/>
              <w:rPr>
                <w:rFonts w:cs="Arial"/>
                <w:color w:val="000000"/>
                <w:sz w:val="16"/>
                <w:szCs w:val="16"/>
              </w:rPr>
            </w:pPr>
            <w:r w:rsidRPr="00A11EF1">
              <w:rPr>
                <w:rFonts w:cs="Arial"/>
                <w:color w:val="000000"/>
                <w:sz w:val="16"/>
                <w:szCs w:val="16"/>
              </w:rPr>
              <w:t>PN 10 - Prestrukturiranje premogovnih regij</w:t>
            </w:r>
          </w:p>
        </w:tc>
        <w:tc>
          <w:tcPr>
            <w:tcW w:w="806" w:type="pc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bottom"/>
          </w:tcPr>
          <w:p w14:paraId="25B9DACA" w14:textId="77777777" w:rsidR="000E7A5A" w:rsidRPr="00A11EF1" w:rsidRDefault="00306071" w:rsidP="00A11EF1">
            <w:pPr>
              <w:spacing w:after="0" w:line="276" w:lineRule="auto"/>
              <w:jc w:val="right"/>
              <w:rPr>
                <w:rFonts w:cs="Arial"/>
                <w:color w:val="000000"/>
                <w:sz w:val="16"/>
                <w:szCs w:val="16"/>
              </w:rPr>
            </w:pPr>
            <w:r w:rsidRPr="00A11EF1">
              <w:rPr>
                <w:rFonts w:cs="Arial"/>
                <w:color w:val="000000"/>
                <w:sz w:val="16"/>
                <w:szCs w:val="16"/>
              </w:rPr>
              <w:t>248.773.600</w:t>
            </w:r>
          </w:p>
        </w:tc>
        <w:tc>
          <w:tcPr>
            <w:tcW w:w="678" w:type="pc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bottom"/>
          </w:tcPr>
          <w:p w14:paraId="660B4754" w14:textId="77777777" w:rsidR="000E7A5A" w:rsidRPr="00A11EF1" w:rsidRDefault="00306071" w:rsidP="00A11EF1">
            <w:pPr>
              <w:spacing w:after="0" w:line="276" w:lineRule="auto"/>
              <w:jc w:val="right"/>
              <w:rPr>
                <w:rFonts w:cs="Arial"/>
                <w:color w:val="000000"/>
                <w:sz w:val="16"/>
                <w:szCs w:val="16"/>
              </w:rPr>
            </w:pPr>
            <w:r w:rsidRPr="00A11EF1">
              <w:rPr>
                <w:rFonts w:cs="Arial"/>
                <w:color w:val="000000"/>
                <w:sz w:val="16"/>
                <w:szCs w:val="16"/>
              </w:rPr>
              <w:t>157.603.166</w:t>
            </w:r>
          </w:p>
        </w:tc>
        <w:tc>
          <w:tcPr>
            <w:tcW w:w="379" w:type="pc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bottom"/>
          </w:tcPr>
          <w:p w14:paraId="59BC5A73" w14:textId="77777777" w:rsidR="000E7A5A" w:rsidRPr="00A11EF1" w:rsidRDefault="00306071" w:rsidP="00A11EF1">
            <w:pPr>
              <w:spacing w:after="0" w:line="276" w:lineRule="auto"/>
              <w:jc w:val="right"/>
              <w:rPr>
                <w:rFonts w:cs="Arial"/>
                <w:color w:val="000000"/>
                <w:sz w:val="16"/>
                <w:szCs w:val="16"/>
              </w:rPr>
            </w:pPr>
            <w:r w:rsidRPr="00A11EF1">
              <w:rPr>
                <w:rFonts w:cs="Arial"/>
                <w:color w:val="000000"/>
                <w:sz w:val="16"/>
                <w:szCs w:val="16"/>
              </w:rPr>
              <w:t>63%</w:t>
            </w:r>
          </w:p>
        </w:tc>
        <w:tc>
          <w:tcPr>
            <w:tcW w:w="676" w:type="pc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bottom"/>
          </w:tcPr>
          <w:p w14:paraId="29E6CE10" w14:textId="77777777" w:rsidR="000E7A5A" w:rsidRPr="00A11EF1" w:rsidRDefault="00306071" w:rsidP="00A11EF1">
            <w:pPr>
              <w:spacing w:after="0" w:line="276" w:lineRule="auto"/>
              <w:jc w:val="right"/>
              <w:rPr>
                <w:rFonts w:cs="Arial"/>
                <w:color w:val="000000"/>
                <w:sz w:val="16"/>
                <w:szCs w:val="16"/>
              </w:rPr>
            </w:pPr>
            <w:r w:rsidRPr="00A11EF1">
              <w:rPr>
                <w:rFonts w:cs="Arial"/>
                <w:color w:val="000000"/>
                <w:sz w:val="16"/>
                <w:szCs w:val="16"/>
              </w:rPr>
              <w:t>28.533.599</w:t>
            </w:r>
          </w:p>
        </w:tc>
        <w:tc>
          <w:tcPr>
            <w:tcW w:w="378" w:type="pc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bottom"/>
          </w:tcPr>
          <w:p w14:paraId="167BFEF3" w14:textId="77777777" w:rsidR="000E7A5A" w:rsidRPr="00A11EF1" w:rsidRDefault="00306071" w:rsidP="00A11EF1">
            <w:pPr>
              <w:spacing w:after="0" w:line="276" w:lineRule="auto"/>
              <w:jc w:val="right"/>
              <w:rPr>
                <w:rFonts w:cs="Arial"/>
                <w:color w:val="000000"/>
                <w:sz w:val="16"/>
                <w:szCs w:val="16"/>
              </w:rPr>
            </w:pPr>
            <w:r w:rsidRPr="00A11EF1">
              <w:rPr>
                <w:rFonts w:cs="Arial"/>
                <w:color w:val="000000"/>
                <w:sz w:val="16"/>
                <w:szCs w:val="16"/>
              </w:rPr>
              <w:t>11%</w:t>
            </w:r>
          </w:p>
        </w:tc>
        <w:tc>
          <w:tcPr>
            <w:tcW w:w="612" w:type="pc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bottom"/>
          </w:tcPr>
          <w:p w14:paraId="2DF08087" w14:textId="77777777" w:rsidR="000E7A5A" w:rsidRPr="00A11EF1" w:rsidRDefault="00306071" w:rsidP="00A11EF1">
            <w:pPr>
              <w:spacing w:after="0" w:line="276" w:lineRule="auto"/>
              <w:jc w:val="right"/>
              <w:rPr>
                <w:rFonts w:cs="Arial"/>
                <w:color w:val="000000"/>
                <w:sz w:val="16"/>
                <w:szCs w:val="16"/>
              </w:rPr>
            </w:pPr>
            <w:r w:rsidRPr="00A11EF1">
              <w:rPr>
                <w:rFonts w:cs="Arial"/>
                <w:color w:val="000000"/>
                <w:sz w:val="16"/>
                <w:szCs w:val="16"/>
              </w:rPr>
              <w:t>9.033.858</w:t>
            </w:r>
          </w:p>
        </w:tc>
        <w:tc>
          <w:tcPr>
            <w:tcW w:w="375" w:type="pc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bottom"/>
          </w:tcPr>
          <w:p w14:paraId="7E7F831F" w14:textId="77777777" w:rsidR="000E7A5A" w:rsidRPr="00A11EF1" w:rsidRDefault="00306071" w:rsidP="00A11EF1">
            <w:pPr>
              <w:spacing w:after="0" w:line="276" w:lineRule="auto"/>
              <w:jc w:val="right"/>
              <w:rPr>
                <w:rFonts w:cs="Arial"/>
                <w:color w:val="000000"/>
                <w:sz w:val="16"/>
                <w:szCs w:val="16"/>
              </w:rPr>
            </w:pPr>
            <w:r w:rsidRPr="00A11EF1">
              <w:rPr>
                <w:rFonts w:cs="Arial"/>
                <w:color w:val="000000"/>
                <w:sz w:val="16"/>
                <w:szCs w:val="16"/>
              </w:rPr>
              <w:t>4%</w:t>
            </w:r>
          </w:p>
        </w:tc>
        <w:tc>
          <w:tcPr>
            <w:tcW w:w="119" w:type="pct"/>
            <w:tcBorders>
              <w:left w:val="single" w:sz="8" w:space="0" w:color="000000"/>
            </w:tcBorders>
            <w:shd w:val="clear" w:color="auto" w:fill="auto"/>
            <w:tcMar>
              <w:top w:w="0" w:type="dxa"/>
              <w:left w:w="108" w:type="dxa"/>
              <w:bottom w:w="0" w:type="dxa"/>
              <w:right w:w="108" w:type="dxa"/>
            </w:tcMar>
            <w:vAlign w:val="center"/>
          </w:tcPr>
          <w:p w14:paraId="7CD6326C" w14:textId="77777777" w:rsidR="000E7A5A" w:rsidRPr="00A11EF1" w:rsidRDefault="000E7A5A" w:rsidP="0023397C">
            <w:pPr>
              <w:spacing w:line="276" w:lineRule="auto"/>
              <w:rPr>
                <w:rFonts w:cs="Arial"/>
                <w:sz w:val="16"/>
                <w:szCs w:val="16"/>
              </w:rPr>
            </w:pPr>
          </w:p>
        </w:tc>
      </w:tr>
      <w:tr w:rsidR="000E7A5A" w:rsidRPr="00A11EF1" w14:paraId="1F407469" w14:textId="77777777" w:rsidTr="00EE5788">
        <w:trPr>
          <w:trHeight w:val="315"/>
        </w:trPr>
        <w:tc>
          <w:tcPr>
            <w:tcW w:w="977" w:type="pct"/>
            <w:tcBorders>
              <w:top w:val="single" w:sz="8" w:space="0" w:color="000000"/>
              <w:left w:val="single" w:sz="8" w:space="0" w:color="000000"/>
              <w:bottom w:val="single" w:sz="8" w:space="0" w:color="000000"/>
              <w:right w:val="single" w:sz="8" w:space="0" w:color="000000"/>
            </w:tcBorders>
            <w:shd w:val="clear" w:color="auto" w:fill="DDEBF7"/>
            <w:tcMar>
              <w:top w:w="0" w:type="dxa"/>
              <w:left w:w="70" w:type="dxa"/>
              <w:bottom w:w="0" w:type="dxa"/>
              <w:right w:w="70" w:type="dxa"/>
            </w:tcMar>
            <w:vAlign w:val="bottom"/>
          </w:tcPr>
          <w:p w14:paraId="3B9E53E8" w14:textId="77777777" w:rsidR="000E7A5A" w:rsidRPr="00A11EF1" w:rsidRDefault="00306071" w:rsidP="00A11EF1">
            <w:pPr>
              <w:spacing w:after="0" w:line="276" w:lineRule="auto"/>
              <w:jc w:val="right"/>
              <w:rPr>
                <w:rFonts w:cs="Arial"/>
                <w:b/>
                <w:bCs/>
                <w:color w:val="000000"/>
                <w:sz w:val="16"/>
                <w:szCs w:val="16"/>
              </w:rPr>
            </w:pPr>
            <w:r w:rsidRPr="00A11EF1">
              <w:rPr>
                <w:rFonts w:cs="Arial"/>
                <w:b/>
                <w:bCs/>
                <w:color w:val="000000"/>
                <w:sz w:val="16"/>
                <w:szCs w:val="16"/>
              </w:rPr>
              <w:t xml:space="preserve">Skupaj </w:t>
            </w:r>
          </w:p>
        </w:tc>
        <w:tc>
          <w:tcPr>
            <w:tcW w:w="806" w:type="pct"/>
            <w:tcBorders>
              <w:top w:val="single" w:sz="8" w:space="0" w:color="000000"/>
              <w:left w:val="single" w:sz="8" w:space="0" w:color="000000"/>
              <w:bottom w:val="single" w:sz="8" w:space="0" w:color="000000"/>
              <w:right w:val="single" w:sz="8" w:space="0" w:color="000000"/>
            </w:tcBorders>
            <w:shd w:val="clear" w:color="auto" w:fill="DDEBF7"/>
            <w:tcMar>
              <w:top w:w="0" w:type="dxa"/>
              <w:left w:w="70" w:type="dxa"/>
              <w:bottom w:w="0" w:type="dxa"/>
              <w:right w:w="70" w:type="dxa"/>
            </w:tcMar>
            <w:vAlign w:val="bottom"/>
          </w:tcPr>
          <w:p w14:paraId="4405B084" w14:textId="77777777" w:rsidR="000E7A5A" w:rsidRPr="00A11EF1" w:rsidRDefault="00306071" w:rsidP="00A11EF1">
            <w:pPr>
              <w:spacing w:after="0" w:line="276" w:lineRule="auto"/>
              <w:jc w:val="right"/>
              <w:rPr>
                <w:rFonts w:cs="Arial"/>
                <w:b/>
                <w:bCs/>
                <w:color w:val="000000"/>
                <w:sz w:val="16"/>
                <w:szCs w:val="16"/>
              </w:rPr>
            </w:pPr>
            <w:r w:rsidRPr="00A11EF1">
              <w:rPr>
                <w:rFonts w:cs="Arial"/>
                <w:b/>
                <w:bCs/>
                <w:color w:val="000000"/>
                <w:sz w:val="16"/>
                <w:szCs w:val="16"/>
              </w:rPr>
              <w:t>3.106.640.412</w:t>
            </w:r>
          </w:p>
        </w:tc>
        <w:tc>
          <w:tcPr>
            <w:tcW w:w="678" w:type="pct"/>
            <w:tcBorders>
              <w:top w:val="single" w:sz="8" w:space="0" w:color="000000"/>
              <w:left w:val="single" w:sz="8" w:space="0" w:color="000000"/>
              <w:bottom w:val="single" w:sz="8" w:space="0" w:color="000000"/>
              <w:right w:val="single" w:sz="8" w:space="0" w:color="000000"/>
            </w:tcBorders>
            <w:shd w:val="clear" w:color="auto" w:fill="DDEBF7"/>
            <w:tcMar>
              <w:top w:w="0" w:type="dxa"/>
              <w:left w:w="70" w:type="dxa"/>
              <w:bottom w:w="0" w:type="dxa"/>
              <w:right w:w="70" w:type="dxa"/>
            </w:tcMar>
            <w:vAlign w:val="bottom"/>
          </w:tcPr>
          <w:p w14:paraId="29518B80" w14:textId="77777777" w:rsidR="000E7A5A" w:rsidRPr="00A11EF1" w:rsidRDefault="00306071" w:rsidP="00A11EF1">
            <w:pPr>
              <w:spacing w:after="0" w:line="276" w:lineRule="auto"/>
              <w:jc w:val="right"/>
              <w:rPr>
                <w:rFonts w:cs="Arial"/>
                <w:b/>
                <w:bCs/>
                <w:color w:val="000000"/>
                <w:sz w:val="16"/>
                <w:szCs w:val="16"/>
              </w:rPr>
            </w:pPr>
            <w:r w:rsidRPr="00A11EF1">
              <w:rPr>
                <w:rFonts w:cs="Arial"/>
                <w:b/>
                <w:bCs/>
                <w:color w:val="000000"/>
                <w:sz w:val="16"/>
                <w:szCs w:val="16"/>
              </w:rPr>
              <w:t>791.314.116</w:t>
            </w:r>
          </w:p>
        </w:tc>
        <w:tc>
          <w:tcPr>
            <w:tcW w:w="379" w:type="pct"/>
            <w:tcBorders>
              <w:top w:val="single" w:sz="8" w:space="0" w:color="000000"/>
              <w:left w:val="single" w:sz="8" w:space="0" w:color="000000"/>
              <w:bottom w:val="single" w:sz="8" w:space="0" w:color="000000"/>
              <w:right w:val="single" w:sz="8" w:space="0" w:color="000000"/>
            </w:tcBorders>
            <w:shd w:val="clear" w:color="auto" w:fill="DDEBF7"/>
            <w:tcMar>
              <w:top w:w="0" w:type="dxa"/>
              <w:left w:w="70" w:type="dxa"/>
              <w:bottom w:w="0" w:type="dxa"/>
              <w:right w:w="70" w:type="dxa"/>
            </w:tcMar>
            <w:vAlign w:val="bottom"/>
          </w:tcPr>
          <w:p w14:paraId="38617548" w14:textId="77777777" w:rsidR="000E7A5A" w:rsidRPr="00A11EF1" w:rsidRDefault="00306071" w:rsidP="00A11EF1">
            <w:pPr>
              <w:spacing w:after="0" w:line="276" w:lineRule="auto"/>
              <w:jc w:val="right"/>
              <w:rPr>
                <w:rFonts w:cs="Arial"/>
                <w:b/>
                <w:bCs/>
                <w:color w:val="000000"/>
                <w:sz w:val="16"/>
                <w:szCs w:val="16"/>
              </w:rPr>
            </w:pPr>
            <w:r w:rsidRPr="00A11EF1">
              <w:rPr>
                <w:rFonts w:cs="Arial"/>
                <w:b/>
                <w:bCs/>
                <w:color w:val="000000"/>
                <w:sz w:val="16"/>
                <w:szCs w:val="16"/>
              </w:rPr>
              <w:t>25%</w:t>
            </w:r>
          </w:p>
        </w:tc>
        <w:tc>
          <w:tcPr>
            <w:tcW w:w="676" w:type="pct"/>
            <w:tcBorders>
              <w:top w:val="single" w:sz="8" w:space="0" w:color="000000"/>
              <w:left w:val="single" w:sz="8" w:space="0" w:color="000000"/>
              <w:bottom w:val="single" w:sz="8" w:space="0" w:color="000000"/>
              <w:right w:val="single" w:sz="8" w:space="0" w:color="000000"/>
            </w:tcBorders>
            <w:shd w:val="clear" w:color="auto" w:fill="DDEBF7"/>
            <w:tcMar>
              <w:top w:w="0" w:type="dxa"/>
              <w:left w:w="70" w:type="dxa"/>
              <w:bottom w:w="0" w:type="dxa"/>
              <w:right w:w="70" w:type="dxa"/>
            </w:tcMar>
            <w:vAlign w:val="bottom"/>
          </w:tcPr>
          <w:p w14:paraId="0DDD2573" w14:textId="77777777" w:rsidR="000E7A5A" w:rsidRPr="00A11EF1" w:rsidRDefault="00306071" w:rsidP="00A11EF1">
            <w:pPr>
              <w:spacing w:after="0" w:line="276" w:lineRule="auto"/>
              <w:jc w:val="right"/>
              <w:rPr>
                <w:rFonts w:cs="Arial"/>
                <w:b/>
                <w:bCs/>
                <w:color w:val="000000"/>
                <w:sz w:val="16"/>
                <w:szCs w:val="16"/>
              </w:rPr>
            </w:pPr>
            <w:r w:rsidRPr="00A11EF1">
              <w:rPr>
                <w:rFonts w:cs="Arial"/>
                <w:b/>
                <w:bCs/>
                <w:color w:val="000000"/>
                <w:sz w:val="16"/>
                <w:szCs w:val="16"/>
              </w:rPr>
              <w:t>521.413.805</w:t>
            </w:r>
          </w:p>
        </w:tc>
        <w:tc>
          <w:tcPr>
            <w:tcW w:w="378" w:type="pct"/>
            <w:tcBorders>
              <w:top w:val="single" w:sz="8" w:space="0" w:color="000000"/>
              <w:left w:val="single" w:sz="8" w:space="0" w:color="000000"/>
              <w:bottom w:val="single" w:sz="8" w:space="0" w:color="000000"/>
              <w:right w:val="single" w:sz="8" w:space="0" w:color="000000"/>
            </w:tcBorders>
            <w:shd w:val="clear" w:color="auto" w:fill="DDEBF7"/>
            <w:tcMar>
              <w:top w:w="0" w:type="dxa"/>
              <w:left w:w="70" w:type="dxa"/>
              <w:bottom w:w="0" w:type="dxa"/>
              <w:right w:w="70" w:type="dxa"/>
            </w:tcMar>
            <w:vAlign w:val="bottom"/>
          </w:tcPr>
          <w:p w14:paraId="77F25B88" w14:textId="77777777" w:rsidR="000E7A5A" w:rsidRPr="00A11EF1" w:rsidRDefault="00306071" w:rsidP="00A11EF1">
            <w:pPr>
              <w:spacing w:after="0" w:line="276" w:lineRule="auto"/>
              <w:jc w:val="right"/>
              <w:rPr>
                <w:rFonts w:cs="Arial"/>
                <w:b/>
                <w:bCs/>
                <w:color w:val="000000"/>
                <w:sz w:val="16"/>
                <w:szCs w:val="16"/>
              </w:rPr>
            </w:pPr>
            <w:r w:rsidRPr="00A11EF1">
              <w:rPr>
                <w:rFonts w:cs="Arial"/>
                <w:b/>
                <w:bCs/>
                <w:color w:val="000000"/>
                <w:sz w:val="16"/>
                <w:szCs w:val="16"/>
              </w:rPr>
              <w:t>17%</w:t>
            </w:r>
          </w:p>
        </w:tc>
        <w:tc>
          <w:tcPr>
            <w:tcW w:w="612" w:type="pct"/>
            <w:tcBorders>
              <w:top w:val="single" w:sz="8" w:space="0" w:color="000000"/>
              <w:left w:val="single" w:sz="8" w:space="0" w:color="000000"/>
              <w:bottom w:val="single" w:sz="8" w:space="0" w:color="000000"/>
              <w:right w:val="single" w:sz="8" w:space="0" w:color="000000"/>
            </w:tcBorders>
            <w:shd w:val="clear" w:color="auto" w:fill="DDEBF7"/>
            <w:tcMar>
              <w:top w:w="0" w:type="dxa"/>
              <w:left w:w="70" w:type="dxa"/>
              <w:bottom w:w="0" w:type="dxa"/>
              <w:right w:w="70" w:type="dxa"/>
            </w:tcMar>
            <w:vAlign w:val="bottom"/>
          </w:tcPr>
          <w:p w14:paraId="27AE576F" w14:textId="77777777" w:rsidR="000E7A5A" w:rsidRPr="00A11EF1" w:rsidRDefault="00306071" w:rsidP="00A11EF1">
            <w:pPr>
              <w:spacing w:after="0" w:line="276" w:lineRule="auto"/>
              <w:jc w:val="right"/>
              <w:rPr>
                <w:rFonts w:cs="Arial"/>
                <w:b/>
                <w:bCs/>
                <w:color w:val="000000"/>
                <w:sz w:val="16"/>
                <w:szCs w:val="16"/>
              </w:rPr>
            </w:pPr>
            <w:r w:rsidRPr="00A11EF1">
              <w:rPr>
                <w:rFonts w:cs="Arial"/>
                <w:b/>
                <w:bCs/>
                <w:color w:val="000000"/>
                <w:sz w:val="16"/>
                <w:szCs w:val="16"/>
              </w:rPr>
              <w:t>74.248.266</w:t>
            </w:r>
          </w:p>
        </w:tc>
        <w:tc>
          <w:tcPr>
            <w:tcW w:w="375" w:type="pct"/>
            <w:tcBorders>
              <w:top w:val="single" w:sz="8" w:space="0" w:color="000000"/>
              <w:left w:val="single" w:sz="8" w:space="0" w:color="000000"/>
              <w:bottom w:val="single" w:sz="8" w:space="0" w:color="000000"/>
              <w:right w:val="single" w:sz="8" w:space="0" w:color="000000"/>
            </w:tcBorders>
            <w:shd w:val="clear" w:color="auto" w:fill="DDEBF7"/>
            <w:tcMar>
              <w:top w:w="0" w:type="dxa"/>
              <w:left w:w="70" w:type="dxa"/>
              <w:bottom w:w="0" w:type="dxa"/>
              <w:right w:w="70" w:type="dxa"/>
            </w:tcMar>
            <w:vAlign w:val="bottom"/>
          </w:tcPr>
          <w:p w14:paraId="665D0DDF" w14:textId="77777777" w:rsidR="000E7A5A" w:rsidRPr="00A11EF1" w:rsidRDefault="00306071" w:rsidP="00A11EF1">
            <w:pPr>
              <w:spacing w:after="0" w:line="276" w:lineRule="auto"/>
              <w:jc w:val="right"/>
              <w:rPr>
                <w:rFonts w:cs="Arial"/>
                <w:b/>
                <w:bCs/>
                <w:color w:val="000000"/>
                <w:sz w:val="16"/>
                <w:szCs w:val="16"/>
              </w:rPr>
            </w:pPr>
            <w:r w:rsidRPr="00A11EF1">
              <w:rPr>
                <w:rFonts w:cs="Arial"/>
                <w:b/>
                <w:bCs/>
                <w:color w:val="000000"/>
                <w:sz w:val="16"/>
                <w:szCs w:val="16"/>
              </w:rPr>
              <w:t>2%</w:t>
            </w:r>
          </w:p>
        </w:tc>
        <w:tc>
          <w:tcPr>
            <w:tcW w:w="119" w:type="pct"/>
            <w:tcBorders>
              <w:left w:val="single" w:sz="8" w:space="0" w:color="000000"/>
            </w:tcBorders>
            <w:shd w:val="clear" w:color="auto" w:fill="auto"/>
            <w:tcMar>
              <w:top w:w="0" w:type="dxa"/>
              <w:left w:w="108" w:type="dxa"/>
              <w:bottom w:w="0" w:type="dxa"/>
              <w:right w:w="108" w:type="dxa"/>
            </w:tcMar>
            <w:vAlign w:val="center"/>
          </w:tcPr>
          <w:p w14:paraId="1AEA07F8" w14:textId="77777777" w:rsidR="000E7A5A" w:rsidRPr="00A11EF1" w:rsidRDefault="000E7A5A" w:rsidP="0023397C">
            <w:pPr>
              <w:keepNext/>
              <w:spacing w:line="276" w:lineRule="auto"/>
              <w:rPr>
                <w:rFonts w:cs="Arial"/>
                <w:sz w:val="16"/>
                <w:szCs w:val="16"/>
              </w:rPr>
            </w:pPr>
          </w:p>
        </w:tc>
      </w:tr>
    </w:tbl>
    <w:p w14:paraId="338E9C1D" w14:textId="771F1B82" w:rsidR="007664ED" w:rsidRPr="00FF43D4" w:rsidRDefault="007664ED" w:rsidP="007664ED">
      <w:pPr>
        <w:pStyle w:val="Napis"/>
        <w:spacing w:after="0"/>
        <w:rPr>
          <w:rFonts w:cs="Arial"/>
          <w:b w:val="0"/>
          <w:bCs w:val="0"/>
          <w:color w:val="auto"/>
          <w:sz w:val="18"/>
          <w:szCs w:val="18"/>
        </w:rPr>
      </w:pPr>
      <w:r w:rsidRPr="00FF43D4">
        <w:rPr>
          <w:rFonts w:cs="Arial"/>
          <w:b w:val="0"/>
          <w:bCs w:val="0"/>
          <w:color w:val="auto"/>
          <w:sz w:val="18"/>
          <w:szCs w:val="18"/>
        </w:rPr>
        <w:t xml:space="preserve">Vir: e-MA2, MKRR, </w:t>
      </w:r>
      <w:proofErr w:type="spellStart"/>
      <w:r w:rsidRPr="00FF43D4">
        <w:rPr>
          <w:rFonts w:cs="Arial"/>
          <w:b w:val="0"/>
          <w:bCs w:val="0"/>
          <w:color w:val="auto"/>
          <w:sz w:val="18"/>
          <w:szCs w:val="18"/>
        </w:rPr>
        <w:t>MFeRAC</w:t>
      </w:r>
      <w:proofErr w:type="spellEnd"/>
      <w:r w:rsidRPr="00FF43D4">
        <w:rPr>
          <w:rFonts w:cs="Arial"/>
          <w:b w:val="0"/>
          <w:bCs w:val="0"/>
          <w:color w:val="auto"/>
          <w:sz w:val="18"/>
          <w:szCs w:val="18"/>
        </w:rPr>
        <w:t>, MF</w:t>
      </w:r>
    </w:p>
    <w:p w14:paraId="5AFDCC3B" w14:textId="77777777" w:rsidR="000E7A5A" w:rsidRPr="007664ED" w:rsidRDefault="00306071" w:rsidP="00E247FF">
      <w:pPr>
        <w:spacing w:after="0" w:line="276" w:lineRule="auto"/>
        <w:contextualSpacing/>
        <w:jc w:val="both"/>
        <w:rPr>
          <w:rFonts w:eastAsia="SimSun" w:cs="Arial"/>
          <w:sz w:val="18"/>
          <w:szCs w:val="18"/>
          <w:lang w:eastAsia="zh-CN"/>
        </w:rPr>
      </w:pPr>
      <w:r w:rsidRPr="007664ED">
        <w:rPr>
          <w:rFonts w:eastAsia="SimSun" w:cs="Arial"/>
          <w:sz w:val="18"/>
          <w:szCs w:val="18"/>
          <w:lang w:eastAsia="zh-CN"/>
        </w:rPr>
        <w:t>* Razpoložljiva sredstva/pravice porabe EKP za obdobje 2021−2027 (EU del) – Program EKP 2021–2027.</w:t>
      </w:r>
    </w:p>
    <w:p w14:paraId="5590D67D" w14:textId="77777777" w:rsidR="000E7A5A" w:rsidRPr="007664ED" w:rsidRDefault="00306071" w:rsidP="00E247FF">
      <w:pPr>
        <w:spacing w:after="0" w:line="276" w:lineRule="auto"/>
        <w:contextualSpacing/>
        <w:jc w:val="both"/>
        <w:rPr>
          <w:rFonts w:eastAsia="SimSun" w:cs="Arial"/>
          <w:sz w:val="18"/>
          <w:szCs w:val="18"/>
          <w:lang w:eastAsia="zh-CN"/>
        </w:rPr>
      </w:pPr>
      <w:r w:rsidRPr="007664ED">
        <w:rPr>
          <w:rFonts w:eastAsia="SimSun" w:cs="Arial"/>
          <w:sz w:val="18"/>
          <w:szCs w:val="18"/>
          <w:lang w:eastAsia="zh-CN"/>
        </w:rPr>
        <w:t xml:space="preserve">** Odločitve o podpori zajemajo vrednost vlog za posamezen projekt, program ali javni razpis/poziv, brez neupravičenih stroškov. </w:t>
      </w:r>
    </w:p>
    <w:p w14:paraId="30815832" w14:textId="77777777" w:rsidR="000E7A5A" w:rsidRPr="007664ED" w:rsidRDefault="00306071" w:rsidP="00E247FF">
      <w:pPr>
        <w:spacing w:after="0" w:line="276" w:lineRule="auto"/>
        <w:contextualSpacing/>
        <w:jc w:val="both"/>
        <w:rPr>
          <w:rFonts w:eastAsia="SimSun" w:cs="Arial"/>
          <w:sz w:val="18"/>
          <w:szCs w:val="18"/>
          <w:lang w:eastAsia="zh-CN"/>
        </w:rPr>
      </w:pPr>
      <w:r w:rsidRPr="007664ED">
        <w:rPr>
          <w:rFonts w:eastAsia="SimSun" w:cs="Arial"/>
          <w:sz w:val="18"/>
          <w:szCs w:val="18"/>
          <w:lang w:eastAsia="zh-CN"/>
        </w:rPr>
        <w:t xml:space="preserve">*** Potrjene operacije pomenijo pogodbe o sofinanciranju oziroma odločitve o podpori, kadar je upravičenec neposredni proračunski uporabnik. </w:t>
      </w:r>
    </w:p>
    <w:p w14:paraId="7FE26C2B" w14:textId="2C9548FF" w:rsidR="000E7A5A" w:rsidRDefault="00306071" w:rsidP="00E247FF">
      <w:pPr>
        <w:spacing w:after="0" w:line="276" w:lineRule="auto"/>
        <w:contextualSpacing/>
        <w:jc w:val="both"/>
        <w:rPr>
          <w:rFonts w:eastAsia="SimSun" w:cs="Arial"/>
          <w:sz w:val="18"/>
          <w:szCs w:val="18"/>
          <w:lang w:eastAsia="zh-CN"/>
        </w:rPr>
      </w:pPr>
      <w:r w:rsidRPr="007664ED">
        <w:rPr>
          <w:rFonts w:eastAsia="SimSun" w:cs="Arial"/>
          <w:sz w:val="18"/>
          <w:szCs w:val="18"/>
          <w:lang w:eastAsia="zh-CN"/>
        </w:rPr>
        <w:t xml:space="preserve">**** Izplačila iz državnega proračuna (vir: </w:t>
      </w:r>
      <w:proofErr w:type="spellStart"/>
      <w:r w:rsidRPr="007664ED">
        <w:rPr>
          <w:rFonts w:eastAsia="SimSun" w:cs="Arial"/>
          <w:sz w:val="18"/>
          <w:szCs w:val="18"/>
          <w:lang w:eastAsia="zh-CN"/>
        </w:rPr>
        <w:t>MFeRAC</w:t>
      </w:r>
      <w:proofErr w:type="spellEnd"/>
      <w:r w:rsidRPr="007664ED">
        <w:rPr>
          <w:rFonts w:eastAsia="SimSun" w:cs="Arial"/>
          <w:sz w:val="18"/>
          <w:szCs w:val="18"/>
          <w:lang w:eastAsia="zh-CN"/>
        </w:rPr>
        <w:t>, izpis na dan 5. 7. 2024 za obdobje do 30. 6. 2024).</w:t>
      </w:r>
      <w:bookmarkStart w:id="198" w:name="_Toc2134391385"/>
      <w:bookmarkStart w:id="199" w:name="_Toc1628721831"/>
      <w:bookmarkStart w:id="200" w:name="_Toc1533250470"/>
      <w:bookmarkStart w:id="201" w:name="_Toc669380309"/>
      <w:bookmarkStart w:id="202" w:name="_Toc28250290"/>
      <w:bookmarkStart w:id="203" w:name="_Toc2114349783"/>
      <w:bookmarkStart w:id="204" w:name="_Toc659732024"/>
      <w:bookmarkStart w:id="205" w:name="_Toc1827273649"/>
      <w:bookmarkStart w:id="206" w:name="_Toc680896035"/>
      <w:bookmarkStart w:id="207" w:name="_Toc1804887703"/>
      <w:bookmarkStart w:id="208" w:name="_Toc1193526689"/>
      <w:bookmarkStart w:id="209" w:name="_Toc2024011564"/>
      <w:bookmarkStart w:id="210" w:name="_Toc1188631376"/>
      <w:bookmarkStart w:id="211" w:name="_Toc864506373"/>
      <w:bookmarkStart w:id="212" w:name="_Toc1046152266"/>
      <w:bookmarkStart w:id="213" w:name="_Toc1984809573"/>
      <w:bookmarkStart w:id="214" w:name="_Toc718962381"/>
      <w:bookmarkStart w:id="215" w:name="_Toc720032912"/>
      <w:bookmarkStart w:id="216" w:name="_Toc1115334804"/>
      <w:bookmarkStart w:id="217" w:name="_Toc416620296"/>
      <w:bookmarkStart w:id="218" w:name="_Toc949411659"/>
      <w:bookmarkStart w:id="219" w:name="_Toc1364735480"/>
      <w:bookmarkStart w:id="220" w:name="_Toc1096241852"/>
      <w:bookmarkStart w:id="221" w:name="_Toc1425867386"/>
      <w:bookmarkStart w:id="222" w:name="_Toc1146046766"/>
      <w:bookmarkStart w:id="223" w:name="_Toc1247362127"/>
      <w:bookmarkStart w:id="224" w:name="_Toc793818064"/>
      <w:bookmarkStart w:id="225" w:name="_Toc885476135"/>
      <w:bookmarkStart w:id="226" w:name="_Toc521479990"/>
      <w:bookmarkStart w:id="227" w:name="_Toc777024143"/>
      <w:bookmarkStart w:id="228" w:name="_Toc118003600"/>
      <w:bookmarkStart w:id="229" w:name="_Toc318552542"/>
      <w:bookmarkStart w:id="230" w:name="_Toc242479764"/>
      <w:bookmarkStart w:id="231" w:name="_Toc529114034"/>
      <w:bookmarkStart w:id="232" w:name="_Toc438315104"/>
      <w:bookmarkStart w:id="233" w:name="_Toc1164621543"/>
      <w:bookmarkStart w:id="234" w:name="_Toc2060346900"/>
      <w:bookmarkStart w:id="235" w:name="_Toc671154266"/>
      <w:bookmarkStart w:id="236" w:name="_Toc974439367"/>
      <w:bookmarkStart w:id="237" w:name="_Toc1020411897"/>
      <w:bookmarkStart w:id="238" w:name="_Toc1924990997"/>
      <w:bookmarkStart w:id="239" w:name="_Toc710028810"/>
      <w:bookmarkStart w:id="240" w:name="_Toc1292016531"/>
      <w:bookmarkStart w:id="241" w:name="_Toc723606518"/>
      <w:bookmarkStart w:id="242" w:name="_Toc456792236"/>
      <w:bookmarkStart w:id="243" w:name="_Toc716205887"/>
      <w:bookmarkStart w:id="244" w:name="_Toc841355158"/>
      <w:bookmarkStart w:id="245" w:name="_Toc1570113021"/>
      <w:bookmarkStart w:id="246" w:name="_Toc1735999587"/>
      <w:bookmarkStart w:id="247" w:name="_Toc435417538"/>
      <w:bookmarkStart w:id="248" w:name="_Toc364810135"/>
      <w:bookmarkStart w:id="249" w:name="_Toc704298800"/>
      <w:bookmarkStart w:id="250" w:name="_Toc1861337344"/>
      <w:bookmarkStart w:id="251" w:name="_Toc1448837595"/>
      <w:bookmarkStart w:id="252" w:name="_Toc658924221"/>
      <w:bookmarkStart w:id="253" w:name="_Toc1023838528"/>
      <w:bookmarkStart w:id="254" w:name="_Toc523817305"/>
      <w:bookmarkStart w:id="255" w:name="_Toc953113507"/>
      <w:bookmarkStart w:id="256" w:name="_Toc126869263"/>
      <w:bookmarkStart w:id="257" w:name="_Toc516107004"/>
      <w:bookmarkStart w:id="258" w:name="_Toc792158577"/>
      <w:bookmarkStart w:id="259" w:name="_Toc208689414"/>
      <w:bookmarkStart w:id="260" w:name="_Toc653523652"/>
      <w:bookmarkStart w:id="261" w:name="_Toc674391137"/>
      <w:bookmarkStart w:id="262" w:name="_Toc1911823959"/>
      <w:bookmarkStart w:id="263" w:name="_Toc389206998"/>
      <w:bookmarkStart w:id="264" w:name="_Toc562316667"/>
      <w:bookmarkStart w:id="265" w:name="_Toc10760451"/>
      <w:bookmarkStart w:id="266" w:name="_Toc603847072"/>
      <w:bookmarkStart w:id="267" w:name="_Toc1909724330"/>
      <w:bookmarkStart w:id="268" w:name="_Toc642692395"/>
      <w:bookmarkStart w:id="269" w:name="_Toc1419794994"/>
      <w:bookmarkStart w:id="270" w:name="_Toc1488006112"/>
      <w:bookmarkStart w:id="271" w:name="_Toc180392504"/>
      <w:bookmarkStart w:id="272" w:name="_Toc1243210818"/>
      <w:bookmarkStart w:id="273" w:name="_Toc2097518663"/>
      <w:bookmarkStart w:id="274" w:name="_Toc1052315802"/>
      <w:bookmarkStart w:id="275" w:name="_Toc1930598229"/>
      <w:bookmarkStart w:id="276" w:name="_Toc1025368590"/>
      <w:bookmarkStart w:id="277" w:name="_Toc1430441595"/>
      <w:bookmarkStart w:id="278" w:name="_Toc914432969"/>
      <w:bookmarkStart w:id="279" w:name="_Toc1904182747"/>
      <w:bookmarkStart w:id="280" w:name="_Toc376761496"/>
      <w:bookmarkStart w:id="281" w:name="_Toc462182075"/>
    </w:p>
    <w:p w14:paraId="49EC7B81" w14:textId="77777777" w:rsidR="005F66E4" w:rsidRDefault="005F66E4" w:rsidP="00E247FF">
      <w:pPr>
        <w:spacing w:after="0" w:line="276" w:lineRule="auto"/>
        <w:contextualSpacing/>
        <w:jc w:val="both"/>
        <w:rPr>
          <w:rFonts w:cs="Arial"/>
          <w:sz w:val="18"/>
          <w:szCs w:val="18"/>
        </w:rPr>
      </w:pPr>
    </w:p>
    <w:p w14:paraId="0E3836CD" w14:textId="77777777" w:rsidR="0001164D" w:rsidRDefault="0001164D" w:rsidP="00E247FF">
      <w:pPr>
        <w:spacing w:after="0" w:line="276" w:lineRule="auto"/>
        <w:contextualSpacing/>
        <w:jc w:val="both"/>
        <w:rPr>
          <w:rFonts w:cs="Arial"/>
          <w:sz w:val="18"/>
          <w:szCs w:val="18"/>
        </w:rPr>
      </w:pPr>
    </w:p>
    <w:p w14:paraId="346CEEA8" w14:textId="77777777" w:rsidR="0001164D" w:rsidRDefault="0001164D" w:rsidP="00E247FF">
      <w:pPr>
        <w:spacing w:after="0" w:line="276" w:lineRule="auto"/>
        <w:contextualSpacing/>
        <w:jc w:val="both"/>
        <w:rPr>
          <w:rFonts w:cs="Arial"/>
          <w:sz w:val="18"/>
          <w:szCs w:val="18"/>
        </w:rPr>
      </w:pPr>
    </w:p>
    <w:p w14:paraId="5A810114" w14:textId="77777777" w:rsidR="0001164D" w:rsidRDefault="0001164D" w:rsidP="00E247FF">
      <w:pPr>
        <w:spacing w:after="0" w:line="276" w:lineRule="auto"/>
        <w:contextualSpacing/>
        <w:jc w:val="both"/>
        <w:rPr>
          <w:rFonts w:cs="Arial"/>
          <w:sz w:val="18"/>
          <w:szCs w:val="18"/>
        </w:rPr>
      </w:pPr>
    </w:p>
    <w:p w14:paraId="27770DED" w14:textId="77777777" w:rsidR="0001164D" w:rsidRDefault="0001164D" w:rsidP="00E247FF">
      <w:pPr>
        <w:spacing w:after="0" w:line="276" w:lineRule="auto"/>
        <w:contextualSpacing/>
        <w:jc w:val="both"/>
        <w:rPr>
          <w:rFonts w:cs="Arial"/>
          <w:sz w:val="18"/>
          <w:szCs w:val="18"/>
        </w:rPr>
      </w:pPr>
    </w:p>
    <w:p w14:paraId="48EFDA03" w14:textId="77777777" w:rsidR="0001164D" w:rsidRDefault="0001164D" w:rsidP="00E247FF">
      <w:pPr>
        <w:spacing w:after="0" w:line="276" w:lineRule="auto"/>
        <w:contextualSpacing/>
        <w:jc w:val="both"/>
        <w:rPr>
          <w:rFonts w:cs="Arial"/>
          <w:sz w:val="18"/>
          <w:szCs w:val="18"/>
        </w:rPr>
      </w:pPr>
    </w:p>
    <w:p w14:paraId="619C92C8" w14:textId="77777777" w:rsidR="0001164D" w:rsidRDefault="0001164D" w:rsidP="00E247FF">
      <w:pPr>
        <w:spacing w:after="0" w:line="276" w:lineRule="auto"/>
        <w:contextualSpacing/>
        <w:jc w:val="both"/>
        <w:rPr>
          <w:rFonts w:cs="Arial"/>
          <w:sz w:val="18"/>
          <w:szCs w:val="18"/>
        </w:rPr>
      </w:pPr>
    </w:p>
    <w:p w14:paraId="24AC3051" w14:textId="77777777" w:rsidR="0001164D" w:rsidRDefault="0001164D" w:rsidP="00E247FF">
      <w:pPr>
        <w:spacing w:after="0" w:line="276" w:lineRule="auto"/>
        <w:contextualSpacing/>
        <w:jc w:val="both"/>
        <w:rPr>
          <w:rFonts w:cs="Arial"/>
          <w:sz w:val="18"/>
          <w:szCs w:val="18"/>
        </w:rPr>
      </w:pPr>
    </w:p>
    <w:p w14:paraId="36C9FE5A" w14:textId="77777777" w:rsidR="0001164D" w:rsidRDefault="0001164D" w:rsidP="00E247FF">
      <w:pPr>
        <w:spacing w:after="0" w:line="276" w:lineRule="auto"/>
        <w:contextualSpacing/>
        <w:jc w:val="both"/>
        <w:rPr>
          <w:rFonts w:cs="Arial"/>
          <w:sz w:val="18"/>
          <w:szCs w:val="18"/>
        </w:rPr>
      </w:pPr>
    </w:p>
    <w:p w14:paraId="0D5FEC33" w14:textId="77777777" w:rsidR="0001164D" w:rsidRDefault="0001164D" w:rsidP="00E247FF">
      <w:pPr>
        <w:spacing w:after="0" w:line="276" w:lineRule="auto"/>
        <w:contextualSpacing/>
        <w:jc w:val="both"/>
        <w:rPr>
          <w:rFonts w:cs="Arial"/>
          <w:sz w:val="18"/>
          <w:szCs w:val="18"/>
        </w:rPr>
      </w:pPr>
    </w:p>
    <w:p w14:paraId="43543633" w14:textId="77777777" w:rsidR="0001164D" w:rsidRPr="007664ED" w:rsidRDefault="0001164D" w:rsidP="00E247FF">
      <w:pPr>
        <w:spacing w:after="0" w:line="276" w:lineRule="auto"/>
        <w:contextualSpacing/>
        <w:jc w:val="both"/>
        <w:rPr>
          <w:rFonts w:cs="Arial"/>
          <w:sz w:val="18"/>
          <w:szCs w:val="18"/>
        </w:rPr>
      </w:pPr>
    </w:p>
    <w:p w14:paraId="2C5CB0F9" w14:textId="2428DD42" w:rsidR="000E7A5A" w:rsidRPr="00F425EA" w:rsidRDefault="00306071" w:rsidP="000B2C28">
      <w:pPr>
        <w:pStyle w:val="Naslov2"/>
      </w:pPr>
      <w:bookmarkStart w:id="282" w:name="_Toc187739294"/>
      <w:bookmarkStart w:id="283" w:name="_Toc187740027"/>
      <w:bookmarkStart w:id="284" w:name="_Toc192681981"/>
      <w:r w:rsidRPr="00F425EA">
        <w:lastRenderedPageBreak/>
        <w:t>2.1</w:t>
      </w:r>
      <w:r w:rsidRPr="00F425EA">
        <w:tab/>
      </w:r>
      <w:r w:rsidR="005A12CC" w:rsidRPr="00F425EA">
        <w:t>PREGLED IZVAJANJA PO PREDNOSTNIH NALOGAH</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7AFE03F7" w14:textId="77777777" w:rsidR="000E7A5A" w:rsidRPr="00623803" w:rsidRDefault="000E7A5A" w:rsidP="00E247FF">
      <w:pPr>
        <w:spacing w:after="0" w:line="276" w:lineRule="auto"/>
        <w:contextualSpacing/>
        <w:jc w:val="both"/>
        <w:rPr>
          <w:rFonts w:eastAsia="SimSun" w:cs="Arial"/>
          <w:sz w:val="22"/>
          <w:szCs w:val="22"/>
          <w:lang w:eastAsia="zh-CN"/>
        </w:rPr>
      </w:pPr>
    </w:p>
    <w:p w14:paraId="7DEB0DD1" w14:textId="77777777" w:rsidR="000E7A5A" w:rsidRPr="00F425EA" w:rsidRDefault="00306071" w:rsidP="00E76A87">
      <w:pPr>
        <w:pStyle w:val="Naslov3"/>
      </w:pPr>
      <w:bookmarkStart w:id="285" w:name="_Toc811375672"/>
      <w:bookmarkStart w:id="286" w:name="_Toc1843457698"/>
      <w:bookmarkStart w:id="287" w:name="_Toc729027369"/>
      <w:bookmarkStart w:id="288" w:name="_Toc80921757"/>
      <w:bookmarkStart w:id="289" w:name="_Toc1055577106"/>
      <w:bookmarkStart w:id="290" w:name="_Toc2948018"/>
      <w:bookmarkStart w:id="291" w:name="_Toc1821735555"/>
      <w:bookmarkStart w:id="292" w:name="_Toc1446957278"/>
      <w:bookmarkStart w:id="293" w:name="_Toc1661063000"/>
      <w:bookmarkStart w:id="294" w:name="_Toc1871060050"/>
      <w:bookmarkStart w:id="295" w:name="_Toc1026281747"/>
      <w:bookmarkStart w:id="296" w:name="_Toc1862091674"/>
      <w:bookmarkStart w:id="297" w:name="_Toc824125528"/>
      <w:bookmarkStart w:id="298" w:name="_Toc1285879383"/>
      <w:bookmarkStart w:id="299" w:name="_Toc569123638"/>
      <w:bookmarkStart w:id="300" w:name="_Toc594610043"/>
      <w:bookmarkStart w:id="301" w:name="_Toc1892669577"/>
      <w:bookmarkStart w:id="302" w:name="_Toc46972827"/>
      <w:bookmarkStart w:id="303" w:name="_Toc221889179"/>
      <w:bookmarkStart w:id="304" w:name="_Toc475393023"/>
      <w:bookmarkStart w:id="305" w:name="_Toc91161605"/>
      <w:bookmarkStart w:id="306" w:name="_Toc1053165452"/>
      <w:bookmarkStart w:id="307" w:name="_Toc1833083381"/>
      <w:bookmarkStart w:id="308" w:name="_Toc2133730676"/>
      <w:bookmarkStart w:id="309" w:name="_Toc1397773916"/>
      <w:bookmarkStart w:id="310" w:name="_Toc604090390"/>
      <w:bookmarkStart w:id="311" w:name="_Toc2069177793"/>
      <w:bookmarkStart w:id="312" w:name="_Toc195119792"/>
      <w:bookmarkStart w:id="313" w:name="_Toc361199476"/>
      <w:bookmarkStart w:id="314" w:name="_Toc620545563"/>
      <w:bookmarkStart w:id="315" w:name="_Toc613881824"/>
      <w:bookmarkStart w:id="316" w:name="_Toc186501154"/>
      <w:bookmarkStart w:id="317" w:name="_Toc1252741888"/>
      <w:bookmarkStart w:id="318" w:name="_Toc239607055"/>
      <w:bookmarkStart w:id="319" w:name="_Toc342921315"/>
      <w:bookmarkStart w:id="320" w:name="_Toc2013470784"/>
      <w:bookmarkStart w:id="321" w:name="_Toc413287133"/>
      <w:bookmarkStart w:id="322" w:name="_Toc1832139548"/>
      <w:bookmarkStart w:id="323" w:name="_Toc1861307263"/>
      <w:bookmarkStart w:id="324" w:name="_Toc1043929937"/>
      <w:bookmarkStart w:id="325" w:name="_Toc1890176500"/>
      <w:bookmarkStart w:id="326" w:name="_Toc159488908"/>
      <w:bookmarkStart w:id="327" w:name="_Toc759767702"/>
      <w:bookmarkStart w:id="328" w:name="_Toc548407367"/>
      <w:bookmarkStart w:id="329" w:name="_Toc257620840"/>
      <w:bookmarkStart w:id="330" w:name="_Toc183384745"/>
      <w:bookmarkStart w:id="331" w:name="_Toc1950889684"/>
      <w:bookmarkStart w:id="332" w:name="_Toc605404265"/>
      <w:bookmarkStart w:id="333" w:name="_Toc1255695709"/>
      <w:bookmarkStart w:id="334" w:name="_Toc35729077"/>
      <w:bookmarkStart w:id="335" w:name="_Toc1444113472"/>
      <w:bookmarkStart w:id="336" w:name="_Toc1457897120"/>
      <w:bookmarkStart w:id="337" w:name="_Toc1926144767"/>
      <w:bookmarkStart w:id="338" w:name="_Toc835963338"/>
      <w:bookmarkStart w:id="339" w:name="_Toc1014356761"/>
      <w:bookmarkStart w:id="340" w:name="_Toc896184705"/>
      <w:bookmarkStart w:id="341" w:name="_Toc1628657584"/>
      <w:bookmarkStart w:id="342" w:name="_Toc244308402"/>
      <w:bookmarkStart w:id="343" w:name="_Toc2022064560"/>
      <w:bookmarkStart w:id="344" w:name="_Toc148558712"/>
      <w:bookmarkStart w:id="345" w:name="_Toc1241176962"/>
      <w:bookmarkStart w:id="346" w:name="_Toc1978413279"/>
      <w:bookmarkStart w:id="347" w:name="_Toc1225338773"/>
      <w:bookmarkStart w:id="348" w:name="_Toc190212744"/>
      <w:bookmarkStart w:id="349" w:name="_Toc66840986"/>
      <w:bookmarkStart w:id="350" w:name="_Toc1558468896"/>
      <w:bookmarkStart w:id="351" w:name="_Toc1918094453"/>
      <w:bookmarkStart w:id="352" w:name="_Toc1336806097"/>
      <w:bookmarkStart w:id="353" w:name="_Toc1675918993"/>
      <w:bookmarkStart w:id="354" w:name="_Toc173706820"/>
      <w:bookmarkStart w:id="355" w:name="_Toc1165862031"/>
      <w:bookmarkStart w:id="356" w:name="_Toc685981024"/>
      <w:bookmarkStart w:id="357" w:name="_Toc1099610023"/>
      <w:bookmarkStart w:id="358" w:name="_Toc1874646745"/>
      <w:bookmarkStart w:id="359" w:name="_Toc795837407"/>
      <w:bookmarkStart w:id="360" w:name="_Toc80713222"/>
      <w:bookmarkStart w:id="361" w:name="_Toc1104131031"/>
      <w:bookmarkStart w:id="362" w:name="_Toc1001529094"/>
      <w:bookmarkStart w:id="363" w:name="_Toc457496576"/>
      <w:bookmarkStart w:id="364" w:name="_Toc793688986"/>
      <w:bookmarkStart w:id="365" w:name="_Toc805199105"/>
      <w:bookmarkStart w:id="366" w:name="_Toc1355812571"/>
      <w:bookmarkStart w:id="367" w:name="_Toc116269677"/>
      <w:bookmarkStart w:id="368" w:name="_Toc311431946"/>
      <w:bookmarkStart w:id="369" w:name="_Toc187739295"/>
      <w:bookmarkStart w:id="370" w:name="_Toc187740028"/>
      <w:bookmarkStart w:id="371" w:name="_Toc192681982"/>
      <w:r w:rsidRPr="00F425EA">
        <w:t>2.1.1</w:t>
      </w:r>
      <w:r w:rsidRPr="00F425EA">
        <w:tab/>
        <w:t>PN 1: Inovacijska družba znanja</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277DC2BD" w14:textId="77777777" w:rsidR="000E7A5A" w:rsidRPr="00367191" w:rsidRDefault="000E7A5A" w:rsidP="00E247FF">
      <w:pPr>
        <w:spacing w:after="0" w:line="276" w:lineRule="auto"/>
        <w:contextualSpacing/>
        <w:jc w:val="both"/>
        <w:rPr>
          <w:rFonts w:eastAsia="SimSun" w:cs="Arial"/>
          <w:szCs w:val="20"/>
          <w:lang w:eastAsia="zh-CN"/>
        </w:rPr>
      </w:pPr>
    </w:p>
    <w:p w14:paraId="1EA486A8" w14:textId="77777777" w:rsidR="000E7A5A" w:rsidRPr="00F425EA" w:rsidRDefault="00306071" w:rsidP="005F66E4">
      <w:pPr>
        <w:pStyle w:val="Naslov4"/>
        <w:spacing w:before="0"/>
        <w:rPr>
          <w:lang w:eastAsia="zh-CN"/>
        </w:rPr>
      </w:pPr>
      <w:bookmarkStart w:id="372" w:name="_Toc187739296"/>
      <w:bookmarkStart w:id="373" w:name="_Toc187740029"/>
      <w:r w:rsidRPr="00F425EA">
        <w:rPr>
          <w:lang w:eastAsia="zh-CN"/>
        </w:rPr>
        <w:t>2.1.1.1 Specifični cilj: RSO1.1. Razvoj in izboljšanje raziskovalne in inovacijske zmogljivosti ter uvajanje naprednih tehnologij (ESRR)</w:t>
      </w:r>
      <w:bookmarkEnd w:id="372"/>
      <w:bookmarkEnd w:id="373"/>
    </w:p>
    <w:p w14:paraId="28CEA523" w14:textId="77777777" w:rsidR="000E7A5A" w:rsidRPr="00623803" w:rsidRDefault="000E7A5A" w:rsidP="00E247FF">
      <w:pPr>
        <w:spacing w:after="0" w:line="276" w:lineRule="auto"/>
        <w:contextualSpacing/>
        <w:jc w:val="both"/>
        <w:rPr>
          <w:rFonts w:eastAsia="SimSun" w:cs="Arial"/>
          <w:szCs w:val="20"/>
          <w:lang w:eastAsia="zh-CN"/>
        </w:rPr>
      </w:pPr>
    </w:p>
    <w:p w14:paraId="1AA1FBD8" w14:textId="77777777" w:rsidR="000E7A5A" w:rsidRPr="00367191" w:rsidRDefault="00306071" w:rsidP="00E247FF">
      <w:pPr>
        <w:spacing w:after="0" w:line="276" w:lineRule="auto"/>
        <w:contextualSpacing/>
        <w:jc w:val="both"/>
        <w:rPr>
          <w:rFonts w:eastAsia="SimSun" w:cs="Arial"/>
          <w:szCs w:val="20"/>
          <w:lang w:eastAsia="zh-CN"/>
        </w:rPr>
      </w:pPr>
      <w:r w:rsidRPr="00367191">
        <w:rPr>
          <w:rFonts w:eastAsia="SimSun" w:cs="Arial"/>
          <w:szCs w:val="20"/>
          <w:lang w:eastAsia="zh-CN"/>
        </w:rPr>
        <w:t>Specifični cilj je namenjen krepitvi raziskovalne in inovacijske zmogljivosti ter uporabi naprednih tehnologij, da se okrepi raziskovalna in inovacijska uspešnost ter spodbudi rast produktivnosti z opredelitvijo področij Slovenske strategije trajnostne pametne specializacije (S5) ter poveča dodana vrednost gospodarstva in se Slovenija vrne med države močne inovatorke s povečanjem števila inovativnih podjetij na področjih S5.</w:t>
      </w:r>
    </w:p>
    <w:p w14:paraId="534755EC" w14:textId="77777777" w:rsidR="000E7A5A" w:rsidRPr="00367191" w:rsidRDefault="000E7A5A" w:rsidP="00E247FF">
      <w:pPr>
        <w:spacing w:after="0" w:line="276" w:lineRule="auto"/>
        <w:contextualSpacing/>
        <w:jc w:val="both"/>
        <w:rPr>
          <w:rFonts w:eastAsia="SimSun" w:cs="Arial"/>
          <w:szCs w:val="20"/>
          <w:lang w:eastAsia="zh-CN"/>
        </w:rPr>
      </w:pPr>
    </w:p>
    <w:p w14:paraId="00AE807E" w14:textId="3D3E479B" w:rsidR="006477ED" w:rsidRPr="00367191" w:rsidRDefault="00306071" w:rsidP="00E247FF">
      <w:pPr>
        <w:spacing w:after="0" w:line="276" w:lineRule="auto"/>
        <w:contextualSpacing/>
        <w:jc w:val="both"/>
        <w:rPr>
          <w:rFonts w:eastAsia="SimSun" w:cs="Arial"/>
          <w:szCs w:val="20"/>
          <w:lang w:eastAsia="zh-CN"/>
        </w:rPr>
      </w:pPr>
      <w:r w:rsidRPr="00367191">
        <w:rPr>
          <w:rFonts w:eastAsia="SimSun" w:cs="Arial"/>
          <w:szCs w:val="20"/>
          <w:lang w:eastAsia="zh-CN"/>
        </w:rPr>
        <w:t>Ukrepi bodo v celoti izhajali iz S5 in so osredotočeni na:</w:t>
      </w:r>
    </w:p>
    <w:p w14:paraId="1F4B0645" w14:textId="77777777" w:rsidR="000E7A5A" w:rsidRPr="00367191" w:rsidRDefault="00306071" w:rsidP="00E247FF">
      <w:pPr>
        <w:numPr>
          <w:ilvl w:val="1"/>
          <w:numId w:val="15"/>
        </w:numPr>
        <w:spacing w:after="0" w:line="276" w:lineRule="auto"/>
        <w:ind w:left="709"/>
        <w:contextualSpacing/>
        <w:jc w:val="both"/>
        <w:rPr>
          <w:rFonts w:cs="Arial"/>
          <w:szCs w:val="20"/>
        </w:rPr>
      </w:pPr>
      <w:r w:rsidRPr="00367191">
        <w:rPr>
          <w:rFonts w:eastAsia="SimSun" w:cs="Arial"/>
          <w:i/>
          <w:iCs/>
          <w:szCs w:val="20"/>
          <w:u w:val="single"/>
          <w:lang w:eastAsia="zh-CN"/>
        </w:rPr>
        <w:t>izboljšanje inovacijskega sistema v Sloveniji in spodbude za prenos znanja</w:t>
      </w:r>
      <w:r w:rsidRPr="00367191">
        <w:rPr>
          <w:rFonts w:eastAsia="SimSun" w:cs="Arial"/>
          <w:szCs w:val="20"/>
          <w:lang w:eastAsia="zh-CN"/>
        </w:rPr>
        <w:t xml:space="preserve"> (nadgradnja strateških razvojno inovacijskih partnerstev (v nadaljevanju: SRIP); nadgradnja pisarn za prenos znanja (v nadaljevanju: KTO); ustvarjalno (tudi mednarodno) povezovanje področij znanosti, umetnosti, tehnologije in gospodarstva; povezovanje delujočih inovacijskih mrež v podporo RRI (SRIP, SIO, SPOT, </w:t>
      </w:r>
      <w:proofErr w:type="spellStart"/>
      <w:r w:rsidRPr="00367191">
        <w:rPr>
          <w:rFonts w:eastAsia="SimSun" w:cs="Arial"/>
          <w:szCs w:val="20"/>
          <w:lang w:eastAsia="zh-CN"/>
        </w:rPr>
        <w:t>Fablab</w:t>
      </w:r>
      <w:proofErr w:type="spellEnd"/>
      <w:r w:rsidRPr="00367191">
        <w:rPr>
          <w:rFonts w:eastAsia="SimSun" w:cs="Arial"/>
          <w:szCs w:val="20"/>
          <w:lang w:eastAsia="zh-CN"/>
        </w:rPr>
        <w:t xml:space="preserve">, Center kreativnosti, konzorcij KTO), ki delujejo razdrobljeno); </w:t>
      </w:r>
    </w:p>
    <w:p w14:paraId="1C3C492E" w14:textId="77777777" w:rsidR="000E7A5A" w:rsidRPr="00367191" w:rsidRDefault="00306071" w:rsidP="00E247FF">
      <w:pPr>
        <w:numPr>
          <w:ilvl w:val="1"/>
          <w:numId w:val="15"/>
        </w:numPr>
        <w:spacing w:after="0" w:line="276" w:lineRule="auto"/>
        <w:ind w:left="709"/>
        <w:contextualSpacing/>
        <w:jc w:val="both"/>
        <w:rPr>
          <w:rFonts w:cs="Arial"/>
          <w:szCs w:val="20"/>
        </w:rPr>
      </w:pPr>
      <w:r w:rsidRPr="00367191">
        <w:rPr>
          <w:rFonts w:eastAsia="SimSun" w:cs="Arial"/>
          <w:i/>
          <w:iCs/>
          <w:szCs w:val="20"/>
          <w:u w:val="single"/>
          <w:lang w:eastAsia="zh-CN"/>
        </w:rPr>
        <w:t>področje krepitve kapacitet za raziskave</w:t>
      </w:r>
      <w:r w:rsidRPr="00367191">
        <w:rPr>
          <w:rFonts w:eastAsia="SimSun" w:cs="Arial"/>
          <w:szCs w:val="20"/>
          <w:lang w:eastAsia="zh-CN"/>
        </w:rPr>
        <w:t xml:space="preserve"> (izgradnja in vzpostavitev raziskovalne infrastrukture (tudi e-infrastrukture) skladno z S5. Glede na stanje regijske razporeditve potencialov ter cilj ponovne vrnitve Slovenije med močne inovatorke so vlaganja namenjena v krepitev kapacitet za RRI v KRZS – naravoslovne znanosti in inženirstvo na področju strojništva s prioritetnim projektom Fakulteta za strojništvo in v KRVS – vzpostavitev sodobnega tehnološkega centra INNOVUM);</w:t>
      </w:r>
    </w:p>
    <w:p w14:paraId="4FD02175" w14:textId="77777777" w:rsidR="000E7A5A" w:rsidRPr="00367191" w:rsidRDefault="00306071" w:rsidP="00E247FF">
      <w:pPr>
        <w:numPr>
          <w:ilvl w:val="1"/>
          <w:numId w:val="15"/>
        </w:numPr>
        <w:spacing w:after="0" w:line="276" w:lineRule="auto"/>
        <w:ind w:left="709"/>
        <w:contextualSpacing/>
        <w:jc w:val="both"/>
        <w:rPr>
          <w:rFonts w:cs="Arial"/>
          <w:szCs w:val="20"/>
        </w:rPr>
      </w:pPr>
      <w:r w:rsidRPr="00367191">
        <w:rPr>
          <w:rFonts w:eastAsia="SimSun" w:cs="Arial"/>
          <w:i/>
          <w:iCs/>
          <w:szCs w:val="20"/>
          <w:u w:val="single"/>
          <w:lang w:eastAsia="zh-CN"/>
        </w:rPr>
        <w:t xml:space="preserve">področje krepitve vlaganj v raziskovalno razvojne in inovacijske projekte ter sodelovanje med deležniki </w:t>
      </w:r>
      <w:proofErr w:type="spellStart"/>
      <w:r w:rsidRPr="00367191">
        <w:rPr>
          <w:rFonts w:eastAsia="SimSun" w:cs="Arial"/>
          <w:i/>
          <w:iCs/>
          <w:szCs w:val="20"/>
          <w:u w:val="single"/>
          <w:lang w:eastAsia="zh-CN"/>
        </w:rPr>
        <w:t>petorne</w:t>
      </w:r>
      <w:proofErr w:type="spellEnd"/>
      <w:r w:rsidRPr="00367191">
        <w:rPr>
          <w:rFonts w:eastAsia="SimSun" w:cs="Arial"/>
          <w:i/>
          <w:iCs/>
          <w:szCs w:val="20"/>
          <w:u w:val="single"/>
          <w:lang w:eastAsia="zh-CN"/>
        </w:rPr>
        <w:t xml:space="preserve"> vijačnice inoviranja – komplementarni ukrepom iz NOO</w:t>
      </w:r>
      <w:r w:rsidRPr="00367191">
        <w:rPr>
          <w:rFonts w:eastAsia="SimSun" w:cs="Arial"/>
          <w:szCs w:val="20"/>
          <w:lang w:eastAsia="zh-CN"/>
        </w:rPr>
        <w:t xml:space="preserve"> (vlaganja v raziskovalno razvojne in inovacijske projekte (TRL 3-6 in TRL 6-9); aktivnosti pilotno-demonstracijskih centrov; pomoč podjetjem pri testiranju tehnologij umetne inteligence pred vstopom na trg; podpora aplikativnim raziskavam; spodbujanje raziskovalcev na začetku kariere;</w:t>
      </w:r>
      <w:r w:rsidRPr="00367191">
        <w:rPr>
          <w:rFonts w:cs="Arial"/>
          <w:szCs w:val="20"/>
        </w:rPr>
        <w:t xml:space="preserve"> z</w:t>
      </w:r>
      <w:r w:rsidRPr="00367191">
        <w:rPr>
          <w:rFonts w:eastAsia="SimSun" w:cs="Arial"/>
          <w:szCs w:val="20"/>
          <w:lang w:eastAsia="zh-CN"/>
        </w:rPr>
        <w:t>aposlovanje raziskovalcev v gospodarstvu);</w:t>
      </w:r>
    </w:p>
    <w:p w14:paraId="6A457B54" w14:textId="14752222" w:rsidR="000E7A5A" w:rsidRPr="00367191" w:rsidRDefault="00306071" w:rsidP="00E247FF">
      <w:pPr>
        <w:numPr>
          <w:ilvl w:val="1"/>
          <w:numId w:val="15"/>
        </w:numPr>
        <w:spacing w:after="0" w:line="276" w:lineRule="auto"/>
        <w:ind w:left="709"/>
        <w:contextualSpacing/>
        <w:jc w:val="both"/>
        <w:rPr>
          <w:rFonts w:cs="Arial"/>
          <w:szCs w:val="20"/>
        </w:rPr>
      </w:pPr>
      <w:r w:rsidRPr="00367191">
        <w:rPr>
          <w:rFonts w:eastAsia="SimSun" w:cs="Arial"/>
          <w:i/>
          <w:iCs/>
          <w:szCs w:val="20"/>
          <w:u w:val="single"/>
          <w:lang w:eastAsia="zh-CN"/>
        </w:rPr>
        <w:t>področje sodelovanja v evropskem raziskovalnem prostoru in krepitve sinergij med različnimi viri financiranja</w:t>
      </w:r>
      <w:r w:rsidRPr="00367191">
        <w:rPr>
          <w:rFonts w:eastAsia="SimSun" w:cs="Arial"/>
          <w:szCs w:val="20"/>
          <w:lang w:eastAsia="zh-CN"/>
        </w:rPr>
        <w:t xml:space="preserve"> (</w:t>
      </w:r>
      <w:proofErr w:type="spellStart"/>
      <w:r w:rsidRPr="00367191">
        <w:rPr>
          <w:rFonts w:eastAsia="SimSun" w:cs="Arial"/>
          <w:szCs w:val="20"/>
          <w:lang w:eastAsia="zh-CN"/>
        </w:rPr>
        <w:t>Teaming</w:t>
      </w:r>
      <w:proofErr w:type="spellEnd"/>
      <w:r w:rsidRPr="00367191">
        <w:rPr>
          <w:rFonts w:eastAsia="SimSun" w:cs="Arial"/>
          <w:szCs w:val="20"/>
          <w:lang w:eastAsia="zh-CN"/>
        </w:rPr>
        <w:t xml:space="preserve">; </w:t>
      </w:r>
      <w:proofErr w:type="spellStart"/>
      <w:r w:rsidRPr="00367191">
        <w:rPr>
          <w:rFonts w:eastAsia="SimSun" w:cs="Arial"/>
          <w:szCs w:val="20"/>
          <w:lang w:eastAsia="zh-CN"/>
        </w:rPr>
        <w:t>EuroHPC</w:t>
      </w:r>
      <w:proofErr w:type="spellEnd"/>
      <w:r w:rsidRPr="00367191">
        <w:rPr>
          <w:rFonts w:eastAsia="SimSun" w:cs="Arial"/>
          <w:szCs w:val="20"/>
          <w:lang w:eastAsia="zh-CN"/>
        </w:rPr>
        <w:t xml:space="preserve">; EOSC; ERA </w:t>
      </w:r>
      <w:proofErr w:type="spellStart"/>
      <w:r w:rsidRPr="00367191">
        <w:rPr>
          <w:rFonts w:eastAsia="SimSun" w:cs="Arial"/>
          <w:szCs w:val="20"/>
          <w:lang w:eastAsia="zh-CN"/>
        </w:rPr>
        <w:t>Chair</w:t>
      </w:r>
      <w:proofErr w:type="spellEnd"/>
      <w:r w:rsidRPr="00367191">
        <w:rPr>
          <w:rFonts w:eastAsia="SimSun" w:cs="Arial"/>
          <w:szCs w:val="20"/>
          <w:lang w:eastAsia="zh-CN"/>
        </w:rPr>
        <w:t xml:space="preserve">; ERA talenti; ERA štipendije; MSCA COFUND; ERC </w:t>
      </w:r>
      <w:proofErr w:type="spellStart"/>
      <w:r w:rsidRPr="00367191">
        <w:rPr>
          <w:rFonts w:eastAsia="SimSun" w:cs="Arial"/>
          <w:szCs w:val="20"/>
          <w:lang w:eastAsia="zh-CN"/>
        </w:rPr>
        <w:t>Exit</w:t>
      </w:r>
      <w:proofErr w:type="spellEnd"/>
      <w:r w:rsidRPr="00367191">
        <w:rPr>
          <w:rFonts w:eastAsia="SimSun" w:cs="Arial"/>
          <w:szCs w:val="20"/>
          <w:lang w:eastAsia="zh-CN"/>
        </w:rPr>
        <w:t>; podpora vključevanju slovenskih partnerjev v transnacionalne raziskovalno razvojne in inovacijske projekte).</w:t>
      </w:r>
    </w:p>
    <w:p w14:paraId="06992940" w14:textId="77777777" w:rsidR="000E7A5A" w:rsidRPr="00623803" w:rsidRDefault="000E7A5A" w:rsidP="00E247FF">
      <w:pPr>
        <w:spacing w:after="0" w:line="276" w:lineRule="auto"/>
        <w:contextualSpacing/>
        <w:jc w:val="both"/>
        <w:rPr>
          <w:rFonts w:eastAsia="SimSun" w:cs="Arial"/>
          <w:color w:val="0070C0"/>
          <w:szCs w:val="20"/>
          <w:lang w:eastAsia="zh-CN"/>
        </w:rPr>
      </w:pPr>
    </w:p>
    <w:p w14:paraId="3CD026A9" w14:textId="77777777" w:rsidR="000E7A5A" w:rsidRPr="00F425EA" w:rsidRDefault="00306071" w:rsidP="005F66E4">
      <w:pPr>
        <w:pStyle w:val="Naslov4"/>
        <w:spacing w:before="0"/>
        <w:rPr>
          <w:lang w:eastAsia="zh-CN"/>
        </w:rPr>
      </w:pPr>
      <w:bookmarkStart w:id="374" w:name="_Toc187739297"/>
      <w:bookmarkStart w:id="375" w:name="_Toc187740030"/>
      <w:r w:rsidRPr="00F425EA">
        <w:rPr>
          <w:lang w:eastAsia="zh-CN"/>
        </w:rPr>
        <w:t>2.1.1.2 Specifični cilj: RSO1.2. Izkoriščanje prednosti digitalizacije za državljane, podjetja, raziskovalne organizacije in javne organe (ESRR)</w:t>
      </w:r>
      <w:bookmarkEnd w:id="374"/>
      <w:bookmarkEnd w:id="375"/>
    </w:p>
    <w:p w14:paraId="1867F3E5" w14:textId="77777777" w:rsidR="000E7A5A" w:rsidRPr="00D25113" w:rsidRDefault="000E7A5A" w:rsidP="00E247FF">
      <w:pPr>
        <w:spacing w:after="0" w:line="276" w:lineRule="auto"/>
        <w:contextualSpacing/>
        <w:jc w:val="both"/>
        <w:rPr>
          <w:rFonts w:eastAsia="SimSun" w:cs="Arial"/>
          <w:color w:val="0070C0"/>
          <w:szCs w:val="20"/>
          <w:lang w:eastAsia="zh-CN"/>
        </w:rPr>
      </w:pPr>
    </w:p>
    <w:p w14:paraId="67044B24" w14:textId="77777777" w:rsidR="000E7A5A" w:rsidRPr="00367191" w:rsidRDefault="00306071" w:rsidP="00E247FF">
      <w:pPr>
        <w:spacing w:after="0" w:line="276" w:lineRule="auto"/>
        <w:contextualSpacing/>
        <w:jc w:val="both"/>
        <w:rPr>
          <w:rFonts w:eastAsia="SimSun" w:cs="Arial"/>
          <w:szCs w:val="20"/>
          <w:lang w:eastAsia="zh-CN"/>
        </w:rPr>
      </w:pPr>
      <w:r w:rsidRPr="00367191">
        <w:rPr>
          <w:rFonts w:eastAsia="SimSun" w:cs="Arial"/>
          <w:szCs w:val="20"/>
          <w:lang w:eastAsia="zh-CN"/>
        </w:rPr>
        <w:t xml:space="preserve">Specifični cilj je namenjen digitalni preobrazbi gospodarstva, družbe in javne uprave za dolgoročni razvoj in konkurenčnost Slovenije. Digitalna preobrazba se pospešuje z uvajanjem novih poslovnih modelov in najnaprednejših tehnologij (UI, tehnologija porazdeljenih evidenc, </w:t>
      </w:r>
      <w:proofErr w:type="spellStart"/>
      <w:r w:rsidRPr="00367191">
        <w:rPr>
          <w:rFonts w:eastAsia="SimSun" w:cs="Arial"/>
          <w:szCs w:val="20"/>
          <w:lang w:eastAsia="zh-CN"/>
        </w:rPr>
        <w:t>velepodatki</w:t>
      </w:r>
      <w:proofErr w:type="spellEnd"/>
      <w:r w:rsidRPr="00367191">
        <w:rPr>
          <w:rFonts w:eastAsia="SimSun" w:cs="Arial"/>
          <w:szCs w:val="20"/>
          <w:lang w:eastAsia="zh-CN"/>
        </w:rPr>
        <w:t>, kvantne tehnologije, internet stvari itd.).</w:t>
      </w:r>
    </w:p>
    <w:p w14:paraId="2AC391B3" w14:textId="77777777" w:rsidR="000E7A5A" w:rsidRPr="00367191" w:rsidRDefault="000E7A5A" w:rsidP="00E247FF">
      <w:pPr>
        <w:spacing w:after="0" w:line="276" w:lineRule="auto"/>
        <w:contextualSpacing/>
        <w:jc w:val="both"/>
        <w:rPr>
          <w:rFonts w:eastAsia="SimSun" w:cs="Arial"/>
          <w:szCs w:val="20"/>
          <w:lang w:eastAsia="zh-CN"/>
        </w:rPr>
      </w:pPr>
    </w:p>
    <w:p w14:paraId="4BA76846" w14:textId="596B5E03" w:rsidR="006477ED" w:rsidRPr="00367191" w:rsidRDefault="00306071" w:rsidP="00E247FF">
      <w:pPr>
        <w:spacing w:after="0" w:line="276" w:lineRule="auto"/>
        <w:contextualSpacing/>
        <w:jc w:val="both"/>
        <w:rPr>
          <w:rFonts w:eastAsia="SimSun" w:cs="Arial"/>
          <w:szCs w:val="20"/>
          <w:lang w:eastAsia="zh-CN"/>
        </w:rPr>
      </w:pPr>
      <w:r w:rsidRPr="00367191">
        <w:rPr>
          <w:rFonts w:eastAsia="SimSun" w:cs="Arial"/>
          <w:szCs w:val="20"/>
          <w:lang w:eastAsia="zh-CN"/>
        </w:rPr>
        <w:t>Ukrepi EKP so komplementarni vsebinam iz NOO in so osredotočeni na:</w:t>
      </w:r>
    </w:p>
    <w:p w14:paraId="7F3B1C84" w14:textId="77777777" w:rsidR="000E7A5A" w:rsidRPr="00367191" w:rsidRDefault="00306071" w:rsidP="00E247FF">
      <w:pPr>
        <w:numPr>
          <w:ilvl w:val="1"/>
          <w:numId w:val="15"/>
        </w:numPr>
        <w:spacing w:after="0" w:line="276" w:lineRule="auto"/>
        <w:ind w:left="709"/>
        <w:contextualSpacing/>
        <w:jc w:val="both"/>
        <w:rPr>
          <w:rFonts w:cs="Arial"/>
          <w:szCs w:val="20"/>
        </w:rPr>
      </w:pPr>
      <w:r w:rsidRPr="00367191">
        <w:rPr>
          <w:rFonts w:eastAsia="SimSun" w:cs="Arial"/>
          <w:i/>
          <w:iCs/>
          <w:szCs w:val="20"/>
          <w:u w:val="single"/>
          <w:lang w:eastAsia="zh-CN"/>
        </w:rPr>
        <w:t>vsebine digitalizacije storitev javne uprave in družbe</w:t>
      </w:r>
      <w:r w:rsidRPr="00367191">
        <w:rPr>
          <w:rFonts w:eastAsia="SimSun" w:cs="Arial"/>
          <w:szCs w:val="20"/>
          <w:lang w:eastAsia="zh-CN"/>
        </w:rPr>
        <w:t xml:space="preserve"> (dvig digitalne vključenosti in digitalnih kompetenc; pametna mesta, skupnosti in vasi; digitalne inovacije na področju prostora in okolja; digitalizacija javnih storitev za poslovne subjekte in državljane; digitalizacija slovenskega jezika, kulturne dediščine in pomoč ranljivim skupinam; podpora uvajanju rešitev UI v gospodarstvo, javno upravo in družbo; digitalizacija storitev in procesov v pravosodju);</w:t>
      </w:r>
    </w:p>
    <w:p w14:paraId="19C1FEB9" w14:textId="77777777" w:rsidR="000E7A5A" w:rsidRPr="00367191" w:rsidRDefault="00306071" w:rsidP="00E247FF">
      <w:pPr>
        <w:numPr>
          <w:ilvl w:val="1"/>
          <w:numId w:val="15"/>
        </w:numPr>
        <w:spacing w:after="0" w:line="276" w:lineRule="auto"/>
        <w:ind w:left="709"/>
        <w:contextualSpacing/>
        <w:jc w:val="both"/>
        <w:rPr>
          <w:rFonts w:cs="Arial"/>
          <w:szCs w:val="20"/>
        </w:rPr>
      </w:pPr>
      <w:r w:rsidRPr="00367191">
        <w:rPr>
          <w:rFonts w:eastAsia="SimSun" w:cs="Arial"/>
          <w:i/>
          <w:iCs/>
          <w:szCs w:val="20"/>
          <w:u w:val="single"/>
          <w:lang w:eastAsia="zh-CN"/>
        </w:rPr>
        <w:t>vsebine spodbujanja digitalne preobrazbe MSP</w:t>
      </w:r>
      <w:r w:rsidRPr="00367191">
        <w:rPr>
          <w:rFonts w:eastAsia="SimSun" w:cs="Arial"/>
          <w:szCs w:val="20"/>
          <w:lang w:eastAsia="zh-CN"/>
        </w:rPr>
        <w:t xml:space="preserve"> (spodbujanje celovite digitalne transformacije MSP; spodbujanje digitalne preobrazbe za izboljšanje podjetniškega, inovacijskega, finančnega in raziskovalnega okolja (vezano na S5); spodbujanje varne digitalne preobrazbe);</w:t>
      </w:r>
    </w:p>
    <w:p w14:paraId="4255C1F8" w14:textId="77777777" w:rsidR="000E7A5A" w:rsidRPr="001233CF" w:rsidRDefault="00306071" w:rsidP="00E247FF">
      <w:pPr>
        <w:numPr>
          <w:ilvl w:val="1"/>
          <w:numId w:val="15"/>
        </w:numPr>
        <w:spacing w:after="0" w:line="276" w:lineRule="auto"/>
        <w:ind w:left="709"/>
        <w:contextualSpacing/>
        <w:jc w:val="both"/>
        <w:rPr>
          <w:rFonts w:cs="Arial"/>
          <w:szCs w:val="20"/>
        </w:rPr>
      </w:pPr>
      <w:r w:rsidRPr="00367191">
        <w:rPr>
          <w:rFonts w:eastAsia="SimSun" w:cs="Arial"/>
          <w:i/>
          <w:iCs/>
          <w:szCs w:val="20"/>
          <w:u w:val="single"/>
          <w:lang w:eastAsia="zh-CN"/>
        </w:rPr>
        <w:t>spodbujanje podpornega in poslovnega okolja za digitalno preobrazbo družbe, podjetij in javnega sektorja</w:t>
      </w:r>
      <w:r w:rsidRPr="00367191">
        <w:rPr>
          <w:rFonts w:eastAsia="SimSun" w:cs="Arial"/>
          <w:szCs w:val="20"/>
          <w:lang w:eastAsia="zh-CN"/>
        </w:rPr>
        <w:t>.</w:t>
      </w:r>
    </w:p>
    <w:p w14:paraId="0AB1B262" w14:textId="77777777" w:rsidR="001233CF" w:rsidRPr="00367191" w:rsidRDefault="001233CF" w:rsidP="001233CF">
      <w:pPr>
        <w:spacing w:after="0" w:line="240" w:lineRule="auto"/>
        <w:ind w:left="-11"/>
        <w:contextualSpacing/>
        <w:jc w:val="both"/>
        <w:rPr>
          <w:rFonts w:cs="Arial"/>
          <w:szCs w:val="20"/>
        </w:rPr>
      </w:pPr>
    </w:p>
    <w:p w14:paraId="307F5A75" w14:textId="77777777" w:rsidR="000E7A5A" w:rsidRPr="00F425EA" w:rsidRDefault="00306071" w:rsidP="005F66E4">
      <w:pPr>
        <w:pStyle w:val="Naslov4"/>
        <w:spacing w:before="0"/>
        <w:rPr>
          <w:lang w:eastAsia="zh-CN"/>
        </w:rPr>
      </w:pPr>
      <w:bookmarkStart w:id="376" w:name="_Toc187739298"/>
      <w:bookmarkStart w:id="377" w:name="_Toc187740031"/>
      <w:r w:rsidRPr="00F425EA">
        <w:rPr>
          <w:lang w:eastAsia="zh-CN"/>
        </w:rPr>
        <w:t>2.1.1.3 Specifični cilj: RSO1.3. Krepitev trajnostne rasti in konkurenčnosti MSP ter ustvarjanje delovnih mest v MSP, med drugim s produktivnimi naložbami (ESRR)</w:t>
      </w:r>
      <w:bookmarkEnd w:id="376"/>
      <w:bookmarkEnd w:id="377"/>
    </w:p>
    <w:p w14:paraId="20BE17B8" w14:textId="77777777" w:rsidR="000E7A5A" w:rsidRPr="00D25113" w:rsidRDefault="000E7A5A" w:rsidP="00E247FF">
      <w:pPr>
        <w:spacing w:after="0" w:line="276" w:lineRule="auto"/>
        <w:contextualSpacing/>
        <w:jc w:val="both"/>
        <w:rPr>
          <w:rFonts w:eastAsia="SimSun" w:cs="Arial"/>
          <w:color w:val="0070C0"/>
          <w:szCs w:val="20"/>
          <w:lang w:eastAsia="zh-CN"/>
        </w:rPr>
      </w:pPr>
    </w:p>
    <w:p w14:paraId="37A09FD2" w14:textId="6D7D8D83" w:rsidR="000E7A5A" w:rsidRDefault="00306071" w:rsidP="00E247FF">
      <w:pPr>
        <w:spacing w:after="0" w:line="276" w:lineRule="auto"/>
        <w:contextualSpacing/>
        <w:jc w:val="both"/>
        <w:rPr>
          <w:rFonts w:eastAsia="SimSun" w:cs="Arial"/>
          <w:szCs w:val="20"/>
          <w:lang w:eastAsia="zh-CN"/>
        </w:rPr>
      </w:pPr>
      <w:r w:rsidRPr="00336333">
        <w:rPr>
          <w:rFonts w:eastAsia="SimSun" w:cs="Arial"/>
          <w:szCs w:val="20"/>
          <w:lang w:eastAsia="zh-CN"/>
        </w:rPr>
        <w:t xml:space="preserve">Specifični cilj je namenjen povečanju konkurenčnosti gospodarstva z ustvarjanjem izdelkov in storitev z visoko dodano vrednostjo ter </w:t>
      </w:r>
      <w:r w:rsidR="000C1654" w:rsidRPr="00336333">
        <w:rPr>
          <w:rFonts w:eastAsia="SimSun" w:cs="Arial"/>
          <w:szCs w:val="20"/>
          <w:lang w:eastAsia="zh-CN"/>
        </w:rPr>
        <w:t>okrepitvi</w:t>
      </w:r>
      <w:r w:rsidRPr="00336333">
        <w:rPr>
          <w:rFonts w:eastAsia="SimSun" w:cs="Arial"/>
          <w:szCs w:val="20"/>
          <w:lang w:eastAsia="zh-CN"/>
        </w:rPr>
        <w:t xml:space="preserve"> družbene odgovornosti podjetij, ki omogoča hitrejši prehod v podnebno nevtralno družbo. </w:t>
      </w:r>
    </w:p>
    <w:p w14:paraId="28B2C07E" w14:textId="77777777" w:rsidR="00C1620A" w:rsidRPr="00336333" w:rsidRDefault="00C1620A" w:rsidP="00E247FF">
      <w:pPr>
        <w:spacing w:after="0" w:line="276" w:lineRule="auto"/>
        <w:contextualSpacing/>
        <w:jc w:val="both"/>
        <w:rPr>
          <w:rFonts w:eastAsia="SimSun" w:cs="Arial"/>
          <w:szCs w:val="20"/>
          <w:lang w:eastAsia="zh-CN"/>
        </w:rPr>
      </w:pPr>
    </w:p>
    <w:p w14:paraId="6D0F931C" w14:textId="194DD183" w:rsidR="006477ED" w:rsidRPr="00336333" w:rsidRDefault="00306071" w:rsidP="00E247FF">
      <w:pPr>
        <w:spacing w:after="0" w:line="276" w:lineRule="auto"/>
        <w:contextualSpacing/>
        <w:jc w:val="both"/>
        <w:rPr>
          <w:rFonts w:eastAsia="SimSun" w:cs="Arial"/>
          <w:szCs w:val="20"/>
          <w:lang w:eastAsia="zh-CN"/>
        </w:rPr>
      </w:pPr>
      <w:r w:rsidRPr="00336333">
        <w:rPr>
          <w:rFonts w:eastAsia="SimSun" w:cs="Arial"/>
          <w:szCs w:val="20"/>
          <w:lang w:eastAsia="zh-CN"/>
        </w:rPr>
        <w:t>Ukrepi bodo izhajali iz S5 in so osredotočeni na:</w:t>
      </w:r>
    </w:p>
    <w:p w14:paraId="76F82E25" w14:textId="77777777" w:rsidR="000E7A5A" w:rsidRPr="00336333" w:rsidRDefault="00306071" w:rsidP="00E247FF">
      <w:pPr>
        <w:numPr>
          <w:ilvl w:val="1"/>
          <w:numId w:val="15"/>
        </w:numPr>
        <w:spacing w:after="0" w:line="276" w:lineRule="auto"/>
        <w:ind w:left="709"/>
        <w:contextualSpacing/>
        <w:jc w:val="both"/>
        <w:rPr>
          <w:rFonts w:cs="Arial"/>
          <w:szCs w:val="20"/>
        </w:rPr>
      </w:pPr>
      <w:r w:rsidRPr="00336333">
        <w:rPr>
          <w:rFonts w:eastAsia="SimSun" w:cs="Arial"/>
          <w:i/>
          <w:iCs/>
          <w:szCs w:val="20"/>
          <w:u w:val="single"/>
          <w:lang w:eastAsia="zh-CN"/>
        </w:rPr>
        <w:t xml:space="preserve">področje razvoja in optimizacije ekosistema za podporo podjetništvu in inovativnosti </w:t>
      </w:r>
      <w:r w:rsidRPr="00336333">
        <w:rPr>
          <w:rFonts w:eastAsia="SimSun" w:cs="Arial"/>
          <w:szCs w:val="20"/>
          <w:lang w:eastAsia="zh-CN"/>
        </w:rPr>
        <w:t xml:space="preserve">(nadgradnja in izvajanje celovitih storitev za podporo podjetjem pri nastajanju, rasti in razvoju kakor tudi pri prehodu v </w:t>
      </w:r>
      <w:proofErr w:type="spellStart"/>
      <w:r w:rsidRPr="00336333">
        <w:rPr>
          <w:rFonts w:eastAsia="SimSun" w:cs="Arial"/>
          <w:szCs w:val="20"/>
          <w:lang w:eastAsia="zh-CN"/>
        </w:rPr>
        <w:t>nizkoogljično</w:t>
      </w:r>
      <w:proofErr w:type="spellEnd"/>
      <w:r w:rsidRPr="00336333">
        <w:rPr>
          <w:rFonts w:eastAsia="SimSun" w:cs="Arial"/>
          <w:szCs w:val="20"/>
          <w:lang w:eastAsia="zh-CN"/>
        </w:rPr>
        <w:t xml:space="preserve"> krožno gospodarstvo; nadgradnja sistema SPOT Global; nadgradnja ekonomsko poslovne infrastrukture v smeri RRI; pametno upravljanje turističnih destinacij slovenskega turizma; podpora nacionalni platformi kulturnih in kreativnih industrij; krepitev administrativne usposobljenosti podjetij na področju e-javnega naročanja);</w:t>
      </w:r>
    </w:p>
    <w:p w14:paraId="2A0F2D44" w14:textId="77777777" w:rsidR="000E7A5A" w:rsidRPr="00336333" w:rsidRDefault="00306071" w:rsidP="00E247FF">
      <w:pPr>
        <w:numPr>
          <w:ilvl w:val="1"/>
          <w:numId w:val="15"/>
        </w:numPr>
        <w:spacing w:after="0" w:line="276" w:lineRule="auto"/>
        <w:ind w:left="709"/>
        <w:contextualSpacing/>
        <w:jc w:val="both"/>
        <w:rPr>
          <w:rFonts w:cs="Arial"/>
          <w:szCs w:val="20"/>
        </w:rPr>
      </w:pPr>
      <w:r w:rsidRPr="00336333">
        <w:rPr>
          <w:rFonts w:eastAsia="SimSun" w:cs="Arial"/>
          <w:i/>
          <w:iCs/>
          <w:szCs w:val="20"/>
          <w:u w:val="single"/>
          <w:lang w:eastAsia="zh-CN"/>
        </w:rPr>
        <w:t>področje prehoda novih podjetniških podjemov in novonastalih podjetij v fazo hitrejše rasti in ukrepov za hitrorastoča podjetja</w:t>
      </w:r>
      <w:r w:rsidRPr="00336333">
        <w:rPr>
          <w:rFonts w:eastAsia="SimSun" w:cs="Arial"/>
          <w:szCs w:val="20"/>
          <w:lang w:eastAsia="zh-CN"/>
        </w:rPr>
        <w:t xml:space="preserve"> (spodbujanje mladih podjetij in novih podjetniških podjemov (start-up podjetij); različni ukrepi za hitrorastoča podjetja (scale-up in scale-out);</w:t>
      </w:r>
    </w:p>
    <w:p w14:paraId="23484BDE" w14:textId="77777777" w:rsidR="000E7A5A" w:rsidRPr="00336333" w:rsidRDefault="00306071" w:rsidP="00E247FF">
      <w:pPr>
        <w:numPr>
          <w:ilvl w:val="1"/>
          <w:numId w:val="15"/>
        </w:numPr>
        <w:spacing w:after="0" w:line="276" w:lineRule="auto"/>
        <w:ind w:left="709"/>
        <w:contextualSpacing/>
        <w:jc w:val="both"/>
        <w:rPr>
          <w:rFonts w:cs="Arial"/>
          <w:szCs w:val="20"/>
        </w:rPr>
      </w:pPr>
      <w:r w:rsidRPr="00336333">
        <w:rPr>
          <w:rFonts w:eastAsia="SimSun" w:cs="Arial"/>
          <w:i/>
          <w:iCs/>
          <w:szCs w:val="20"/>
          <w:u w:val="single"/>
          <w:lang w:eastAsia="zh-CN"/>
        </w:rPr>
        <w:t>področje rasti in razvoja podjetij z ukrepi za uvedbo inovativnih pristopov v različnih segmentih poslovanja podjetij, kar narekujejo trendi globalnega okolja</w:t>
      </w:r>
      <w:r w:rsidRPr="00336333">
        <w:rPr>
          <w:rFonts w:eastAsia="SimSun" w:cs="Arial"/>
          <w:szCs w:val="20"/>
          <w:lang w:eastAsia="zh-CN"/>
        </w:rPr>
        <w:t xml:space="preserve"> (spodbujanje procesnih izboljšav, prenove poslovnih procesov, strateške transformacije in novih poslovnih modelov na področjih relevantnih za prehod v </w:t>
      </w:r>
      <w:proofErr w:type="spellStart"/>
      <w:r w:rsidRPr="00336333">
        <w:rPr>
          <w:rFonts w:eastAsia="SimSun" w:cs="Arial"/>
          <w:szCs w:val="20"/>
          <w:lang w:eastAsia="zh-CN"/>
        </w:rPr>
        <w:t>nizkoogljično</w:t>
      </w:r>
      <w:proofErr w:type="spellEnd"/>
      <w:r w:rsidRPr="00336333">
        <w:rPr>
          <w:rFonts w:eastAsia="SimSun" w:cs="Arial"/>
          <w:szCs w:val="20"/>
          <w:lang w:eastAsia="zh-CN"/>
        </w:rPr>
        <w:t xml:space="preserve"> krožno gospodarstvo; razvoj novih in izboljšanih proizvodov in storitev; spodbude manjših vrednosti (vavčerji); spodbujanje socialnih (družbenih) inovacij in socialnih podjetij; spodbujanje investicij in obratnih sredstev povezanih z investicijami v obliki garancij);</w:t>
      </w:r>
    </w:p>
    <w:p w14:paraId="27934609" w14:textId="77777777" w:rsidR="000E7A5A" w:rsidRPr="00336333" w:rsidRDefault="00306071" w:rsidP="00E247FF">
      <w:pPr>
        <w:numPr>
          <w:ilvl w:val="1"/>
          <w:numId w:val="15"/>
        </w:numPr>
        <w:spacing w:after="0" w:line="276" w:lineRule="auto"/>
        <w:ind w:left="709"/>
        <w:contextualSpacing/>
        <w:jc w:val="both"/>
        <w:rPr>
          <w:rFonts w:cs="Arial"/>
          <w:szCs w:val="20"/>
        </w:rPr>
      </w:pPr>
      <w:r w:rsidRPr="00336333">
        <w:rPr>
          <w:rFonts w:eastAsia="SimSun" w:cs="Arial"/>
          <w:i/>
          <w:iCs/>
          <w:szCs w:val="20"/>
          <w:u w:val="single"/>
          <w:lang w:eastAsia="zh-CN"/>
        </w:rPr>
        <w:t xml:space="preserve">področje internacionalizacije in sodelovanja na področju </w:t>
      </w:r>
      <w:proofErr w:type="spellStart"/>
      <w:r w:rsidRPr="00336333">
        <w:rPr>
          <w:rFonts w:eastAsia="SimSun" w:cs="Arial"/>
          <w:i/>
          <w:iCs/>
          <w:szCs w:val="20"/>
          <w:u w:val="single"/>
          <w:lang w:eastAsia="zh-CN"/>
        </w:rPr>
        <w:t>makroregij</w:t>
      </w:r>
      <w:proofErr w:type="spellEnd"/>
      <w:r w:rsidRPr="00336333">
        <w:rPr>
          <w:rFonts w:eastAsia="SimSun" w:cs="Arial"/>
          <w:i/>
          <w:iCs/>
          <w:szCs w:val="20"/>
          <w:u w:val="single"/>
          <w:lang w:eastAsia="zh-CN"/>
        </w:rPr>
        <w:t xml:space="preserve"> preko oblikovanja partnerstev s podjetji na tujih trgih, promocije in krepitve znamk proizvodov in storitev slovenskih podjetij v tujini ter skupnih vlaganj na tujih trgih</w:t>
      </w:r>
      <w:r w:rsidRPr="00336333">
        <w:rPr>
          <w:rFonts w:eastAsia="SimSun" w:cs="Arial"/>
          <w:szCs w:val="20"/>
          <w:lang w:eastAsia="zh-CN"/>
        </w:rPr>
        <w:t xml:space="preserve"> (spodbujanje diverzifikacije slovenskega izvoza na tretje trge; razvoj in krepitev znamk s ciljem dviga dodane vrednosti; spodbujanje izvedbe študij izvedljivosti in izvoznih načrtov; podpora poslovnim in razvojnim partnerstvom za krepitev sodelovanja v globalnih verigah vrednosti; izvedba organiziranih dejavnosti na specializiranih mednarodnih sejmih).</w:t>
      </w:r>
    </w:p>
    <w:p w14:paraId="11B9C53E" w14:textId="77777777" w:rsidR="000E7A5A" w:rsidRPr="00623803" w:rsidRDefault="000E7A5A" w:rsidP="00E247FF">
      <w:pPr>
        <w:spacing w:after="0" w:line="276" w:lineRule="auto"/>
        <w:contextualSpacing/>
        <w:jc w:val="both"/>
        <w:rPr>
          <w:rFonts w:eastAsia="SimSun" w:cs="Arial"/>
          <w:szCs w:val="20"/>
          <w:lang w:eastAsia="zh-CN"/>
        </w:rPr>
      </w:pPr>
    </w:p>
    <w:p w14:paraId="45B99A41" w14:textId="5E142BBE" w:rsidR="000E7A5A" w:rsidRPr="003C0C42" w:rsidRDefault="00306071" w:rsidP="005F66E4">
      <w:pPr>
        <w:pStyle w:val="Naslov4"/>
        <w:spacing w:before="0"/>
        <w:rPr>
          <w:sz w:val="20"/>
          <w:szCs w:val="22"/>
          <w:lang w:eastAsia="zh-CN"/>
        </w:rPr>
      </w:pPr>
      <w:bookmarkStart w:id="378" w:name="_Toc187739299"/>
      <w:bookmarkStart w:id="379" w:name="_Toc187740032"/>
      <w:r w:rsidRPr="00F425EA">
        <w:rPr>
          <w:lang w:eastAsia="zh-CN"/>
        </w:rPr>
        <w:t>2.1.1.4 Specifični cilj: RSO1.4. Razvoj znanj in spretnosti za pametno specializacijo, industrijski prehod in podjetništvo (ESRR)</w:t>
      </w:r>
      <w:bookmarkEnd w:id="378"/>
      <w:bookmarkEnd w:id="379"/>
      <w:r w:rsidRPr="00F425EA">
        <w:rPr>
          <w:lang w:eastAsia="zh-CN"/>
        </w:rPr>
        <w:br/>
      </w:r>
    </w:p>
    <w:p w14:paraId="7C5F8002" w14:textId="77777777" w:rsidR="000E7A5A" w:rsidRPr="00336333" w:rsidRDefault="00306071" w:rsidP="00E247FF">
      <w:pPr>
        <w:spacing w:after="0" w:line="276" w:lineRule="auto"/>
        <w:contextualSpacing/>
        <w:jc w:val="both"/>
        <w:rPr>
          <w:rFonts w:eastAsia="SimSun" w:cs="Arial"/>
          <w:szCs w:val="20"/>
          <w:lang w:eastAsia="zh-CN"/>
        </w:rPr>
      </w:pPr>
      <w:r w:rsidRPr="00336333">
        <w:rPr>
          <w:rFonts w:eastAsia="SimSun" w:cs="Arial"/>
          <w:szCs w:val="20"/>
          <w:lang w:eastAsia="zh-CN"/>
        </w:rPr>
        <w:t xml:space="preserve">Specifični cilj je namenjen spodbujanju nadaljnjega gospodarskega razvoja Slovenije z razvojem znanja in spretnosti, potrebnih za pametno specializacijo, industrijskim prehodom ter zeleno in digitalno preobrazbo na celotnem inovacijskem ciklu od razvoja, uvajanja do uporabe tehnologij in postopkov. </w:t>
      </w:r>
    </w:p>
    <w:p w14:paraId="76BEC91B" w14:textId="77777777" w:rsidR="000E7A5A" w:rsidRPr="00336333" w:rsidRDefault="000E7A5A" w:rsidP="00E247FF">
      <w:pPr>
        <w:spacing w:after="0" w:line="276" w:lineRule="auto"/>
        <w:contextualSpacing/>
        <w:jc w:val="both"/>
        <w:rPr>
          <w:rFonts w:eastAsia="SimSun" w:cs="Arial"/>
          <w:szCs w:val="20"/>
          <w:lang w:eastAsia="zh-CN"/>
        </w:rPr>
      </w:pPr>
    </w:p>
    <w:p w14:paraId="7C1207A1" w14:textId="0702879D" w:rsidR="006477ED" w:rsidRPr="00336333" w:rsidRDefault="00306071" w:rsidP="00E247FF">
      <w:pPr>
        <w:spacing w:after="0" w:line="276" w:lineRule="auto"/>
        <w:contextualSpacing/>
        <w:jc w:val="both"/>
        <w:rPr>
          <w:rFonts w:eastAsia="SimSun" w:cs="Arial"/>
          <w:szCs w:val="20"/>
          <w:lang w:eastAsia="zh-CN"/>
        </w:rPr>
      </w:pPr>
      <w:r w:rsidRPr="00336333">
        <w:rPr>
          <w:rFonts w:eastAsia="SimSun" w:cs="Arial"/>
          <w:szCs w:val="20"/>
          <w:lang w:eastAsia="zh-CN"/>
        </w:rPr>
        <w:t>Ukrepi so usmerjeni v:</w:t>
      </w:r>
    </w:p>
    <w:p w14:paraId="027A1165" w14:textId="77777777" w:rsidR="000E7A5A" w:rsidRPr="00336333" w:rsidRDefault="00306071" w:rsidP="00E247FF">
      <w:pPr>
        <w:numPr>
          <w:ilvl w:val="1"/>
          <w:numId w:val="15"/>
        </w:numPr>
        <w:spacing w:after="0" w:line="276" w:lineRule="auto"/>
        <w:ind w:left="709"/>
        <w:contextualSpacing/>
        <w:jc w:val="both"/>
        <w:rPr>
          <w:rFonts w:cs="Arial"/>
          <w:szCs w:val="20"/>
        </w:rPr>
      </w:pPr>
      <w:r w:rsidRPr="00336333">
        <w:rPr>
          <w:rFonts w:eastAsia="SimSun" w:cs="Arial"/>
          <w:i/>
          <w:iCs/>
          <w:szCs w:val="20"/>
          <w:u w:val="single"/>
          <w:lang w:eastAsia="zh-CN"/>
        </w:rPr>
        <w:t>krepitev znanj in spretnosti za pametno specializacijo, industrijsko tranzicijo in v podporo inovativnosti za podjetja in ostale deležnike v gospodarstvu</w:t>
      </w:r>
      <w:r w:rsidRPr="00336333">
        <w:rPr>
          <w:rFonts w:eastAsia="SimSun" w:cs="Arial"/>
          <w:szCs w:val="20"/>
          <w:lang w:eastAsia="zh-CN"/>
        </w:rPr>
        <w:t>;</w:t>
      </w:r>
    </w:p>
    <w:p w14:paraId="1FFA11C8" w14:textId="77777777" w:rsidR="000E7A5A" w:rsidRPr="00336333" w:rsidRDefault="00306071" w:rsidP="00E247FF">
      <w:pPr>
        <w:numPr>
          <w:ilvl w:val="1"/>
          <w:numId w:val="15"/>
        </w:numPr>
        <w:spacing w:after="0" w:line="276" w:lineRule="auto"/>
        <w:ind w:left="709"/>
        <w:contextualSpacing/>
        <w:jc w:val="both"/>
        <w:rPr>
          <w:rFonts w:eastAsia="SimSun" w:cs="Arial"/>
          <w:i/>
          <w:iCs/>
          <w:szCs w:val="20"/>
          <w:u w:val="single"/>
          <w:lang w:eastAsia="zh-CN"/>
        </w:rPr>
      </w:pPr>
      <w:r w:rsidRPr="00336333">
        <w:rPr>
          <w:rFonts w:eastAsia="SimSun" w:cs="Arial"/>
          <w:i/>
          <w:iCs/>
          <w:szCs w:val="20"/>
          <w:u w:val="single"/>
          <w:lang w:eastAsia="zh-CN"/>
        </w:rPr>
        <w:t xml:space="preserve">priprava in izvajanje fleksibilnih študijskih programov za izpopolnjevanje diplomantov in </w:t>
      </w:r>
      <w:proofErr w:type="spellStart"/>
      <w:r w:rsidRPr="00336333">
        <w:rPr>
          <w:rFonts w:eastAsia="SimSun" w:cs="Arial"/>
          <w:i/>
          <w:iCs/>
          <w:szCs w:val="20"/>
          <w:u w:val="single"/>
          <w:lang w:eastAsia="zh-CN"/>
        </w:rPr>
        <w:t>mikro</w:t>
      </w:r>
      <w:proofErr w:type="spellEnd"/>
      <w:r w:rsidRPr="00336333">
        <w:rPr>
          <w:rFonts w:eastAsia="SimSun" w:cs="Arial"/>
          <w:i/>
          <w:iCs/>
          <w:szCs w:val="20"/>
          <w:u w:val="single"/>
          <w:lang w:eastAsia="zh-CN"/>
        </w:rPr>
        <w:t xml:space="preserve"> dokazil;</w:t>
      </w:r>
    </w:p>
    <w:p w14:paraId="392F8852" w14:textId="6FF8C4E2" w:rsidR="000E7A5A" w:rsidRPr="00336333" w:rsidRDefault="00306071" w:rsidP="00E247FF">
      <w:pPr>
        <w:numPr>
          <w:ilvl w:val="1"/>
          <w:numId w:val="15"/>
        </w:numPr>
        <w:spacing w:after="0" w:line="276" w:lineRule="auto"/>
        <w:ind w:left="709"/>
        <w:contextualSpacing/>
        <w:jc w:val="both"/>
        <w:rPr>
          <w:rFonts w:cs="Arial"/>
          <w:szCs w:val="20"/>
        </w:rPr>
      </w:pPr>
      <w:r w:rsidRPr="00336333">
        <w:rPr>
          <w:rFonts w:eastAsia="SimSun" w:cs="Arial"/>
          <w:i/>
          <w:iCs/>
          <w:szCs w:val="20"/>
          <w:u w:val="single"/>
          <w:lang w:eastAsia="zh-CN"/>
        </w:rPr>
        <w:t>krepitev znanj in spretnosti sistemskih izvajalcev pametne specializacije</w:t>
      </w:r>
      <w:r w:rsidRPr="00336333">
        <w:rPr>
          <w:rFonts w:eastAsia="SimSun" w:cs="Arial"/>
          <w:szCs w:val="20"/>
          <w:lang w:eastAsia="zh-CN"/>
        </w:rPr>
        <w:t xml:space="preserve"> (usposabljanje koordinatorjev in ostalih zaposlenih pri relevantnih deležnikih (npr. SRIP-i); usposabljanje zaposlenih na ministrstvih, izvajalskih institucijah ter širše v javnem sektorju o ukrepih, ki izhajajo iz S5; izboljšanje sistema spremljanja in vrednotenja izvajanja S5.</w:t>
      </w:r>
    </w:p>
    <w:p w14:paraId="6F8D7346" w14:textId="77777777" w:rsidR="000E7A5A" w:rsidRPr="00336333" w:rsidRDefault="000E7A5A" w:rsidP="00E247FF">
      <w:pPr>
        <w:spacing w:after="0" w:line="276" w:lineRule="auto"/>
        <w:contextualSpacing/>
        <w:jc w:val="both"/>
        <w:rPr>
          <w:rFonts w:eastAsia="SimSun" w:cs="Arial"/>
          <w:sz w:val="22"/>
          <w:szCs w:val="22"/>
          <w:u w:val="single"/>
          <w:lang w:eastAsia="zh-CN"/>
        </w:rPr>
      </w:pPr>
    </w:p>
    <w:p w14:paraId="208C3B31" w14:textId="77777777" w:rsidR="000E7A5A" w:rsidRPr="00F425EA" w:rsidRDefault="00306071" w:rsidP="005F66E4">
      <w:pPr>
        <w:pStyle w:val="Naslov4"/>
        <w:spacing w:before="0"/>
        <w:rPr>
          <w:lang w:eastAsia="zh-CN"/>
        </w:rPr>
      </w:pPr>
      <w:bookmarkStart w:id="380" w:name="_Toc187739300"/>
      <w:bookmarkStart w:id="381" w:name="_Toc187740033"/>
      <w:r w:rsidRPr="00F425EA">
        <w:rPr>
          <w:lang w:eastAsia="zh-CN"/>
        </w:rPr>
        <w:t>2.1.1.5 Trenutno stanje izvajanja na prednostni nalogi 1: stanje NPO in JR ter morebitne težave in izzivi</w:t>
      </w:r>
      <w:bookmarkEnd w:id="380"/>
      <w:bookmarkEnd w:id="381"/>
    </w:p>
    <w:p w14:paraId="3EC79CE5" w14:textId="77777777" w:rsidR="000E7A5A" w:rsidRPr="00336333" w:rsidRDefault="000E7A5A" w:rsidP="00E247FF">
      <w:pPr>
        <w:spacing w:after="0" w:line="276" w:lineRule="auto"/>
        <w:contextualSpacing/>
        <w:jc w:val="both"/>
        <w:rPr>
          <w:rFonts w:eastAsia="SimSun" w:cs="Arial"/>
          <w:color w:val="0070C0"/>
          <w:szCs w:val="20"/>
          <w:lang w:eastAsia="zh-CN"/>
        </w:rPr>
      </w:pPr>
    </w:p>
    <w:p w14:paraId="0ADACBB8" w14:textId="7B926D28" w:rsidR="000E7A5A" w:rsidRPr="00336333" w:rsidRDefault="00306071" w:rsidP="00E247FF">
      <w:pPr>
        <w:spacing w:after="0" w:line="276" w:lineRule="auto"/>
        <w:contextualSpacing/>
        <w:jc w:val="both"/>
        <w:rPr>
          <w:rFonts w:cs="Arial"/>
          <w:szCs w:val="20"/>
        </w:rPr>
      </w:pPr>
      <w:r w:rsidRPr="00EE5788">
        <w:rPr>
          <w:rFonts w:eastAsia="SimSun" w:cs="Arial"/>
          <w:szCs w:val="20"/>
          <w:lang w:eastAsia="zh-CN"/>
        </w:rPr>
        <w:lastRenderedPageBreak/>
        <w:t>Do 31. 12. 2024 je OU izdal v okviru PN 31 odločitev o podpori v skupni višini 115 mio EUR EU dela, kar predstavlja 16</w:t>
      </w:r>
      <w:r w:rsidR="006477ED" w:rsidRPr="00EE5788">
        <w:rPr>
          <w:rFonts w:eastAsia="SimSun" w:cs="Arial"/>
          <w:szCs w:val="20"/>
          <w:lang w:eastAsia="zh-CN"/>
        </w:rPr>
        <w:t xml:space="preserve"> </w:t>
      </w:r>
      <w:r w:rsidRPr="00EE5788">
        <w:rPr>
          <w:rFonts w:eastAsia="SimSun" w:cs="Arial"/>
          <w:szCs w:val="20"/>
          <w:lang w:eastAsia="zh-CN"/>
        </w:rPr>
        <w:t>% glede na pravice porabe. Izplačila iz proračuna RS so znašala v skupni višini 9,5 mio EUR EU dela, kar predstavlja</w:t>
      </w:r>
      <w:r w:rsidRPr="00336333">
        <w:rPr>
          <w:rFonts w:eastAsia="SimSun" w:cs="Arial"/>
          <w:szCs w:val="20"/>
          <w:lang w:eastAsia="zh-CN"/>
        </w:rPr>
        <w:t xml:space="preserve"> 1</w:t>
      </w:r>
      <w:r w:rsidR="006477ED">
        <w:rPr>
          <w:rFonts w:eastAsia="SimSun" w:cs="Arial"/>
          <w:szCs w:val="20"/>
          <w:lang w:eastAsia="zh-CN"/>
        </w:rPr>
        <w:t xml:space="preserve"> </w:t>
      </w:r>
      <w:r w:rsidRPr="00336333">
        <w:rPr>
          <w:rFonts w:eastAsia="SimSun" w:cs="Arial"/>
          <w:szCs w:val="20"/>
          <w:lang w:eastAsia="zh-CN"/>
        </w:rPr>
        <w:t>% glede na pravice porabe.</w:t>
      </w:r>
    </w:p>
    <w:p w14:paraId="5D2A4AE4" w14:textId="77777777" w:rsidR="0001164D" w:rsidRPr="00336333" w:rsidRDefault="0001164D" w:rsidP="00E247FF">
      <w:pPr>
        <w:spacing w:after="0" w:line="276" w:lineRule="auto"/>
        <w:contextualSpacing/>
        <w:jc w:val="both"/>
        <w:rPr>
          <w:rFonts w:eastAsia="SimSun" w:cs="Arial"/>
          <w:szCs w:val="20"/>
          <w:lang w:eastAsia="zh-CN"/>
        </w:rPr>
      </w:pPr>
    </w:p>
    <w:p w14:paraId="0124E177" w14:textId="07194271" w:rsidR="006477ED" w:rsidRPr="00336333" w:rsidRDefault="00306071" w:rsidP="00E247FF">
      <w:pPr>
        <w:spacing w:after="0" w:line="276" w:lineRule="auto"/>
        <w:contextualSpacing/>
        <w:jc w:val="both"/>
        <w:rPr>
          <w:rFonts w:eastAsia="SimSun" w:cs="Arial"/>
          <w:szCs w:val="20"/>
          <w:lang w:eastAsia="zh-CN"/>
        </w:rPr>
      </w:pPr>
      <w:r w:rsidRPr="00336333">
        <w:rPr>
          <w:rFonts w:eastAsia="SimSun" w:cs="Arial"/>
          <w:szCs w:val="20"/>
          <w:lang w:eastAsia="zh-CN"/>
        </w:rPr>
        <w:t>Odločitve o podpori so bile izdane za ukrepe na naslednjih področjih:</w:t>
      </w:r>
    </w:p>
    <w:p w14:paraId="2E066024" w14:textId="330A6F45" w:rsidR="000E7A5A" w:rsidRPr="00336333" w:rsidRDefault="4EE128E9" w:rsidP="2EA23F19">
      <w:pPr>
        <w:pStyle w:val="Odstavekseznama"/>
        <w:numPr>
          <w:ilvl w:val="0"/>
          <w:numId w:val="17"/>
        </w:numPr>
        <w:spacing w:after="0" w:line="276" w:lineRule="auto"/>
        <w:jc w:val="both"/>
        <w:rPr>
          <w:rFonts w:cs="Arial"/>
        </w:rPr>
      </w:pPr>
      <w:r w:rsidRPr="00F7FCEE">
        <w:rPr>
          <w:rFonts w:eastAsia="SimSun" w:cs="Arial"/>
          <w:i/>
          <w:iCs/>
          <w:lang w:eastAsia="zh-CN"/>
        </w:rPr>
        <w:t>RSO1.1 (3 odločitve o podpori)</w:t>
      </w:r>
      <w:r w:rsidRPr="00F7FCEE">
        <w:rPr>
          <w:rFonts w:eastAsia="SimSun" w:cs="Arial"/>
          <w:lang w:eastAsia="zh-CN"/>
        </w:rPr>
        <w:t xml:space="preserve">: vzpostavitev delovanja novih pisarn za prenos znanja in nadgradnja obstoječih na slovenskih JRO; nadgradnja in spodbujanje delovanja SRIP; </w:t>
      </w:r>
      <w:r w:rsidR="734F3E88" w:rsidRPr="00F7FCEE">
        <w:rPr>
          <w:rFonts w:eastAsia="SimSun" w:cs="Arial"/>
          <w:lang w:eastAsia="zh-CN"/>
        </w:rPr>
        <w:t xml:space="preserve">komplementarno sofinanciranje projekta izbranega v okviru MSCA COFUND </w:t>
      </w:r>
      <w:proofErr w:type="spellStart"/>
      <w:r w:rsidR="734F3E88" w:rsidRPr="00F7FCEE">
        <w:rPr>
          <w:rFonts w:eastAsia="SimSun" w:cs="Arial"/>
          <w:lang w:eastAsia="zh-CN"/>
        </w:rPr>
        <w:t>Machine</w:t>
      </w:r>
      <w:proofErr w:type="spellEnd"/>
      <w:r w:rsidR="734F3E88" w:rsidRPr="00F7FCEE">
        <w:rPr>
          <w:rFonts w:eastAsia="SimSun" w:cs="Arial"/>
          <w:lang w:eastAsia="zh-CN"/>
        </w:rPr>
        <w:t xml:space="preserve"> </w:t>
      </w:r>
      <w:proofErr w:type="spellStart"/>
      <w:r w:rsidR="734F3E88" w:rsidRPr="00F7FCEE">
        <w:rPr>
          <w:rFonts w:eastAsia="SimSun" w:cs="Arial"/>
          <w:lang w:eastAsia="zh-CN"/>
        </w:rPr>
        <w:t>Learning</w:t>
      </w:r>
      <w:proofErr w:type="spellEnd"/>
      <w:r w:rsidR="734F3E88" w:rsidRPr="00F7FCEE">
        <w:rPr>
          <w:rFonts w:eastAsia="SimSun" w:cs="Arial"/>
          <w:lang w:eastAsia="zh-CN"/>
        </w:rPr>
        <w:t xml:space="preserve"> </w:t>
      </w:r>
      <w:proofErr w:type="spellStart"/>
      <w:r w:rsidR="734F3E88" w:rsidRPr="00F7FCEE">
        <w:rPr>
          <w:rFonts w:eastAsia="SimSun" w:cs="Arial"/>
          <w:lang w:eastAsia="zh-CN"/>
        </w:rPr>
        <w:t>for</w:t>
      </w:r>
      <w:proofErr w:type="spellEnd"/>
      <w:r w:rsidR="734F3E88" w:rsidRPr="00F7FCEE">
        <w:rPr>
          <w:rFonts w:eastAsia="SimSun" w:cs="Arial"/>
          <w:lang w:eastAsia="zh-CN"/>
        </w:rPr>
        <w:t xml:space="preserve"> Science </w:t>
      </w:r>
      <w:proofErr w:type="spellStart"/>
      <w:r w:rsidR="734F3E88" w:rsidRPr="00F7FCEE">
        <w:rPr>
          <w:rFonts w:eastAsia="SimSun" w:cs="Arial"/>
          <w:lang w:eastAsia="zh-CN"/>
        </w:rPr>
        <w:t>and</w:t>
      </w:r>
      <w:proofErr w:type="spellEnd"/>
      <w:r w:rsidR="734F3E88" w:rsidRPr="00F7FCEE">
        <w:rPr>
          <w:rFonts w:eastAsia="SimSun" w:cs="Arial"/>
          <w:lang w:eastAsia="zh-CN"/>
        </w:rPr>
        <w:t xml:space="preserve"> </w:t>
      </w:r>
      <w:proofErr w:type="spellStart"/>
      <w:r w:rsidR="734F3E88" w:rsidRPr="00F7FCEE">
        <w:rPr>
          <w:rFonts w:eastAsia="SimSun" w:cs="Arial"/>
          <w:lang w:eastAsia="zh-CN"/>
        </w:rPr>
        <w:t>Humanities</w:t>
      </w:r>
      <w:proofErr w:type="spellEnd"/>
      <w:r w:rsidR="734F3E88" w:rsidRPr="00F7FCEE">
        <w:rPr>
          <w:rFonts w:eastAsia="SimSun" w:cs="Arial"/>
          <w:lang w:eastAsia="zh-CN"/>
        </w:rPr>
        <w:t xml:space="preserve"> SMASH</w:t>
      </w:r>
      <w:r w:rsidRPr="00F7FCEE">
        <w:rPr>
          <w:rFonts w:eastAsia="SimSun" w:cs="Arial"/>
          <w:lang w:eastAsia="zh-CN"/>
        </w:rPr>
        <w:t>;</w:t>
      </w:r>
    </w:p>
    <w:p w14:paraId="45A30B96" w14:textId="77D15D7C" w:rsidR="000E7A5A" w:rsidRPr="00336333" w:rsidRDefault="4EE128E9" w:rsidP="2EA23F19">
      <w:pPr>
        <w:pStyle w:val="Odstavekseznama"/>
        <w:numPr>
          <w:ilvl w:val="0"/>
          <w:numId w:val="17"/>
        </w:numPr>
        <w:spacing w:after="0" w:line="276" w:lineRule="auto"/>
        <w:jc w:val="both"/>
        <w:rPr>
          <w:rFonts w:cs="Arial"/>
        </w:rPr>
      </w:pPr>
      <w:r w:rsidRPr="00F7FCEE">
        <w:rPr>
          <w:rFonts w:eastAsia="SimSun" w:cs="Arial"/>
          <w:i/>
          <w:iCs/>
          <w:lang w:eastAsia="zh-CN"/>
        </w:rPr>
        <w:t>RSO1.2 (5 odločitev o podpori)</w:t>
      </w:r>
      <w:r w:rsidRPr="00F7FCEE">
        <w:rPr>
          <w:rFonts w:eastAsia="SimSun" w:cs="Arial"/>
          <w:lang w:eastAsia="zh-CN"/>
        </w:rPr>
        <w:t>: digitalizacija notarskih storitev; nadgradnja obstoječih in vpeljava novih javnih digitalnih storitev</w:t>
      </w:r>
      <w:r w:rsidR="3B8C96E9" w:rsidRPr="00F7FCEE">
        <w:rPr>
          <w:rFonts w:eastAsia="SimSun" w:cs="Arial"/>
          <w:lang w:eastAsia="zh-CN"/>
        </w:rPr>
        <w:t>, tudi na področju javnega naročanja</w:t>
      </w:r>
      <w:r w:rsidRPr="00F7FCEE">
        <w:rPr>
          <w:rFonts w:eastAsia="SimSun" w:cs="Arial"/>
          <w:lang w:eastAsia="zh-CN"/>
        </w:rPr>
        <w:t xml:space="preserve">; izvedba programov neformalnega izobraževanja za pridobivanje osnovnih in naprednih digitalnih kompetenc prebivalcev Republike Slovenije starih 30 let in več; vzpostavitev pametnih digitalnih javnih storitev; vzpostavitev javnega obveščanja in alarmiranja. </w:t>
      </w:r>
    </w:p>
    <w:p w14:paraId="1B005069" w14:textId="77777777" w:rsidR="000E7A5A" w:rsidRPr="00336333" w:rsidRDefault="00306071" w:rsidP="00E247FF">
      <w:pPr>
        <w:pStyle w:val="Odstavekseznama"/>
        <w:numPr>
          <w:ilvl w:val="0"/>
          <w:numId w:val="17"/>
        </w:numPr>
        <w:spacing w:after="0" w:line="276" w:lineRule="auto"/>
        <w:jc w:val="both"/>
        <w:rPr>
          <w:rFonts w:cs="Arial"/>
          <w:szCs w:val="20"/>
        </w:rPr>
      </w:pPr>
      <w:r w:rsidRPr="00336333">
        <w:rPr>
          <w:rFonts w:eastAsia="SimSun" w:cs="Arial"/>
          <w:i/>
          <w:iCs/>
          <w:szCs w:val="20"/>
          <w:lang w:eastAsia="zh-CN"/>
        </w:rPr>
        <w:t>RSO1.3 (20 odločitev o podpori)</w:t>
      </w:r>
      <w:r w:rsidRPr="00336333">
        <w:rPr>
          <w:rFonts w:eastAsia="SimSun" w:cs="Arial"/>
          <w:szCs w:val="20"/>
          <w:lang w:eastAsia="zh-CN"/>
        </w:rPr>
        <w:t xml:space="preserve">: zagotavljanje učinkovitega podpornega okolja na celotnem ozemlju RS; sofinanciranje upravičenih stroškov individualnih nastopov podjetij na mednarodnih sejmih (doma in v tujini); zagotovitev učinkovitega podpornega okolja za inovativno zagonsko podjetništvo; nadgradnja in uresničitev ukrepov za razvoj kulturnega in kreativnega sektorja v Sloveniji in njegovega povezovanja z drugimi sektorji za razvoj tehnoloških in </w:t>
      </w:r>
      <w:proofErr w:type="spellStart"/>
      <w:r w:rsidRPr="00336333">
        <w:rPr>
          <w:rFonts w:eastAsia="SimSun" w:cs="Arial"/>
          <w:szCs w:val="20"/>
          <w:lang w:eastAsia="zh-CN"/>
        </w:rPr>
        <w:t>netehnoloških</w:t>
      </w:r>
      <w:proofErr w:type="spellEnd"/>
      <w:r w:rsidRPr="00336333">
        <w:rPr>
          <w:rFonts w:eastAsia="SimSun" w:cs="Arial"/>
          <w:szCs w:val="20"/>
          <w:lang w:eastAsia="zh-CN"/>
        </w:rPr>
        <w:t xml:space="preserve"> inovacij; zagotavljanje zagonskih spodbud za mlada inovativna podjetja in nove podjetniške podjeme (start-up podjetja); podjetniško usposabljanje oseb, ki želijo realizirati podjetniško idejo, s tem pa spodbujanje podjetništva v posamezni regiji; prispevanje k izboljšanju podpornega okolja za inovativno (zagonsko) podjetništvo in h krepitvi znanj, spretnosti in kompetenc inovativnih potencialnih podjetnikov, inovativnih zagonskih podjetij (start-up podjetij) in drugih inovativnih MSP; vzpostavitev in delovanje nacionalne slovenske poslovne točke (SPOT Global +); spodbude malih vrednosti preko vavčerjev.</w:t>
      </w:r>
    </w:p>
    <w:p w14:paraId="76199A97" w14:textId="77777777" w:rsidR="000E7A5A" w:rsidRPr="00336333" w:rsidRDefault="00306071" w:rsidP="00E247FF">
      <w:pPr>
        <w:pStyle w:val="Odstavekseznama"/>
        <w:numPr>
          <w:ilvl w:val="0"/>
          <w:numId w:val="17"/>
        </w:numPr>
        <w:spacing w:after="0" w:line="276" w:lineRule="auto"/>
        <w:jc w:val="both"/>
        <w:rPr>
          <w:rFonts w:cs="Arial"/>
          <w:szCs w:val="20"/>
        </w:rPr>
      </w:pPr>
      <w:r w:rsidRPr="00336333">
        <w:rPr>
          <w:rFonts w:eastAsia="SimSun" w:cs="Arial"/>
          <w:i/>
          <w:iCs/>
          <w:szCs w:val="20"/>
          <w:lang w:eastAsia="zh-CN"/>
        </w:rPr>
        <w:t>RSO1.4 (1 odločitev o podpori)</w:t>
      </w:r>
      <w:r w:rsidRPr="00336333">
        <w:rPr>
          <w:rFonts w:eastAsia="SimSun" w:cs="Arial"/>
          <w:szCs w:val="20"/>
          <w:lang w:eastAsia="zh-CN"/>
        </w:rPr>
        <w:t>: spodbujanje vlaganja v usposabljanja (neformalne oblike izobraževanj in usposabljanj) zaposlenih v MSP in spodbujanje razvojne spremembe in inovativnost v podjetjih.</w:t>
      </w:r>
    </w:p>
    <w:p w14:paraId="4F4C99E0" w14:textId="77777777" w:rsidR="000E7A5A" w:rsidRPr="00336333" w:rsidRDefault="000E7A5A" w:rsidP="00E247FF">
      <w:pPr>
        <w:spacing w:after="0" w:line="276" w:lineRule="auto"/>
        <w:contextualSpacing/>
        <w:jc w:val="both"/>
        <w:rPr>
          <w:rFonts w:eastAsia="SimSun" w:cs="Arial"/>
          <w:szCs w:val="20"/>
          <w:lang w:eastAsia="zh-CN"/>
        </w:rPr>
      </w:pPr>
    </w:p>
    <w:p w14:paraId="48B80C81" w14:textId="01747232" w:rsidR="000E7A5A" w:rsidRPr="00336333" w:rsidRDefault="4EE128E9" w:rsidP="2EA23F19">
      <w:pPr>
        <w:spacing w:after="0" w:line="276" w:lineRule="auto"/>
        <w:contextualSpacing/>
        <w:jc w:val="both"/>
        <w:rPr>
          <w:rFonts w:eastAsia="SimSun" w:cs="Arial"/>
          <w:lang w:eastAsia="zh-CN"/>
        </w:rPr>
      </w:pPr>
      <w:r w:rsidRPr="00F7FCEE">
        <w:rPr>
          <w:rFonts w:eastAsia="SimSun" w:cs="Arial"/>
          <w:lang w:eastAsia="zh-CN"/>
        </w:rPr>
        <w:t>Podatki o stanju izvajanja v celotnem obdobju kažejo, da izvajanje poteka počasneje od načrtovane dinamike in da mejniki iz okvira smotrnosti ne bodo doseženi do konca leta 2024</w:t>
      </w:r>
      <w:r w:rsidR="00222815">
        <w:rPr>
          <w:rFonts w:eastAsia="SimSun" w:cs="Arial"/>
          <w:lang w:eastAsia="zh-CN"/>
        </w:rPr>
        <w:t xml:space="preserve">. Razlogi za zamude pri izvajanju so </w:t>
      </w:r>
      <w:r w:rsidR="00222815" w:rsidRPr="00222815">
        <w:rPr>
          <w:rFonts w:eastAsia="SimSun" w:cs="Arial"/>
          <w:lang w:eastAsia="zh-CN"/>
        </w:rPr>
        <w:t>kasnejša objava javnih razpisov in kadrovske ovire (obremenjenost kadrov, ki opravljajo naloge EKP, hkrati pa tudi naloge, povezane z izvajanjem NOO projektov)</w:t>
      </w:r>
      <w:r w:rsidRPr="00F7FCEE">
        <w:rPr>
          <w:rFonts w:eastAsia="SimSun" w:cs="Arial"/>
          <w:lang w:eastAsia="zh-CN"/>
        </w:rPr>
        <w:t>. Prav tako se bodo ukrepi, vezani na ARIS</w:t>
      </w:r>
      <w:r w:rsidR="543DC499" w:rsidRPr="00F7FCEE">
        <w:rPr>
          <w:rFonts w:eastAsia="SimSun" w:cs="Arial"/>
          <w:lang w:eastAsia="zh-CN"/>
        </w:rPr>
        <w:t xml:space="preserve"> IT</w:t>
      </w:r>
      <w:r w:rsidRPr="00F7FCEE">
        <w:rPr>
          <w:rFonts w:eastAsia="SimSun" w:cs="Arial"/>
          <w:lang w:eastAsia="zh-CN"/>
        </w:rPr>
        <w:t xml:space="preserve">, začeli izvajati nekoliko kasneje, saj je bil Sporazum o prenosu in načinu izvajanja nalog IT med PT in IT podpisan dne 8. 11. 2024. Glede operacij strateškega pomena je treba izpostaviti, da so zelo </w:t>
      </w:r>
      <w:r w:rsidR="4174D249" w:rsidRPr="00F7FCEE">
        <w:rPr>
          <w:rFonts w:eastAsia="SimSun" w:cs="Arial"/>
          <w:lang w:eastAsia="zh-CN"/>
        </w:rPr>
        <w:t>kompleksne</w:t>
      </w:r>
      <w:r w:rsidRPr="00F7FCEE">
        <w:rPr>
          <w:rFonts w:eastAsia="SimSun" w:cs="Arial"/>
          <w:lang w:eastAsia="zh-CN"/>
        </w:rPr>
        <w:t xml:space="preserve"> in zahtevajo veliko usklajevanja</w:t>
      </w:r>
      <w:r w:rsidR="00222815">
        <w:rPr>
          <w:rFonts w:eastAsia="SimSun" w:cs="Arial"/>
          <w:lang w:eastAsia="zh-CN"/>
        </w:rPr>
        <w:t xml:space="preserve"> (</w:t>
      </w:r>
      <w:r w:rsidR="00222815" w:rsidRPr="00222815">
        <w:rPr>
          <w:rFonts w:eastAsia="SimSun" w:cs="Arial"/>
          <w:lang w:eastAsia="zh-CN"/>
        </w:rPr>
        <w:t>v primeru projekta INNOVUM je ustrezna priprava pozivov za posamezen investicijski projekt vezana na upoštevanje delitve aktivnosti v okviru CP1 in CP4 ter omejena finančna sredstva; pri izgradnji nove Fakultete za strojništvo je pri izbiri specialne raziskovalne opreme, ki bi predstavljala tehnološki preboj Slovenije, pomembno sodelovanje med fakulteto in predstavniki iz gospodarstva; pomembno je zavedanje pravilnega načrtovanja projektov in pomena zapiranja finančne konstrukcije z dokazljivimi viri financiranja)</w:t>
      </w:r>
      <w:r w:rsidRPr="00F7FCEE">
        <w:rPr>
          <w:rFonts w:eastAsia="SimSun" w:cs="Arial"/>
          <w:lang w:eastAsia="zh-CN"/>
        </w:rPr>
        <w:t xml:space="preserve">. </w:t>
      </w:r>
    </w:p>
    <w:p w14:paraId="57C47A71" w14:textId="77777777" w:rsidR="000E7A5A" w:rsidRDefault="000E7A5A" w:rsidP="00E247FF">
      <w:pPr>
        <w:spacing w:after="0" w:line="276" w:lineRule="auto"/>
        <w:contextualSpacing/>
        <w:jc w:val="both"/>
        <w:rPr>
          <w:rFonts w:eastAsia="SimSun" w:cs="Arial"/>
          <w:szCs w:val="20"/>
          <w:lang w:eastAsia="zh-CN"/>
        </w:rPr>
      </w:pPr>
    </w:p>
    <w:p w14:paraId="16E23B0A" w14:textId="1C301BA9" w:rsidR="00984D97" w:rsidRDefault="00984D97" w:rsidP="00E247FF">
      <w:pPr>
        <w:spacing w:after="0" w:line="276" w:lineRule="auto"/>
        <w:contextualSpacing/>
        <w:jc w:val="both"/>
        <w:rPr>
          <w:rFonts w:eastAsia="SimSun" w:cs="Arial"/>
          <w:szCs w:val="20"/>
          <w:lang w:eastAsia="zh-CN"/>
        </w:rPr>
      </w:pPr>
      <w:r w:rsidRPr="00984D97">
        <w:rPr>
          <w:rFonts w:eastAsia="SimSun" w:cs="Arial"/>
          <w:szCs w:val="20"/>
          <w:lang w:eastAsia="zh-CN"/>
        </w:rPr>
        <w:t>Kljub kasnejši izvedbi nekaterih ukrepov so načrtovani cilji do konca izvajanja PEKP 21–27 realni in dosegljivi, razen kazalnikov, katerih vrednost se lahko spremeni v procesu spremembe PEKP 21–27.</w:t>
      </w:r>
    </w:p>
    <w:p w14:paraId="2F1DEEF5" w14:textId="77777777" w:rsidR="00984D97" w:rsidRPr="00336333" w:rsidRDefault="00984D97" w:rsidP="00E247FF">
      <w:pPr>
        <w:spacing w:after="0" w:line="276" w:lineRule="auto"/>
        <w:contextualSpacing/>
        <w:jc w:val="both"/>
        <w:rPr>
          <w:rFonts w:eastAsia="SimSun" w:cs="Arial"/>
          <w:szCs w:val="20"/>
          <w:lang w:eastAsia="zh-CN"/>
        </w:rPr>
      </w:pPr>
    </w:p>
    <w:p w14:paraId="279A2921" w14:textId="77777777" w:rsidR="000E7A5A" w:rsidRPr="00336333" w:rsidRDefault="00306071" w:rsidP="00E247FF">
      <w:pPr>
        <w:spacing w:after="0" w:line="276" w:lineRule="auto"/>
        <w:contextualSpacing/>
        <w:jc w:val="both"/>
        <w:rPr>
          <w:rFonts w:eastAsia="SimSun" w:cs="Arial"/>
          <w:szCs w:val="20"/>
          <w:lang w:eastAsia="zh-CN"/>
        </w:rPr>
      </w:pPr>
      <w:r w:rsidRPr="00336333">
        <w:rPr>
          <w:rFonts w:eastAsia="SimSun" w:cs="Arial"/>
          <w:szCs w:val="20"/>
          <w:lang w:eastAsia="zh-CN"/>
        </w:rPr>
        <w:t xml:space="preserve">Vezano na predhodno zapisano OU skupaj z Ministrstvom za finance v vlogi organa za </w:t>
      </w:r>
      <w:proofErr w:type="spellStart"/>
      <w:r w:rsidRPr="00336333">
        <w:rPr>
          <w:rFonts w:eastAsia="SimSun" w:cs="Arial"/>
          <w:szCs w:val="20"/>
          <w:lang w:eastAsia="zh-CN"/>
        </w:rPr>
        <w:t>računovodenje</w:t>
      </w:r>
      <w:proofErr w:type="spellEnd"/>
      <w:r w:rsidRPr="00336333">
        <w:rPr>
          <w:rFonts w:eastAsia="SimSun" w:cs="Arial"/>
          <w:szCs w:val="20"/>
          <w:lang w:eastAsia="zh-CN"/>
        </w:rPr>
        <w:t xml:space="preserve"> intenzivno pripravlja vse ustrezne postopke za čimprejšnje certificiranje izdatkov do EK. MKRR bo na podlagi pregleda napredka pri izvajanju načrtovanih ukrepov na ministrstvih, vključenih v izvajanje EKP, in na podlagi pregleda absorpcijske sposobnosti terena za ukrepe, ki jih omogoča uredba STEP (platforma za strateške tehnologije za Evropo), pripravilo izhodišča za spremembo PEKP 21–27. </w:t>
      </w:r>
    </w:p>
    <w:p w14:paraId="5551CAE7" w14:textId="77777777" w:rsidR="00367FBF" w:rsidRPr="00F425EA" w:rsidRDefault="00367FBF" w:rsidP="00E247FF">
      <w:pPr>
        <w:spacing w:after="0" w:line="276" w:lineRule="auto"/>
        <w:contextualSpacing/>
        <w:jc w:val="both"/>
        <w:rPr>
          <w:rFonts w:eastAsia="SimSun" w:cs="Arial"/>
          <w:sz w:val="22"/>
          <w:szCs w:val="22"/>
          <w:lang w:eastAsia="zh-CN"/>
        </w:rPr>
      </w:pPr>
    </w:p>
    <w:p w14:paraId="4DC16894" w14:textId="77777777" w:rsidR="000E7A5A" w:rsidRPr="00F425EA" w:rsidRDefault="00306071" w:rsidP="00E76A87">
      <w:pPr>
        <w:pStyle w:val="Naslov3"/>
      </w:pPr>
      <w:bookmarkStart w:id="382" w:name="_Toc926158811"/>
      <w:bookmarkStart w:id="383" w:name="_Toc555972490"/>
      <w:bookmarkStart w:id="384" w:name="_Toc410075124"/>
      <w:bookmarkStart w:id="385" w:name="_Toc1078994151"/>
      <w:bookmarkStart w:id="386" w:name="_Toc708223974"/>
      <w:bookmarkStart w:id="387" w:name="_Toc2087678721"/>
      <w:bookmarkStart w:id="388" w:name="_Toc1319577586"/>
      <w:bookmarkStart w:id="389" w:name="_Toc1747807723"/>
      <w:bookmarkStart w:id="390" w:name="_Toc1762549419"/>
      <w:bookmarkStart w:id="391" w:name="_Toc1180653175"/>
      <w:bookmarkStart w:id="392" w:name="_Toc243210627"/>
      <w:bookmarkStart w:id="393" w:name="_Toc372587203"/>
      <w:bookmarkStart w:id="394" w:name="_Toc1073423860"/>
      <w:bookmarkStart w:id="395" w:name="_Toc1207155018"/>
      <w:bookmarkStart w:id="396" w:name="_Toc1874630634"/>
      <w:bookmarkStart w:id="397" w:name="_Toc963540168"/>
      <w:bookmarkStart w:id="398" w:name="_Toc272054650"/>
      <w:bookmarkStart w:id="399" w:name="_Toc328605419"/>
      <w:bookmarkStart w:id="400" w:name="_Toc956589070"/>
      <w:bookmarkStart w:id="401" w:name="_Toc1321879417"/>
      <w:bookmarkStart w:id="402" w:name="_Toc1793305393"/>
      <w:bookmarkStart w:id="403" w:name="_Toc502898510"/>
      <w:bookmarkStart w:id="404" w:name="_Toc765028188"/>
      <w:bookmarkStart w:id="405" w:name="_Toc469888886"/>
      <w:bookmarkStart w:id="406" w:name="_Toc448787855"/>
      <w:bookmarkStart w:id="407" w:name="_Toc838339943"/>
      <w:bookmarkStart w:id="408" w:name="_Toc433341504"/>
      <w:bookmarkStart w:id="409" w:name="_Toc1219240899"/>
      <w:bookmarkStart w:id="410" w:name="_Toc1779727141"/>
      <w:bookmarkStart w:id="411" w:name="_Toc195334554"/>
      <w:bookmarkStart w:id="412" w:name="_Toc1433043191"/>
      <w:bookmarkStart w:id="413" w:name="_Toc1799456078"/>
      <w:bookmarkStart w:id="414" w:name="_Toc17519458"/>
      <w:bookmarkStart w:id="415" w:name="_Toc1652628168"/>
      <w:bookmarkStart w:id="416" w:name="_Toc66026614"/>
      <w:bookmarkStart w:id="417" w:name="_Toc1306843784"/>
      <w:bookmarkStart w:id="418" w:name="_Toc1731721817"/>
      <w:bookmarkStart w:id="419" w:name="_Toc1217281978"/>
      <w:bookmarkStart w:id="420" w:name="_Toc2019530575"/>
      <w:bookmarkStart w:id="421" w:name="_Toc2107095174"/>
      <w:bookmarkStart w:id="422" w:name="_Toc966803181"/>
      <w:bookmarkStart w:id="423" w:name="_Toc1234503938"/>
      <w:bookmarkStart w:id="424" w:name="_Toc1958732315"/>
      <w:bookmarkStart w:id="425" w:name="_Toc477395221"/>
      <w:bookmarkStart w:id="426" w:name="_Toc123866112"/>
      <w:bookmarkStart w:id="427" w:name="_Toc1103317384"/>
      <w:bookmarkStart w:id="428" w:name="_Toc2021025765"/>
      <w:bookmarkStart w:id="429" w:name="_Toc1384961972"/>
      <w:bookmarkStart w:id="430" w:name="_Toc1469825855"/>
      <w:bookmarkStart w:id="431" w:name="_Toc593206622"/>
      <w:bookmarkStart w:id="432" w:name="_Toc1459092952"/>
      <w:bookmarkStart w:id="433" w:name="_Toc206019333"/>
      <w:bookmarkStart w:id="434" w:name="_Toc222055448"/>
      <w:bookmarkStart w:id="435" w:name="_Toc287061999"/>
      <w:bookmarkStart w:id="436" w:name="_Toc728612924"/>
      <w:bookmarkStart w:id="437" w:name="_Toc1723551544"/>
      <w:bookmarkStart w:id="438" w:name="_Toc338562396"/>
      <w:bookmarkStart w:id="439" w:name="_Toc1142857361"/>
      <w:bookmarkStart w:id="440" w:name="_Toc1308820685"/>
      <w:bookmarkStart w:id="441" w:name="_Toc1447242553"/>
      <w:bookmarkStart w:id="442" w:name="_Toc1803989346"/>
      <w:bookmarkStart w:id="443" w:name="_Toc1688273815"/>
      <w:bookmarkStart w:id="444" w:name="_Toc441599310"/>
      <w:bookmarkStart w:id="445" w:name="_Toc1977046383"/>
      <w:bookmarkStart w:id="446" w:name="_Toc1981253884"/>
      <w:bookmarkStart w:id="447" w:name="_Toc2095934102"/>
      <w:bookmarkStart w:id="448" w:name="_Toc1711862354"/>
      <w:bookmarkStart w:id="449" w:name="_Toc425640653"/>
      <w:bookmarkStart w:id="450" w:name="_Toc31145078"/>
      <w:bookmarkStart w:id="451" w:name="_Toc774055762"/>
      <w:bookmarkStart w:id="452" w:name="_Toc2062000882"/>
      <w:bookmarkStart w:id="453" w:name="_Toc2053772866"/>
      <w:bookmarkStart w:id="454" w:name="_Toc805251182"/>
      <w:bookmarkStart w:id="455" w:name="_Toc631474173"/>
      <w:bookmarkStart w:id="456" w:name="_Toc1429220772"/>
      <w:bookmarkStart w:id="457" w:name="_Toc799128694"/>
      <w:bookmarkStart w:id="458" w:name="_Toc135529366"/>
      <w:bookmarkStart w:id="459" w:name="_Toc183091878"/>
      <w:bookmarkStart w:id="460" w:name="_Toc35281424"/>
      <w:bookmarkStart w:id="461" w:name="_Toc349432438"/>
      <w:bookmarkStart w:id="462" w:name="_Toc403482746"/>
      <w:bookmarkStart w:id="463" w:name="_Toc2118598937"/>
      <w:bookmarkStart w:id="464" w:name="_Toc1603906012"/>
      <w:bookmarkStart w:id="465" w:name="_Toc892792577"/>
      <w:bookmarkStart w:id="466" w:name="_Toc187739301"/>
      <w:bookmarkStart w:id="467" w:name="_Toc187740034"/>
      <w:bookmarkStart w:id="468" w:name="_Toc192681983"/>
      <w:r w:rsidRPr="00F425EA">
        <w:t>2.1.2</w:t>
      </w:r>
      <w:r w:rsidRPr="00F425EA">
        <w:tab/>
        <w:t>PN 2: Digitalna povezljivost</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19A3F24F" w14:textId="77777777" w:rsidR="000E7A5A" w:rsidRPr="00057C98" w:rsidRDefault="000E7A5A" w:rsidP="00E247FF">
      <w:pPr>
        <w:spacing w:after="0" w:line="276" w:lineRule="auto"/>
        <w:contextualSpacing/>
        <w:jc w:val="both"/>
        <w:rPr>
          <w:rFonts w:eastAsia="SimSun" w:cs="Arial"/>
          <w:szCs w:val="20"/>
          <w:lang w:eastAsia="zh-CN"/>
        </w:rPr>
      </w:pPr>
    </w:p>
    <w:p w14:paraId="419385DC" w14:textId="0D2EFD47" w:rsidR="000E7A5A" w:rsidRPr="00F425EA" w:rsidRDefault="00306071" w:rsidP="005F66E4">
      <w:pPr>
        <w:pStyle w:val="Naslov4"/>
        <w:spacing w:before="0"/>
        <w:rPr>
          <w:lang w:eastAsia="zh-CN"/>
        </w:rPr>
      </w:pPr>
      <w:bookmarkStart w:id="469" w:name="_Toc187739302"/>
      <w:bookmarkStart w:id="470" w:name="_Toc187740035"/>
      <w:r w:rsidRPr="00F425EA">
        <w:rPr>
          <w:lang w:eastAsia="zh-CN"/>
        </w:rPr>
        <w:lastRenderedPageBreak/>
        <w:t>2.1.2.1 Specifični cilj: RSO1.5. Izboljšanje digitalne povezljivosti (ESRR)</w:t>
      </w:r>
      <w:bookmarkEnd w:id="469"/>
      <w:bookmarkEnd w:id="470"/>
    </w:p>
    <w:p w14:paraId="5383157F" w14:textId="77777777" w:rsidR="000E7A5A" w:rsidRPr="00057C98" w:rsidRDefault="000E7A5A" w:rsidP="00E247FF">
      <w:pPr>
        <w:spacing w:after="0" w:line="276" w:lineRule="auto"/>
        <w:contextualSpacing/>
        <w:jc w:val="both"/>
        <w:rPr>
          <w:rFonts w:eastAsia="SimSun" w:cs="Arial"/>
          <w:color w:val="0070C0"/>
          <w:szCs w:val="20"/>
          <w:lang w:eastAsia="zh-CN"/>
        </w:rPr>
      </w:pPr>
    </w:p>
    <w:p w14:paraId="38429855" w14:textId="6734EC44" w:rsidR="000E7A5A" w:rsidRPr="00336333" w:rsidRDefault="00306071" w:rsidP="00E247FF">
      <w:pPr>
        <w:spacing w:after="0" w:line="276" w:lineRule="auto"/>
        <w:contextualSpacing/>
        <w:jc w:val="both"/>
        <w:rPr>
          <w:rFonts w:eastAsia="SimSun" w:cs="Arial"/>
          <w:szCs w:val="20"/>
          <w:lang w:eastAsia="zh-CN"/>
        </w:rPr>
      </w:pPr>
      <w:r w:rsidRPr="00336333">
        <w:rPr>
          <w:rFonts w:eastAsia="SimSun" w:cs="Arial"/>
          <w:szCs w:val="20"/>
          <w:lang w:eastAsia="zh-CN"/>
        </w:rPr>
        <w:t xml:space="preserve">Specifični cilj je namenjen ukrepu za izvedbo gradnje odprte visoko zmogljive širokopasovne infrastrukture oz. širokopasovnih povezav do gospodinjstev/stanovanj, podjetij in javnih institucij za potrebe uvajanja novih storitev in tehnologij, kot so e-poslovanje, e-izobraževanje, </w:t>
      </w:r>
      <w:proofErr w:type="spellStart"/>
      <w:r w:rsidRPr="00336333">
        <w:rPr>
          <w:rFonts w:eastAsia="SimSun" w:cs="Arial"/>
          <w:szCs w:val="20"/>
          <w:lang w:eastAsia="zh-CN"/>
        </w:rPr>
        <w:t>IoT</w:t>
      </w:r>
      <w:proofErr w:type="spellEnd"/>
      <w:r w:rsidRPr="00336333">
        <w:rPr>
          <w:rFonts w:eastAsia="SimSun" w:cs="Arial"/>
          <w:szCs w:val="20"/>
          <w:lang w:eastAsia="zh-CN"/>
        </w:rPr>
        <w:t xml:space="preserve">, pametne hiše/objekti/domovi, 5G, ipd., na območjih, kjer taka omrežja danes še ne obstajajo (odprta visoko zmogljiva širokopasovna omrežja </w:t>
      </w:r>
      <w:r w:rsidRPr="001B04D7">
        <w:rPr>
          <w:rFonts w:eastAsia="SimSun" w:cs="Arial"/>
          <w:szCs w:val="20"/>
          <w:lang w:eastAsia="zh-CN"/>
        </w:rPr>
        <w:t>hrbtenična/dostopna,</w:t>
      </w:r>
      <w:r w:rsidRPr="00336333">
        <w:rPr>
          <w:rFonts w:eastAsia="SimSun" w:cs="Arial"/>
          <w:szCs w:val="20"/>
          <w:lang w:eastAsia="zh-CN"/>
        </w:rPr>
        <w:t xml:space="preserve"> katerih zmogljivost bo takoj omogočala prenosne hitrosti vsaj 100 </w:t>
      </w:r>
      <w:proofErr w:type="spellStart"/>
      <w:r w:rsidRPr="00336333">
        <w:rPr>
          <w:rFonts w:eastAsia="SimSun" w:cs="Arial"/>
          <w:szCs w:val="20"/>
          <w:lang w:eastAsia="zh-CN"/>
        </w:rPr>
        <w:t>Mbps</w:t>
      </w:r>
      <w:proofErr w:type="spellEnd"/>
      <w:r w:rsidRPr="00336333">
        <w:rPr>
          <w:rFonts w:eastAsia="SimSun" w:cs="Arial"/>
          <w:szCs w:val="20"/>
          <w:lang w:eastAsia="zh-CN"/>
        </w:rPr>
        <w:t xml:space="preserve"> do končnega uporabnika, </w:t>
      </w:r>
      <w:r w:rsidRPr="001B04D7">
        <w:rPr>
          <w:rFonts w:eastAsia="SimSun" w:cs="Arial"/>
          <w:szCs w:val="20"/>
          <w:shd w:val="clear" w:color="auto" w:fill="FFFFFF" w:themeFill="background1"/>
          <w:lang w:eastAsia="zh-CN"/>
        </w:rPr>
        <w:t xml:space="preserve">v prihodnosti </w:t>
      </w:r>
      <w:proofErr w:type="spellStart"/>
      <w:r w:rsidRPr="001B04D7">
        <w:rPr>
          <w:rFonts w:eastAsia="SimSun" w:cs="Arial"/>
          <w:szCs w:val="20"/>
          <w:shd w:val="clear" w:color="auto" w:fill="FFFFFF" w:themeFill="background1"/>
          <w:lang w:eastAsia="zh-CN"/>
        </w:rPr>
        <w:t>nadgradljiva</w:t>
      </w:r>
      <w:proofErr w:type="spellEnd"/>
      <w:r w:rsidRPr="001B04D7">
        <w:rPr>
          <w:rFonts w:eastAsia="SimSun" w:cs="Arial"/>
          <w:szCs w:val="20"/>
          <w:shd w:val="clear" w:color="auto" w:fill="FFFFFF" w:themeFill="background1"/>
          <w:lang w:eastAsia="zh-CN"/>
        </w:rPr>
        <w:t xml:space="preserve"> na</w:t>
      </w:r>
      <w:r w:rsidRPr="00336333">
        <w:rPr>
          <w:rFonts w:eastAsia="SimSun" w:cs="Arial"/>
          <w:szCs w:val="20"/>
          <w:lang w:eastAsia="zh-CN"/>
        </w:rPr>
        <w:t xml:space="preserve"> 1 </w:t>
      </w:r>
      <w:proofErr w:type="spellStart"/>
      <w:r w:rsidRPr="00336333">
        <w:rPr>
          <w:rFonts w:eastAsia="SimSun" w:cs="Arial"/>
          <w:szCs w:val="20"/>
          <w:lang w:eastAsia="zh-CN"/>
        </w:rPr>
        <w:t>Gbps</w:t>
      </w:r>
      <w:proofErr w:type="spellEnd"/>
      <w:r w:rsidRPr="00336333">
        <w:rPr>
          <w:rFonts w:eastAsia="SimSun" w:cs="Arial"/>
          <w:szCs w:val="20"/>
          <w:lang w:eastAsia="zh-CN"/>
        </w:rPr>
        <w:t>) in za njihovo gradnjo ne obstaja interes operaterjev oz. investitorjev. Za vzgojno-izobraževalne zavode bodo podprte navedene naložbe tudi izven navedenih območjih, da se zagotovi dolgoročnost, ekonomska vzdržnost in ustrezno tehnično upravljanje te infrastrukture, kar je nujno za nemoten izobraževalni proces.</w:t>
      </w:r>
    </w:p>
    <w:p w14:paraId="6DDACD84" w14:textId="77777777" w:rsidR="000E7A5A" w:rsidRPr="00057C98" w:rsidRDefault="000E7A5A" w:rsidP="00E247FF">
      <w:pPr>
        <w:spacing w:after="0" w:line="276" w:lineRule="auto"/>
        <w:contextualSpacing/>
        <w:jc w:val="both"/>
        <w:rPr>
          <w:rFonts w:eastAsia="SimSun" w:cs="Arial"/>
          <w:szCs w:val="20"/>
          <w:lang w:eastAsia="zh-CN"/>
        </w:rPr>
      </w:pPr>
    </w:p>
    <w:p w14:paraId="7E0B3C95" w14:textId="77777777" w:rsidR="000E7A5A" w:rsidRPr="00F425EA" w:rsidRDefault="00306071" w:rsidP="005F66E4">
      <w:pPr>
        <w:pStyle w:val="Naslov4"/>
        <w:spacing w:before="0"/>
        <w:rPr>
          <w:lang w:eastAsia="zh-CN"/>
        </w:rPr>
      </w:pPr>
      <w:bookmarkStart w:id="471" w:name="_Toc187739303"/>
      <w:bookmarkStart w:id="472" w:name="_Toc187740036"/>
      <w:r w:rsidRPr="00F425EA">
        <w:rPr>
          <w:lang w:eastAsia="zh-CN"/>
        </w:rPr>
        <w:t>2.1.2.2 Trenutno stanje izvajanja na prednostni nalogi 2: stanje NPO in JR ter morebitne težave in izzivi</w:t>
      </w:r>
      <w:bookmarkEnd w:id="471"/>
      <w:bookmarkEnd w:id="472"/>
    </w:p>
    <w:p w14:paraId="1020153F" w14:textId="77777777" w:rsidR="000E7A5A" w:rsidRPr="00057C98" w:rsidRDefault="000E7A5A" w:rsidP="00E247FF">
      <w:pPr>
        <w:spacing w:after="0" w:line="276" w:lineRule="auto"/>
        <w:contextualSpacing/>
        <w:jc w:val="both"/>
        <w:rPr>
          <w:rFonts w:eastAsia="SimSun" w:cs="Arial"/>
          <w:color w:val="0070C0"/>
          <w:szCs w:val="20"/>
          <w:lang w:eastAsia="zh-CN"/>
        </w:rPr>
      </w:pPr>
    </w:p>
    <w:p w14:paraId="39DBC1C4" w14:textId="77777777" w:rsidR="000E7A5A" w:rsidRPr="00336333" w:rsidRDefault="00306071" w:rsidP="00E247FF">
      <w:pPr>
        <w:spacing w:after="0" w:line="276" w:lineRule="auto"/>
        <w:contextualSpacing/>
        <w:jc w:val="both"/>
        <w:rPr>
          <w:rFonts w:cs="Arial"/>
          <w:szCs w:val="20"/>
        </w:rPr>
      </w:pPr>
      <w:r w:rsidRPr="00DF2A6F">
        <w:rPr>
          <w:rFonts w:eastAsia="SimSun" w:cs="Arial"/>
          <w:szCs w:val="20"/>
          <w:shd w:val="clear" w:color="auto" w:fill="FFFFFF" w:themeFill="background1"/>
          <w:lang w:eastAsia="zh-CN"/>
        </w:rPr>
        <w:t>Do 31. 12. 2024 OU</w:t>
      </w:r>
      <w:r w:rsidRPr="00DF2A6F">
        <w:rPr>
          <w:rFonts w:eastAsia="SimSun" w:cs="Arial"/>
          <w:szCs w:val="20"/>
          <w:lang w:eastAsia="zh-CN"/>
        </w:rPr>
        <w:t xml:space="preserve"> ni izdal</w:t>
      </w:r>
      <w:r w:rsidRPr="00336333">
        <w:rPr>
          <w:rFonts w:eastAsia="SimSun" w:cs="Arial"/>
          <w:szCs w:val="20"/>
          <w:lang w:eastAsia="zh-CN"/>
        </w:rPr>
        <w:t xml:space="preserve"> nobene odločitve o podpori v okviru PN.</w:t>
      </w:r>
    </w:p>
    <w:p w14:paraId="3EA558AA" w14:textId="77777777" w:rsidR="000E7A5A" w:rsidRDefault="000E7A5A" w:rsidP="00E247FF">
      <w:pPr>
        <w:spacing w:after="0" w:line="276" w:lineRule="auto"/>
        <w:contextualSpacing/>
        <w:jc w:val="both"/>
        <w:rPr>
          <w:rFonts w:eastAsia="SimSun" w:cs="Arial"/>
          <w:szCs w:val="20"/>
          <w:shd w:val="clear" w:color="auto" w:fill="FFFF00"/>
          <w:lang w:eastAsia="zh-CN"/>
        </w:rPr>
      </w:pPr>
    </w:p>
    <w:p w14:paraId="43CFF6E9" w14:textId="77777777" w:rsidR="0026422D" w:rsidRPr="0026422D" w:rsidRDefault="0026422D" w:rsidP="0026422D">
      <w:pPr>
        <w:spacing w:after="0" w:line="276" w:lineRule="auto"/>
        <w:contextualSpacing/>
        <w:jc w:val="both"/>
        <w:rPr>
          <w:rFonts w:eastAsia="SimSun" w:cs="Arial"/>
          <w:szCs w:val="20"/>
          <w:lang w:eastAsia="zh-CN"/>
        </w:rPr>
      </w:pPr>
      <w:r w:rsidRPr="0026422D">
        <w:rPr>
          <w:rFonts w:eastAsia="SimSun" w:cs="Arial"/>
          <w:szCs w:val="20"/>
          <w:lang w:eastAsia="zh-CN"/>
        </w:rPr>
        <w:t xml:space="preserve">Izvajanje poteka počasneje od načrtovane dinamike, zato mejniki iz okvira smotrnosti niso bili doseženi do konca leta 2024 zaradi nekaterih sprememb v planiranih instrumentih. Do časovnega zamika v okviru RSO1.5 pri izgradnji visoko zmogljive </w:t>
      </w:r>
      <w:proofErr w:type="spellStart"/>
      <w:r w:rsidRPr="0026422D">
        <w:rPr>
          <w:rFonts w:eastAsia="SimSun" w:cs="Arial"/>
          <w:szCs w:val="20"/>
          <w:lang w:eastAsia="zh-CN"/>
        </w:rPr>
        <w:t>gigabitne</w:t>
      </w:r>
      <w:proofErr w:type="spellEnd"/>
      <w:r w:rsidRPr="0026422D">
        <w:rPr>
          <w:rFonts w:eastAsia="SimSun" w:cs="Arial"/>
          <w:szCs w:val="20"/>
          <w:lang w:eastAsia="zh-CN"/>
        </w:rPr>
        <w:t xml:space="preserve"> infrastrukture na primer prihaja, ker je JR GOŠO 7 vezan na začetek izvajanja javnega razpisa JR GOŠO 6 iz NOO (pred tem ni mogoče definirati katera gospodinjstva bodo dejansko identificirana kot »bele lise« v okviru JR GOŠO 7). Začetek tega razpisa je bil zato zamaknjen v konec leta 2025. </w:t>
      </w:r>
    </w:p>
    <w:p w14:paraId="1C401EF7" w14:textId="77777777" w:rsidR="0026422D" w:rsidRPr="0026422D" w:rsidRDefault="0026422D" w:rsidP="0026422D">
      <w:pPr>
        <w:spacing w:after="0" w:line="276" w:lineRule="auto"/>
        <w:contextualSpacing/>
        <w:jc w:val="both"/>
        <w:rPr>
          <w:rFonts w:eastAsia="SimSun" w:cs="Arial"/>
          <w:szCs w:val="20"/>
          <w:lang w:eastAsia="zh-CN"/>
        </w:rPr>
      </w:pPr>
    </w:p>
    <w:p w14:paraId="6A76F610" w14:textId="62F0A6CC" w:rsidR="0026422D" w:rsidRDefault="0026422D" w:rsidP="0026422D">
      <w:pPr>
        <w:spacing w:after="0" w:line="276" w:lineRule="auto"/>
        <w:contextualSpacing/>
        <w:jc w:val="both"/>
        <w:rPr>
          <w:rFonts w:eastAsia="SimSun" w:cs="Arial"/>
          <w:szCs w:val="20"/>
          <w:lang w:eastAsia="zh-CN"/>
        </w:rPr>
      </w:pPr>
      <w:r w:rsidRPr="0026422D">
        <w:rPr>
          <w:rFonts w:eastAsia="SimSun" w:cs="Arial"/>
          <w:szCs w:val="20"/>
          <w:lang w:eastAsia="zh-CN"/>
        </w:rPr>
        <w:t>Kljub kasnejši izvedbi so načrtovani cilji do konca izvajanja PEKP 21–27 realni in dosegljivi, razen kazalnikov, katerih vrednost se lahko spremeni v procesu spremembe PEKP 21–27.</w:t>
      </w:r>
    </w:p>
    <w:p w14:paraId="2C16D2EA" w14:textId="77777777" w:rsidR="0026422D" w:rsidRDefault="0026422D" w:rsidP="00E247FF">
      <w:pPr>
        <w:spacing w:after="0" w:line="276" w:lineRule="auto"/>
        <w:contextualSpacing/>
        <w:jc w:val="both"/>
        <w:rPr>
          <w:rFonts w:eastAsia="SimSun" w:cs="Arial"/>
          <w:szCs w:val="20"/>
          <w:lang w:eastAsia="zh-CN"/>
        </w:rPr>
      </w:pPr>
    </w:p>
    <w:p w14:paraId="68475124" w14:textId="70CAB88C" w:rsidR="000E7A5A" w:rsidRPr="00336333" w:rsidRDefault="00306071" w:rsidP="00E247FF">
      <w:pPr>
        <w:spacing w:after="0" w:line="276" w:lineRule="auto"/>
        <w:contextualSpacing/>
        <w:jc w:val="both"/>
        <w:rPr>
          <w:rFonts w:eastAsia="SimSun" w:cs="Arial"/>
          <w:szCs w:val="20"/>
          <w:lang w:eastAsia="zh-CN"/>
        </w:rPr>
      </w:pPr>
      <w:r w:rsidRPr="00336333">
        <w:rPr>
          <w:rFonts w:eastAsia="SimSun" w:cs="Arial"/>
          <w:szCs w:val="20"/>
          <w:lang w:eastAsia="zh-CN"/>
        </w:rPr>
        <w:t xml:space="preserve">Začetek izvajanja ukrepov na PN je načrtovan v letih 2025 in 2026 in poteka skladno s predvidenim terminskim načrtom. </w:t>
      </w:r>
    </w:p>
    <w:p w14:paraId="1D2078EA" w14:textId="77777777" w:rsidR="000E7A5A" w:rsidRPr="00057C98" w:rsidRDefault="000E7A5A" w:rsidP="00E247FF">
      <w:pPr>
        <w:spacing w:after="0" w:line="276" w:lineRule="auto"/>
        <w:contextualSpacing/>
        <w:jc w:val="both"/>
        <w:rPr>
          <w:rFonts w:eastAsia="SimSun" w:cs="Arial"/>
          <w:szCs w:val="20"/>
          <w:shd w:val="clear" w:color="auto" w:fill="FFFF00"/>
          <w:lang w:eastAsia="zh-CN"/>
        </w:rPr>
      </w:pPr>
    </w:p>
    <w:p w14:paraId="01CB6C99" w14:textId="77777777" w:rsidR="000E7A5A" w:rsidRPr="00F425EA" w:rsidRDefault="00306071" w:rsidP="00E76A87">
      <w:pPr>
        <w:pStyle w:val="Naslov3"/>
      </w:pPr>
      <w:bookmarkStart w:id="473" w:name="_Toc187739304"/>
      <w:bookmarkStart w:id="474" w:name="_Toc187740037"/>
      <w:bookmarkStart w:id="475" w:name="_Toc1271862999"/>
      <w:bookmarkStart w:id="476" w:name="_Toc434946206"/>
      <w:bookmarkStart w:id="477" w:name="_Toc1116591566"/>
      <w:bookmarkStart w:id="478" w:name="_Toc1073491055"/>
      <w:bookmarkStart w:id="479" w:name="_Toc99096460"/>
      <w:bookmarkStart w:id="480" w:name="_Toc212386582"/>
      <w:bookmarkStart w:id="481" w:name="_Toc1296599749"/>
      <w:bookmarkStart w:id="482" w:name="_Toc101621647"/>
      <w:bookmarkStart w:id="483" w:name="_Toc2100594952"/>
      <w:bookmarkStart w:id="484" w:name="_Toc654865298"/>
      <w:bookmarkStart w:id="485" w:name="_Toc246847023"/>
      <w:bookmarkStart w:id="486" w:name="_Toc439504149"/>
      <w:bookmarkStart w:id="487" w:name="_Toc2048363921"/>
      <w:bookmarkStart w:id="488" w:name="_Toc1502188699"/>
      <w:bookmarkStart w:id="489" w:name="_Toc459792651"/>
      <w:bookmarkStart w:id="490" w:name="_Toc930115176"/>
      <w:bookmarkStart w:id="491" w:name="_Toc2130071396"/>
      <w:bookmarkStart w:id="492" w:name="_Toc1482309180"/>
      <w:bookmarkStart w:id="493" w:name="_Toc1933536461"/>
      <w:bookmarkStart w:id="494" w:name="_Toc1241817767"/>
      <w:bookmarkStart w:id="495" w:name="_Toc1332800621"/>
      <w:bookmarkStart w:id="496" w:name="_Toc810587025"/>
      <w:bookmarkStart w:id="497" w:name="_Toc823553650"/>
      <w:bookmarkStart w:id="498" w:name="_Toc1536628327"/>
      <w:bookmarkStart w:id="499" w:name="_Toc1650707271"/>
      <w:bookmarkStart w:id="500" w:name="_Toc1032128692"/>
      <w:bookmarkStart w:id="501" w:name="_Toc679553600"/>
      <w:bookmarkStart w:id="502" w:name="_Toc307497988"/>
      <w:bookmarkStart w:id="503" w:name="_Toc305816299"/>
      <w:bookmarkStart w:id="504" w:name="_Toc1789433414"/>
      <w:bookmarkStart w:id="505" w:name="_Toc1459382214"/>
      <w:bookmarkStart w:id="506" w:name="_Toc1238709648"/>
      <w:bookmarkStart w:id="507" w:name="_Toc1666425667"/>
      <w:bookmarkStart w:id="508" w:name="_Toc1056521804"/>
      <w:bookmarkStart w:id="509" w:name="_Toc1316161909"/>
      <w:bookmarkStart w:id="510" w:name="_Toc485484781"/>
      <w:bookmarkStart w:id="511" w:name="_Toc850939643"/>
      <w:bookmarkStart w:id="512" w:name="_Toc1861950756"/>
      <w:bookmarkStart w:id="513" w:name="_Toc1199442695"/>
      <w:bookmarkStart w:id="514" w:name="_Toc1695379714"/>
      <w:bookmarkStart w:id="515" w:name="_Toc1890392691"/>
      <w:bookmarkStart w:id="516" w:name="_Toc933782778"/>
      <w:bookmarkStart w:id="517" w:name="_Toc709683402"/>
      <w:bookmarkStart w:id="518" w:name="_Toc2071206531"/>
      <w:bookmarkStart w:id="519" w:name="_Toc1811454400"/>
      <w:bookmarkStart w:id="520" w:name="_Toc1453567109"/>
      <w:bookmarkStart w:id="521" w:name="_Toc1219928813"/>
      <w:bookmarkStart w:id="522" w:name="_Toc1263573906"/>
      <w:bookmarkStart w:id="523" w:name="_Toc595373350"/>
      <w:bookmarkStart w:id="524" w:name="_Toc1509734674"/>
      <w:bookmarkStart w:id="525" w:name="_Toc1047027207"/>
      <w:bookmarkStart w:id="526" w:name="_Toc570577458"/>
      <w:bookmarkStart w:id="527" w:name="_Toc323891840"/>
      <w:bookmarkStart w:id="528" w:name="_Toc1207692530"/>
      <w:bookmarkStart w:id="529" w:name="_Toc871110924"/>
      <w:bookmarkStart w:id="530" w:name="_Toc1868861781"/>
      <w:bookmarkStart w:id="531" w:name="_Toc185663057"/>
      <w:bookmarkStart w:id="532" w:name="_Toc691928920"/>
      <w:bookmarkStart w:id="533" w:name="_Toc621903536"/>
      <w:bookmarkStart w:id="534" w:name="_Toc353122173"/>
      <w:bookmarkStart w:id="535" w:name="_Toc1303978892"/>
      <w:bookmarkStart w:id="536" w:name="_Toc689009920"/>
      <w:bookmarkStart w:id="537" w:name="_Toc1211755625"/>
      <w:bookmarkStart w:id="538" w:name="_Toc2031358120"/>
      <w:bookmarkStart w:id="539" w:name="_Toc163574028"/>
      <w:bookmarkStart w:id="540" w:name="_Toc22296891"/>
      <w:bookmarkStart w:id="541" w:name="_Toc1813321097"/>
      <w:bookmarkStart w:id="542" w:name="_Toc2031126993"/>
      <w:bookmarkStart w:id="543" w:name="_Toc782133786"/>
      <w:bookmarkStart w:id="544" w:name="_Toc1041024714"/>
      <w:bookmarkStart w:id="545" w:name="_Toc1280040244"/>
      <w:bookmarkStart w:id="546" w:name="_Toc1202823076"/>
      <w:bookmarkStart w:id="547" w:name="_Toc1976371503"/>
      <w:bookmarkStart w:id="548" w:name="_Toc678464957"/>
      <w:bookmarkStart w:id="549" w:name="_Toc1523089597"/>
      <w:bookmarkStart w:id="550" w:name="_Toc1468768636"/>
      <w:bookmarkStart w:id="551" w:name="_Toc200694942"/>
      <w:bookmarkStart w:id="552" w:name="_Toc2021463348"/>
      <w:bookmarkStart w:id="553" w:name="_Toc449868777"/>
      <w:bookmarkStart w:id="554" w:name="_Toc1523875569"/>
      <w:bookmarkStart w:id="555" w:name="_Toc1836921567"/>
      <w:bookmarkStart w:id="556" w:name="_Toc1339542654"/>
      <w:bookmarkStart w:id="557" w:name="_Toc106775928"/>
      <w:bookmarkStart w:id="558" w:name="_Toc1293900852"/>
      <w:bookmarkStart w:id="559" w:name="_Toc192681984"/>
      <w:r w:rsidRPr="00F425EA">
        <w:t>2.1.3</w:t>
      </w:r>
      <w:r w:rsidRPr="00F425EA">
        <w:tab/>
        <w:t>PN 3: Zelena preobrazba za podnebno nevtralnost</w:t>
      </w:r>
      <w:bookmarkEnd w:id="473"/>
      <w:bookmarkEnd w:id="474"/>
      <w:bookmarkEnd w:id="559"/>
      <w:r w:rsidRPr="00F425EA">
        <w:tab/>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p w14:paraId="6B6EA4BA" w14:textId="77777777" w:rsidR="000E7A5A" w:rsidRPr="00332FE8" w:rsidRDefault="000E7A5A" w:rsidP="00E247FF">
      <w:pPr>
        <w:spacing w:after="0" w:line="276" w:lineRule="auto"/>
        <w:contextualSpacing/>
        <w:jc w:val="both"/>
        <w:rPr>
          <w:rFonts w:eastAsia="SimSun" w:cs="Arial"/>
          <w:szCs w:val="20"/>
          <w:lang w:eastAsia="zh-CN"/>
        </w:rPr>
      </w:pPr>
    </w:p>
    <w:p w14:paraId="0EB25CB3" w14:textId="77777777" w:rsidR="000E7A5A" w:rsidRPr="00F425EA" w:rsidRDefault="00306071" w:rsidP="005F66E4">
      <w:pPr>
        <w:pStyle w:val="Naslov4"/>
        <w:spacing w:before="0"/>
        <w:rPr>
          <w:lang w:eastAsia="zh-CN"/>
        </w:rPr>
      </w:pPr>
      <w:bookmarkStart w:id="560" w:name="_Toc187739305"/>
      <w:bookmarkStart w:id="561" w:name="_Toc187740038"/>
      <w:r w:rsidRPr="00F425EA">
        <w:rPr>
          <w:lang w:eastAsia="zh-CN"/>
        </w:rPr>
        <w:t>2.1.3.1 Specifični cilj: RSO2.1. Spodbujanje energijske učinkovitosti in zmanjševanje emisij toplogrednih plinov (Kohezijski sklad)</w:t>
      </w:r>
      <w:bookmarkEnd w:id="560"/>
      <w:bookmarkEnd w:id="561"/>
    </w:p>
    <w:p w14:paraId="6B9AEC82" w14:textId="77777777" w:rsidR="000E7A5A" w:rsidRPr="00057C98" w:rsidRDefault="000E7A5A" w:rsidP="00E247FF">
      <w:pPr>
        <w:spacing w:after="0" w:line="276" w:lineRule="auto"/>
        <w:contextualSpacing/>
        <w:jc w:val="both"/>
        <w:rPr>
          <w:rFonts w:eastAsia="SimSun" w:cs="Arial"/>
          <w:color w:val="0070C0"/>
          <w:szCs w:val="20"/>
          <w:lang w:eastAsia="zh-CN"/>
        </w:rPr>
      </w:pPr>
    </w:p>
    <w:p w14:paraId="31701AE2" w14:textId="77777777" w:rsidR="000E7A5A" w:rsidRPr="00336333" w:rsidRDefault="00306071" w:rsidP="00E247FF">
      <w:pPr>
        <w:spacing w:after="0" w:line="276" w:lineRule="auto"/>
        <w:contextualSpacing/>
        <w:jc w:val="both"/>
        <w:rPr>
          <w:rFonts w:eastAsia="SimSun" w:cs="Arial"/>
          <w:szCs w:val="20"/>
          <w:lang w:eastAsia="zh-CN"/>
        </w:rPr>
      </w:pPr>
      <w:r w:rsidRPr="00336333">
        <w:rPr>
          <w:rFonts w:eastAsia="SimSun" w:cs="Arial"/>
          <w:szCs w:val="20"/>
          <w:lang w:eastAsia="zh-CN"/>
        </w:rPr>
        <w:t xml:space="preserve">Specifični cilj je namenjen izboljšanju energetske učinkovitosti in povečanju izkoriščanja OVE v stavbah. V okviru zasledovanja cilja izboljšanja energetske učinkovitosti je poseben poudarek namenjen gospodarstvu. </w:t>
      </w:r>
    </w:p>
    <w:p w14:paraId="34C41A0F" w14:textId="77777777" w:rsidR="000E7A5A" w:rsidRPr="00336333" w:rsidRDefault="000E7A5A" w:rsidP="00E247FF">
      <w:pPr>
        <w:spacing w:after="0" w:line="276" w:lineRule="auto"/>
        <w:contextualSpacing/>
        <w:jc w:val="both"/>
        <w:rPr>
          <w:rFonts w:eastAsia="SimSun" w:cs="Arial"/>
          <w:szCs w:val="20"/>
          <w:lang w:eastAsia="zh-CN"/>
        </w:rPr>
      </w:pPr>
    </w:p>
    <w:p w14:paraId="0FC842E8" w14:textId="453BBB5F" w:rsidR="006477ED" w:rsidRPr="00336333" w:rsidRDefault="00306071" w:rsidP="00E247FF">
      <w:pPr>
        <w:spacing w:after="0" w:line="276" w:lineRule="auto"/>
        <w:contextualSpacing/>
        <w:jc w:val="both"/>
        <w:rPr>
          <w:rFonts w:eastAsia="SimSun" w:cs="Arial"/>
          <w:szCs w:val="20"/>
          <w:lang w:eastAsia="zh-CN"/>
        </w:rPr>
      </w:pPr>
      <w:r w:rsidRPr="00336333">
        <w:rPr>
          <w:rFonts w:eastAsia="SimSun" w:cs="Arial"/>
          <w:szCs w:val="20"/>
          <w:lang w:eastAsia="zh-CN"/>
        </w:rPr>
        <w:t>Ukrepi so o</w:t>
      </w:r>
      <w:r w:rsidR="006477ED">
        <w:rPr>
          <w:rFonts w:eastAsia="SimSun" w:cs="Arial"/>
          <w:szCs w:val="20"/>
          <w:lang w:eastAsia="zh-CN"/>
        </w:rPr>
        <w:t>s</w:t>
      </w:r>
      <w:r w:rsidRPr="00336333">
        <w:rPr>
          <w:rFonts w:eastAsia="SimSun" w:cs="Arial"/>
          <w:szCs w:val="20"/>
          <w:lang w:eastAsia="zh-CN"/>
        </w:rPr>
        <w:t>redotočeni na:</w:t>
      </w:r>
    </w:p>
    <w:p w14:paraId="444FB747" w14:textId="77777777" w:rsidR="000E7A5A" w:rsidRPr="00336333" w:rsidRDefault="00306071" w:rsidP="00E247FF">
      <w:pPr>
        <w:numPr>
          <w:ilvl w:val="1"/>
          <w:numId w:val="15"/>
        </w:numPr>
        <w:spacing w:after="0" w:line="276" w:lineRule="auto"/>
        <w:ind w:left="709"/>
        <w:contextualSpacing/>
        <w:jc w:val="both"/>
        <w:rPr>
          <w:rFonts w:eastAsia="SimSun" w:cs="Arial"/>
          <w:i/>
          <w:iCs/>
          <w:szCs w:val="20"/>
          <w:u w:val="single"/>
          <w:lang w:eastAsia="zh-CN"/>
        </w:rPr>
      </w:pPr>
      <w:r w:rsidRPr="00336333">
        <w:rPr>
          <w:rFonts w:eastAsia="SimSun" w:cs="Arial"/>
          <w:i/>
          <w:iCs/>
          <w:szCs w:val="20"/>
          <w:u w:val="single"/>
          <w:lang w:eastAsia="zh-CN"/>
        </w:rPr>
        <w:t>energetsko prenovo stavb (tudi javnih) z upoštevanjem trajnostne gradnje ter naprednim upravljanjem sistemov v in na stavbah (tudi javnih);</w:t>
      </w:r>
    </w:p>
    <w:p w14:paraId="72C82939" w14:textId="32E3D0DB" w:rsidR="000E7A5A" w:rsidRPr="00336333" w:rsidRDefault="00306071" w:rsidP="00E247FF">
      <w:pPr>
        <w:numPr>
          <w:ilvl w:val="1"/>
          <w:numId w:val="15"/>
        </w:numPr>
        <w:spacing w:after="0" w:line="276" w:lineRule="auto"/>
        <w:ind w:left="709"/>
        <w:contextualSpacing/>
        <w:jc w:val="both"/>
        <w:rPr>
          <w:rFonts w:eastAsia="SimSun" w:cs="Arial"/>
          <w:i/>
          <w:iCs/>
          <w:szCs w:val="20"/>
          <w:u w:val="single"/>
          <w:lang w:eastAsia="zh-CN"/>
        </w:rPr>
      </w:pPr>
      <w:r w:rsidRPr="00336333">
        <w:rPr>
          <w:rFonts w:eastAsia="SimSun" w:cs="Arial"/>
          <w:i/>
          <w:iCs/>
          <w:szCs w:val="20"/>
          <w:u w:val="single"/>
          <w:lang w:eastAsia="zh-CN"/>
        </w:rPr>
        <w:t>celovito energetsko prenovo stavb javnega sektorja.</w:t>
      </w:r>
    </w:p>
    <w:p w14:paraId="03E25CF5" w14:textId="77777777" w:rsidR="000E7A5A" w:rsidRPr="00057C98" w:rsidRDefault="000E7A5A" w:rsidP="00E247FF">
      <w:pPr>
        <w:spacing w:after="0" w:line="276" w:lineRule="auto"/>
        <w:contextualSpacing/>
        <w:jc w:val="both"/>
        <w:rPr>
          <w:rFonts w:eastAsia="SimSun" w:cs="Arial"/>
          <w:i/>
          <w:iCs/>
          <w:szCs w:val="20"/>
          <w:u w:val="single"/>
          <w:lang w:eastAsia="zh-CN"/>
        </w:rPr>
      </w:pPr>
    </w:p>
    <w:p w14:paraId="1E14D030" w14:textId="77777777" w:rsidR="000E7A5A" w:rsidRPr="00F425EA" w:rsidRDefault="00306071" w:rsidP="005F66E4">
      <w:pPr>
        <w:pStyle w:val="Naslov4"/>
        <w:spacing w:before="0"/>
        <w:rPr>
          <w:lang w:eastAsia="zh-CN"/>
        </w:rPr>
      </w:pPr>
      <w:bookmarkStart w:id="562" w:name="_Toc187739306"/>
      <w:bookmarkStart w:id="563" w:name="_Toc187740039"/>
      <w:r w:rsidRPr="00F425EA">
        <w:rPr>
          <w:lang w:eastAsia="zh-CN"/>
        </w:rPr>
        <w:t>2.1.3.2 Specifični cilj: RSO2.1. Spodbujanje energijske učinkovitosti in zmanjševanje emisij toplogrednih plinov (ESRR)</w:t>
      </w:r>
      <w:bookmarkEnd w:id="562"/>
      <w:bookmarkEnd w:id="563"/>
    </w:p>
    <w:p w14:paraId="1F838939" w14:textId="77777777" w:rsidR="000E7A5A" w:rsidRPr="00057C98" w:rsidRDefault="000E7A5A" w:rsidP="00E247FF">
      <w:pPr>
        <w:spacing w:after="0" w:line="276" w:lineRule="auto"/>
        <w:contextualSpacing/>
        <w:jc w:val="both"/>
        <w:rPr>
          <w:rFonts w:eastAsia="SimSun" w:cs="Arial"/>
          <w:color w:val="0070C0"/>
          <w:szCs w:val="20"/>
          <w:lang w:eastAsia="zh-CN"/>
        </w:rPr>
      </w:pPr>
    </w:p>
    <w:p w14:paraId="143403A3" w14:textId="77777777" w:rsidR="000E7A5A" w:rsidRPr="00336333" w:rsidRDefault="00306071" w:rsidP="00E247FF">
      <w:pPr>
        <w:spacing w:after="0" w:line="276" w:lineRule="auto"/>
        <w:contextualSpacing/>
        <w:jc w:val="both"/>
        <w:rPr>
          <w:rFonts w:eastAsia="SimSun" w:cs="Arial"/>
          <w:szCs w:val="20"/>
          <w:lang w:eastAsia="zh-CN"/>
        </w:rPr>
      </w:pPr>
      <w:r w:rsidRPr="00336333">
        <w:rPr>
          <w:rFonts w:eastAsia="SimSun" w:cs="Arial"/>
          <w:szCs w:val="20"/>
          <w:lang w:eastAsia="zh-CN"/>
        </w:rPr>
        <w:t xml:space="preserve">Specifični cilj je namenjen izboljšanju energetske učinkovitosti in povečanju izkoriščanja OVE v stavbah. V okviru zasledovanja cilja izboljšanja energetske učinkovitosti bo poseben poudarek namenjen gospodarstvu. </w:t>
      </w:r>
    </w:p>
    <w:p w14:paraId="2A7C32F9" w14:textId="77777777" w:rsidR="000E7A5A" w:rsidRPr="00336333" w:rsidRDefault="000E7A5A" w:rsidP="00E247FF">
      <w:pPr>
        <w:spacing w:after="0" w:line="276" w:lineRule="auto"/>
        <w:contextualSpacing/>
        <w:jc w:val="both"/>
        <w:rPr>
          <w:rFonts w:eastAsia="SimSun" w:cs="Arial"/>
          <w:szCs w:val="20"/>
          <w:lang w:eastAsia="zh-CN"/>
        </w:rPr>
      </w:pPr>
    </w:p>
    <w:p w14:paraId="79BC3B1E" w14:textId="77777777" w:rsidR="000E7A5A" w:rsidRDefault="00306071" w:rsidP="00E247FF">
      <w:pPr>
        <w:spacing w:after="0" w:line="276" w:lineRule="auto"/>
        <w:contextualSpacing/>
        <w:jc w:val="both"/>
        <w:rPr>
          <w:rFonts w:eastAsia="SimSun" w:cs="Arial"/>
          <w:szCs w:val="20"/>
          <w:lang w:eastAsia="zh-CN"/>
        </w:rPr>
      </w:pPr>
      <w:r w:rsidRPr="00336333">
        <w:rPr>
          <w:rFonts w:eastAsia="SimSun" w:cs="Arial"/>
          <w:szCs w:val="20"/>
          <w:lang w:eastAsia="zh-CN"/>
        </w:rPr>
        <w:t>Ukrepi so osredotočeni na:</w:t>
      </w:r>
    </w:p>
    <w:p w14:paraId="0471F559" w14:textId="77777777" w:rsidR="006477ED" w:rsidRPr="00336333" w:rsidRDefault="006477ED" w:rsidP="00E247FF">
      <w:pPr>
        <w:spacing w:after="0" w:line="276" w:lineRule="auto"/>
        <w:contextualSpacing/>
        <w:jc w:val="both"/>
        <w:rPr>
          <w:rFonts w:eastAsia="SimSun" w:cs="Arial"/>
          <w:szCs w:val="20"/>
          <w:lang w:eastAsia="zh-CN"/>
        </w:rPr>
      </w:pPr>
    </w:p>
    <w:p w14:paraId="4534E4BC" w14:textId="77777777" w:rsidR="000E7A5A" w:rsidRPr="00336333" w:rsidRDefault="00306071" w:rsidP="00E247FF">
      <w:pPr>
        <w:numPr>
          <w:ilvl w:val="1"/>
          <w:numId w:val="15"/>
        </w:numPr>
        <w:spacing w:after="0" w:line="276" w:lineRule="auto"/>
        <w:ind w:left="709"/>
        <w:contextualSpacing/>
        <w:jc w:val="both"/>
        <w:rPr>
          <w:rFonts w:cs="Arial"/>
          <w:szCs w:val="20"/>
        </w:rPr>
      </w:pPr>
      <w:r w:rsidRPr="00336333">
        <w:rPr>
          <w:rFonts w:eastAsia="SimSun" w:cs="Arial"/>
          <w:i/>
          <w:iCs/>
          <w:szCs w:val="20"/>
          <w:u w:val="single"/>
          <w:lang w:eastAsia="zh-CN"/>
        </w:rPr>
        <w:lastRenderedPageBreak/>
        <w:t>energetsko prenovo stavb (tudi javnih) z upoštevanjem trajnostne gradnje ter naprednim upravljanjem sistemov v in na stavbah (tudi javnih)</w:t>
      </w:r>
      <w:r w:rsidRPr="00336333">
        <w:rPr>
          <w:rFonts w:eastAsia="SimSun" w:cs="Arial"/>
          <w:szCs w:val="20"/>
          <w:lang w:eastAsia="zh-CN"/>
        </w:rPr>
        <w:t>;</w:t>
      </w:r>
    </w:p>
    <w:p w14:paraId="1937DD6F" w14:textId="77777777" w:rsidR="000E7A5A" w:rsidRPr="00336333" w:rsidRDefault="00306071" w:rsidP="00E247FF">
      <w:pPr>
        <w:numPr>
          <w:ilvl w:val="1"/>
          <w:numId w:val="15"/>
        </w:numPr>
        <w:spacing w:after="0" w:line="276" w:lineRule="auto"/>
        <w:ind w:left="709"/>
        <w:contextualSpacing/>
        <w:jc w:val="both"/>
        <w:rPr>
          <w:rFonts w:cs="Arial"/>
          <w:szCs w:val="20"/>
        </w:rPr>
      </w:pPr>
      <w:r w:rsidRPr="00336333">
        <w:rPr>
          <w:rFonts w:eastAsia="SimSun" w:cs="Arial"/>
          <w:i/>
          <w:iCs/>
          <w:szCs w:val="20"/>
          <w:u w:val="single"/>
          <w:lang w:eastAsia="zh-CN"/>
        </w:rPr>
        <w:t>celovito energetsko prenovo stavb zasebnega storitvenega sektorja</w:t>
      </w:r>
      <w:r w:rsidRPr="00336333">
        <w:rPr>
          <w:rFonts w:eastAsia="SimSun" w:cs="Arial"/>
          <w:szCs w:val="20"/>
          <w:lang w:eastAsia="zh-CN"/>
        </w:rPr>
        <w:t>;</w:t>
      </w:r>
    </w:p>
    <w:p w14:paraId="0F36BCB3" w14:textId="77777777" w:rsidR="000E7A5A" w:rsidRPr="00336333" w:rsidRDefault="00306071" w:rsidP="00E247FF">
      <w:pPr>
        <w:numPr>
          <w:ilvl w:val="1"/>
          <w:numId w:val="15"/>
        </w:numPr>
        <w:spacing w:after="0" w:line="276" w:lineRule="auto"/>
        <w:ind w:left="709"/>
        <w:contextualSpacing/>
        <w:jc w:val="both"/>
        <w:rPr>
          <w:rFonts w:cs="Arial"/>
          <w:szCs w:val="20"/>
        </w:rPr>
      </w:pPr>
      <w:r w:rsidRPr="00336333">
        <w:rPr>
          <w:rFonts w:eastAsia="SimSun" w:cs="Arial"/>
          <w:i/>
          <w:iCs/>
          <w:szCs w:val="20"/>
          <w:u w:val="single"/>
          <w:lang w:eastAsia="zh-CN"/>
        </w:rPr>
        <w:t>spodbujanje energetske prenove zasebnih večstanovanjskih stavb</w:t>
      </w:r>
      <w:r w:rsidRPr="00336333">
        <w:rPr>
          <w:rFonts w:eastAsia="SimSun" w:cs="Arial"/>
          <w:szCs w:val="20"/>
          <w:lang w:eastAsia="zh-CN"/>
        </w:rPr>
        <w:t>;</w:t>
      </w:r>
    </w:p>
    <w:p w14:paraId="41F1DC8B" w14:textId="77777777" w:rsidR="000E7A5A" w:rsidRPr="00336333" w:rsidRDefault="00306071" w:rsidP="00E247FF">
      <w:pPr>
        <w:numPr>
          <w:ilvl w:val="1"/>
          <w:numId w:val="15"/>
        </w:numPr>
        <w:spacing w:after="0" w:line="276" w:lineRule="auto"/>
        <w:ind w:left="709"/>
        <w:contextualSpacing/>
        <w:jc w:val="both"/>
        <w:rPr>
          <w:rFonts w:cs="Arial"/>
          <w:szCs w:val="20"/>
        </w:rPr>
      </w:pPr>
      <w:r w:rsidRPr="00336333">
        <w:rPr>
          <w:rFonts w:eastAsia="SimSun" w:cs="Arial"/>
          <w:i/>
          <w:iCs/>
          <w:szCs w:val="20"/>
          <w:u w:val="single"/>
          <w:lang w:eastAsia="zh-CN"/>
        </w:rPr>
        <w:t>ozaveščanje socialno ranljivih skupin in omogočanje njihovega dostopa do nepovratnih sredstev ter zmanjšanja energetske revščine</w:t>
      </w:r>
      <w:r w:rsidRPr="00336333">
        <w:rPr>
          <w:rFonts w:eastAsia="SimSun" w:cs="Arial"/>
          <w:szCs w:val="20"/>
          <w:lang w:eastAsia="zh-CN"/>
        </w:rPr>
        <w:t>.</w:t>
      </w:r>
    </w:p>
    <w:p w14:paraId="71367E81" w14:textId="77777777" w:rsidR="000E7A5A" w:rsidRPr="00057C98" w:rsidRDefault="000E7A5A" w:rsidP="00E247FF">
      <w:pPr>
        <w:spacing w:after="0" w:line="276" w:lineRule="auto"/>
        <w:contextualSpacing/>
        <w:jc w:val="both"/>
        <w:rPr>
          <w:rFonts w:eastAsia="SimSun" w:cs="Arial"/>
          <w:szCs w:val="20"/>
          <w:lang w:eastAsia="zh-CN"/>
        </w:rPr>
      </w:pPr>
    </w:p>
    <w:p w14:paraId="52A01B5D" w14:textId="77777777" w:rsidR="000E7A5A" w:rsidRPr="00F425EA" w:rsidRDefault="00306071" w:rsidP="005F66E4">
      <w:pPr>
        <w:pStyle w:val="Naslov4"/>
        <w:spacing w:before="0"/>
        <w:rPr>
          <w:lang w:eastAsia="zh-CN"/>
        </w:rPr>
      </w:pPr>
      <w:bookmarkStart w:id="564" w:name="_Toc187739307"/>
      <w:bookmarkStart w:id="565" w:name="_Toc187740040"/>
      <w:r w:rsidRPr="00F425EA">
        <w:rPr>
          <w:lang w:eastAsia="zh-CN"/>
        </w:rPr>
        <w:t>2.1.3.3 Specifični cilj: RSO2.2. Spodbujanje energije iz obnovljivih virov v skladu z Direktivo (EU) 2018/2001 o spodbujanju uporabe energije iz obnovljivih virov, vključno s trajnostnimi merili, določenimi v Direktivi (Kohezijski sklad)</w:t>
      </w:r>
      <w:bookmarkEnd w:id="564"/>
      <w:bookmarkEnd w:id="565"/>
    </w:p>
    <w:p w14:paraId="6346AC67" w14:textId="77777777" w:rsidR="000E7A5A" w:rsidRPr="00057C98" w:rsidRDefault="000E7A5A" w:rsidP="00E247FF">
      <w:pPr>
        <w:spacing w:after="0" w:line="276" w:lineRule="auto"/>
        <w:contextualSpacing/>
        <w:jc w:val="both"/>
        <w:rPr>
          <w:rFonts w:eastAsia="SimSun" w:cs="Arial"/>
          <w:color w:val="0070C0"/>
          <w:szCs w:val="20"/>
          <w:lang w:eastAsia="zh-CN"/>
        </w:rPr>
      </w:pPr>
    </w:p>
    <w:p w14:paraId="2950E1A8" w14:textId="77777777" w:rsidR="000E7A5A" w:rsidRDefault="00306071" w:rsidP="00E247FF">
      <w:pPr>
        <w:spacing w:after="0" w:line="276" w:lineRule="auto"/>
        <w:contextualSpacing/>
        <w:jc w:val="both"/>
        <w:rPr>
          <w:rFonts w:eastAsia="SimSun" w:cs="Arial"/>
          <w:szCs w:val="20"/>
          <w:lang w:eastAsia="zh-CN"/>
        </w:rPr>
      </w:pPr>
      <w:r w:rsidRPr="00336333">
        <w:rPr>
          <w:rFonts w:eastAsia="SimSun" w:cs="Arial"/>
          <w:szCs w:val="20"/>
          <w:lang w:eastAsia="zh-CN"/>
        </w:rPr>
        <w:t>Specifični cilj je namenjen spodbujanju vlaganj na področju rabe OVE z namenom doseganja ciljev SRS 2030 in NEPN. Spodbujanje pridobivanja energije iz OVE v skladu z Direktivo (EU) 2018/2001 o spodbujanju uporabe energije iz obnovljivih virov, vključno s trajnostnimi merili, je eden ključnih korakov k podnebno nevtralni Sloveniji do leta 2050.</w:t>
      </w:r>
    </w:p>
    <w:p w14:paraId="3AB35FFC" w14:textId="77777777" w:rsidR="006477ED" w:rsidRPr="00336333" w:rsidRDefault="006477ED" w:rsidP="00E247FF">
      <w:pPr>
        <w:spacing w:after="0" w:line="276" w:lineRule="auto"/>
        <w:contextualSpacing/>
        <w:jc w:val="both"/>
        <w:rPr>
          <w:rFonts w:eastAsia="SimSun" w:cs="Arial"/>
          <w:szCs w:val="20"/>
          <w:lang w:eastAsia="zh-CN"/>
        </w:rPr>
      </w:pPr>
    </w:p>
    <w:p w14:paraId="642CEE7D" w14:textId="3F90A933" w:rsidR="006477ED" w:rsidRPr="00336333" w:rsidRDefault="00306071" w:rsidP="00E247FF">
      <w:pPr>
        <w:spacing w:after="0" w:line="276" w:lineRule="auto"/>
        <w:contextualSpacing/>
        <w:jc w:val="both"/>
        <w:rPr>
          <w:rFonts w:eastAsia="SimSun" w:cs="Arial"/>
          <w:szCs w:val="20"/>
          <w:lang w:eastAsia="zh-CN"/>
        </w:rPr>
      </w:pPr>
      <w:r w:rsidRPr="00336333">
        <w:rPr>
          <w:rFonts w:eastAsia="SimSun" w:cs="Arial"/>
          <w:szCs w:val="20"/>
          <w:lang w:eastAsia="zh-CN"/>
        </w:rPr>
        <w:t>Ukrep je osredotočen na:</w:t>
      </w:r>
    </w:p>
    <w:p w14:paraId="4E3D62BD" w14:textId="77777777" w:rsidR="000E7A5A" w:rsidRPr="00336333" w:rsidRDefault="00306071" w:rsidP="00E247FF">
      <w:pPr>
        <w:numPr>
          <w:ilvl w:val="1"/>
          <w:numId w:val="15"/>
        </w:numPr>
        <w:spacing w:after="0" w:line="276" w:lineRule="auto"/>
        <w:ind w:left="709"/>
        <w:contextualSpacing/>
        <w:jc w:val="both"/>
        <w:rPr>
          <w:rFonts w:cs="Arial"/>
          <w:szCs w:val="20"/>
        </w:rPr>
      </w:pPr>
      <w:r w:rsidRPr="00336333">
        <w:rPr>
          <w:rFonts w:eastAsia="SimSun" w:cs="Arial"/>
          <w:i/>
          <w:iCs/>
          <w:szCs w:val="20"/>
          <w:u w:val="single"/>
          <w:lang w:eastAsia="zh-CN"/>
        </w:rPr>
        <w:t>spodbujanje novih daljinskih sistemov na OVE (ogrevanje in hlajenje)</w:t>
      </w:r>
      <w:r w:rsidRPr="00336333">
        <w:rPr>
          <w:rFonts w:eastAsia="SimSun" w:cs="Arial"/>
          <w:szCs w:val="20"/>
          <w:lang w:eastAsia="zh-CN"/>
        </w:rPr>
        <w:t>.</w:t>
      </w:r>
    </w:p>
    <w:p w14:paraId="724018A5" w14:textId="77777777" w:rsidR="000E7A5A" w:rsidRPr="00F425EA" w:rsidRDefault="000E7A5A" w:rsidP="00E247FF">
      <w:pPr>
        <w:spacing w:after="0" w:line="276" w:lineRule="auto"/>
        <w:contextualSpacing/>
        <w:jc w:val="both"/>
        <w:rPr>
          <w:rFonts w:eastAsia="SimSun" w:cs="Arial"/>
          <w:sz w:val="22"/>
          <w:szCs w:val="22"/>
          <w:lang w:eastAsia="zh-CN"/>
        </w:rPr>
      </w:pPr>
    </w:p>
    <w:p w14:paraId="1FFE663B" w14:textId="77777777" w:rsidR="000E7A5A" w:rsidRPr="00F425EA" w:rsidRDefault="00306071" w:rsidP="005F66E4">
      <w:pPr>
        <w:pStyle w:val="Naslov4"/>
        <w:spacing w:before="0"/>
        <w:rPr>
          <w:lang w:eastAsia="zh-CN"/>
        </w:rPr>
      </w:pPr>
      <w:bookmarkStart w:id="566" w:name="_Toc187739308"/>
      <w:bookmarkStart w:id="567" w:name="_Toc187740041"/>
      <w:r w:rsidRPr="00F425EA">
        <w:rPr>
          <w:lang w:eastAsia="zh-CN"/>
        </w:rPr>
        <w:t>2.1.3.4 Specifični cilj: RSO2.2. Spodbujanje energije iz obnovljivih virov v skladu z Direktivo (EU) 2018/2001 o spodbujanju uporabe energije iz obnovljivih virov, vključno s trajnostnimi merili, določenimi v Direktivi (ESRR)</w:t>
      </w:r>
      <w:bookmarkEnd w:id="566"/>
      <w:bookmarkEnd w:id="567"/>
    </w:p>
    <w:p w14:paraId="7DA4BBAC" w14:textId="77777777" w:rsidR="000E7A5A" w:rsidRPr="00336333" w:rsidRDefault="000E7A5A" w:rsidP="00E247FF">
      <w:pPr>
        <w:spacing w:after="0" w:line="276" w:lineRule="auto"/>
        <w:contextualSpacing/>
        <w:jc w:val="both"/>
        <w:rPr>
          <w:rFonts w:eastAsia="SimSun" w:cs="Arial"/>
          <w:color w:val="0070C0"/>
          <w:szCs w:val="20"/>
          <w:lang w:eastAsia="zh-CN"/>
        </w:rPr>
      </w:pPr>
    </w:p>
    <w:p w14:paraId="33C0B84F" w14:textId="77777777" w:rsidR="000E7A5A" w:rsidRPr="00336333" w:rsidRDefault="00306071" w:rsidP="00E247FF">
      <w:pPr>
        <w:spacing w:after="0" w:line="276" w:lineRule="auto"/>
        <w:contextualSpacing/>
        <w:jc w:val="both"/>
        <w:rPr>
          <w:rFonts w:eastAsia="SimSun" w:cs="Arial"/>
          <w:szCs w:val="20"/>
          <w:lang w:eastAsia="zh-CN"/>
        </w:rPr>
      </w:pPr>
      <w:r w:rsidRPr="00336333">
        <w:rPr>
          <w:rFonts w:eastAsia="SimSun" w:cs="Arial"/>
          <w:szCs w:val="20"/>
          <w:lang w:eastAsia="zh-CN"/>
        </w:rPr>
        <w:t>Specifični cilj je namenjen spodbujanju pridobivanja energije iz OVE v skladu z Direktivo (EU) 2018/2001 o spodbujanju uporabe energije iz obnovljivih virov, vključno s trajnostnimi merili, ki je eden ključnih korakov k podnebno nevtralni Sloveniji do leta 2050.</w:t>
      </w:r>
    </w:p>
    <w:p w14:paraId="036B8E3D" w14:textId="77777777" w:rsidR="000E7A5A" w:rsidRPr="00336333" w:rsidRDefault="000E7A5A" w:rsidP="00E247FF">
      <w:pPr>
        <w:spacing w:after="0" w:line="276" w:lineRule="auto"/>
        <w:contextualSpacing/>
        <w:jc w:val="both"/>
        <w:rPr>
          <w:rFonts w:eastAsia="SimSun" w:cs="Arial"/>
          <w:szCs w:val="20"/>
          <w:lang w:eastAsia="zh-CN"/>
        </w:rPr>
      </w:pPr>
    </w:p>
    <w:p w14:paraId="0E959ACA" w14:textId="2BB7DF2C" w:rsidR="006477ED" w:rsidRPr="00336333" w:rsidRDefault="00306071" w:rsidP="00E247FF">
      <w:pPr>
        <w:spacing w:after="0" w:line="276" w:lineRule="auto"/>
        <w:contextualSpacing/>
        <w:jc w:val="both"/>
        <w:rPr>
          <w:rFonts w:eastAsia="SimSun" w:cs="Arial"/>
          <w:szCs w:val="20"/>
          <w:lang w:eastAsia="zh-CN"/>
        </w:rPr>
      </w:pPr>
      <w:r w:rsidRPr="00336333">
        <w:rPr>
          <w:rFonts w:eastAsia="SimSun" w:cs="Arial"/>
          <w:szCs w:val="20"/>
          <w:lang w:eastAsia="zh-CN"/>
        </w:rPr>
        <w:t>Ukrepi so usmerjeni v:</w:t>
      </w:r>
    </w:p>
    <w:p w14:paraId="36EE12EB" w14:textId="77777777" w:rsidR="000E7A5A" w:rsidRPr="00336333" w:rsidRDefault="00306071" w:rsidP="00E247FF">
      <w:pPr>
        <w:numPr>
          <w:ilvl w:val="1"/>
          <w:numId w:val="15"/>
        </w:numPr>
        <w:spacing w:after="0" w:line="276" w:lineRule="auto"/>
        <w:ind w:left="709"/>
        <w:contextualSpacing/>
        <w:jc w:val="both"/>
        <w:rPr>
          <w:rFonts w:cs="Arial"/>
          <w:szCs w:val="20"/>
        </w:rPr>
      </w:pPr>
      <w:r w:rsidRPr="00336333">
        <w:rPr>
          <w:rFonts w:eastAsia="SimSun" w:cs="Arial"/>
          <w:i/>
          <w:iCs/>
          <w:szCs w:val="20"/>
          <w:u w:val="single"/>
          <w:lang w:eastAsia="zh-CN"/>
        </w:rPr>
        <w:t>spodbujanje proizvodnje električne energije iz OVE</w:t>
      </w:r>
      <w:r w:rsidRPr="00336333">
        <w:rPr>
          <w:rFonts w:eastAsia="SimSun" w:cs="Arial"/>
          <w:szCs w:val="20"/>
          <w:lang w:eastAsia="zh-CN"/>
        </w:rPr>
        <w:t xml:space="preserve"> (potencial proizvodnje električne energije iz vetrnih elektrarnah (VE); proizvodnja električne energije v sončnih elektrarnah (SE);</w:t>
      </w:r>
    </w:p>
    <w:p w14:paraId="6D0E3D67" w14:textId="59940929" w:rsidR="000E7A5A" w:rsidRPr="00336333" w:rsidRDefault="00306071" w:rsidP="00E247FF">
      <w:pPr>
        <w:numPr>
          <w:ilvl w:val="1"/>
          <w:numId w:val="15"/>
        </w:numPr>
        <w:spacing w:after="0" w:line="276" w:lineRule="auto"/>
        <w:ind w:left="709"/>
        <w:contextualSpacing/>
        <w:jc w:val="both"/>
        <w:rPr>
          <w:rFonts w:cs="Arial"/>
          <w:szCs w:val="20"/>
        </w:rPr>
      </w:pPr>
      <w:r w:rsidRPr="00336333">
        <w:rPr>
          <w:rFonts w:eastAsia="SimSun" w:cs="Arial"/>
          <w:i/>
          <w:iCs/>
          <w:szCs w:val="20"/>
          <w:u w:val="single"/>
          <w:lang w:eastAsia="zh-CN"/>
        </w:rPr>
        <w:t>spodbujanje novih daljinskih sistemov na OVE (ogrevanje in hlajenje)</w:t>
      </w:r>
      <w:r w:rsidRPr="00336333">
        <w:rPr>
          <w:rFonts w:eastAsia="SimSun" w:cs="Arial"/>
          <w:szCs w:val="20"/>
          <w:lang w:eastAsia="zh-CN"/>
        </w:rPr>
        <w:t>.</w:t>
      </w:r>
    </w:p>
    <w:p w14:paraId="565691A7" w14:textId="77777777" w:rsidR="000E7A5A" w:rsidRPr="00F425EA" w:rsidRDefault="000E7A5A" w:rsidP="00E247FF">
      <w:pPr>
        <w:spacing w:after="0" w:line="276" w:lineRule="auto"/>
        <w:contextualSpacing/>
        <w:jc w:val="both"/>
        <w:rPr>
          <w:rFonts w:eastAsia="SimSun" w:cs="Arial"/>
          <w:sz w:val="22"/>
          <w:szCs w:val="22"/>
          <w:lang w:eastAsia="zh-CN"/>
        </w:rPr>
      </w:pPr>
    </w:p>
    <w:p w14:paraId="521E899C" w14:textId="77777777" w:rsidR="000E7A5A" w:rsidRPr="00F425EA" w:rsidRDefault="00306071" w:rsidP="005F66E4">
      <w:pPr>
        <w:pStyle w:val="Naslov4"/>
        <w:spacing w:before="0"/>
        <w:rPr>
          <w:lang w:eastAsia="zh-CN"/>
        </w:rPr>
      </w:pPr>
      <w:bookmarkStart w:id="568" w:name="_Toc187739309"/>
      <w:bookmarkStart w:id="569" w:name="_Toc187740042"/>
      <w:r w:rsidRPr="00F425EA">
        <w:rPr>
          <w:lang w:eastAsia="zh-CN"/>
        </w:rPr>
        <w:t>2.1.3.5 Specifični cilj: RSO2.3. Razvoj pametnih energetskih sistemov, omrežij in hrambe zunaj vseevropskega energetskega omrežja (TEN-E) (ESRR)</w:t>
      </w:r>
      <w:bookmarkEnd w:id="568"/>
      <w:bookmarkEnd w:id="569"/>
    </w:p>
    <w:p w14:paraId="78920C9F" w14:textId="77777777" w:rsidR="000E7A5A" w:rsidRPr="0023397C" w:rsidRDefault="000E7A5A" w:rsidP="00E247FF">
      <w:pPr>
        <w:spacing w:after="0" w:line="276" w:lineRule="auto"/>
        <w:contextualSpacing/>
        <w:jc w:val="both"/>
        <w:rPr>
          <w:rFonts w:eastAsia="SimSun" w:cs="Arial"/>
          <w:color w:val="0070C0"/>
          <w:szCs w:val="20"/>
          <w:lang w:eastAsia="zh-CN"/>
        </w:rPr>
      </w:pPr>
    </w:p>
    <w:p w14:paraId="15FB1FA2" w14:textId="77777777" w:rsidR="000E7A5A" w:rsidRPr="00336333" w:rsidRDefault="00306071" w:rsidP="00E247FF">
      <w:pPr>
        <w:spacing w:after="0" w:line="276" w:lineRule="auto"/>
        <w:contextualSpacing/>
        <w:jc w:val="both"/>
        <w:rPr>
          <w:rFonts w:eastAsia="SimSun" w:cs="Arial"/>
          <w:szCs w:val="20"/>
          <w:lang w:eastAsia="zh-CN"/>
        </w:rPr>
      </w:pPr>
      <w:r w:rsidRPr="00336333">
        <w:rPr>
          <w:rFonts w:eastAsia="SimSun" w:cs="Arial"/>
          <w:szCs w:val="20"/>
          <w:lang w:eastAsia="zh-CN"/>
        </w:rPr>
        <w:t>Specifični cilj je namenjen vlaganju v projekte, ki prispevajo k dvigu proizvodnje energije iz OVE in podpirajo energetsko samozadostnost, ter vlaganje v projekte za pretvorbo viškov električne energije iz OVE ter povezovanje omrežij za potrebe shranjevanja energije ob pretvorbi.</w:t>
      </w:r>
    </w:p>
    <w:p w14:paraId="5DF944AB" w14:textId="77777777" w:rsidR="000E7A5A" w:rsidRPr="00336333" w:rsidRDefault="000E7A5A" w:rsidP="00E247FF">
      <w:pPr>
        <w:spacing w:after="0" w:line="276" w:lineRule="auto"/>
        <w:contextualSpacing/>
        <w:jc w:val="both"/>
        <w:rPr>
          <w:rFonts w:eastAsia="SimSun" w:cs="Arial"/>
          <w:szCs w:val="20"/>
          <w:lang w:eastAsia="zh-CN"/>
        </w:rPr>
      </w:pPr>
    </w:p>
    <w:p w14:paraId="299ECA9E" w14:textId="702E9114" w:rsidR="006477ED" w:rsidRPr="00336333" w:rsidRDefault="00306071" w:rsidP="00E247FF">
      <w:pPr>
        <w:spacing w:after="0" w:line="276" w:lineRule="auto"/>
        <w:contextualSpacing/>
        <w:jc w:val="both"/>
        <w:rPr>
          <w:rFonts w:eastAsia="SimSun" w:cs="Arial"/>
          <w:szCs w:val="20"/>
          <w:lang w:eastAsia="zh-CN"/>
        </w:rPr>
      </w:pPr>
      <w:r w:rsidRPr="00336333">
        <w:rPr>
          <w:rFonts w:eastAsia="SimSun" w:cs="Arial"/>
          <w:szCs w:val="20"/>
          <w:lang w:eastAsia="zh-CN"/>
        </w:rPr>
        <w:t>Ukrepi so usmerjeni v:</w:t>
      </w:r>
    </w:p>
    <w:p w14:paraId="2367C21D" w14:textId="3285B2EE" w:rsidR="000E7A5A" w:rsidRPr="00336333" w:rsidRDefault="00306071" w:rsidP="00E247FF">
      <w:pPr>
        <w:numPr>
          <w:ilvl w:val="1"/>
          <w:numId w:val="15"/>
        </w:numPr>
        <w:spacing w:after="0" w:line="276" w:lineRule="auto"/>
        <w:ind w:left="709"/>
        <w:contextualSpacing/>
        <w:jc w:val="both"/>
        <w:rPr>
          <w:rFonts w:cs="Arial"/>
          <w:szCs w:val="20"/>
        </w:rPr>
      </w:pPr>
      <w:r w:rsidRPr="00336333">
        <w:rPr>
          <w:rFonts w:eastAsia="SimSun" w:cs="Arial"/>
          <w:i/>
          <w:iCs/>
          <w:szCs w:val="20"/>
          <w:u w:val="single"/>
          <w:lang w:eastAsia="zh-CN"/>
        </w:rPr>
        <w:t>naložbe v pospešitev novih energetskih skupnosti, pretvorbo viškov električne energije iz OVE ter za povezovanje omrežij za potrebe shranjevanja energije</w:t>
      </w:r>
      <w:r w:rsidRPr="00336333">
        <w:rPr>
          <w:rFonts w:eastAsia="SimSun" w:cs="Arial"/>
          <w:szCs w:val="20"/>
          <w:lang w:eastAsia="zh-CN"/>
        </w:rPr>
        <w:t xml:space="preserve"> (spodbujanje prvih energetskih skupnosti na področju izrabe energije iz OVE v lokalnem okolju; spodbujanje naložb in tehnologij za pretvorbo viškov energije iz OVE ter povezovanje omrežij za potrebe shranjevanja energije ob pretvorbi.</w:t>
      </w:r>
    </w:p>
    <w:p w14:paraId="5E8E9E70" w14:textId="77777777" w:rsidR="000E7A5A" w:rsidRPr="00057C98" w:rsidRDefault="000E7A5A" w:rsidP="00E247FF">
      <w:pPr>
        <w:spacing w:after="0" w:line="276" w:lineRule="auto"/>
        <w:contextualSpacing/>
        <w:jc w:val="both"/>
        <w:rPr>
          <w:rFonts w:eastAsia="SimSun" w:cs="Arial"/>
          <w:szCs w:val="20"/>
          <w:lang w:eastAsia="zh-CN"/>
        </w:rPr>
      </w:pPr>
    </w:p>
    <w:p w14:paraId="2061089B" w14:textId="77777777" w:rsidR="000E7A5A" w:rsidRPr="00F425EA" w:rsidRDefault="00306071" w:rsidP="005F66E4">
      <w:pPr>
        <w:pStyle w:val="Naslov4"/>
        <w:spacing w:before="0"/>
        <w:rPr>
          <w:lang w:eastAsia="zh-CN"/>
        </w:rPr>
      </w:pPr>
      <w:bookmarkStart w:id="570" w:name="_Toc187739310"/>
      <w:bookmarkStart w:id="571" w:name="_Toc187740043"/>
      <w:r w:rsidRPr="00F425EA">
        <w:rPr>
          <w:lang w:eastAsia="zh-CN"/>
        </w:rPr>
        <w:t>2.1.3.6 Specifični cilj: RSO2.3. Razvoj pametnih energetskih sistemov, omrežij in hrambe zunaj vseevropskega energetskega omrežja (TEN-E) (Kohezijski sklad)</w:t>
      </w:r>
      <w:bookmarkEnd w:id="570"/>
      <w:bookmarkEnd w:id="571"/>
    </w:p>
    <w:p w14:paraId="4593D496" w14:textId="77777777" w:rsidR="000E7A5A" w:rsidRPr="00057C98" w:rsidRDefault="000E7A5A" w:rsidP="00E247FF">
      <w:pPr>
        <w:spacing w:after="0" w:line="276" w:lineRule="auto"/>
        <w:contextualSpacing/>
        <w:jc w:val="both"/>
        <w:rPr>
          <w:rFonts w:eastAsia="SimSun" w:cs="Arial"/>
          <w:color w:val="0070C0"/>
          <w:szCs w:val="20"/>
          <w:lang w:eastAsia="zh-CN"/>
        </w:rPr>
      </w:pPr>
    </w:p>
    <w:p w14:paraId="534F53C2" w14:textId="77777777" w:rsidR="000E7A5A" w:rsidRPr="00336333" w:rsidRDefault="00306071" w:rsidP="00E247FF">
      <w:pPr>
        <w:spacing w:after="0" w:line="276" w:lineRule="auto"/>
        <w:contextualSpacing/>
        <w:jc w:val="both"/>
        <w:rPr>
          <w:rFonts w:eastAsia="SimSun" w:cs="Arial"/>
          <w:szCs w:val="20"/>
          <w:lang w:eastAsia="zh-CN"/>
        </w:rPr>
      </w:pPr>
      <w:r w:rsidRPr="00336333">
        <w:rPr>
          <w:rFonts w:eastAsia="SimSun" w:cs="Arial"/>
          <w:szCs w:val="20"/>
          <w:lang w:eastAsia="zh-CN"/>
        </w:rPr>
        <w:t>Specifični cilj je namenjen vlaganju v projekte, ki prispevajo k dvigu proizvodnje energije iz OVE in podpirajo energetsko samozadostnost, ter vlaganje v projekte za pretvorbo viškov električne energije iz OVE ter povezovanje omrežij za potrebe shranjevanja energije ob pretvorbi.</w:t>
      </w:r>
    </w:p>
    <w:p w14:paraId="254D2E71" w14:textId="77777777" w:rsidR="000E7A5A" w:rsidRPr="00336333" w:rsidRDefault="000E7A5A" w:rsidP="00E247FF">
      <w:pPr>
        <w:spacing w:after="0" w:line="276" w:lineRule="auto"/>
        <w:contextualSpacing/>
        <w:jc w:val="both"/>
        <w:rPr>
          <w:rFonts w:eastAsia="SimSun" w:cs="Arial"/>
          <w:szCs w:val="20"/>
          <w:lang w:eastAsia="zh-CN"/>
        </w:rPr>
      </w:pPr>
    </w:p>
    <w:p w14:paraId="7FE09599" w14:textId="1F900E7F" w:rsidR="006477ED" w:rsidRPr="00336333" w:rsidRDefault="00306071" w:rsidP="00E247FF">
      <w:pPr>
        <w:spacing w:after="0" w:line="276" w:lineRule="auto"/>
        <w:contextualSpacing/>
        <w:jc w:val="both"/>
        <w:rPr>
          <w:rFonts w:eastAsia="SimSun" w:cs="Arial"/>
          <w:szCs w:val="20"/>
          <w:lang w:eastAsia="zh-CN"/>
        </w:rPr>
      </w:pPr>
      <w:r w:rsidRPr="00336333">
        <w:rPr>
          <w:rFonts w:eastAsia="SimSun" w:cs="Arial"/>
          <w:szCs w:val="20"/>
          <w:lang w:eastAsia="zh-CN"/>
        </w:rPr>
        <w:t>Ukrepi so usmerjeni v:</w:t>
      </w:r>
    </w:p>
    <w:p w14:paraId="749C40E3" w14:textId="77777777" w:rsidR="000E7A5A" w:rsidRPr="00336333" w:rsidRDefault="00306071" w:rsidP="00E247FF">
      <w:pPr>
        <w:numPr>
          <w:ilvl w:val="1"/>
          <w:numId w:val="15"/>
        </w:numPr>
        <w:spacing w:after="0" w:line="276" w:lineRule="auto"/>
        <w:ind w:left="709" w:hanging="709"/>
        <w:contextualSpacing/>
        <w:jc w:val="both"/>
        <w:rPr>
          <w:rFonts w:cs="Arial"/>
          <w:szCs w:val="20"/>
        </w:rPr>
      </w:pPr>
      <w:r w:rsidRPr="00336333">
        <w:rPr>
          <w:rFonts w:eastAsia="SimSun" w:cs="Arial"/>
          <w:i/>
          <w:iCs/>
          <w:szCs w:val="20"/>
          <w:u w:val="single"/>
          <w:lang w:eastAsia="zh-CN"/>
        </w:rPr>
        <w:lastRenderedPageBreak/>
        <w:t>naložbe v pospešitev novih energetskih skupnosti, pretvorbo viškov električne energije iz OVE ter za povezovanje omrežij za potrebe shranjevanja energije</w:t>
      </w:r>
      <w:r w:rsidRPr="00336333">
        <w:rPr>
          <w:rFonts w:eastAsia="SimSun" w:cs="Arial"/>
          <w:szCs w:val="20"/>
          <w:lang w:eastAsia="zh-CN"/>
        </w:rPr>
        <w:t xml:space="preserve"> (spodbujanje prvih energetskih skupnosti na področju izrabe energije iz OVE v lokalnem okolju; spodbujanje naložb in tehnologij za pretvorbo viškov energije iz OVE ter povezovanje omrežij za potrebe shranjevanja energije ob pretvorbi).</w:t>
      </w:r>
    </w:p>
    <w:p w14:paraId="2117368E" w14:textId="77777777" w:rsidR="000E7A5A" w:rsidRDefault="000E7A5A" w:rsidP="00E247FF">
      <w:pPr>
        <w:spacing w:after="0" w:line="276" w:lineRule="auto"/>
        <w:contextualSpacing/>
        <w:jc w:val="both"/>
        <w:rPr>
          <w:rFonts w:eastAsia="SimSun" w:cs="Arial"/>
          <w:szCs w:val="20"/>
          <w:lang w:eastAsia="zh-CN"/>
        </w:rPr>
      </w:pPr>
    </w:p>
    <w:p w14:paraId="4D0866A0" w14:textId="77777777" w:rsidR="001977FB" w:rsidRDefault="001977FB" w:rsidP="00E247FF">
      <w:pPr>
        <w:spacing w:after="0" w:line="276" w:lineRule="auto"/>
        <w:contextualSpacing/>
        <w:jc w:val="both"/>
        <w:rPr>
          <w:rFonts w:eastAsia="SimSun" w:cs="Arial"/>
          <w:szCs w:val="20"/>
          <w:lang w:eastAsia="zh-CN"/>
        </w:rPr>
      </w:pPr>
    </w:p>
    <w:p w14:paraId="373DB8BD" w14:textId="77777777" w:rsidR="001977FB" w:rsidRPr="00057C98" w:rsidRDefault="001977FB" w:rsidP="00E247FF">
      <w:pPr>
        <w:spacing w:after="0" w:line="276" w:lineRule="auto"/>
        <w:contextualSpacing/>
        <w:jc w:val="both"/>
        <w:rPr>
          <w:rFonts w:eastAsia="SimSun" w:cs="Arial"/>
          <w:szCs w:val="20"/>
          <w:lang w:eastAsia="zh-CN"/>
        </w:rPr>
      </w:pPr>
    </w:p>
    <w:p w14:paraId="1294AEDE" w14:textId="77777777" w:rsidR="000E7A5A" w:rsidRPr="00F425EA" w:rsidRDefault="00306071" w:rsidP="005F66E4">
      <w:pPr>
        <w:pStyle w:val="Naslov4"/>
        <w:spacing w:before="0"/>
        <w:rPr>
          <w:lang w:eastAsia="zh-CN"/>
        </w:rPr>
      </w:pPr>
      <w:bookmarkStart w:id="572" w:name="_Toc187739311"/>
      <w:bookmarkStart w:id="573" w:name="_Toc187740044"/>
      <w:r w:rsidRPr="00F425EA">
        <w:rPr>
          <w:lang w:eastAsia="zh-CN"/>
        </w:rPr>
        <w:t>2.1.3.7 Specifični cilj: RSO2.4. Spodbujanje prilagajanja podnebnim spremembam in preprečevanja tveganja nesreč ter odpornosti, ob upoštevanju ekosistemskih pristopov (ESRR)</w:t>
      </w:r>
      <w:bookmarkEnd w:id="572"/>
      <w:bookmarkEnd w:id="573"/>
    </w:p>
    <w:p w14:paraId="6D0546D9" w14:textId="77777777" w:rsidR="000E7A5A" w:rsidRPr="00057C98" w:rsidRDefault="000E7A5A" w:rsidP="00E247FF">
      <w:pPr>
        <w:spacing w:after="0" w:line="276" w:lineRule="auto"/>
        <w:contextualSpacing/>
        <w:jc w:val="both"/>
        <w:rPr>
          <w:rFonts w:eastAsia="SimSun" w:cs="Arial"/>
          <w:color w:val="0070C0"/>
          <w:szCs w:val="20"/>
          <w:lang w:eastAsia="zh-CN"/>
        </w:rPr>
      </w:pPr>
    </w:p>
    <w:p w14:paraId="7E7BE89E" w14:textId="77777777" w:rsidR="000E7A5A" w:rsidRPr="00336333" w:rsidRDefault="00306071" w:rsidP="00E247FF">
      <w:pPr>
        <w:spacing w:after="0" w:line="276" w:lineRule="auto"/>
        <w:contextualSpacing/>
        <w:jc w:val="both"/>
        <w:rPr>
          <w:rFonts w:eastAsia="SimSun" w:cs="Arial"/>
          <w:szCs w:val="20"/>
          <w:lang w:eastAsia="zh-CN"/>
        </w:rPr>
      </w:pPr>
      <w:r w:rsidRPr="00336333">
        <w:rPr>
          <w:rFonts w:eastAsia="SimSun" w:cs="Arial"/>
          <w:szCs w:val="20"/>
          <w:lang w:eastAsia="zh-CN"/>
        </w:rPr>
        <w:t>Specifični cilj je namenjen osredotočanju na podnebno pogojene nesreče, ki predstavljajo pomembno tveganje, in sicer poplave, požari v naravnem okolju, žled z ujmami.</w:t>
      </w:r>
    </w:p>
    <w:p w14:paraId="7297E3EA" w14:textId="77777777" w:rsidR="000E7A5A" w:rsidRPr="00336333" w:rsidRDefault="000E7A5A" w:rsidP="00E247FF">
      <w:pPr>
        <w:spacing w:after="0" w:line="276" w:lineRule="auto"/>
        <w:contextualSpacing/>
        <w:jc w:val="both"/>
        <w:rPr>
          <w:rFonts w:eastAsia="SimSun" w:cs="Arial"/>
          <w:szCs w:val="20"/>
          <w:lang w:eastAsia="zh-CN"/>
        </w:rPr>
      </w:pPr>
    </w:p>
    <w:p w14:paraId="2E0697F8" w14:textId="7488CF96" w:rsidR="006477ED" w:rsidRPr="00336333" w:rsidRDefault="00306071" w:rsidP="00E247FF">
      <w:pPr>
        <w:spacing w:after="0" w:line="276" w:lineRule="auto"/>
        <w:contextualSpacing/>
        <w:jc w:val="both"/>
        <w:rPr>
          <w:rFonts w:eastAsia="SimSun" w:cs="Arial"/>
          <w:szCs w:val="20"/>
          <w:lang w:eastAsia="zh-CN"/>
        </w:rPr>
      </w:pPr>
      <w:r w:rsidRPr="00336333">
        <w:rPr>
          <w:rFonts w:eastAsia="SimSun" w:cs="Arial"/>
          <w:szCs w:val="20"/>
          <w:lang w:eastAsia="zh-CN"/>
        </w:rPr>
        <w:t>Ukrepi so usmerjeni v:</w:t>
      </w:r>
    </w:p>
    <w:p w14:paraId="1676568A" w14:textId="77777777" w:rsidR="000E7A5A" w:rsidRPr="00332FE8" w:rsidRDefault="00306071" w:rsidP="00E247FF">
      <w:pPr>
        <w:numPr>
          <w:ilvl w:val="1"/>
          <w:numId w:val="15"/>
        </w:numPr>
        <w:spacing w:after="0" w:line="276" w:lineRule="auto"/>
        <w:ind w:left="709"/>
        <w:contextualSpacing/>
        <w:jc w:val="both"/>
        <w:rPr>
          <w:rFonts w:cs="Arial"/>
          <w:szCs w:val="20"/>
        </w:rPr>
      </w:pPr>
      <w:r w:rsidRPr="00336333">
        <w:rPr>
          <w:rFonts w:eastAsia="SimSun" w:cs="Arial"/>
          <w:i/>
          <w:iCs/>
          <w:szCs w:val="20"/>
          <w:u w:val="single"/>
          <w:lang w:eastAsia="zh-CN"/>
        </w:rPr>
        <w:t>zmanjšanje poplavne ogroženosti na območjih pomembnega vpliva poplav, ki izkazujejo najvišjo stopnjo pripravljenosti za izvedbo</w:t>
      </w:r>
      <w:r w:rsidRPr="00336333">
        <w:rPr>
          <w:rFonts w:eastAsia="SimSun" w:cs="Arial"/>
          <w:szCs w:val="20"/>
          <w:lang w:eastAsia="zh-CN"/>
        </w:rPr>
        <w:t>.</w:t>
      </w:r>
    </w:p>
    <w:p w14:paraId="7DF76076" w14:textId="77777777" w:rsidR="00332FE8" w:rsidRPr="00336333" w:rsidRDefault="00332FE8" w:rsidP="00332FE8">
      <w:pPr>
        <w:spacing w:after="0" w:line="276" w:lineRule="auto"/>
        <w:ind w:left="-11"/>
        <w:contextualSpacing/>
        <w:jc w:val="both"/>
        <w:rPr>
          <w:rFonts w:cs="Arial"/>
          <w:szCs w:val="20"/>
        </w:rPr>
      </w:pPr>
    </w:p>
    <w:p w14:paraId="60BAE63A" w14:textId="77777777" w:rsidR="000E7A5A" w:rsidRPr="00F425EA" w:rsidRDefault="00306071" w:rsidP="005F66E4">
      <w:pPr>
        <w:pStyle w:val="Naslov4"/>
        <w:spacing w:before="0"/>
        <w:rPr>
          <w:lang w:eastAsia="zh-CN"/>
        </w:rPr>
      </w:pPr>
      <w:bookmarkStart w:id="574" w:name="_Toc187739312"/>
      <w:bookmarkStart w:id="575" w:name="_Toc187740045"/>
      <w:r w:rsidRPr="00F425EA">
        <w:rPr>
          <w:lang w:eastAsia="zh-CN"/>
        </w:rPr>
        <w:t>2.1.3.8 Specifični cilj: RSO2.4. Spodbujanje prilagajanja podnebnim spremembam in preprečevanja tveganja nesreč ter odpornosti, ob upoštevanju ekosistemskih pristopov (Kohezijski sklad)</w:t>
      </w:r>
      <w:bookmarkEnd w:id="574"/>
      <w:bookmarkEnd w:id="575"/>
    </w:p>
    <w:p w14:paraId="7D1F1A1B" w14:textId="77777777" w:rsidR="000E7A5A" w:rsidRPr="00057C98" w:rsidRDefault="000E7A5A" w:rsidP="00E247FF">
      <w:pPr>
        <w:spacing w:after="0" w:line="276" w:lineRule="auto"/>
        <w:contextualSpacing/>
        <w:jc w:val="both"/>
        <w:rPr>
          <w:rFonts w:eastAsia="SimSun" w:cs="Arial"/>
          <w:color w:val="0070C0"/>
          <w:szCs w:val="20"/>
          <w:lang w:eastAsia="zh-CN"/>
        </w:rPr>
      </w:pPr>
    </w:p>
    <w:p w14:paraId="2D397240" w14:textId="77777777" w:rsidR="000E7A5A" w:rsidRPr="00336333" w:rsidRDefault="00306071" w:rsidP="00E247FF">
      <w:pPr>
        <w:spacing w:after="0" w:line="276" w:lineRule="auto"/>
        <w:contextualSpacing/>
        <w:jc w:val="both"/>
        <w:rPr>
          <w:rFonts w:eastAsia="SimSun" w:cs="Arial"/>
          <w:szCs w:val="20"/>
          <w:lang w:eastAsia="zh-CN"/>
        </w:rPr>
      </w:pPr>
      <w:r w:rsidRPr="00336333">
        <w:rPr>
          <w:rFonts w:eastAsia="SimSun" w:cs="Arial"/>
          <w:szCs w:val="20"/>
          <w:lang w:eastAsia="zh-CN"/>
        </w:rPr>
        <w:t>Specifični cilj je namenjen osredotočanju na podnebno pogojene nesreče, ki predstavljajo pomembno tveganje, in sicer poplave, požari v naravnem okolju, žled z ujmami.</w:t>
      </w:r>
    </w:p>
    <w:p w14:paraId="0FE0BF38" w14:textId="77777777" w:rsidR="000E7A5A" w:rsidRPr="00336333" w:rsidRDefault="000E7A5A" w:rsidP="00E247FF">
      <w:pPr>
        <w:spacing w:after="0" w:line="276" w:lineRule="auto"/>
        <w:contextualSpacing/>
        <w:jc w:val="both"/>
        <w:rPr>
          <w:rFonts w:eastAsia="SimSun" w:cs="Arial"/>
          <w:szCs w:val="20"/>
          <w:lang w:eastAsia="zh-CN"/>
        </w:rPr>
      </w:pPr>
    </w:p>
    <w:p w14:paraId="127268A1" w14:textId="47F96610" w:rsidR="006477ED" w:rsidRPr="00336333" w:rsidRDefault="00306071" w:rsidP="00E247FF">
      <w:pPr>
        <w:spacing w:after="0" w:line="276" w:lineRule="auto"/>
        <w:contextualSpacing/>
        <w:jc w:val="both"/>
        <w:rPr>
          <w:rFonts w:eastAsia="SimSun" w:cs="Arial"/>
          <w:szCs w:val="20"/>
          <w:lang w:eastAsia="zh-CN"/>
        </w:rPr>
      </w:pPr>
      <w:r w:rsidRPr="00336333">
        <w:rPr>
          <w:rFonts w:eastAsia="SimSun" w:cs="Arial"/>
          <w:szCs w:val="20"/>
          <w:lang w:eastAsia="zh-CN"/>
        </w:rPr>
        <w:t>Ukrepi so usmerjeni v:</w:t>
      </w:r>
    </w:p>
    <w:p w14:paraId="79F7AD9A" w14:textId="77777777" w:rsidR="000E7A5A" w:rsidRPr="00336333" w:rsidRDefault="00306071" w:rsidP="00E247FF">
      <w:pPr>
        <w:numPr>
          <w:ilvl w:val="1"/>
          <w:numId w:val="15"/>
        </w:numPr>
        <w:spacing w:after="0" w:line="276" w:lineRule="auto"/>
        <w:ind w:left="709"/>
        <w:contextualSpacing/>
        <w:jc w:val="both"/>
        <w:rPr>
          <w:rFonts w:cs="Arial"/>
          <w:szCs w:val="20"/>
        </w:rPr>
      </w:pPr>
      <w:r w:rsidRPr="00336333">
        <w:rPr>
          <w:rFonts w:eastAsia="SimSun" w:cs="Arial"/>
          <w:i/>
          <w:iCs/>
          <w:szCs w:val="20"/>
          <w:u w:val="single"/>
          <w:lang w:eastAsia="zh-CN"/>
        </w:rPr>
        <w:t>zmanjšanje poplavne ogroženosti na območjih pomembnega vpliva poplav, ki izkazujejo najvišjo stopnjo pripravljenosti za izvedbo</w:t>
      </w:r>
      <w:r w:rsidRPr="00336333">
        <w:rPr>
          <w:rFonts w:eastAsia="SimSun" w:cs="Arial"/>
          <w:szCs w:val="20"/>
          <w:lang w:eastAsia="zh-CN"/>
        </w:rPr>
        <w:t>;</w:t>
      </w:r>
    </w:p>
    <w:p w14:paraId="2DCBEF9F" w14:textId="77777777" w:rsidR="000E7A5A" w:rsidRPr="00336333" w:rsidRDefault="00306071" w:rsidP="00E247FF">
      <w:pPr>
        <w:numPr>
          <w:ilvl w:val="1"/>
          <w:numId w:val="15"/>
        </w:numPr>
        <w:spacing w:after="0" w:line="276" w:lineRule="auto"/>
        <w:ind w:left="709"/>
        <w:contextualSpacing/>
        <w:jc w:val="both"/>
        <w:rPr>
          <w:rFonts w:cs="Arial"/>
          <w:szCs w:val="20"/>
        </w:rPr>
      </w:pPr>
      <w:r w:rsidRPr="00336333">
        <w:rPr>
          <w:rFonts w:eastAsia="SimSun" w:cs="Arial"/>
          <w:i/>
          <w:iCs/>
          <w:szCs w:val="20"/>
          <w:u w:val="single"/>
          <w:lang w:eastAsia="zh-CN"/>
        </w:rPr>
        <w:t>nadgradnjo sistema za opozarjanje in osveščanje na vremensko pogojene izredne razmere ter prilagajanje nanje v spremenjenem podnebju</w:t>
      </w:r>
      <w:r w:rsidRPr="00336333">
        <w:rPr>
          <w:rFonts w:eastAsia="SimSun" w:cs="Arial"/>
          <w:szCs w:val="20"/>
          <w:lang w:eastAsia="zh-CN"/>
        </w:rPr>
        <w:t>;</w:t>
      </w:r>
    </w:p>
    <w:p w14:paraId="03B47836" w14:textId="77777777" w:rsidR="000E7A5A" w:rsidRPr="00336333" w:rsidRDefault="00306071" w:rsidP="00E247FF">
      <w:pPr>
        <w:numPr>
          <w:ilvl w:val="1"/>
          <w:numId w:val="15"/>
        </w:numPr>
        <w:spacing w:after="0" w:line="276" w:lineRule="auto"/>
        <w:ind w:left="709"/>
        <w:contextualSpacing/>
        <w:jc w:val="both"/>
        <w:rPr>
          <w:rFonts w:cs="Arial"/>
          <w:szCs w:val="20"/>
        </w:rPr>
      </w:pPr>
      <w:r w:rsidRPr="00336333">
        <w:rPr>
          <w:rFonts w:eastAsia="SimSun" w:cs="Arial"/>
          <w:i/>
          <w:iCs/>
          <w:szCs w:val="20"/>
          <w:u w:val="single"/>
          <w:lang w:eastAsia="zh-CN"/>
        </w:rPr>
        <w:t>odzivanje na podnebno pogojene nesreče</w:t>
      </w:r>
      <w:r w:rsidRPr="00336333">
        <w:rPr>
          <w:rFonts w:eastAsia="SimSun" w:cs="Arial"/>
          <w:szCs w:val="20"/>
          <w:lang w:eastAsia="zh-CN"/>
        </w:rPr>
        <w:t>.</w:t>
      </w:r>
    </w:p>
    <w:p w14:paraId="3796E409" w14:textId="77777777" w:rsidR="000E7A5A" w:rsidRPr="00F425EA" w:rsidRDefault="000E7A5A" w:rsidP="00E247FF">
      <w:pPr>
        <w:spacing w:after="0" w:line="276" w:lineRule="auto"/>
        <w:contextualSpacing/>
        <w:jc w:val="both"/>
        <w:rPr>
          <w:rFonts w:eastAsia="SimSun" w:cs="Arial"/>
          <w:sz w:val="22"/>
          <w:szCs w:val="22"/>
          <w:lang w:eastAsia="zh-CN"/>
        </w:rPr>
      </w:pPr>
    </w:p>
    <w:p w14:paraId="32B6F7E6" w14:textId="77777777" w:rsidR="000E7A5A" w:rsidRPr="00F425EA" w:rsidRDefault="00306071" w:rsidP="005F66E4">
      <w:pPr>
        <w:pStyle w:val="Naslov4"/>
        <w:spacing w:before="0"/>
        <w:rPr>
          <w:lang w:eastAsia="zh-CN"/>
        </w:rPr>
      </w:pPr>
      <w:bookmarkStart w:id="576" w:name="_Toc187739313"/>
      <w:bookmarkStart w:id="577" w:name="_Toc187740046"/>
      <w:r w:rsidRPr="00F425EA">
        <w:rPr>
          <w:lang w:eastAsia="zh-CN"/>
        </w:rPr>
        <w:t>2.1.3.9 Specifični cilj: RSO2.5. Spodbujanje dostopa do vode in trajnostnega gospodarjenja z vodnimi viri (ESRR)</w:t>
      </w:r>
      <w:bookmarkEnd w:id="576"/>
      <w:bookmarkEnd w:id="577"/>
    </w:p>
    <w:p w14:paraId="30510919" w14:textId="77777777" w:rsidR="000E7A5A" w:rsidRPr="00057C98" w:rsidRDefault="000E7A5A" w:rsidP="00E247FF">
      <w:pPr>
        <w:spacing w:after="0" w:line="276" w:lineRule="auto"/>
        <w:contextualSpacing/>
        <w:jc w:val="both"/>
        <w:rPr>
          <w:rFonts w:eastAsia="SimSun" w:cs="Arial"/>
          <w:color w:val="0070C0"/>
          <w:szCs w:val="20"/>
          <w:lang w:eastAsia="zh-CN"/>
        </w:rPr>
      </w:pPr>
    </w:p>
    <w:p w14:paraId="2FD6D60E" w14:textId="77777777" w:rsidR="000E7A5A" w:rsidRPr="00336333" w:rsidRDefault="00306071" w:rsidP="00E247FF">
      <w:pPr>
        <w:spacing w:after="0" w:line="276" w:lineRule="auto"/>
        <w:contextualSpacing/>
        <w:jc w:val="both"/>
        <w:rPr>
          <w:rFonts w:eastAsia="SimSun" w:cs="Arial"/>
          <w:szCs w:val="20"/>
          <w:lang w:eastAsia="zh-CN"/>
        </w:rPr>
      </w:pPr>
      <w:r w:rsidRPr="00336333">
        <w:rPr>
          <w:rFonts w:eastAsia="SimSun" w:cs="Arial"/>
          <w:szCs w:val="20"/>
          <w:lang w:eastAsia="zh-CN"/>
        </w:rPr>
        <w:t xml:space="preserve">Specifični cilj je namenjen izboljšanju kakovosti javnih storitev na področju oskrbe s pitno vodo in odvajanja in čiščenja odpadnih voda ter izpolnjevanje zahtev evropskih direktiv, zato je prednostno osredotočen na izgradnjo manjkajoče infrastrukture za odvajanje in čiščenje odpadnih voda ter izgradnjo ustrezne infrastrukture na področju oskrbe s pitno vodo. </w:t>
      </w:r>
    </w:p>
    <w:p w14:paraId="5FDEA5FC" w14:textId="77777777" w:rsidR="000E7A5A" w:rsidRPr="00336333" w:rsidRDefault="000E7A5A" w:rsidP="00E247FF">
      <w:pPr>
        <w:spacing w:after="0" w:line="276" w:lineRule="auto"/>
        <w:contextualSpacing/>
        <w:jc w:val="both"/>
        <w:rPr>
          <w:rFonts w:eastAsia="SimSun" w:cs="Arial"/>
          <w:szCs w:val="20"/>
          <w:lang w:eastAsia="zh-CN"/>
        </w:rPr>
      </w:pPr>
    </w:p>
    <w:p w14:paraId="7A0CFE10" w14:textId="4580A3C7" w:rsidR="006477ED" w:rsidRPr="00336333" w:rsidRDefault="00306071" w:rsidP="00E247FF">
      <w:pPr>
        <w:spacing w:after="0" w:line="276" w:lineRule="auto"/>
        <w:contextualSpacing/>
        <w:jc w:val="both"/>
        <w:rPr>
          <w:rFonts w:eastAsia="SimSun" w:cs="Arial"/>
          <w:szCs w:val="20"/>
          <w:lang w:eastAsia="zh-CN"/>
        </w:rPr>
      </w:pPr>
      <w:r w:rsidRPr="00336333">
        <w:rPr>
          <w:rFonts w:eastAsia="SimSun" w:cs="Arial"/>
          <w:szCs w:val="20"/>
          <w:lang w:eastAsia="zh-CN"/>
        </w:rPr>
        <w:t>Ukrepi so usmerjeni v:</w:t>
      </w:r>
    </w:p>
    <w:p w14:paraId="41F70BEB" w14:textId="77777777" w:rsidR="000E7A5A" w:rsidRPr="00336333" w:rsidRDefault="00306071" w:rsidP="00E247FF">
      <w:pPr>
        <w:pStyle w:val="Odstavekseznama"/>
        <w:numPr>
          <w:ilvl w:val="0"/>
          <w:numId w:val="18"/>
        </w:numPr>
        <w:spacing w:after="0" w:line="276" w:lineRule="auto"/>
        <w:jc w:val="both"/>
        <w:rPr>
          <w:rFonts w:cs="Arial"/>
          <w:szCs w:val="20"/>
        </w:rPr>
      </w:pPr>
      <w:r w:rsidRPr="00336333">
        <w:rPr>
          <w:rFonts w:eastAsia="SimSun" w:cs="Arial"/>
          <w:i/>
          <w:iCs/>
          <w:szCs w:val="20"/>
          <w:u w:val="single"/>
          <w:lang w:eastAsia="zh-CN"/>
        </w:rPr>
        <w:t>odpravo neskladij v aglomeracijah s skupno obremenitvijo, enako ali večjo od 2.000 PE</w:t>
      </w:r>
      <w:r w:rsidRPr="00336333">
        <w:rPr>
          <w:rFonts w:eastAsia="SimSun" w:cs="Arial"/>
          <w:szCs w:val="20"/>
          <w:lang w:eastAsia="zh-CN"/>
        </w:rPr>
        <w:t>.</w:t>
      </w:r>
    </w:p>
    <w:p w14:paraId="02BA2730" w14:textId="77777777" w:rsidR="000E7A5A" w:rsidRPr="00057C98" w:rsidRDefault="000E7A5A" w:rsidP="00E247FF">
      <w:pPr>
        <w:spacing w:after="0" w:line="276" w:lineRule="auto"/>
        <w:contextualSpacing/>
        <w:jc w:val="both"/>
        <w:rPr>
          <w:rFonts w:eastAsia="SimSun" w:cs="Arial"/>
          <w:szCs w:val="20"/>
          <w:lang w:eastAsia="zh-CN"/>
        </w:rPr>
      </w:pPr>
    </w:p>
    <w:p w14:paraId="10EA990C" w14:textId="2B02EC76" w:rsidR="000E7A5A" w:rsidRPr="00057C98" w:rsidRDefault="00306071" w:rsidP="005F66E4">
      <w:pPr>
        <w:pStyle w:val="Naslov4"/>
        <w:spacing w:before="0"/>
        <w:rPr>
          <w:sz w:val="20"/>
          <w:szCs w:val="22"/>
          <w:lang w:eastAsia="zh-CN"/>
        </w:rPr>
      </w:pPr>
      <w:bookmarkStart w:id="578" w:name="_Toc187739314"/>
      <w:bookmarkStart w:id="579" w:name="_Toc187740047"/>
      <w:r w:rsidRPr="00F425EA">
        <w:rPr>
          <w:lang w:eastAsia="zh-CN"/>
        </w:rPr>
        <w:t>2.1.3.10 Specifični cilj: RSO2.5. Spodbujanje dostopa do vode in trajnostnega gospodarjenja z vodnimi viri (Kohezijski sklad)</w:t>
      </w:r>
      <w:bookmarkEnd w:id="578"/>
      <w:bookmarkEnd w:id="579"/>
      <w:r w:rsidRPr="00F425EA">
        <w:rPr>
          <w:lang w:eastAsia="zh-CN"/>
        </w:rPr>
        <w:br/>
      </w:r>
    </w:p>
    <w:p w14:paraId="12FE2373" w14:textId="77777777" w:rsidR="000E7A5A" w:rsidRPr="000C3E6A" w:rsidRDefault="00306071" w:rsidP="00E247FF">
      <w:pPr>
        <w:spacing w:after="0" w:line="276" w:lineRule="auto"/>
        <w:contextualSpacing/>
        <w:jc w:val="both"/>
        <w:rPr>
          <w:rFonts w:eastAsia="SimSun" w:cs="Arial"/>
          <w:szCs w:val="20"/>
          <w:lang w:eastAsia="zh-CN"/>
        </w:rPr>
      </w:pPr>
      <w:r w:rsidRPr="000C3E6A">
        <w:rPr>
          <w:rFonts w:eastAsia="SimSun" w:cs="Arial"/>
          <w:szCs w:val="20"/>
          <w:lang w:eastAsia="zh-CN"/>
        </w:rPr>
        <w:t>Specifični cilj je namenjen osredotočanju na izgradnjo manjkajoče infrastrukture za odvajanje in čiščenje odpadnih voda ter izgradnjo ustrezne infrastrukture na področju oskrbe s pitno vodo.</w:t>
      </w:r>
    </w:p>
    <w:p w14:paraId="3AA2AE32" w14:textId="77777777" w:rsidR="000E7A5A" w:rsidRPr="000C3E6A" w:rsidRDefault="000E7A5A" w:rsidP="00E247FF">
      <w:pPr>
        <w:spacing w:after="0" w:line="276" w:lineRule="auto"/>
        <w:contextualSpacing/>
        <w:jc w:val="both"/>
        <w:rPr>
          <w:rFonts w:eastAsia="SimSun" w:cs="Arial"/>
          <w:szCs w:val="20"/>
          <w:lang w:eastAsia="zh-CN"/>
        </w:rPr>
      </w:pPr>
    </w:p>
    <w:p w14:paraId="0E018F94" w14:textId="77777777" w:rsidR="000E7A5A" w:rsidRPr="000C3E6A" w:rsidRDefault="00306071" w:rsidP="00E247FF">
      <w:pPr>
        <w:spacing w:after="0" w:line="276" w:lineRule="auto"/>
        <w:contextualSpacing/>
        <w:jc w:val="both"/>
        <w:rPr>
          <w:rFonts w:eastAsia="SimSun" w:cs="Arial"/>
          <w:szCs w:val="20"/>
          <w:lang w:eastAsia="zh-CN"/>
        </w:rPr>
      </w:pPr>
      <w:r w:rsidRPr="000C3E6A">
        <w:rPr>
          <w:rFonts w:eastAsia="SimSun" w:cs="Arial"/>
          <w:szCs w:val="20"/>
          <w:lang w:eastAsia="zh-CN"/>
        </w:rPr>
        <w:t>Ukrepi so usmerjeni v:</w:t>
      </w:r>
    </w:p>
    <w:p w14:paraId="6CEDEB51" w14:textId="77777777" w:rsidR="000E7A5A" w:rsidRPr="000C3E6A" w:rsidRDefault="00306071" w:rsidP="00E247FF">
      <w:pPr>
        <w:numPr>
          <w:ilvl w:val="1"/>
          <w:numId w:val="15"/>
        </w:numPr>
        <w:spacing w:after="0" w:line="276" w:lineRule="auto"/>
        <w:ind w:left="709"/>
        <w:contextualSpacing/>
        <w:jc w:val="both"/>
        <w:rPr>
          <w:rFonts w:cs="Arial"/>
          <w:szCs w:val="20"/>
        </w:rPr>
      </w:pPr>
      <w:r w:rsidRPr="000C3E6A">
        <w:rPr>
          <w:rFonts w:eastAsia="SimSun" w:cs="Arial"/>
          <w:i/>
          <w:iCs/>
          <w:szCs w:val="20"/>
          <w:u w:val="single"/>
          <w:lang w:eastAsia="zh-CN"/>
        </w:rPr>
        <w:t>odpravo neskladij v aglomeracijah s skupno obremenitvijo, enako ali večjo od 2.000 PE</w:t>
      </w:r>
      <w:r w:rsidRPr="000C3E6A">
        <w:rPr>
          <w:rFonts w:eastAsia="SimSun" w:cs="Arial"/>
          <w:szCs w:val="20"/>
          <w:lang w:eastAsia="zh-CN"/>
        </w:rPr>
        <w:t>;</w:t>
      </w:r>
    </w:p>
    <w:p w14:paraId="7E69785C" w14:textId="77777777" w:rsidR="000E7A5A" w:rsidRPr="000C3E6A" w:rsidRDefault="00306071" w:rsidP="00E247FF">
      <w:pPr>
        <w:numPr>
          <w:ilvl w:val="1"/>
          <w:numId w:val="15"/>
        </w:numPr>
        <w:spacing w:after="0" w:line="276" w:lineRule="auto"/>
        <w:ind w:left="709"/>
        <w:contextualSpacing/>
        <w:jc w:val="both"/>
        <w:rPr>
          <w:rFonts w:cs="Arial"/>
          <w:szCs w:val="20"/>
        </w:rPr>
      </w:pPr>
      <w:r w:rsidRPr="000C3E6A">
        <w:rPr>
          <w:rFonts w:eastAsia="SimSun" w:cs="Arial"/>
          <w:i/>
          <w:iCs/>
          <w:szCs w:val="20"/>
          <w:u w:val="single"/>
          <w:lang w:eastAsia="zh-CN"/>
        </w:rPr>
        <w:t>spodbujanje trajnostnega gospodarjenja z vodnimi viri z urejanjem vodovodnih sistemov nad 10.000 prebivalcev</w:t>
      </w:r>
      <w:r w:rsidRPr="000C3E6A">
        <w:rPr>
          <w:rFonts w:eastAsia="SimSun" w:cs="Arial"/>
          <w:szCs w:val="20"/>
          <w:lang w:eastAsia="zh-CN"/>
        </w:rPr>
        <w:t>.</w:t>
      </w:r>
    </w:p>
    <w:p w14:paraId="13930F15" w14:textId="77777777" w:rsidR="000E7A5A" w:rsidRDefault="000E7A5A" w:rsidP="00E247FF">
      <w:pPr>
        <w:spacing w:after="0" w:line="276" w:lineRule="auto"/>
        <w:contextualSpacing/>
        <w:jc w:val="both"/>
        <w:rPr>
          <w:rFonts w:eastAsia="SimSun" w:cs="Arial"/>
          <w:sz w:val="22"/>
          <w:szCs w:val="22"/>
          <w:lang w:eastAsia="zh-CN"/>
        </w:rPr>
      </w:pPr>
    </w:p>
    <w:p w14:paraId="504CA188" w14:textId="77777777" w:rsidR="0097193E" w:rsidRDefault="0097193E" w:rsidP="00E247FF">
      <w:pPr>
        <w:spacing w:after="0" w:line="276" w:lineRule="auto"/>
        <w:contextualSpacing/>
        <w:jc w:val="both"/>
        <w:rPr>
          <w:rFonts w:eastAsia="SimSun" w:cs="Arial"/>
          <w:sz w:val="22"/>
          <w:szCs w:val="22"/>
          <w:lang w:eastAsia="zh-CN"/>
        </w:rPr>
      </w:pPr>
    </w:p>
    <w:p w14:paraId="3E83DDE7" w14:textId="77777777" w:rsidR="0097193E" w:rsidRPr="00F425EA" w:rsidRDefault="0097193E" w:rsidP="00E247FF">
      <w:pPr>
        <w:spacing w:after="0" w:line="276" w:lineRule="auto"/>
        <w:contextualSpacing/>
        <w:jc w:val="both"/>
        <w:rPr>
          <w:rFonts w:eastAsia="SimSun" w:cs="Arial"/>
          <w:sz w:val="22"/>
          <w:szCs w:val="22"/>
          <w:lang w:eastAsia="zh-CN"/>
        </w:rPr>
      </w:pPr>
    </w:p>
    <w:p w14:paraId="0BB6589F" w14:textId="77777777" w:rsidR="000E7A5A" w:rsidRPr="00F425EA" w:rsidRDefault="00306071" w:rsidP="005F66E4">
      <w:pPr>
        <w:pStyle w:val="Naslov4"/>
        <w:spacing w:before="0"/>
        <w:rPr>
          <w:lang w:eastAsia="zh-CN"/>
        </w:rPr>
      </w:pPr>
      <w:bookmarkStart w:id="580" w:name="_Toc187739315"/>
      <w:bookmarkStart w:id="581" w:name="_Toc187740048"/>
      <w:r w:rsidRPr="00F425EA">
        <w:rPr>
          <w:lang w:eastAsia="zh-CN"/>
        </w:rPr>
        <w:t>2.1.3.11 Specifični cilj: RSO2.6. Spodbujanje prehoda na krožno gospodarstvo, gospodarno z viri (ESRR)</w:t>
      </w:r>
      <w:bookmarkEnd w:id="580"/>
      <w:bookmarkEnd w:id="581"/>
    </w:p>
    <w:p w14:paraId="6D7283E1" w14:textId="77777777" w:rsidR="000E7A5A" w:rsidRPr="00057C98" w:rsidRDefault="000E7A5A" w:rsidP="00E247FF">
      <w:pPr>
        <w:spacing w:after="0" w:line="276" w:lineRule="auto"/>
        <w:contextualSpacing/>
        <w:jc w:val="both"/>
        <w:rPr>
          <w:rFonts w:eastAsia="SimSun" w:cs="Arial"/>
          <w:color w:val="0070C0"/>
          <w:szCs w:val="20"/>
          <w:lang w:eastAsia="zh-CN"/>
        </w:rPr>
      </w:pPr>
    </w:p>
    <w:p w14:paraId="5D3A50D0" w14:textId="77777777" w:rsidR="000E7A5A" w:rsidRPr="000C3E6A" w:rsidRDefault="00306071" w:rsidP="00E247FF">
      <w:pPr>
        <w:spacing w:after="0" w:line="276" w:lineRule="auto"/>
        <w:contextualSpacing/>
        <w:jc w:val="both"/>
        <w:rPr>
          <w:rFonts w:eastAsia="SimSun" w:cs="Arial"/>
          <w:szCs w:val="20"/>
          <w:lang w:eastAsia="zh-CN"/>
        </w:rPr>
      </w:pPr>
      <w:r w:rsidRPr="000C3E6A">
        <w:rPr>
          <w:rFonts w:eastAsia="SimSun" w:cs="Arial"/>
          <w:szCs w:val="20"/>
          <w:lang w:eastAsia="zh-CN"/>
        </w:rPr>
        <w:t xml:space="preserve">Specifični cilj je namenjen podpori za vzpostavitev pogojev za prehod v </w:t>
      </w:r>
      <w:proofErr w:type="spellStart"/>
      <w:r w:rsidRPr="000C3E6A">
        <w:rPr>
          <w:rFonts w:eastAsia="SimSun" w:cs="Arial"/>
          <w:szCs w:val="20"/>
          <w:lang w:eastAsia="zh-CN"/>
        </w:rPr>
        <w:t>nizkoogljično</w:t>
      </w:r>
      <w:proofErr w:type="spellEnd"/>
      <w:r w:rsidRPr="000C3E6A">
        <w:rPr>
          <w:rFonts w:eastAsia="SimSun" w:cs="Arial"/>
          <w:szCs w:val="20"/>
          <w:lang w:eastAsia="zh-CN"/>
        </w:rPr>
        <w:t xml:space="preserve"> krožno gospodarstvo, predvsem z uvajanjem </w:t>
      </w:r>
      <w:proofErr w:type="spellStart"/>
      <w:r w:rsidRPr="000C3E6A">
        <w:rPr>
          <w:rFonts w:eastAsia="SimSun" w:cs="Arial"/>
          <w:szCs w:val="20"/>
          <w:lang w:eastAsia="zh-CN"/>
        </w:rPr>
        <w:t>nizkoogljičnih</w:t>
      </w:r>
      <w:proofErr w:type="spellEnd"/>
      <w:r w:rsidRPr="000C3E6A">
        <w:rPr>
          <w:rFonts w:eastAsia="SimSun" w:cs="Arial"/>
          <w:szCs w:val="20"/>
          <w:lang w:eastAsia="zh-CN"/>
        </w:rPr>
        <w:t xml:space="preserve"> in krožnih poslovnih modelov, uvedbo katerih je mogoče podpreti z uvajanjem digitalnih tehnologij, s katerimi bodo podjetja lažje kljubovala izzivom in pritiskom na konkurenčnost njihovega poslovanja, ki so posledica dviga cen surovin in energentov. Pri izvajanju ukrepa je prednost namenjena podpori tistim rešitvam, ki najbolj prispevajo k dvigu dodane vrednosti ter k proizvodnji izdelkov, ki v svoji življenjski dobi izkazujejo nizek </w:t>
      </w:r>
      <w:proofErr w:type="spellStart"/>
      <w:r w:rsidRPr="000C3E6A">
        <w:rPr>
          <w:rFonts w:eastAsia="SimSun" w:cs="Arial"/>
          <w:szCs w:val="20"/>
          <w:lang w:eastAsia="zh-CN"/>
        </w:rPr>
        <w:t>ogljični</w:t>
      </w:r>
      <w:proofErr w:type="spellEnd"/>
      <w:r w:rsidRPr="000C3E6A">
        <w:rPr>
          <w:rFonts w:eastAsia="SimSun" w:cs="Arial"/>
          <w:szCs w:val="20"/>
          <w:lang w:eastAsia="zh-CN"/>
        </w:rPr>
        <w:t xml:space="preserve"> odtis.</w:t>
      </w:r>
    </w:p>
    <w:p w14:paraId="213B21FE" w14:textId="77777777" w:rsidR="000E7A5A" w:rsidRPr="000C3E6A" w:rsidRDefault="000E7A5A" w:rsidP="00E247FF">
      <w:pPr>
        <w:spacing w:after="0" w:line="276" w:lineRule="auto"/>
        <w:contextualSpacing/>
        <w:jc w:val="both"/>
        <w:rPr>
          <w:rFonts w:eastAsia="SimSun" w:cs="Arial"/>
          <w:szCs w:val="20"/>
          <w:lang w:eastAsia="zh-CN"/>
        </w:rPr>
      </w:pPr>
    </w:p>
    <w:p w14:paraId="7493CC5C" w14:textId="77777777" w:rsidR="000E7A5A" w:rsidRDefault="00306071" w:rsidP="00E247FF">
      <w:pPr>
        <w:spacing w:after="0" w:line="276" w:lineRule="auto"/>
        <w:contextualSpacing/>
        <w:jc w:val="both"/>
        <w:rPr>
          <w:rFonts w:eastAsia="SimSun" w:cs="Arial"/>
          <w:szCs w:val="20"/>
          <w:lang w:eastAsia="zh-CN"/>
        </w:rPr>
      </w:pPr>
      <w:r w:rsidRPr="000C3E6A">
        <w:rPr>
          <w:rFonts w:eastAsia="SimSun" w:cs="Arial"/>
          <w:szCs w:val="20"/>
          <w:lang w:eastAsia="zh-CN"/>
        </w:rPr>
        <w:t>Ukrepi so usmerjeni v:</w:t>
      </w:r>
    </w:p>
    <w:p w14:paraId="6513E360" w14:textId="77777777" w:rsidR="000E7A5A" w:rsidRPr="000C3E6A" w:rsidRDefault="00306071" w:rsidP="00E247FF">
      <w:pPr>
        <w:numPr>
          <w:ilvl w:val="1"/>
          <w:numId w:val="15"/>
        </w:numPr>
        <w:spacing w:after="0" w:line="276" w:lineRule="auto"/>
        <w:ind w:left="709"/>
        <w:contextualSpacing/>
        <w:jc w:val="both"/>
        <w:rPr>
          <w:rFonts w:cs="Arial"/>
          <w:szCs w:val="20"/>
        </w:rPr>
      </w:pPr>
      <w:r w:rsidRPr="000C3E6A">
        <w:rPr>
          <w:rFonts w:eastAsia="SimSun" w:cs="Arial"/>
          <w:i/>
          <w:iCs/>
          <w:szCs w:val="20"/>
          <w:u w:val="single"/>
          <w:lang w:eastAsia="zh-CN"/>
        </w:rPr>
        <w:t xml:space="preserve">spodbujanje storitev podpornega okolja za zeleni in digitalni prehod preko stičišča za oblikovanje politik in centra za zeleni, ustvarjalni in pametni razvoj (op. v skladu s Slovensko industrijsko strategijo 2021-2030) ter krožnih inovacijskih procesov in učinkovite rabe virov v podjetjih (uvajanje krožnih poslovnih modelov ter novih </w:t>
      </w:r>
      <w:proofErr w:type="spellStart"/>
      <w:r w:rsidRPr="000C3E6A">
        <w:rPr>
          <w:rFonts w:eastAsia="SimSun" w:cs="Arial"/>
          <w:i/>
          <w:iCs/>
          <w:szCs w:val="20"/>
          <w:u w:val="single"/>
          <w:lang w:eastAsia="zh-CN"/>
        </w:rPr>
        <w:t>nizkoogljičnih</w:t>
      </w:r>
      <w:proofErr w:type="spellEnd"/>
      <w:r w:rsidRPr="000C3E6A">
        <w:rPr>
          <w:rFonts w:eastAsia="SimSun" w:cs="Arial"/>
          <w:i/>
          <w:iCs/>
          <w:szCs w:val="20"/>
          <w:u w:val="single"/>
          <w:lang w:eastAsia="zh-CN"/>
        </w:rPr>
        <w:t xml:space="preserve"> produktov, procesov in tehnologij za krepitev verig vrednosti, ob podpori digitalizacije)</w:t>
      </w:r>
      <w:r w:rsidRPr="000C3E6A">
        <w:rPr>
          <w:rFonts w:eastAsia="SimSun" w:cs="Arial"/>
          <w:szCs w:val="20"/>
          <w:lang w:eastAsia="zh-CN"/>
        </w:rPr>
        <w:t xml:space="preserve"> (podpora vzpostavitvi, delovanju in storitvam stičišča za oblikovanje politik in centra za zeleni, ustvarjalni in pametni razvoj; uvajanje krožnih poslovnih modelov; uvajanje novih produktov z nizkim </w:t>
      </w:r>
      <w:proofErr w:type="spellStart"/>
      <w:r w:rsidRPr="000C3E6A">
        <w:rPr>
          <w:rFonts w:eastAsia="SimSun" w:cs="Arial"/>
          <w:szCs w:val="20"/>
          <w:lang w:eastAsia="zh-CN"/>
        </w:rPr>
        <w:t>ogljičnim</w:t>
      </w:r>
      <w:proofErr w:type="spellEnd"/>
      <w:r w:rsidRPr="000C3E6A">
        <w:rPr>
          <w:rFonts w:eastAsia="SimSun" w:cs="Arial"/>
          <w:szCs w:val="20"/>
          <w:lang w:eastAsia="zh-CN"/>
        </w:rPr>
        <w:t xml:space="preserve"> odtisom, procesov in tehnologij za krepitev verig vrednosti s poudarkom na naravnih obnovljivih materialih, ki omogočajo kaskadno rabo).</w:t>
      </w:r>
    </w:p>
    <w:p w14:paraId="691D6EA6" w14:textId="77777777" w:rsidR="000E7A5A" w:rsidRPr="00F425EA" w:rsidRDefault="000E7A5A" w:rsidP="00E247FF">
      <w:pPr>
        <w:spacing w:after="0" w:line="276" w:lineRule="auto"/>
        <w:contextualSpacing/>
        <w:jc w:val="both"/>
        <w:rPr>
          <w:rFonts w:eastAsia="SimSun" w:cs="Arial"/>
          <w:sz w:val="22"/>
          <w:szCs w:val="22"/>
          <w:lang w:eastAsia="zh-CN"/>
        </w:rPr>
      </w:pPr>
    </w:p>
    <w:p w14:paraId="292ABB89" w14:textId="77777777" w:rsidR="000E7A5A" w:rsidRPr="00F425EA" w:rsidRDefault="00306071" w:rsidP="005F66E4">
      <w:pPr>
        <w:pStyle w:val="Naslov4"/>
        <w:spacing w:before="0"/>
        <w:rPr>
          <w:lang w:eastAsia="zh-CN"/>
        </w:rPr>
      </w:pPr>
      <w:bookmarkStart w:id="582" w:name="_Toc187739316"/>
      <w:bookmarkStart w:id="583" w:name="_Toc187740049"/>
      <w:r w:rsidRPr="00F425EA">
        <w:rPr>
          <w:lang w:eastAsia="zh-CN"/>
        </w:rPr>
        <w:t>2.1.3.12 Specifični cilj: RSO2.7. Izboljšanje varstva in ohranjanja narave ter biotske raznovrstnosti in zelene infrastrukture, tudi v mestnem okolju, in zmanjšanje vseh oblik onesnaževanja (ESRR)</w:t>
      </w:r>
      <w:bookmarkEnd w:id="582"/>
      <w:bookmarkEnd w:id="583"/>
    </w:p>
    <w:p w14:paraId="67693974" w14:textId="77777777" w:rsidR="000E7A5A" w:rsidRPr="00057C98" w:rsidRDefault="000E7A5A" w:rsidP="00E247FF">
      <w:pPr>
        <w:spacing w:after="0" w:line="276" w:lineRule="auto"/>
        <w:contextualSpacing/>
        <w:jc w:val="both"/>
        <w:rPr>
          <w:rFonts w:eastAsia="SimSun" w:cs="Arial"/>
          <w:color w:val="0070C0"/>
          <w:szCs w:val="20"/>
          <w:lang w:eastAsia="zh-CN"/>
        </w:rPr>
      </w:pPr>
    </w:p>
    <w:p w14:paraId="4ACE0A4E" w14:textId="54CB5EDE" w:rsidR="000E7A5A" w:rsidRPr="000C3E6A" w:rsidRDefault="00306071" w:rsidP="00E247FF">
      <w:pPr>
        <w:spacing w:after="0" w:line="276" w:lineRule="auto"/>
        <w:contextualSpacing/>
        <w:jc w:val="both"/>
        <w:rPr>
          <w:rFonts w:eastAsia="SimSun" w:cs="Arial"/>
          <w:szCs w:val="20"/>
          <w:lang w:eastAsia="zh-CN"/>
        </w:rPr>
      </w:pPr>
      <w:r w:rsidRPr="000C3E6A">
        <w:rPr>
          <w:rFonts w:eastAsia="SimSun" w:cs="Arial"/>
          <w:szCs w:val="20"/>
          <w:lang w:eastAsia="zh-CN"/>
        </w:rPr>
        <w:t xml:space="preserve">Specifični cilj je namenjen ukrepom za izboljšanje stanja biotske raznovrstnosti v omrežju Natura 2000 in na drugih prednostnih območjih varstva narave. </w:t>
      </w:r>
      <w:r w:rsidR="006477ED" w:rsidRPr="000C3E6A">
        <w:rPr>
          <w:rFonts w:eastAsia="SimSun" w:cs="Arial"/>
          <w:szCs w:val="20"/>
          <w:lang w:eastAsia="zh-CN"/>
        </w:rPr>
        <w:t>Usmerjeni</w:t>
      </w:r>
      <w:r w:rsidRPr="000C3E6A">
        <w:rPr>
          <w:rFonts w:eastAsia="SimSun" w:cs="Arial"/>
          <w:szCs w:val="20"/>
          <w:lang w:eastAsia="zh-CN"/>
        </w:rPr>
        <w:t xml:space="preserve"> so prioritetnim Natura 2000 območjem za izboljšanje stanja vrst in habitatnih tipov, v manjšem delu ureditvi z obiskom najbolj obremenjenih delov narave ter vlaganjem v zeleno infrastrukturo v urbanem okolju.</w:t>
      </w:r>
    </w:p>
    <w:p w14:paraId="5D6E3324" w14:textId="77777777" w:rsidR="000E7A5A" w:rsidRPr="000C3E6A" w:rsidRDefault="000E7A5A" w:rsidP="00E247FF">
      <w:pPr>
        <w:spacing w:after="0" w:line="276" w:lineRule="auto"/>
        <w:contextualSpacing/>
        <w:jc w:val="both"/>
        <w:rPr>
          <w:rFonts w:eastAsia="SimSun" w:cs="Arial"/>
          <w:szCs w:val="20"/>
          <w:lang w:eastAsia="zh-CN"/>
        </w:rPr>
      </w:pPr>
    </w:p>
    <w:p w14:paraId="30D3F9A4" w14:textId="7317D857" w:rsidR="006477ED" w:rsidRPr="000C3E6A" w:rsidRDefault="00306071" w:rsidP="00E247FF">
      <w:pPr>
        <w:spacing w:after="0" w:line="276" w:lineRule="auto"/>
        <w:contextualSpacing/>
        <w:jc w:val="both"/>
        <w:rPr>
          <w:rFonts w:eastAsia="SimSun" w:cs="Arial"/>
          <w:szCs w:val="20"/>
          <w:lang w:eastAsia="zh-CN"/>
        </w:rPr>
      </w:pPr>
      <w:r w:rsidRPr="000C3E6A">
        <w:rPr>
          <w:rFonts w:eastAsia="SimSun" w:cs="Arial"/>
          <w:szCs w:val="20"/>
          <w:lang w:eastAsia="zh-CN"/>
        </w:rPr>
        <w:t>Ukrepi so osredotočeni na:</w:t>
      </w:r>
    </w:p>
    <w:p w14:paraId="6E19ED09" w14:textId="77777777" w:rsidR="000E7A5A" w:rsidRPr="000C3E6A" w:rsidRDefault="00306071" w:rsidP="00E247FF">
      <w:pPr>
        <w:numPr>
          <w:ilvl w:val="1"/>
          <w:numId w:val="15"/>
        </w:numPr>
        <w:spacing w:after="0" w:line="276" w:lineRule="auto"/>
        <w:ind w:left="709"/>
        <w:contextualSpacing/>
        <w:jc w:val="both"/>
        <w:rPr>
          <w:rFonts w:cs="Arial"/>
          <w:szCs w:val="20"/>
        </w:rPr>
      </w:pPr>
      <w:r w:rsidRPr="000C3E6A">
        <w:rPr>
          <w:rFonts w:eastAsia="SimSun" w:cs="Arial"/>
          <w:i/>
          <w:iCs/>
          <w:szCs w:val="20"/>
          <w:u w:val="single"/>
          <w:lang w:eastAsia="zh-CN"/>
        </w:rPr>
        <w:t>izboljšanje stanja biotske raznovrstnosti v omrežju Natura 2000 in na drugih prednostnih območjih varstva narave</w:t>
      </w:r>
      <w:r w:rsidRPr="000C3E6A">
        <w:rPr>
          <w:rFonts w:eastAsia="SimSun" w:cs="Arial"/>
          <w:szCs w:val="20"/>
          <w:lang w:eastAsia="zh-CN"/>
        </w:rPr>
        <w:t xml:space="preserve"> (izboljšanje stanja ohranjenosti habitatov vrst in habitatnih tipov Natura 2000 območij, ki niso v ugodnem stanju ohranjenosti);</w:t>
      </w:r>
    </w:p>
    <w:p w14:paraId="73A76355" w14:textId="77777777" w:rsidR="000E7A5A" w:rsidRPr="000C3E6A" w:rsidRDefault="00306071" w:rsidP="00E247FF">
      <w:pPr>
        <w:numPr>
          <w:ilvl w:val="1"/>
          <w:numId w:val="15"/>
        </w:numPr>
        <w:spacing w:after="0" w:line="276" w:lineRule="auto"/>
        <w:ind w:left="709"/>
        <w:contextualSpacing/>
        <w:jc w:val="both"/>
        <w:rPr>
          <w:rFonts w:cs="Arial"/>
          <w:szCs w:val="20"/>
        </w:rPr>
      </w:pPr>
      <w:r w:rsidRPr="000C3E6A">
        <w:rPr>
          <w:rFonts w:eastAsia="SimSun" w:cs="Arial"/>
          <w:i/>
          <w:iCs/>
          <w:szCs w:val="20"/>
          <w:u w:val="single"/>
          <w:lang w:eastAsia="zh-CN"/>
        </w:rPr>
        <w:t>zagotavljanje in izboljšanje zelene infrastrukture, dostopa prebivalcev do zelene infrastrukture v urbanih območjih ter ozelenjevanje mest</w:t>
      </w:r>
      <w:r w:rsidRPr="000C3E6A">
        <w:rPr>
          <w:rFonts w:eastAsia="SimSun" w:cs="Arial"/>
          <w:szCs w:val="20"/>
          <w:lang w:eastAsia="zh-CN"/>
        </w:rPr>
        <w:t xml:space="preserve"> (izboljšanje kakovosti in uporabnosti obstoječe ter vzpostavitev nove zelene infrastrukture; komasacija zemljišč mestnih zelenih površin z možnostjo odkupa zemljišč; ozelenjevanje grajenih površin v mestih; ozaveščanje in vključevanje lokalnega prebivalstva v vzpostavljanje in izboljševanje zelene infrastrukture in zelenih površin ter ukrepe za ozelenjevanje mest).</w:t>
      </w:r>
    </w:p>
    <w:p w14:paraId="058B14EA" w14:textId="77777777" w:rsidR="000E7A5A" w:rsidRPr="00F425EA" w:rsidRDefault="000E7A5A" w:rsidP="00E247FF">
      <w:pPr>
        <w:spacing w:after="0" w:line="276" w:lineRule="auto"/>
        <w:contextualSpacing/>
        <w:jc w:val="both"/>
        <w:rPr>
          <w:rFonts w:eastAsia="SimSun" w:cs="Arial"/>
          <w:sz w:val="22"/>
          <w:szCs w:val="22"/>
          <w:lang w:eastAsia="zh-CN"/>
        </w:rPr>
      </w:pPr>
    </w:p>
    <w:p w14:paraId="43AE00D7" w14:textId="01F40BA2" w:rsidR="000E7A5A" w:rsidRPr="00F425EA" w:rsidRDefault="00306071" w:rsidP="005F66E4">
      <w:pPr>
        <w:pStyle w:val="Naslov4"/>
        <w:spacing w:before="0"/>
        <w:rPr>
          <w:lang w:eastAsia="zh-CN"/>
        </w:rPr>
      </w:pPr>
      <w:bookmarkStart w:id="584" w:name="_Toc187739317"/>
      <w:bookmarkStart w:id="585" w:name="_Toc187740050"/>
      <w:bookmarkStart w:id="586" w:name="_Hlk184378055"/>
      <w:r w:rsidRPr="00F425EA">
        <w:rPr>
          <w:lang w:eastAsia="zh-CN"/>
        </w:rPr>
        <w:t xml:space="preserve">2.1.3.13 </w:t>
      </w:r>
      <w:r w:rsidR="000C3E6A" w:rsidRPr="00F425EA">
        <w:rPr>
          <w:lang w:eastAsia="zh-CN"/>
        </w:rPr>
        <w:t>Specifični</w:t>
      </w:r>
      <w:r w:rsidRPr="00F425EA">
        <w:rPr>
          <w:lang w:eastAsia="zh-CN"/>
        </w:rPr>
        <w:t xml:space="preserve"> cilj: RSO2.7. Izboljšanje varstva in ohranjanja narave ter biotske raznovrstnosti in zelene infrastrukture, tudi v mestnem okolju, in zmanjšanje vseh oblik onesnaževanja (Kohezijski sklad)</w:t>
      </w:r>
      <w:bookmarkEnd w:id="584"/>
      <w:bookmarkEnd w:id="585"/>
    </w:p>
    <w:bookmarkEnd w:id="586"/>
    <w:p w14:paraId="05631BEA" w14:textId="77777777" w:rsidR="000E7A5A" w:rsidRPr="00057C98" w:rsidRDefault="000E7A5A" w:rsidP="00E247FF">
      <w:pPr>
        <w:spacing w:after="0" w:line="276" w:lineRule="auto"/>
        <w:contextualSpacing/>
        <w:jc w:val="both"/>
        <w:rPr>
          <w:rFonts w:eastAsia="SimSun" w:cs="Arial"/>
          <w:color w:val="0070C0"/>
          <w:szCs w:val="20"/>
          <w:lang w:eastAsia="zh-CN"/>
        </w:rPr>
      </w:pPr>
    </w:p>
    <w:p w14:paraId="46329163" w14:textId="77777777" w:rsidR="000E7A5A" w:rsidRPr="000C3E6A" w:rsidRDefault="00306071" w:rsidP="00E247FF">
      <w:pPr>
        <w:spacing w:after="0" w:line="276" w:lineRule="auto"/>
        <w:contextualSpacing/>
        <w:jc w:val="both"/>
        <w:rPr>
          <w:rFonts w:eastAsia="SimSun" w:cs="Arial"/>
          <w:szCs w:val="20"/>
          <w:lang w:eastAsia="zh-CN"/>
        </w:rPr>
      </w:pPr>
      <w:r w:rsidRPr="000C3E6A">
        <w:rPr>
          <w:rFonts w:eastAsia="SimSun" w:cs="Arial"/>
          <w:szCs w:val="20"/>
          <w:lang w:eastAsia="zh-CN"/>
        </w:rPr>
        <w:t>Specifični cilj je v okviru naslavljanja zmanjšanja vseh oblik onesnaževanja namenjen osredotočanju na področje izboljšanja kakovosti zraka.</w:t>
      </w:r>
    </w:p>
    <w:p w14:paraId="1D005158" w14:textId="77777777" w:rsidR="000E7A5A" w:rsidRPr="000C3E6A" w:rsidRDefault="000E7A5A" w:rsidP="00E247FF">
      <w:pPr>
        <w:spacing w:after="0" w:line="276" w:lineRule="auto"/>
        <w:contextualSpacing/>
        <w:jc w:val="both"/>
        <w:rPr>
          <w:rFonts w:eastAsia="SimSun" w:cs="Arial"/>
          <w:szCs w:val="20"/>
          <w:lang w:eastAsia="zh-CN"/>
        </w:rPr>
      </w:pPr>
    </w:p>
    <w:p w14:paraId="1DB1C7E3" w14:textId="74D373A5" w:rsidR="006477ED" w:rsidRPr="000C3E6A" w:rsidRDefault="00306071" w:rsidP="00E247FF">
      <w:pPr>
        <w:spacing w:after="0" w:line="276" w:lineRule="auto"/>
        <w:contextualSpacing/>
        <w:jc w:val="both"/>
        <w:rPr>
          <w:rFonts w:eastAsia="SimSun" w:cs="Arial"/>
          <w:szCs w:val="20"/>
          <w:lang w:eastAsia="zh-CN"/>
        </w:rPr>
      </w:pPr>
      <w:r w:rsidRPr="000C3E6A">
        <w:rPr>
          <w:rFonts w:eastAsia="SimSun" w:cs="Arial"/>
          <w:szCs w:val="20"/>
          <w:lang w:eastAsia="zh-CN"/>
        </w:rPr>
        <w:t>Ukrepi so osredotočeni na:</w:t>
      </w:r>
    </w:p>
    <w:p w14:paraId="3B3E3758" w14:textId="77777777" w:rsidR="000E7A5A" w:rsidRPr="000C3E6A" w:rsidRDefault="00306071" w:rsidP="00E247FF">
      <w:pPr>
        <w:numPr>
          <w:ilvl w:val="1"/>
          <w:numId w:val="15"/>
        </w:numPr>
        <w:spacing w:after="0" w:line="276" w:lineRule="auto"/>
        <w:ind w:left="709"/>
        <w:contextualSpacing/>
        <w:jc w:val="both"/>
        <w:rPr>
          <w:rFonts w:cs="Arial"/>
          <w:szCs w:val="20"/>
        </w:rPr>
      </w:pPr>
      <w:r w:rsidRPr="000C3E6A">
        <w:rPr>
          <w:rFonts w:eastAsia="SimSun" w:cs="Arial"/>
          <w:i/>
          <w:iCs/>
          <w:szCs w:val="20"/>
          <w:u w:val="single"/>
          <w:lang w:eastAsia="zh-CN"/>
        </w:rPr>
        <w:t>izboljšanje sistema seznanjanja in opozarjanja državljanov o onesnaženosti zunanjega zraka</w:t>
      </w:r>
      <w:r w:rsidRPr="000C3E6A">
        <w:rPr>
          <w:rFonts w:eastAsia="SimSun" w:cs="Arial"/>
          <w:szCs w:val="20"/>
          <w:lang w:eastAsia="zh-CN"/>
        </w:rPr>
        <w:t>.</w:t>
      </w:r>
    </w:p>
    <w:p w14:paraId="4D963D6C" w14:textId="77777777" w:rsidR="000E7A5A" w:rsidRPr="00057C98" w:rsidRDefault="000E7A5A" w:rsidP="00E247FF">
      <w:pPr>
        <w:spacing w:after="0" w:line="276" w:lineRule="auto"/>
        <w:contextualSpacing/>
        <w:jc w:val="both"/>
        <w:rPr>
          <w:rFonts w:eastAsia="SimSun" w:cs="Arial"/>
          <w:szCs w:val="20"/>
          <w:lang w:eastAsia="zh-CN"/>
        </w:rPr>
      </w:pPr>
    </w:p>
    <w:p w14:paraId="17BF2B08" w14:textId="77777777" w:rsidR="000E7A5A" w:rsidRPr="00F425EA" w:rsidRDefault="00306071" w:rsidP="005F66E4">
      <w:pPr>
        <w:pStyle w:val="Naslov4"/>
        <w:spacing w:before="0"/>
        <w:rPr>
          <w:lang w:eastAsia="zh-CN"/>
        </w:rPr>
      </w:pPr>
      <w:bookmarkStart w:id="587" w:name="_Toc187739318"/>
      <w:bookmarkStart w:id="588" w:name="_Toc187740051"/>
      <w:r w:rsidRPr="00F425EA">
        <w:rPr>
          <w:lang w:eastAsia="zh-CN"/>
        </w:rPr>
        <w:lastRenderedPageBreak/>
        <w:t>2.1.3.14 Trenutno stanje izvajanja na prednostni nalogi 3: stanje NPO in JR ter morebitne težave in izzivi</w:t>
      </w:r>
      <w:bookmarkEnd w:id="587"/>
      <w:bookmarkEnd w:id="588"/>
    </w:p>
    <w:p w14:paraId="1BE2A0BC" w14:textId="77777777" w:rsidR="000E7A5A" w:rsidRPr="00057C98" w:rsidRDefault="000E7A5A" w:rsidP="00E247FF">
      <w:pPr>
        <w:spacing w:after="0" w:line="276" w:lineRule="auto"/>
        <w:contextualSpacing/>
        <w:jc w:val="both"/>
        <w:rPr>
          <w:rFonts w:eastAsia="SimSun" w:cs="Arial"/>
          <w:color w:val="0070C0"/>
          <w:szCs w:val="20"/>
          <w:lang w:eastAsia="zh-CN"/>
        </w:rPr>
      </w:pPr>
    </w:p>
    <w:p w14:paraId="603D0311" w14:textId="7779DF30" w:rsidR="000E7A5A" w:rsidRPr="000C3E6A" w:rsidRDefault="00306071" w:rsidP="00E247FF">
      <w:pPr>
        <w:spacing w:after="0" w:line="276" w:lineRule="auto"/>
        <w:contextualSpacing/>
        <w:jc w:val="both"/>
        <w:rPr>
          <w:rFonts w:cs="Arial"/>
          <w:szCs w:val="20"/>
        </w:rPr>
      </w:pPr>
      <w:r w:rsidRPr="001B04D7">
        <w:rPr>
          <w:rFonts w:eastAsia="SimSun" w:cs="Arial"/>
          <w:szCs w:val="20"/>
          <w:shd w:val="clear" w:color="auto" w:fill="FFFFFF" w:themeFill="background1"/>
          <w:lang w:eastAsia="zh-CN"/>
        </w:rPr>
        <w:t>Do 31. 12. 2024 je OU</w:t>
      </w:r>
      <w:r w:rsidRPr="001B04D7">
        <w:rPr>
          <w:rFonts w:eastAsia="SimSun" w:cs="Arial"/>
          <w:szCs w:val="20"/>
          <w:lang w:eastAsia="zh-CN"/>
        </w:rPr>
        <w:t xml:space="preserve"> izdal</w:t>
      </w:r>
      <w:r w:rsidRPr="000C3E6A">
        <w:rPr>
          <w:rFonts w:eastAsia="SimSun" w:cs="Arial"/>
          <w:szCs w:val="20"/>
          <w:lang w:eastAsia="zh-CN"/>
        </w:rPr>
        <w:t xml:space="preserve"> v okviru PN 10 odločitev o podpori v skupni višini 149 mio EUR EU dela, kar predstavlja 20</w:t>
      </w:r>
      <w:r w:rsidR="006477ED">
        <w:rPr>
          <w:rFonts w:eastAsia="SimSun" w:cs="Arial"/>
          <w:szCs w:val="20"/>
          <w:lang w:eastAsia="zh-CN"/>
        </w:rPr>
        <w:t xml:space="preserve"> </w:t>
      </w:r>
      <w:r w:rsidRPr="000C3E6A">
        <w:rPr>
          <w:rFonts w:eastAsia="SimSun" w:cs="Arial"/>
          <w:szCs w:val="20"/>
          <w:lang w:eastAsia="zh-CN"/>
        </w:rPr>
        <w:t>% glede na pravice porabe. Izplačila iz proračuna RS so znašala v skupni višini 24 mio EUR EU dela, kar predstavlja 3</w:t>
      </w:r>
      <w:r w:rsidR="006477ED">
        <w:rPr>
          <w:rFonts w:eastAsia="SimSun" w:cs="Arial"/>
          <w:szCs w:val="20"/>
          <w:lang w:eastAsia="zh-CN"/>
        </w:rPr>
        <w:t xml:space="preserve"> </w:t>
      </w:r>
      <w:r w:rsidRPr="000C3E6A">
        <w:rPr>
          <w:rFonts w:eastAsia="SimSun" w:cs="Arial"/>
          <w:szCs w:val="20"/>
          <w:lang w:eastAsia="zh-CN"/>
        </w:rPr>
        <w:t xml:space="preserve">% glede na pravice porabe. </w:t>
      </w:r>
    </w:p>
    <w:p w14:paraId="1FAB9AEA" w14:textId="77777777" w:rsidR="000E7A5A" w:rsidRPr="000C3E6A" w:rsidRDefault="000E7A5A" w:rsidP="00E247FF">
      <w:pPr>
        <w:spacing w:after="0" w:line="276" w:lineRule="auto"/>
        <w:contextualSpacing/>
        <w:jc w:val="both"/>
        <w:rPr>
          <w:rFonts w:eastAsia="SimSun" w:cs="Arial"/>
          <w:szCs w:val="20"/>
          <w:lang w:eastAsia="zh-CN"/>
        </w:rPr>
      </w:pPr>
    </w:p>
    <w:p w14:paraId="1562C087" w14:textId="77777777" w:rsidR="000E7A5A" w:rsidRPr="000C3E6A" w:rsidRDefault="00306071" w:rsidP="00E247FF">
      <w:pPr>
        <w:spacing w:after="0" w:line="276" w:lineRule="auto"/>
        <w:contextualSpacing/>
        <w:jc w:val="both"/>
        <w:rPr>
          <w:rFonts w:eastAsia="SimSun" w:cs="Arial"/>
          <w:szCs w:val="20"/>
          <w:lang w:eastAsia="zh-CN"/>
        </w:rPr>
      </w:pPr>
      <w:r w:rsidRPr="000C3E6A">
        <w:rPr>
          <w:rFonts w:eastAsia="SimSun" w:cs="Arial"/>
          <w:szCs w:val="20"/>
          <w:lang w:eastAsia="zh-CN"/>
        </w:rPr>
        <w:t xml:space="preserve">Odločitve o podpori so bile izdane za ukrepe na naslednjih področjih: </w:t>
      </w:r>
    </w:p>
    <w:p w14:paraId="0880B365" w14:textId="77777777" w:rsidR="000E7A5A" w:rsidRPr="000C3E6A" w:rsidRDefault="00306071" w:rsidP="00E247FF">
      <w:pPr>
        <w:pStyle w:val="Odstavekseznama"/>
        <w:numPr>
          <w:ilvl w:val="0"/>
          <w:numId w:val="19"/>
        </w:numPr>
        <w:spacing w:after="0" w:line="276" w:lineRule="auto"/>
        <w:jc w:val="both"/>
        <w:rPr>
          <w:rFonts w:eastAsia="SimSun" w:cs="Arial"/>
          <w:szCs w:val="20"/>
          <w:lang w:eastAsia="zh-CN"/>
        </w:rPr>
      </w:pPr>
      <w:r w:rsidRPr="000C3E6A">
        <w:rPr>
          <w:rFonts w:eastAsia="SimSun" w:cs="Arial"/>
          <w:szCs w:val="20"/>
          <w:lang w:eastAsia="zh-CN"/>
        </w:rPr>
        <w:t>RSO2.1 ESRR in RSO2.2 KS (1 odločitev o podpori): celovita energetska prenova stavb v lasti in rabi občin.</w:t>
      </w:r>
    </w:p>
    <w:p w14:paraId="4C6ECD95" w14:textId="77777777" w:rsidR="000E7A5A" w:rsidRPr="000C3E6A" w:rsidRDefault="00306071" w:rsidP="00E247FF">
      <w:pPr>
        <w:pStyle w:val="Odstavekseznama"/>
        <w:numPr>
          <w:ilvl w:val="0"/>
          <w:numId w:val="19"/>
        </w:numPr>
        <w:spacing w:after="0" w:line="276" w:lineRule="auto"/>
        <w:jc w:val="both"/>
        <w:rPr>
          <w:rFonts w:eastAsia="SimSun" w:cs="Arial"/>
          <w:szCs w:val="20"/>
          <w:lang w:eastAsia="zh-CN"/>
        </w:rPr>
      </w:pPr>
      <w:r w:rsidRPr="000C3E6A">
        <w:rPr>
          <w:rFonts w:eastAsia="SimSun" w:cs="Arial"/>
          <w:szCs w:val="20"/>
          <w:lang w:eastAsia="zh-CN"/>
        </w:rPr>
        <w:t>RSO2.4 ESRR (3 odločitve o podpori): zmanjševanje poplavne ogroženosti v porečju Drave - območje Ptujske Drave; zmanjševanje poplavne ogroženosti ob Dravinji in Polskavi; zmanjševanje poplavne ogroženosti ob Meži in Mislinji.</w:t>
      </w:r>
    </w:p>
    <w:p w14:paraId="51D1A731" w14:textId="77777777" w:rsidR="000E7A5A" w:rsidRPr="000C3E6A" w:rsidRDefault="00306071" w:rsidP="00E247FF">
      <w:pPr>
        <w:pStyle w:val="Odstavekseznama"/>
        <w:numPr>
          <w:ilvl w:val="0"/>
          <w:numId w:val="19"/>
        </w:numPr>
        <w:spacing w:after="0" w:line="276" w:lineRule="auto"/>
        <w:jc w:val="both"/>
        <w:rPr>
          <w:rFonts w:eastAsia="SimSun" w:cs="Arial"/>
          <w:szCs w:val="20"/>
          <w:lang w:eastAsia="zh-CN"/>
        </w:rPr>
      </w:pPr>
      <w:r w:rsidRPr="000C3E6A">
        <w:rPr>
          <w:rFonts w:eastAsia="SimSun" w:cs="Arial"/>
          <w:szCs w:val="20"/>
          <w:lang w:eastAsia="zh-CN"/>
        </w:rPr>
        <w:t xml:space="preserve">RSO2.4 KS (3 odločitve o podpori): nakup letal za vzpostavitev namenske nacionalne primarne zmogljivosti za gašenje požarov iz zraka znotraj meja in zračnega prostora RS; nadgradnja sistema za učinkovitejše opozarjanje državljanov pred vremensko pogojenimi izrednimi razmerami; zmanjševanje poplavne ogroženosti porečja Vipave - Bele in </w:t>
      </w:r>
      <w:proofErr w:type="spellStart"/>
      <w:r w:rsidRPr="000C3E6A">
        <w:rPr>
          <w:rFonts w:eastAsia="SimSun" w:cs="Arial"/>
          <w:szCs w:val="20"/>
          <w:lang w:eastAsia="zh-CN"/>
        </w:rPr>
        <w:t>Vrtojbice</w:t>
      </w:r>
      <w:proofErr w:type="spellEnd"/>
      <w:r w:rsidRPr="000C3E6A">
        <w:rPr>
          <w:rFonts w:eastAsia="SimSun" w:cs="Arial"/>
          <w:szCs w:val="20"/>
          <w:lang w:eastAsia="zh-CN"/>
        </w:rPr>
        <w:t>.</w:t>
      </w:r>
    </w:p>
    <w:p w14:paraId="7307E960" w14:textId="77777777" w:rsidR="000E7A5A" w:rsidRPr="000C3E6A" w:rsidRDefault="00306071" w:rsidP="00E247FF">
      <w:pPr>
        <w:pStyle w:val="Odstavekseznama"/>
        <w:numPr>
          <w:ilvl w:val="0"/>
          <w:numId w:val="19"/>
        </w:numPr>
        <w:spacing w:after="0" w:line="276" w:lineRule="auto"/>
        <w:jc w:val="both"/>
        <w:rPr>
          <w:rFonts w:eastAsia="SimSun" w:cs="Arial"/>
          <w:szCs w:val="20"/>
          <w:lang w:eastAsia="zh-CN"/>
        </w:rPr>
      </w:pPr>
      <w:r w:rsidRPr="000C3E6A">
        <w:rPr>
          <w:rFonts w:eastAsia="SimSun" w:cs="Arial"/>
          <w:szCs w:val="20"/>
          <w:lang w:eastAsia="zh-CN"/>
        </w:rPr>
        <w:t xml:space="preserve">RSO2.6 ESRR (2 odločitvi o podpori): krepitev podpornega okolja za spodbujanje prehoda v </w:t>
      </w:r>
      <w:proofErr w:type="spellStart"/>
      <w:r w:rsidRPr="000C3E6A">
        <w:rPr>
          <w:rFonts w:eastAsia="SimSun" w:cs="Arial"/>
          <w:szCs w:val="20"/>
          <w:lang w:eastAsia="zh-CN"/>
        </w:rPr>
        <w:t>nizkoogljično</w:t>
      </w:r>
      <w:proofErr w:type="spellEnd"/>
      <w:r w:rsidRPr="000C3E6A">
        <w:rPr>
          <w:rFonts w:eastAsia="SimSun" w:cs="Arial"/>
          <w:szCs w:val="20"/>
          <w:lang w:eastAsia="zh-CN"/>
        </w:rPr>
        <w:t xml:space="preserve"> krožno gospodarstvo in družbo z zelenim, ustvarjalnim in pametnim razvojem; razvoj celovitih rešitev preko participativnega eksperimentiranja na področju politik in ukrepov pilotnega inoviranja v javnem sektorju.</w:t>
      </w:r>
    </w:p>
    <w:p w14:paraId="1190FB45" w14:textId="77777777" w:rsidR="000E7A5A" w:rsidRPr="000C3E6A" w:rsidRDefault="00306071" w:rsidP="00E247FF">
      <w:pPr>
        <w:pStyle w:val="Odstavekseznama"/>
        <w:numPr>
          <w:ilvl w:val="0"/>
          <w:numId w:val="19"/>
        </w:numPr>
        <w:spacing w:after="0" w:line="276" w:lineRule="auto"/>
        <w:jc w:val="both"/>
        <w:rPr>
          <w:rFonts w:eastAsia="SimSun" w:cs="Arial"/>
          <w:szCs w:val="20"/>
          <w:lang w:eastAsia="zh-CN"/>
        </w:rPr>
      </w:pPr>
      <w:r w:rsidRPr="000C3E6A">
        <w:rPr>
          <w:rFonts w:eastAsia="SimSun" w:cs="Arial"/>
          <w:szCs w:val="20"/>
          <w:lang w:eastAsia="zh-CN"/>
        </w:rPr>
        <w:t>RSO2.7 KS (1 odločitev o podpori): zagotovitev celovitega spremljanja stanja onesnaženosti zraka.</w:t>
      </w:r>
    </w:p>
    <w:p w14:paraId="02042F0E" w14:textId="77777777" w:rsidR="000E7A5A" w:rsidRPr="000C3E6A" w:rsidRDefault="000E7A5A" w:rsidP="00057C98">
      <w:pPr>
        <w:spacing w:after="0" w:line="276" w:lineRule="auto"/>
        <w:contextualSpacing/>
        <w:jc w:val="both"/>
        <w:rPr>
          <w:rFonts w:eastAsia="SimSun" w:cs="Arial"/>
          <w:szCs w:val="20"/>
          <w:lang w:eastAsia="zh-CN"/>
        </w:rPr>
      </w:pPr>
    </w:p>
    <w:p w14:paraId="6C99B43C" w14:textId="77777777" w:rsidR="00984D97" w:rsidRDefault="4EE128E9" w:rsidP="2EA23F19">
      <w:pPr>
        <w:spacing w:after="0" w:line="276" w:lineRule="auto"/>
        <w:contextualSpacing/>
        <w:jc w:val="both"/>
        <w:rPr>
          <w:rFonts w:eastAsia="SimSun" w:cs="Arial"/>
          <w:lang w:eastAsia="zh-CN"/>
        </w:rPr>
      </w:pPr>
      <w:r w:rsidRPr="00F7FCEE">
        <w:rPr>
          <w:rFonts w:eastAsia="SimSun" w:cs="Arial"/>
          <w:lang w:eastAsia="zh-CN"/>
        </w:rPr>
        <w:t xml:space="preserve">Podatki o stanju izvajanja v celotnem obdobju kažejo, da izvajanje poteka počasneje od načrtovane dinamike in da nekateri mejniki iz okvira smotrnosti ne bodo doseženi do konca leta 2024. Razlog </w:t>
      </w:r>
      <w:r w:rsidR="00984D97">
        <w:rPr>
          <w:rFonts w:eastAsia="SimSun" w:cs="Arial"/>
          <w:lang w:eastAsia="zh-CN"/>
        </w:rPr>
        <w:t>so številni, in sicer:</w:t>
      </w:r>
    </w:p>
    <w:p w14:paraId="6166EE41" w14:textId="789E5126" w:rsidR="00AC4317" w:rsidRDefault="00984D97" w:rsidP="00984D97">
      <w:pPr>
        <w:pStyle w:val="Odstavekseznama"/>
        <w:numPr>
          <w:ilvl w:val="0"/>
          <w:numId w:val="19"/>
        </w:numPr>
        <w:spacing w:after="0" w:line="276" w:lineRule="auto"/>
        <w:jc w:val="both"/>
        <w:rPr>
          <w:rFonts w:eastAsia="SimSun" w:cs="Arial"/>
          <w:lang w:eastAsia="zh-CN"/>
        </w:rPr>
      </w:pPr>
      <w:r>
        <w:rPr>
          <w:rFonts w:eastAsia="SimSun" w:cs="Arial"/>
          <w:lang w:eastAsia="zh-CN"/>
        </w:rPr>
        <w:t xml:space="preserve">katastrofalni poplavni dogodki v letu </w:t>
      </w:r>
      <w:r w:rsidR="00AC4317">
        <w:rPr>
          <w:rFonts w:eastAsia="SimSun" w:cs="Arial"/>
          <w:lang w:eastAsia="zh-CN"/>
        </w:rPr>
        <w:t>2023</w:t>
      </w:r>
      <w:r w:rsidR="00E2741F">
        <w:rPr>
          <w:rFonts w:eastAsia="SimSun" w:cs="Arial"/>
          <w:lang w:eastAsia="zh-CN"/>
        </w:rPr>
        <w:t>, ki</w:t>
      </w:r>
      <w:r w:rsidR="000F0E4D">
        <w:rPr>
          <w:rFonts w:eastAsia="SimSun" w:cs="Arial"/>
          <w:lang w:eastAsia="zh-CN"/>
        </w:rPr>
        <w:t xml:space="preserve"> </w:t>
      </w:r>
      <w:r w:rsidR="000F0E4D" w:rsidRPr="000F0E4D">
        <w:rPr>
          <w:rFonts w:eastAsia="SimSun" w:cs="Arial"/>
          <w:lang w:eastAsia="zh-CN"/>
        </w:rPr>
        <w:t xml:space="preserve">so poleg gospodarske škode povzročili tudi zahteve </w:t>
      </w:r>
      <w:r w:rsidR="000F0E4D">
        <w:rPr>
          <w:rFonts w:eastAsia="SimSun" w:cs="Arial"/>
          <w:lang w:eastAsia="zh-CN"/>
        </w:rPr>
        <w:t>z</w:t>
      </w:r>
      <w:r w:rsidR="000F0E4D" w:rsidRPr="000F0E4D">
        <w:rPr>
          <w:rFonts w:eastAsia="SimSun" w:cs="Arial"/>
          <w:lang w:eastAsia="zh-CN"/>
        </w:rPr>
        <w:t xml:space="preserve">a </w:t>
      </w:r>
      <w:r w:rsidR="000F0E4D">
        <w:rPr>
          <w:rFonts w:eastAsia="SimSun" w:cs="Arial"/>
          <w:lang w:eastAsia="zh-CN"/>
        </w:rPr>
        <w:t xml:space="preserve">ponovno </w:t>
      </w:r>
      <w:r w:rsidR="000F0E4D" w:rsidRPr="000F0E4D">
        <w:rPr>
          <w:rFonts w:eastAsia="SimSun" w:cs="Arial"/>
          <w:lang w:eastAsia="zh-CN"/>
        </w:rPr>
        <w:t>projektiranje in nadgradnjo poplavno zaščitnih ukrepov,</w:t>
      </w:r>
    </w:p>
    <w:p w14:paraId="434B790A" w14:textId="77777777" w:rsidR="00AC4317" w:rsidRPr="00AC4317" w:rsidRDefault="00AC4317" w:rsidP="00AC4317">
      <w:pPr>
        <w:pStyle w:val="Odstavekseznama"/>
        <w:numPr>
          <w:ilvl w:val="0"/>
          <w:numId w:val="19"/>
        </w:numPr>
        <w:spacing w:after="0" w:line="276" w:lineRule="auto"/>
        <w:jc w:val="both"/>
        <w:rPr>
          <w:rFonts w:eastAsia="SimSun" w:cs="Arial"/>
          <w:lang w:eastAsia="zh-CN"/>
        </w:rPr>
      </w:pPr>
      <w:r w:rsidRPr="00AC4317">
        <w:rPr>
          <w:rFonts w:eastAsia="SimSun" w:cs="Arial"/>
          <w:lang w:eastAsia="zh-CN"/>
        </w:rPr>
        <w:t>dolgotrajen proces programiranja ter deloma tudi neustrezno načrtovanje kazalnikov pri pripravi programa,</w:t>
      </w:r>
    </w:p>
    <w:p w14:paraId="416F3CA4" w14:textId="78898C13" w:rsidR="00AC4317" w:rsidRPr="00AC4317" w:rsidRDefault="00E2741F" w:rsidP="00AC4317">
      <w:pPr>
        <w:pStyle w:val="Odstavekseznama"/>
        <w:numPr>
          <w:ilvl w:val="0"/>
          <w:numId w:val="19"/>
        </w:numPr>
        <w:spacing w:after="0" w:line="276" w:lineRule="auto"/>
        <w:jc w:val="both"/>
        <w:rPr>
          <w:rFonts w:eastAsia="SimSun" w:cs="Arial"/>
          <w:lang w:eastAsia="zh-CN"/>
        </w:rPr>
      </w:pPr>
      <w:r>
        <w:rPr>
          <w:rFonts w:eastAsia="SimSun" w:cs="Arial"/>
          <w:lang w:eastAsia="zh-CN"/>
        </w:rPr>
        <w:t xml:space="preserve">zahtevni </w:t>
      </w:r>
      <w:r w:rsidR="00AC4317" w:rsidRPr="00AC4317">
        <w:rPr>
          <w:rFonts w:eastAsia="SimSun" w:cs="Arial"/>
          <w:lang w:eastAsia="zh-CN"/>
        </w:rPr>
        <w:t>postopki za umeščanje objektov v prostor in posledično pripravljenost projektov</w:t>
      </w:r>
      <w:r>
        <w:rPr>
          <w:rFonts w:eastAsia="SimSun" w:cs="Arial"/>
          <w:lang w:eastAsia="zh-CN"/>
        </w:rPr>
        <w:t xml:space="preserve"> predstavljajo veliki izziv pri načrtovanju in izvajanja večjih infrastrukturnih projektov</w:t>
      </w:r>
      <w:r w:rsidR="00AC4317" w:rsidRPr="00AC4317">
        <w:rPr>
          <w:rFonts w:eastAsia="SimSun" w:cs="Arial"/>
          <w:lang w:eastAsia="zh-CN"/>
        </w:rPr>
        <w:t>,</w:t>
      </w:r>
    </w:p>
    <w:p w14:paraId="63762868" w14:textId="7B5C447F" w:rsidR="00AC4317" w:rsidRPr="00AC4317" w:rsidRDefault="00AC4317" w:rsidP="00AC4317">
      <w:pPr>
        <w:pStyle w:val="Odstavekseznama"/>
        <w:numPr>
          <w:ilvl w:val="0"/>
          <w:numId w:val="19"/>
        </w:numPr>
        <w:spacing w:after="0" w:line="276" w:lineRule="auto"/>
        <w:jc w:val="both"/>
        <w:rPr>
          <w:rFonts w:eastAsia="SimSun" w:cs="Arial"/>
          <w:lang w:eastAsia="zh-CN"/>
        </w:rPr>
      </w:pPr>
      <w:r w:rsidRPr="00AC4317">
        <w:rPr>
          <w:rFonts w:eastAsia="SimSun" w:cs="Arial"/>
          <w:lang w:eastAsia="zh-CN"/>
        </w:rPr>
        <w:t xml:space="preserve">novosti tako na nacionalnem zakonodajnem področju (npr. področje učinkovite rabe in obnovljivih virov energije) kot tudi na področju izvajanja </w:t>
      </w:r>
      <w:r w:rsidR="00E2741F">
        <w:rPr>
          <w:rFonts w:eastAsia="SimSun" w:cs="Arial"/>
          <w:lang w:eastAsia="zh-CN"/>
        </w:rPr>
        <w:t>e</w:t>
      </w:r>
      <w:r w:rsidRPr="00AC4317">
        <w:rPr>
          <w:rFonts w:eastAsia="SimSun" w:cs="Arial"/>
          <w:lang w:eastAsia="zh-CN"/>
        </w:rPr>
        <w:t xml:space="preserve">vropske kohezijske politike (npr. </w:t>
      </w:r>
      <w:proofErr w:type="spellStart"/>
      <w:r w:rsidR="00E2741F">
        <w:rPr>
          <w:rFonts w:eastAsia="SimSun" w:cs="Arial"/>
          <w:lang w:eastAsia="zh-CN"/>
        </w:rPr>
        <w:t>Climate</w:t>
      </w:r>
      <w:proofErr w:type="spellEnd"/>
      <w:r w:rsidR="00E2741F">
        <w:rPr>
          <w:rFonts w:eastAsia="SimSun" w:cs="Arial"/>
          <w:lang w:eastAsia="zh-CN"/>
        </w:rPr>
        <w:t xml:space="preserve"> </w:t>
      </w:r>
      <w:proofErr w:type="spellStart"/>
      <w:r w:rsidR="00E2741F">
        <w:rPr>
          <w:rFonts w:eastAsia="SimSun" w:cs="Arial"/>
          <w:lang w:eastAsia="zh-CN"/>
        </w:rPr>
        <w:t>Proofing</w:t>
      </w:r>
      <w:proofErr w:type="spellEnd"/>
      <w:r w:rsidR="00E2741F">
        <w:rPr>
          <w:rFonts w:eastAsia="SimSun" w:cs="Arial"/>
          <w:lang w:eastAsia="zh-CN"/>
        </w:rPr>
        <w:t xml:space="preserve">, </w:t>
      </w:r>
      <w:r w:rsidRPr="00AC4317">
        <w:rPr>
          <w:rFonts w:eastAsia="SimSun" w:cs="Arial"/>
          <w:lang w:eastAsia="zh-CN"/>
        </w:rPr>
        <w:t xml:space="preserve">DNSH) </w:t>
      </w:r>
      <w:r w:rsidR="00E2741F">
        <w:rPr>
          <w:rFonts w:eastAsia="SimSun" w:cs="Arial"/>
          <w:lang w:eastAsia="zh-CN"/>
        </w:rPr>
        <w:t xml:space="preserve">so povzročile zamik </w:t>
      </w:r>
      <w:r w:rsidRPr="00AC4317">
        <w:rPr>
          <w:rFonts w:eastAsia="SimSun" w:cs="Arial"/>
          <w:lang w:eastAsia="zh-CN"/>
        </w:rPr>
        <w:t>začet</w:t>
      </w:r>
      <w:r w:rsidR="00E2741F">
        <w:rPr>
          <w:rFonts w:eastAsia="SimSun" w:cs="Arial"/>
          <w:lang w:eastAsia="zh-CN"/>
        </w:rPr>
        <w:t>ka</w:t>
      </w:r>
      <w:r w:rsidRPr="00AC4317">
        <w:rPr>
          <w:rFonts w:eastAsia="SimSun" w:cs="Arial"/>
          <w:lang w:eastAsia="zh-CN"/>
        </w:rPr>
        <w:t xml:space="preserve"> izvajanja </w:t>
      </w:r>
      <w:r w:rsidR="00E2741F">
        <w:rPr>
          <w:rFonts w:eastAsia="SimSun" w:cs="Arial"/>
          <w:lang w:eastAsia="zh-CN"/>
        </w:rPr>
        <w:t xml:space="preserve">nekaterih </w:t>
      </w:r>
      <w:r w:rsidRPr="00AC4317">
        <w:rPr>
          <w:rFonts w:eastAsia="SimSun" w:cs="Arial"/>
          <w:lang w:eastAsia="zh-CN"/>
        </w:rPr>
        <w:t>ukrepov,</w:t>
      </w:r>
    </w:p>
    <w:p w14:paraId="029F3346" w14:textId="665646E2" w:rsidR="00AC4317" w:rsidRDefault="00AC4317" w:rsidP="00AC4317">
      <w:pPr>
        <w:pStyle w:val="Odstavekseznama"/>
        <w:numPr>
          <w:ilvl w:val="0"/>
          <w:numId w:val="19"/>
        </w:numPr>
        <w:spacing w:after="0" w:line="276" w:lineRule="auto"/>
        <w:jc w:val="both"/>
        <w:rPr>
          <w:rFonts w:eastAsia="SimSun" w:cs="Arial"/>
          <w:lang w:eastAsia="zh-CN"/>
        </w:rPr>
      </w:pPr>
      <w:r w:rsidRPr="00AC4317">
        <w:rPr>
          <w:rFonts w:eastAsia="SimSun" w:cs="Arial"/>
          <w:lang w:eastAsia="zh-CN"/>
        </w:rPr>
        <w:t>kadrovski</w:t>
      </w:r>
      <w:r>
        <w:rPr>
          <w:rFonts w:eastAsia="SimSun" w:cs="Arial"/>
          <w:lang w:eastAsia="zh-CN"/>
        </w:rPr>
        <w:t xml:space="preserve"> primanjkljaj</w:t>
      </w:r>
      <w:r w:rsidR="00E2741F">
        <w:rPr>
          <w:rFonts w:eastAsia="SimSun" w:cs="Arial"/>
          <w:lang w:eastAsia="zh-CN"/>
        </w:rPr>
        <w:t xml:space="preserve"> in posledično bistveno administrativno breme vpliva na nekatere postopke</w:t>
      </w:r>
      <w:r w:rsidRPr="00AC4317">
        <w:rPr>
          <w:rFonts w:eastAsia="SimSun" w:cs="Arial"/>
          <w:lang w:eastAsia="zh-CN"/>
        </w:rPr>
        <w:t xml:space="preserve"> na posredniških telesih, saj kadri, ki opravljajo naloge EKP hkrati opravljajo tudi naloge v okviru izvajanja NOO</w:t>
      </w:r>
      <w:r>
        <w:rPr>
          <w:rFonts w:eastAsia="SimSun" w:cs="Arial"/>
          <w:lang w:eastAsia="zh-CN"/>
        </w:rPr>
        <w:t>.</w:t>
      </w:r>
    </w:p>
    <w:p w14:paraId="60D47152" w14:textId="28B9DF45" w:rsidR="000E7A5A" w:rsidRPr="000C3E6A" w:rsidRDefault="000E7A5A" w:rsidP="00E247FF">
      <w:pPr>
        <w:spacing w:after="0" w:line="276" w:lineRule="auto"/>
        <w:contextualSpacing/>
        <w:jc w:val="both"/>
        <w:rPr>
          <w:rFonts w:eastAsia="SimSun" w:cs="Arial"/>
          <w:color w:val="0070C0"/>
          <w:szCs w:val="20"/>
          <w:lang w:eastAsia="zh-CN"/>
        </w:rPr>
      </w:pPr>
    </w:p>
    <w:p w14:paraId="11F056EE" w14:textId="751DE4E9" w:rsidR="00F233B3" w:rsidRDefault="00F233B3" w:rsidP="00E247FF">
      <w:pPr>
        <w:spacing w:after="0" w:line="276" w:lineRule="auto"/>
        <w:contextualSpacing/>
        <w:jc w:val="both"/>
        <w:rPr>
          <w:rFonts w:eastAsia="SimSun" w:cs="Arial"/>
          <w:szCs w:val="20"/>
          <w:lang w:eastAsia="zh-CN"/>
        </w:rPr>
      </w:pPr>
    </w:p>
    <w:p w14:paraId="244A2575" w14:textId="338E936B" w:rsidR="00AC4317" w:rsidRPr="000C3E6A" w:rsidRDefault="00AC4317" w:rsidP="00E247FF">
      <w:pPr>
        <w:spacing w:after="0" w:line="276" w:lineRule="auto"/>
        <w:contextualSpacing/>
        <w:jc w:val="both"/>
        <w:rPr>
          <w:rFonts w:eastAsia="SimSun" w:cs="Arial"/>
          <w:szCs w:val="20"/>
          <w:lang w:eastAsia="zh-CN"/>
        </w:rPr>
      </w:pPr>
      <w:r w:rsidRPr="00AC4317">
        <w:rPr>
          <w:rFonts w:eastAsia="SimSun" w:cs="Arial"/>
          <w:szCs w:val="20"/>
          <w:lang w:eastAsia="zh-CN"/>
        </w:rPr>
        <w:t xml:space="preserve">Glede na predhodno zapisane razloge za zamik izvajanja načrtovanih ukrepov ter z namenom vključitve platforme STEP v PEKP 21-27 bo </w:t>
      </w:r>
      <w:r>
        <w:rPr>
          <w:rFonts w:eastAsia="SimSun" w:cs="Arial"/>
          <w:szCs w:val="20"/>
          <w:lang w:eastAsia="zh-CN"/>
        </w:rPr>
        <w:t xml:space="preserve">predlog </w:t>
      </w:r>
      <w:r w:rsidRPr="00AC4317">
        <w:rPr>
          <w:rFonts w:eastAsia="SimSun" w:cs="Arial"/>
          <w:szCs w:val="20"/>
          <w:lang w:eastAsia="zh-CN"/>
        </w:rPr>
        <w:t>sprememb</w:t>
      </w:r>
      <w:r>
        <w:rPr>
          <w:rFonts w:eastAsia="SimSun" w:cs="Arial"/>
          <w:szCs w:val="20"/>
          <w:lang w:eastAsia="zh-CN"/>
        </w:rPr>
        <w:t>e</w:t>
      </w:r>
      <w:r w:rsidRPr="00AC4317">
        <w:rPr>
          <w:rFonts w:eastAsia="SimSun" w:cs="Arial"/>
          <w:szCs w:val="20"/>
          <w:lang w:eastAsia="zh-CN"/>
        </w:rPr>
        <w:t xml:space="preserve"> PEKP 21-27</w:t>
      </w:r>
      <w:r>
        <w:rPr>
          <w:rFonts w:eastAsia="SimSun" w:cs="Arial"/>
          <w:szCs w:val="20"/>
          <w:lang w:eastAsia="zh-CN"/>
        </w:rPr>
        <w:t xml:space="preserve"> </w:t>
      </w:r>
      <w:r w:rsidRPr="00AC4317">
        <w:rPr>
          <w:rFonts w:eastAsia="SimSun" w:cs="Arial"/>
          <w:szCs w:val="20"/>
          <w:lang w:eastAsia="zh-CN"/>
        </w:rPr>
        <w:t>vseboval tako spremembe načrtovanih ukrepov kot tudi spremembe kazalnikov.</w:t>
      </w:r>
    </w:p>
    <w:p w14:paraId="6385B438" w14:textId="77777777" w:rsidR="000E7A5A" w:rsidRPr="00F425EA" w:rsidRDefault="000E7A5A" w:rsidP="00E247FF">
      <w:pPr>
        <w:spacing w:after="0" w:line="276" w:lineRule="auto"/>
        <w:contextualSpacing/>
        <w:jc w:val="both"/>
        <w:rPr>
          <w:rFonts w:eastAsia="SimSun" w:cs="Arial"/>
          <w:sz w:val="22"/>
          <w:szCs w:val="22"/>
          <w:lang w:eastAsia="zh-CN"/>
        </w:rPr>
      </w:pPr>
    </w:p>
    <w:p w14:paraId="1B5FAF73" w14:textId="77777777" w:rsidR="000E7A5A" w:rsidRPr="00F425EA" w:rsidRDefault="00306071" w:rsidP="00E76A87">
      <w:pPr>
        <w:pStyle w:val="Naslov3"/>
      </w:pPr>
      <w:bookmarkStart w:id="589" w:name="_Toc980846472"/>
      <w:bookmarkStart w:id="590" w:name="_Toc1847222145"/>
      <w:bookmarkStart w:id="591" w:name="_Toc1334629997"/>
      <w:bookmarkStart w:id="592" w:name="_Toc1762320258"/>
      <w:bookmarkStart w:id="593" w:name="_Toc1569121708"/>
      <w:bookmarkStart w:id="594" w:name="_Toc784045393"/>
      <w:bookmarkStart w:id="595" w:name="_Toc1715888507"/>
      <w:bookmarkStart w:id="596" w:name="_Toc1094943537"/>
      <w:bookmarkStart w:id="597" w:name="_Toc922310274"/>
      <w:bookmarkStart w:id="598" w:name="_Toc1422298847"/>
      <w:bookmarkStart w:id="599" w:name="_Toc310692026"/>
      <w:bookmarkStart w:id="600" w:name="_Toc1032384980"/>
      <w:bookmarkStart w:id="601" w:name="_Toc1772246668"/>
      <w:bookmarkStart w:id="602" w:name="_Toc2082534540"/>
      <w:bookmarkStart w:id="603" w:name="_Toc1402442242"/>
      <w:bookmarkStart w:id="604" w:name="_Toc2115883892"/>
      <w:bookmarkStart w:id="605" w:name="_Toc1384010050"/>
      <w:bookmarkStart w:id="606" w:name="_Toc1272183091"/>
      <w:bookmarkStart w:id="607" w:name="_Toc1543050653"/>
      <w:bookmarkStart w:id="608" w:name="_Toc2033058858"/>
      <w:bookmarkStart w:id="609" w:name="_Toc141604136"/>
      <w:bookmarkStart w:id="610" w:name="_Toc1395570422"/>
      <w:bookmarkStart w:id="611" w:name="_Toc1655148732"/>
      <w:bookmarkStart w:id="612" w:name="_Toc270351834"/>
      <w:bookmarkStart w:id="613" w:name="_Toc1122430438"/>
      <w:bookmarkStart w:id="614" w:name="_Toc2059646828"/>
      <w:bookmarkStart w:id="615" w:name="_Toc2121481247"/>
      <w:bookmarkStart w:id="616" w:name="_Toc1023557554"/>
      <w:bookmarkStart w:id="617" w:name="_Toc92059615"/>
      <w:bookmarkStart w:id="618" w:name="_Toc1195484695"/>
      <w:bookmarkStart w:id="619" w:name="_Toc1136536593"/>
      <w:bookmarkStart w:id="620" w:name="_Toc99123782"/>
      <w:bookmarkStart w:id="621" w:name="_Toc305838317"/>
      <w:bookmarkStart w:id="622" w:name="_Toc3530681"/>
      <w:bookmarkStart w:id="623" w:name="_Toc2140484786"/>
      <w:bookmarkStart w:id="624" w:name="_Toc1787287806"/>
      <w:bookmarkStart w:id="625" w:name="_Toc1469269795"/>
      <w:bookmarkStart w:id="626" w:name="_Toc670384925"/>
      <w:bookmarkStart w:id="627" w:name="_Toc2023367312"/>
      <w:bookmarkStart w:id="628" w:name="_Toc106282788"/>
      <w:bookmarkStart w:id="629" w:name="_Toc2010267232"/>
      <w:bookmarkStart w:id="630" w:name="_Toc26439102"/>
      <w:bookmarkStart w:id="631" w:name="_Toc841012966"/>
      <w:bookmarkStart w:id="632" w:name="_Toc2030159551"/>
      <w:bookmarkStart w:id="633" w:name="_Toc1816056575"/>
      <w:bookmarkStart w:id="634" w:name="_Toc2142568067"/>
      <w:bookmarkStart w:id="635" w:name="_Toc20406889"/>
      <w:bookmarkStart w:id="636" w:name="_Toc1195013445"/>
      <w:bookmarkStart w:id="637" w:name="_Toc1659475106"/>
      <w:bookmarkStart w:id="638" w:name="_Toc2017060079"/>
      <w:bookmarkStart w:id="639" w:name="_Toc160266916"/>
      <w:bookmarkStart w:id="640" w:name="_Toc2014722976"/>
      <w:bookmarkStart w:id="641" w:name="_Toc1506044122"/>
      <w:bookmarkStart w:id="642" w:name="_Toc366072156"/>
      <w:bookmarkStart w:id="643" w:name="_Toc567168545"/>
      <w:bookmarkStart w:id="644" w:name="_Toc184732669"/>
      <w:bookmarkStart w:id="645" w:name="_Toc47597185"/>
      <w:bookmarkStart w:id="646" w:name="_Toc726621313"/>
      <w:bookmarkStart w:id="647" w:name="_Toc1424523791"/>
      <w:bookmarkStart w:id="648" w:name="_Toc351747833"/>
      <w:bookmarkStart w:id="649" w:name="_Toc857607914"/>
      <w:bookmarkStart w:id="650" w:name="_Toc582541735"/>
      <w:bookmarkStart w:id="651" w:name="_Toc84069801"/>
      <w:bookmarkStart w:id="652" w:name="_Toc153343935"/>
      <w:bookmarkStart w:id="653" w:name="_Toc1029658009"/>
      <w:bookmarkStart w:id="654" w:name="_Toc770396759"/>
      <w:bookmarkStart w:id="655" w:name="_Toc1918143366"/>
      <w:bookmarkStart w:id="656" w:name="_Toc473099267"/>
      <w:bookmarkStart w:id="657" w:name="_Toc1855841676"/>
      <w:bookmarkStart w:id="658" w:name="_Toc180583684"/>
      <w:bookmarkStart w:id="659" w:name="_Toc644871434"/>
      <w:bookmarkStart w:id="660" w:name="_Toc462352090"/>
      <w:bookmarkStart w:id="661" w:name="_Toc442895357"/>
      <w:bookmarkStart w:id="662" w:name="_Toc474025856"/>
      <w:bookmarkStart w:id="663" w:name="_Toc604882033"/>
      <w:bookmarkStart w:id="664" w:name="_Toc1058038124"/>
      <w:bookmarkStart w:id="665" w:name="_Toc603452027"/>
      <w:bookmarkStart w:id="666" w:name="_Toc166316708"/>
      <w:bookmarkStart w:id="667" w:name="_Toc323091335"/>
      <w:bookmarkStart w:id="668" w:name="_Toc719042694"/>
      <w:bookmarkStart w:id="669" w:name="_Toc1519316641"/>
      <w:bookmarkStart w:id="670" w:name="_Toc1648996336"/>
      <w:bookmarkStart w:id="671" w:name="_Toc1422305418"/>
      <w:bookmarkStart w:id="672" w:name="_Toc91443650"/>
      <w:bookmarkStart w:id="673" w:name="_Toc187739319"/>
      <w:bookmarkStart w:id="674" w:name="_Toc187740052"/>
      <w:bookmarkStart w:id="675" w:name="_Toc192681985"/>
      <w:r w:rsidRPr="00F425EA">
        <w:t>2.1.4</w:t>
      </w:r>
      <w:r w:rsidRPr="00F425EA">
        <w:tab/>
        <w:t>PN 4: Trajnostna urbana mobilnost</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p w14:paraId="1967CD6D" w14:textId="77777777" w:rsidR="000E7A5A" w:rsidRPr="00F425EA" w:rsidRDefault="000E7A5A" w:rsidP="00367FBF">
      <w:pPr>
        <w:spacing w:after="0" w:line="276" w:lineRule="auto"/>
        <w:rPr>
          <w:rFonts w:cs="Arial"/>
          <w:sz w:val="22"/>
          <w:szCs w:val="22"/>
        </w:rPr>
      </w:pPr>
    </w:p>
    <w:p w14:paraId="3E409268" w14:textId="41A02848" w:rsidR="000E7A5A" w:rsidRPr="00F425EA" w:rsidRDefault="00306071" w:rsidP="005F66E4">
      <w:pPr>
        <w:pStyle w:val="Naslov4"/>
        <w:spacing w:before="0"/>
        <w:rPr>
          <w:lang w:eastAsia="zh-CN"/>
        </w:rPr>
      </w:pPr>
      <w:bookmarkStart w:id="676" w:name="_Toc187739320"/>
      <w:bookmarkStart w:id="677" w:name="_Toc187740053"/>
      <w:r w:rsidRPr="00F425EA">
        <w:rPr>
          <w:lang w:eastAsia="zh-CN"/>
        </w:rPr>
        <w:t xml:space="preserve">2.1.4.1 </w:t>
      </w:r>
      <w:r w:rsidR="000C3E6A" w:rsidRPr="00F425EA">
        <w:rPr>
          <w:lang w:eastAsia="zh-CN"/>
        </w:rPr>
        <w:t>Specifični</w:t>
      </w:r>
      <w:r w:rsidRPr="00F425EA">
        <w:rPr>
          <w:lang w:eastAsia="zh-CN"/>
        </w:rPr>
        <w:t xml:space="preserve"> cilj: RSO2.8. Spodbujanje trajnostne </w:t>
      </w:r>
      <w:proofErr w:type="spellStart"/>
      <w:r w:rsidRPr="00F425EA">
        <w:rPr>
          <w:lang w:eastAsia="zh-CN"/>
        </w:rPr>
        <w:t>večmodalne</w:t>
      </w:r>
      <w:proofErr w:type="spellEnd"/>
      <w:r w:rsidRPr="00F425EA">
        <w:rPr>
          <w:lang w:eastAsia="zh-CN"/>
        </w:rPr>
        <w:t xml:space="preserve"> mestne mobilnosti v okviru prehoda na gospodarstvo z ničelno stopnjo neto emisij ogljika (ESRR)</w:t>
      </w:r>
      <w:bookmarkEnd w:id="676"/>
      <w:bookmarkEnd w:id="677"/>
    </w:p>
    <w:p w14:paraId="4E3D8861" w14:textId="77777777" w:rsidR="000E7A5A" w:rsidRPr="00F425EA" w:rsidRDefault="000E7A5A" w:rsidP="00367FBF">
      <w:pPr>
        <w:spacing w:after="0" w:line="276" w:lineRule="auto"/>
        <w:rPr>
          <w:rFonts w:cs="Arial"/>
        </w:rPr>
      </w:pPr>
    </w:p>
    <w:p w14:paraId="29A5E0F5" w14:textId="77777777" w:rsidR="000E7A5A" w:rsidRPr="000C3E6A" w:rsidRDefault="00306071" w:rsidP="00057C98">
      <w:pPr>
        <w:tabs>
          <w:tab w:val="left" w:pos="1418"/>
        </w:tabs>
        <w:spacing w:after="0" w:line="276" w:lineRule="auto"/>
        <w:jc w:val="both"/>
        <w:rPr>
          <w:rFonts w:cs="Arial"/>
          <w:szCs w:val="20"/>
        </w:rPr>
      </w:pPr>
      <w:r w:rsidRPr="000C3E6A">
        <w:rPr>
          <w:rFonts w:cs="Arial"/>
          <w:szCs w:val="20"/>
        </w:rPr>
        <w:t xml:space="preserve">Specifični cilj je namenjen investicijam na področju trajnostne urbane mobilnosti, ki bodo pripomogle k dvigu deleža trajnostnih prometnih načinov v dnevnih migracijah prebivalstva ter zmanjšanju emisij TGP. Pri tem ima ključno vlogo izboljšanje JPP in izboljšanje povezanosti med različnimi prometnimi sistemi. Hkrati so ukrepi usmerjeni v povečanje uporabe vozil na alternativne energente tako med zasebnimi uporabniki, </w:t>
      </w:r>
      <w:r w:rsidRPr="000C3E6A">
        <w:rPr>
          <w:rFonts w:cs="Arial"/>
          <w:szCs w:val="20"/>
        </w:rPr>
        <w:lastRenderedPageBreak/>
        <w:t xml:space="preserve">gospodarskimi in javnimi subjekti. Poleg ukrepov za izboljšanje javnega potniškega prometa z uvajanjem </w:t>
      </w:r>
      <w:proofErr w:type="spellStart"/>
      <w:r w:rsidRPr="000C3E6A">
        <w:rPr>
          <w:rFonts w:cs="Arial"/>
          <w:szCs w:val="20"/>
        </w:rPr>
        <w:t>brezemisijskih</w:t>
      </w:r>
      <w:proofErr w:type="spellEnd"/>
      <w:r w:rsidRPr="000C3E6A">
        <w:rPr>
          <w:rFonts w:cs="Arial"/>
          <w:szCs w:val="20"/>
        </w:rPr>
        <w:t xml:space="preserve"> vozil je ključno zagotavljanje ustrezne polnilne infrastrukture za alternativne energente za različne vrste vozil (e-kolesa, osebni avtomobili, gospodarska vozila, idr.). Preusmeritev k trajnostni mobilnosti pomembno prispeva k zmanjšanju hrupa, raznih onesnaževal in preoblikovanju prostora, kot tudi drugih </w:t>
      </w:r>
      <w:proofErr w:type="spellStart"/>
      <w:r w:rsidRPr="000C3E6A">
        <w:rPr>
          <w:rFonts w:cs="Arial"/>
          <w:szCs w:val="20"/>
        </w:rPr>
        <w:t>okoljskih</w:t>
      </w:r>
      <w:proofErr w:type="spellEnd"/>
      <w:r w:rsidRPr="000C3E6A">
        <w:rPr>
          <w:rFonts w:cs="Arial"/>
          <w:szCs w:val="20"/>
        </w:rPr>
        <w:t xml:space="preserve"> pritiskov in zdravstvenih tveganj, s tem pa prispeva k boljši kvaliteti življenja, zlasti v mestih.</w:t>
      </w:r>
    </w:p>
    <w:p w14:paraId="6DA77BA1" w14:textId="77777777" w:rsidR="006F0DAC" w:rsidRPr="000C3E6A" w:rsidRDefault="006F0DAC" w:rsidP="00E247FF">
      <w:pPr>
        <w:spacing w:after="0" w:line="276" w:lineRule="auto"/>
        <w:jc w:val="both"/>
        <w:rPr>
          <w:rFonts w:cs="Arial"/>
          <w:szCs w:val="20"/>
        </w:rPr>
      </w:pPr>
    </w:p>
    <w:p w14:paraId="202B8BA7" w14:textId="77777777" w:rsidR="000E7A5A" w:rsidRDefault="00306071" w:rsidP="006477ED">
      <w:pPr>
        <w:spacing w:after="0" w:line="276" w:lineRule="auto"/>
        <w:jc w:val="both"/>
        <w:rPr>
          <w:rFonts w:cs="Arial"/>
          <w:szCs w:val="20"/>
        </w:rPr>
      </w:pPr>
      <w:r w:rsidRPr="000C3E6A">
        <w:rPr>
          <w:rFonts w:cs="Arial"/>
          <w:szCs w:val="20"/>
        </w:rPr>
        <w:t>Ukrepi so osredotočeni na:</w:t>
      </w:r>
    </w:p>
    <w:p w14:paraId="41994E33" w14:textId="77777777" w:rsidR="000E7A5A" w:rsidRPr="00C57B56" w:rsidRDefault="00306071" w:rsidP="006477ED">
      <w:pPr>
        <w:numPr>
          <w:ilvl w:val="1"/>
          <w:numId w:val="15"/>
        </w:numPr>
        <w:spacing w:after="0" w:line="276" w:lineRule="auto"/>
        <w:ind w:left="709"/>
        <w:jc w:val="both"/>
        <w:rPr>
          <w:rFonts w:cs="Arial"/>
          <w:i/>
          <w:iCs/>
          <w:szCs w:val="20"/>
        </w:rPr>
      </w:pPr>
      <w:r w:rsidRPr="000C3E6A">
        <w:rPr>
          <w:rFonts w:cs="Arial"/>
          <w:i/>
          <w:iCs/>
          <w:szCs w:val="20"/>
          <w:u w:val="single"/>
        </w:rPr>
        <w:t>infrastruktura za trajnostno mobilnost v urbanih območjih</w:t>
      </w:r>
      <w:r w:rsidRPr="00C57B56">
        <w:rPr>
          <w:rFonts w:cs="Arial"/>
          <w:i/>
          <w:iCs/>
          <w:szCs w:val="20"/>
        </w:rPr>
        <w:t xml:space="preserve"> (investicije v gradnjo in prilagoditev prometnih površin za trajnostne prometne načine; investicije v digitalizacijo za trajnostno mobilnost);</w:t>
      </w:r>
    </w:p>
    <w:p w14:paraId="3159CDC6" w14:textId="77777777" w:rsidR="000E7A5A" w:rsidRPr="000C3E6A" w:rsidRDefault="00306071" w:rsidP="006477ED">
      <w:pPr>
        <w:numPr>
          <w:ilvl w:val="1"/>
          <w:numId w:val="15"/>
        </w:numPr>
        <w:spacing w:after="0" w:line="276" w:lineRule="auto"/>
        <w:ind w:left="709"/>
        <w:jc w:val="both"/>
        <w:rPr>
          <w:rFonts w:cs="Arial"/>
          <w:szCs w:val="20"/>
        </w:rPr>
      </w:pPr>
      <w:r w:rsidRPr="000C3E6A">
        <w:rPr>
          <w:rFonts w:cs="Arial"/>
          <w:i/>
          <w:iCs/>
          <w:szCs w:val="20"/>
          <w:u w:val="single"/>
        </w:rPr>
        <w:t>spodbujanje uporabe alternativnih goriv v mestih (vozila JPP na elektriko ali vodik in polnilna infrastruktura v javni lasti)</w:t>
      </w:r>
      <w:r w:rsidRPr="000C3E6A">
        <w:rPr>
          <w:rFonts w:cs="Arial"/>
          <w:szCs w:val="20"/>
        </w:rPr>
        <w:t>.</w:t>
      </w:r>
    </w:p>
    <w:p w14:paraId="5D37F733" w14:textId="77777777" w:rsidR="000E7A5A" w:rsidRPr="00F425EA" w:rsidRDefault="000E7A5A" w:rsidP="00367FBF">
      <w:pPr>
        <w:spacing w:after="0" w:line="276" w:lineRule="auto"/>
        <w:jc w:val="both"/>
        <w:rPr>
          <w:rFonts w:cs="Arial"/>
          <w:sz w:val="22"/>
          <w:szCs w:val="22"/>
        </w:rPr>
      </w:pPr>
    </w:p>
    <w:p w14:paraId="4A163F98" w14:textId="77777777" w:rsidR="000E7A5A" w:rsidRPr="00F425EA" w:rsidRDefault="00306071" w:rsidP="005F66E4">
      <w:pPr>
        <w:pStyle w:val="Naslov4"/>
        <w:spacing w:before="0"/>
      </w:pPr>
      <w:bookmarkStart w:id="678" w:name="_Toc187739321"/>
      <w:bookmarkStart w:id="679" w:name="_Toc187740054"/>
      <w:r w:rsidRPr="00F425EA">
        <w:t>2.1.4.2 Trenutno stanje izvajanja na prednostni nalogi 4: stanje NPO in JR ter morebitne težave in izzivi</w:t>
      </w:r>
      <w:bookmarkEnd w:id="678"/>
      <w:bookmarkEnd w:id="679"/>
    </w:p>
    <w:p w14:paraId="529278F8" w14:textId="77777777" w:rsidR="000E7A5A" w:rsidRPr="00057C98" w:rsidRDefault="000E7A5A" w:rsidP="00E247FF">
      <w:pPr>
        <w:spacing w:after="0" w:line="276" w:lineRule="auto"/>
        <w:jc w:val="both"/>
        <w:rPr>
          <w:rFonts w:cs="Arial"/>
          <w:color w:val="0070C0"/>
          <w:szCs w:val="20"/>
          <w:shd w:val="clear" w:color="auto" w:fill="00FF00"/>
        </w:rPr>
      </w:pPr>
    </w:p>
    <w:p w14:paraId="58379843" w14:textId="77777777" w:rsidR="000E7A5A" w:rsidRPr="00286789" w:rsidRDefault="00306071" w:rsidP="00E247FF">
      <w:pPr>
        <w:spacing w:after="0" w:line="276" w:lineRule="auto"/>
        <w:jc w:val="both"/>
        <w:rPr>
          <w:rFonts w:cs="Arial"/>
          <w:szCs w:val="20"/>
        </w:rPr>
      </w:pPr>
      <w:r w:rsidRPr="001B04D7">
        <w:rPr>
          <w:rFonts w:cs="Arial"/>
          <w:szCs w:val="20"/>
          <w:shd w:val="clear" w:color="auto" w:fill="FFFFFF" w:themeFill="background1"/>
        </w:rPr>
        <w:t>Do 31. 12. 2024 OU ni izdal nobene</w:t>
      </w:r>
      <w:r w:rsidRPr="00286789">
        <w:rPr>
          <w:rFonts w:cs="Arial"/>
          <w:szCs w:val="20"/>
        </w:rPr>
        <w:t xml:space="preserve"> odločitve o podpori v okviru PN. </w:t>
      </w:r>
    </w:p>
    <w:p w14:paraId="67D917D5" w14:textId="77777777" w:rsidR="000E7A5A" w:rsidRPr="00286789" w:rsidRDefault="00306071" w:rsidP="00E247FF">
      <w:pPr>
        <w:spacing w:after="0" w:line="276" w:lineRule="auto"/>
        <w:jc w:val="both"/>
        <w:rPr>
          <w:rFonts w:cs="Arial"/>
          <w:szCs w:val="20"/>
        </w:rPr>
      </w:pPr>
      <w:r w:rsidRPr="00286789">
        <w:rPr>
          <w:rFonts w:cs="Arial"/>
          <w:szCs w:val="20"/>
        </w:rPr>
        <w:t xml:space="preserve"> </w:t>
      </w:r>
    </w:p>
    <w:p w14:paraId="68724B88" w14:textId="77777777" w:rsidR="00F233B3" w:rsidRDefault="00F233B3" w:rsidP="00E247FF">
      <w:pPr>
        <w:spacing w:after="0" w:line="276" w:lineRule="auto"/>
        <w:jc w:val="both"/>
        <w:rPr>
          <w:rFonts w:cs="Arial"/>
          <w:szCs w:val="20"/>
        </w:rPr>
      </w:pPr>
      <w:r w:rsidRPr="00F233B3">
        <w:rPr>
          <w:rFonts w:cs="Arial"/>
          <w:szCs w:val="20"/>
        </w:rPr>
        <w:t xml:space="preserve">Celotna PN se izvaja v okviru mehanizma CTN, ki se izvaja v 2 fazah. V novembru 2023 se je začela prva faza z objavo prvega povabila za izbor operacij. V marcu 2024 je bil objavljen seznami izbranih operacij.  V letu 2024 je potekala priprava vlog za odločitev o podpori na strani upravičencev ter usklajevanje vlog s PT MOPE. </w:t>
      </w:r>
    </w:p>
    <w:p w14:paraId="6B15C0EB" w14:textId="77777777" w:rsidR="00F233B3" w:rsidRDefault="00F233B3" w:rsidP="00E247FF">
      <w:pPr>
        <w:spacing w:after="0" w:line="276" w:lineRule="auto"/>
        <w:jc w:val="both"/>
        <w:rPr>
          <w:rFonts w:cs="Arial"/>
          <w:szCs w:val="20"/>
        </w:rPr>
      </w:pPr>
    </w:p>
    <w:p w14:paraId="0E7429E3" w14:textId="16E3B0D7" w:rsidR="000E7A5A" w:rsidRDefault="00F233B3" w:rsidP="00E247FF">
      <w:pPr>
        <w:spacing w:after="0" w:line="276" w:lineRule="auto"/>
        <w:jc w:val="both"/>
        <w:rPr>
          <w:rFonts w:cs="Arial"/>
          <w:szCs w:val="20"/>
        </w:rPr>
      </w:pPr>
      <w:r w:rsidRPr="00F233B3">
        <w:rPr>
          <w:rFonts w:cs="Arial"/>
          <w:szCs w:val="20"/>
        </w:rPr>
        <w:t>Začetek izvajanja ukrepov je načrtovan v letu 2025.  Kljub poznemu začetku izvajanja mehanizma CTN so načrtovani cilji do konca izvajanja PEKP 21–27 realni in dosegljivi, razen kazalnikov, katerih vrednost se lahko spremeni v procesu spremembe PEKP 21–27.</w:t>
      </w:r>
    </w:p>
    <w:p w14:paraId="67737316" w14:textId="77777777" w:rsidR="00F233B3" w:rsidRPr="00286789" w:rsidRDefault="00F233B3" w:rsidP="00E247FF">
      <w:pPr>
        <w:spacing w:after="0" w:line="276" w:lineRule="auto"/>
        <w:jc w:val="both"/>
        <w:rPr>
          <w:rFonts w:cs="Arial"/>
          <w:szCs w:val="20"/>
        </w:rPr>
      </w:pPr>
    </w:p>
    <w:p w14:paraId="55FF194B" w14:textId="2F2A61B5" w:rsidR="00C1620A" w:rsidRPr="00053575" w:rsidRDefault="00C1620A" w:rsidP="00E247FF">
      <w:pPr>
        <w:spacing w:after="0" w:line="276" w:lineRule="auto"/>
        <w:jc w:val="both"/>
        <w:rPr>
          <w:rFonts w:cs="Arial"/>
          <w:color w:val="0070C0"/>
          <w:szCs w:val="20"/>
        </w:rPr>
      </w:pPr>
    </w:p>
    <w:p w14:paraId="2F3A06DA" w14:textId="77777777" w:rsidR="000E7A5A" w:rsidRPr="00F425EA" w:rsidRDefault="00306071" w:rsidP="00E76A87">
      <w:pPr>
        <w:pStyle w:val="Naslov3"/>
      </w:pPr>
      <w:bookmarkStart w:id="680" w:name="_Toc540887741"/>
      <w:bookmarkStart w:id="681" w:name="_Toc111437855"/>
      <w:bookmarkStart w:id="682" w:name="_Toc1007595771"/>
      <w:bookmarkStart w:id="683" w:name="_Toc1933437"/>
      <w:bookmarkStart w:id="684" w:name="_Toc391638302"/>
      <w:bookmarkStart w:id="685" w:name="_Toc2008252136"/>
      <w:bookmarkStart w:id="686" w:name="_Toc1009817945"/>
      <w:bookmarkStart w:id="687" w:name="_Toc116618367"/>
      <w:bookmarkStart w:id="688" w:name="_Toc2002053200"/>
      <w:bookmarkStart w:id="689" w:name="_Toc1456236304"/>
      <w:bookmarkStart w:id="690" w:name="_Toc942924339"/>
      <w:bookmarkStart w:id="691" w:name="_Toc854688245"/>
      <w:bookmarkStart w:id="692" w:name="_Toc1992890396"/>
      <w:bookmarkStart w:id="693" w:name="_Toc1339190245"/>
      <w:bookmarkStart w:id="694" w:name="_Toc522130486"/>
      <w:bookmarkStart w:id="695" w:name="_Toc2023109179"/>
      <w:bookmarkStart w:id="696" w:name="_Toc215769333"/>
      <w:bookmarkStart w:id="697" w:name="_Toc804432473"/>
      <w:bookmarkStart w:id="698" w:name="_Toc1950945863"/>
      <w:bookmarkStart w:id="699" w:name="_Toc1151739249"/>
      <w:bookmarkStart w:id="700" w:name="_Toc710360994"/>
      <w:bookmarkStart w:id="701" w:name="_Toc1411043205"/>
      <w:bookmarkStart w:id="702" w:name="_Toc202537344"/>
      <w:bookmarkStart w:id="703" w:name="_Toc135802213"/>
      <w:bookmarkStart w:id="704" w:name="_Toc810952486"/>
      <w:bookmarkStart w:id="705" w:name="_Toc1399544525"/>
      <w:bookmarkStart w:id="706" w:name="_Toc260679283"/>
      <w:bookmarkStart w:id="707" w:name="_Toc1487108874"/>
      <w:bookmarkStart w:id="708" w:name="_Toc1526366482"/>
      <w:bookmarkStart w:id="709" w:name="_Toc172085260"/>
      <w:bookmarkStart w:id="710" w:name="_Toc11145954"/>
      <w:bookmarkStart w:id="711" w:name="_Toc1912210124"/>
      <w:bookmarkStart w:id="712" w:name="_Toc1546209145"/>
      <w:bookmarkStart w:id="713" w:name="_Toc290206414"/>
      <w:bookmarkStart w:id="714" w:name="_Toc1267227677"/>
      <w:bookmarkStart w:id="715" w:name="_Toc819892465"/>
      <w:bookmarkStart w:id="716" w:name="_Toc291617311"/>
      <w:bookmarkStart w:id="717" w:name="_Toc1554120827"/>
      <w:bookmarkStart w:id="718" w:name="_Toc1426023286"/>
      <w:bookmarkStart w:id="719" w:name="_Toc1889321420"/>
      <w:bookmarkStart w:id="720" w:name="_Toc804219056"/>
      <w:bookmarkStart w:id="721" w:name="_Toc1900879452"/>
      <w:bookmarkStart w:id="722" w:name="_Toc987586256"/>
      <w:bookmarkStart w:id="723" w:name="_Toc1823406807"/>
      <w:bookmarkStart w:id="724" w:name="_Toc327433553"/>
      <w:bookmarkStart w:id="725" w:name="_Toc558078616"/>
      <w:bookmarkStart w:id="726" w:name="_Toc1100441974"/>
      <w:bookmarkStart w:id="727" w:name="_Toc1940417663"/>
      <w:bookmarkStart w:id="728" w:name="_Toc1033420926"/>
      <w:bookmarkStart w:id="729" w:name="_Toc875292896"/>
      <w:bookmarkStart w:id="730" w:name="_Toc38228634"/>
      <w:bookmarkStart w:id="731" w:name="_Toc1092927651"/>
      <w:bookmarkStart w:id="732" w:name="_Toc550900990"/>
      <w:bookmarkStart w:id="733" w:name="_Toc1441844287"/>
      <w:bookmarkStart w:id="734" w:name="_Toc1851496196"/>
      <w:bookmarkStart w:id="735" w:name="_Toc1121270027"/>
      <w:bookmarkStart w:id="736" w:name="_Toc2031148560"/>
      <w:bookmarkStart w:id="737" w:name="_Toc1818983769"/>
      <w:bookmarkStart w:id="738" w:name="_Toc44202405"/>
      <w:bookmarkStart w:id="739" w:name="_Toc708285821"/>
      <w:bookmarkStart w:id="740" w:name="_Toc727927662"/>
      <w:bookmarkStart w:id="741" w:name="_Toc1734032457"/>
      <w:bookmarkStart w:id="742" w:name="_Toc642384947"/>
      <w:bookmarkStart w:id="743" w:name="_Toc1219628328"/>
      <w:bookmarkStart w:id="744" w:name="_Toc1295276291"/>
      <w:bookmarkStart w:id="745" w:name="_Toc494874534"/>
      <w:bookmarkStart w:id="746" w:name="_Toc894235659"/>
      <w:bookmarkStart w:id="747" w:name="_Toc698146928"/>
      <w:bookmarkStart w:id="748" w:name="_Toc878217502"/>
      <w:bookmarkStart w:id="749" w:name="_Toc2124974473"/>
      <w:bookmarkStart w:id="750" w:name="_Toc1329539668"/>
      <w:bookmarkStart w:id="751" w:name="_Toc1285167760"/>
      <w:bookmarkStart w:id="752" w:name="_Toc1576462578"/>
      <w:bookmarkStart w:id="753" w:name="_Toc96195196"/>
      <w:bookmarkStart w:id="754" w:name="_Toc1674460288"/>
      <w:bookmarkStart w:id="755" w:name="_Toc1343308789"/>
      <w:bookmarkStart w:id="756" w:name="_Toc94318485"/>
      <w:bookmarkStart w:id="757" w:name="_Toc1194864961"/>
      <w:bookmarkStart w:id="758" w:name="_Toc903139430"/>
      <w:bookmarkStart w:id="759" w:name="_Toc1492371767"/>
      <w:bookmarkStart w:id="760" w:name="_Toc523844788"/>
      <w:bookmarkStart w:id="761" w:name="_Toc254131800"/>
      <w:bookmarkStart w:id="762" w:name="_Toc1216304863"/>
      <w:bookmarkStart w:id="763" w:name="_Toc1169378374"/>
      <w:bookmarkStart w:id="764" w:name="_Toc187739322"/>
      <w:bookmarkStart w:id="765" w:name="_Toc187740055"/>
      <w:bookmarkStart w:id="766" w:name="_Toc192681986"/>
      <w:r w:rsidRPr="00F425EA">
        <w:t>2.1.5</w:t>
      </w:r>
      <w:r w:rsidRPr="00F425EA">
        <w:tab/>
        <w:t>PN 5: Trajnostna (čez)regionalna mobilnost in povezljivost</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p>
    <w:p w14:paraId="201E9FC8" w14:textId="77777777" w:rsidR="000E7A5A" w:rsidRPr="00331137" w:rsidRDefault="000E7A5A" w:rsidP="00E247FF">
      <w:pPr>
        <w:spacing w:after="0" w:line="276" w:lineRule="auto"/>
        <w:contextualSpacing/>
        <w:jc w:val="both"/>
        <w:rPr>
          <w:rFonts w:eastAsia="SimSun" w:cs="Arial"/>
          <w:szCs w:val="20"/>
          <w:lang w:eastAsia="zh-CN"/>
        </w:rPr>
      </w:pPr>
    </w:p>
    <w:p w14:paraId="51E481A3" w14:textId="77777777" w:rsidR="000E7A5A" w:rsidRPr="007E18A1" w:rsidRDefault="00306071" w:rsidP="005F66E4">
      <w:pPr>
        <w:pStyle w:val="Naslov4"/>
        <w:spacing w:before="0"/>
        <w:rPr>
          <w:sz w:val="20"/>
          <w:szCs w:val="22"/>
          <w:lang w:eastAsia="zh-CN"/>
        </w:rPr>
      </w:pPr>
      <w:bookmarkStart w:id="767" w:name="_Toc187739323"/>
      <w:bookmarkStart w:id="768" w:name="_Toc187740056"/>
      <w:r w:rsidRPr="00F425EA">
        <w:rPr>
          <w:lang w:eastAsia="zh-CN"/>
        </w:rPr>
        <w:t xml:space="preserve">2.1.5.1 Specifični cilj: RSO3.1. Razvoj pametnega, varnega, trajnostnega in </w:t>
      </w:r>
      <w:proofErr w:type="spellStart"/>
      <w:r w:rsidRPr="00F425EA">
        <w:rPr>
          <w:lang w:eastAsia="zh-CN"/>
        </w:rPr>
        <w:t>intermodalnega</w:t>
      </w:r>
      <w:proofErr w:type="spellEnd"/>
      <w:r w:rsidRPr="00F425EA">
        <w:rPr>
          <w:lang w:eastAsia="zh-CN"/>
        </w:rPr>
        <w:t xml:space="preserve"> omrežja TEN-T, odpornega proti podnebnim spremembam (Kohezijski sklad)</w:t>
      </w:r>
      <w:bookmarkEnd w:id="767"/>
      <w:bookmarkEnd w:id="768"/>
      <w:r w:rsidRPr="00F425EA">
        <w:rPr>
          <w:lang w:eastAsia="zh-CN"/>
        </w:rPr>
        <w:br/>
      </w:r>
    </w:p>
    <w:p w14:paraId="428A1390" w14:textId="77777777" w:rsidR="000E7A5A" w:rsidRPr="00286789" w:rsidRDefault="00306071" w:rsidP="00E247FF">
      <w:pPr>
        <w:spacing w:after="0" w:line="276" w:lineRule="auto"/>
        <w:contextualSpacing/>
        <w:jc w:val="both"/>
        <w:rPr>
          <w:rFonts w:eastAsia="SimSun" w:cs="Arial"/>
          <w:szCs w:val="20"/>
          <w:lang w:eastAsia="zh-CN"/>
        </w:rPr>
      </w:pPr>
      <w:r w:rsidRPr="00286789">
        <w:rPr>
          <w:rFonts w:eastAsia="SimSun" w:cs="Arial"/>
          <w:szCs w:val="20"/>
          <w:lang w:eastAsia="zh-CN"/>
        </w:rPr>
        <w:t xml:space="preserve">Specifični cilj je namenjen prispevanju k zmanjšanju emisij TPG v najbolj ključnem sektorju, to je prometu. Ukrepi temeljijo na posebnem analitičnem instrumentu, nacionalnem prometnem modelu, ki upošteva sedanjo in prihodnjo ponudbo prometnih omrežij ter sedanje in pričakovano prihodnje prometno povpraševanje. Izbrani so ukrepi, ki imajo poleg nacionalnega strateškega pomena tudi visoko evropsko dodano vrednost, saj prestavljajo pomembne odseke na TEN-T omrežju. V prvi vrsti so vlaganja namenjena v posodobitev železniške infrastrukture na sredozemskem in baltsko-jadranskem koridorju, s katero se prispeva k izpolnjevanju zavez, ki izhajajo iz evropske TEN-T uredbe. To so ukrepi, ki se nanašajo ne le na infrastrukturo, temveč tudi na organizacijo, vodenje prometa in prometno varnost. </w:t>
      </w:r>
      <w:r w:rsidRPr="00286789">
        <w:rPr>
          <w:rFonts w:eastAsia="SimSun" w:cs="Arial"/>
          <w:szCs w:val="20"/>
          <w:lang w:eastAsia="zh-CN"/>
        </w:rPr>
        <w:br/>
      </w:r>
    </w:p>
    <w:p w14:paraId="75BE224D" w14:textId="33BE7B1F" w:rsidR="006477ED" w:rsidRPr="00286789" w:rsidRDefault="00306071" w:rsidP="00E247FF">
      <w:pPr>
        <w:spacing w:after="0" w:line="276" w:lineRule="auto"/>
        <w:contextualSpacing/>
        <w:jc w:val="both"/>
        <w:rPr>
          <w:rFonts w:eastAsia="SimSun" w:cs="Arial"/>
          <w:szCs w:val="20"/>
          <w:lang w:eastAsia="zh-CN"/>
        </w:rPr>
      </w:pPr>
      <w:r w:rsidRPr="00286789">
        <w:rPr>
          <w:rFonts w:eastAsia="SimSun" w:cs="Arial"/>
          <w:szCs w:val="20"/>
          <w:lang w:eastAsia="zh-CN"/>
        </w:rPr>
        <w:t>Ukrepi so osredotočeni na:</w:t>
      </w:r>
    </w:p>
    <w:p w14:paraId="6EF98398" w14:textId="77777777" w:rsidR="000E7A5A" w:rsidRPr="00286789" w:rsidRDefault="00306071" w:rsidP="00E247FF">
      <w:pPr>
        <w:numPr>
          <w:ilvl w:val="1"/>
          <w:numId w:val="15"/>
        </w:numPr>
        <w:spacing w:after="0" w:line="276" w:lineRule="auto"/>
        <w:ind w:left="709"/>
        <w:contextualSpacing/>
        <w:jc w:val="both"/>
        <w:rPr>
          <w:rFonts w:cs="Arial"/>
          <w:szCs w:val="20"/>
        </w:rPr>
      </w:pPr>
      <w:r w:rsidRPr="00286789">
        <w:rPr>
          <w:rFonts w:eastAsia="SimSun" w:cs="Arial"/>
          <w:i/>
          <w:iCs/>
          <w:szCs w:val="20"/>
          <w:u w:val="single"/>
          <w:lang w:eastAsia="zh-CN"/>
        </w:rPr>
        <w:t>investicije v posodobitev in nadgradnjo železniškega omrežja TEN-T za izboljšanje učinkovitosti prevoza potnikov in tovora za doseganje TEN-T standardov ter umik tranzitnega tovornega prometa iz središč mest in urbanih naselij</w:t>
      </w:r>
      <w:r w:rsidRPr="00286789">
        <w:rPr>
          <w:rFonts w:eastAsia="SimSun" w:cs="Arial"/>
          <w:szCs w:val="20"/>
          <w:lang w:eastAsia="zh-CN"/>
        </w:rPr>
        <w:t>;</w:t>
      </w:r>
    </w:p>
    <w:p w14:paraId="5B1CE8CA" w14:textId="0FF72E53" w:rsidR="000E7A5A" w:rsidRPr="00286789" w:rsidRDefault="00306071" w:rsidP="00E247FF">
      <w:pPr>
        <w:numPr>
          <w:ilvl w:val="1"/>
          <w:numId w:val="15"/>
        </w:numPr>
        <w:spacing w:after="0" w:line="276" w:lineRule="auto"/>
        <w:ind w:left="709"/>
        <w:contextualSpacing/>
        <w:jc w:val="both"/>
        <w:rPr>
          <w:rFonts w:eastAsia="SimSun" w:cs="Arial"/>
          <w:i/>
          <w:iCs/>
          <w:szCs w:val="20"/>
          <w:u w:val="single"/>
          <w:lang w:eastAsia="zh-CN"/>
        </w:rPr>
      </w:pPr>
      <w:r w:rsidRPr="00286789">
        <w:rPr>
          <w:rFonts w:eastAsia="SimSun" w:cs="Arial"/>
          <w:i/>
          <w:iCs/>
          <w:szCs w:val="20"/>
          <w:u w:val="single"/>
          <w:lang w:eastAsia="zh-CN"/>
        </w:rPr>
        <w:t xml:space="preserve">projekte na državnih cestah na podlagi njihovega pozitivnega vpliva na prometno varnost. </w:t>
      </w:r>
    </w:p>
    <w:p w14:paraId="7F1B8125" w14:textId="77777777" w:rsidR="000E7A5A" w:rsidRPr="00F425EA" w:rsidRDefault="000E7A5A" w:rsidP="00E247FF">
      <w:pPr>
        <w:spacing w:after="0" w:line="276" w:lineRule="auto"/>
        <w:contextualSpacing/>
        <w:jc w:val="both"/>
        <w:rPr>
          <w:rFonts w:eastAsia="SimSun" w:cs="Arial"/>
          <w:sz w:val="22"/>
          <w:szCs w:val="22"/>
          <w:lang w:eastAsia="zh-CN"/>
        </w:rPr>
      </w:pPr>
    </w:p>
    <w:p w14:paraId="093FCBCD" w14:textId="6E9AF6F8" w:rsidR="000E7A5A" w:rsidRPr="00F425EA" w:rsidRDefault="00306071" w:rsidP="005F66E4">
      <w:pPr>
        <w:pStyle w:val="Naslov4"/>
        <w:spacing w:before="0"/>
        <w:rPr>
          <w:lang w:eastAsia="zh-CN"/>
        </w:rPr>
      </w:pPr>
      <w:bookmarkStart w:id="769" w:name="_Toc187739324"/>
      <w:bookmarkStart w:id="770" w:name="_Toc187740057"/>
      <w:r w:rsidRPr="00F425EA">
        <w:rPr>
          <w:lang w:eastAsia="zh-CN"/>
        </w:rPr>
        <w:t xml:space="preserve">2.1.5.2 Specifični cilj: RSO3.2. Razvoj in krepitev trajnostne, pametne in </w:t>
      </w:r>
      <w:proofErr w:type="spellStart"/>
      <w:r w:rsidRPr="00F425EA">
        <w:rPr>
          <w:lang w:eastAsia="zh-CN"/>
        </w:rPr>
        <w:t>intermodalne</w:t>
      </w:r>
      <w:proofErr w:type="spellEnd"/>
      <w:r w:rsidRPr="00F425EA">
        <w:rPr>
          <w:lang w:eastAsia="zh-CN"/>
        </w:rPr>
        <w:t xml:space="preserve"> nacionalne, regionalne in lokalne mobilnosti, odporne proti</w:t>
      </w:r>
      <w:bookmarkEnd w:id="769"/>
      <w:bookmarkEnd w:id="770"/>
      <w:r w:rsidRPr="00F425EA">
        <w:rPr>
          <w:lang w:eastAsia="zh-CN"/>
        </w:rPr>
        <w:t xml:space="preserve"> </w:t>
      </w:r>
      <w:bookmarkStart w:id="771" w:name="_Toc187739325"/>
      <w:bookmarkStart w:id="772" w:name="_Toc187740058"/>
      <w:r w:rsidRPr="00F425EA">
        <w:rPr>
          <w:lang w:eastAsia="zh-CN"/>
        </w:rPr>
        <w:t>podnebnim spremembam, vključno z boljšim dostopom do omrežja TEN-T in čezmejno mobilnostjo (ESRR)</w:t>
      </w:r>
      <w:bookmarkEnd w:id="771"/>
      <w:bookmarkEnd w:id="772"/>
    </w:p>
    <w:p w14:paraId="6F7A2DDE" w14:textId="77777777" w:rsidR="000E7A5A" w:rsidRPr="007E18A1" w:rsidRDefault="000E7A5A" w:rsidP="00E247FF">
      <w:pPr>
        <w:spacing w:after="0" w:line="276" w:lineRule="auto"/>
        <w:contextualSpacing/>
        <w:jc w:val="both"/>
        <w:rPr>
          <w:rFonts w:eastAsia="SimSun" w:cs="Arial"/>
          <w:color w:val="0070C0"/>
          <w:szCs w:val="20"/>
          <w:lang w:eastAsia="zh-CN"/>
        </w:rPr>
      </w:pPr>
    </w:p>
    <w:p w14:paraId="400A0220" w14:textId="394C1F02" w:rsidR="000E7A5A" w:rsidRPr="00286789" w:rsidRDefault="00306071" w:rsidP="00E247FF">
      <w:pPr>
        <w:spacing w:after="0" w:line="276" w:lineRule="auto"/>
        <w:contextualSpacing/>
        <w:jc w:val="both"/>
        <w:rPr>
          <w:rFonts w:eastAsia="SimSun" w:cs="Arial"/>
          <w:szCs w:val="20"/>
          <w:lang w:eastAsia="zh-CN"/>
        </w:rPr>
      </w:pPr>
      <w:r w:rsidRPr="00286789">
        <w:rPr>
          <w:rFonts w:eastAsia="SimSun" w:cs="Arial"/>
          <w:szCs w:val="20"/>
          <w:lang w:eastAsia="zh-CN"/>
        </w:rPr>
        <w:lastRenderedPageBreak/>
        <w:t>Specifični cilj je namenjen izboljšanju nacionalne in regionalne povezave znotraj Slovenije. Poudarek je na trajnostnemu prometu, predvsem tistim infrastrukturnim ureditvam, ki pripomorejo k zagotavljanju pogojev za večjo uporabo vseh oblik trajnostne mobilnosti in krepitvi razvoja JPP, pri čemer ne sme biti ogrožena dostopnost, kjer sta cesta in avtomobil edina izbira ali omogočata dostop do prvih prestopnih mest JPP.</w:t>
      </w:r>
      <w:r w:rsidR="009A5A0A">
        <w:rPr>
          <w:rFonts w:eastAsia="SimSun" w:cs="Arial"/>
          <w:szCs w:val="20"/>
          <w:lang w:eastAsia="zh-CN"/>
        </w:rPr>
        <w:t xml:space="preserve"> </w:t>
      </w:r>
      <w:r w:rsidRPr="00286789">
        <w:rPr>
          <w:rFonts w:eastAsia="SimSun" w:cs="Arial"/>
          <w:szCs w:val="20"/>
          <w:lang w:eastAsia="zh-CN"/>
        </w:rPr>
        <w:t xml:space="preserve">Vključeni so projekti na regionalnem železniškem omrežju za zagotavljanje </w:t>
      </w:r>
      <w:proofErr w:type="spellStart"/>
      <w:r w:rsidRPr="00286789">
        <w:rPr>
          <w:rFonts w:eastAsia="SimSun" w:cs="Arial"/>
          <w:szCs w:val="20"/>
          <w:lang w:eastAsia="zh-CN"/>
        </w:rPr>
        <w:t>nizkoemisijske</w:t>
      </w:r>
      <w:proofErr w:type="spellEnd"/>
      <w:r w:rsidRPr="00286789">
        <w:rPr>
          <w:rFonts w:eastAsia="SimSun" w:cs="Arial"/>
          <w:szCs w:val="20"/>
          <w:lang w:eastAsia="zh-CN"/>
        </w:rPr>
        <w:t xml:space="preserve">, varne in odporne dnevne mobilnosti potnikov v regijah. Cilj je zagotoviti nadgradnjo omrežja, da bo železnica zagotovila </w:t>
      </w:r>
      <w:proofErr w:type="spellStart"/>
      <w:r w:rsidRPr="00286789">
        <w:rPr>
          <w:rFonts w:eastAsia="SimSun" w:cs="Arial"/>
          <w:szCs w:val="20"/>
          <w:lang w:eastAsia="zh-CN"/>
        </w:rPr>
        <w:t>t.i</w:t>
      </w:r>
      <w:proofErr w:type="spellEnd"/>
      <w:r w:rsidRPr="00286789">
        <w:rPr>
          <w:rFonts w:eastAsia="SimSun" w:cs="Arial"/>
          <w:szCs w:val="20"/>
          <w:lang w:eastAsia="zh-CN"/>
        </w:rPr>
        <w:t xml:space="preserve">. hrbtenično prometno omrežje tam, kjer že obstaja, in ki bo povezano s cestnim prometnim omrežjem, JPP, P + R sistemi ter kolesarsko infrastrukturo. Nadgradnja regionalnih prog se načrtuje predvsem z izvedbo elektrifikacije in povečanja hitrosti ter s sodobnimi sistemi vodenja prometa vlakov, kot tudi z informacijsko opremo in spremljajoči ukrepi (parkirišča, kolesarnice) na postajah in postajališčih za potnikom prijazne storitve. </w:t>
      </w:r>
    </w:p>
    <w:p w14:paraId="5B005D5D" w14:textId="77777777" w:rsidR="000E7A5A" w:rsidRPr="00286789" w:rsidRDefault="000E7A5A" w:rsidP="00E247FF">
      <w:pPr>
        <w:spacing w:after="0" w:line="276" w:lineRule="auto"/>
        <w:contextualSpacing/>
        <w:jc w:val="both"/>
        <w:rPr>
          <w:rFonts w:eastAsia="SimSun" w:cs="Arial"/>
          <w:szCs w:val="20"/>
          <w:lang w:eastAsia="zh-CN"/>
        </w:rPr>
      </w:pPr>
    </w:p>
    <w:p w14:paraId="440524E4" w14:textId="6F086C76" w:rsidR="006477ED" w:rsidRPr="00286789" w:rsidRDefault="00306071" w:rsidP="00E247FF">
      <w:pPr>
        <w:spacing w:after="0" w:line="276" w:lineRule="auto"/>
        <w:contextualSpacing/>
        <w:jc w:val="both"/>
        <w:rPr>
          <w:rFonts w:eastAsia="SimSun" w:cs="Arial"/>
          <w:szCs w:val="20"/>
          <w:lang w:eastAsia="zh-CN"/>
        </w:rPr>
      </w:pPr>
      <w:r w:rsidRPr="00286789">
        <w:rPr>
          <w:rFonts w:eastAsia="SimSun" w:cs="Arial"/>
          <w:szCs w:val="20"/>
          <w:lang w:eastAsia="zh-CN"/>
        </w:rPr>
        <w:t>Ukrepi so osredotočeni na:</w:t>
      </w:r>
    </w:p>
    <w:p w14:paraId="0CAFC75F" w14:textId="77777777" w:rsidR="000E7A5A" w:rsidRPr="00286789" w:rsidRDefault="00306071" w:rsidP="00E247FF">
      <w:pPr>
        <w:numPr>
          <w:ilvl w:val="1"/>
          <w:numId w:val="15"/>
        </w:numPr>
        <w:spacing w:after="0" w:line="276" w:lineRule="auto"/>
        <w:ind w:left="709"/>
        <w:contextualSpacing/>
        <w:jc w:val="both"/>
        <w:rPr>
          <w:rFonts w:cs="Arial"/>
          <w:szCs w:val="20"/>
        </w:rPr>
      </w:pPr>
      <w:r w:rsidRPr="00286789">
        <w:rPr>
          <w:rFonts w:eastAsia="SimSun" w:cs="Arial"/>
          <w:i/>
          <w:iCs/>
          <w:szCs w:val="20"/>
          <w:u w:val="single"/>
          <w:lang w:eastAsia="zh-CN"/>
        </w:rPr>
        <w:t>nadgradnjo železniške proge Maribor – Ruše</w:t>
      </w:r>
      <w:r w:rsidRPr="00286789">
        <w:rPr>
          <w:rFonts w:eastAsia="SimSun" w:cs="Arial"/>
          <w:szCs w:val="20"/>
          <w:lang w:eastAsia="zh-CN"/>
        </w:rPr>
        <w:t>;</w:t>
      </w:r>
    </w:p>
    <w:p w14:paraId="4E804B3F" w14:textId="77777777" w:rsidR="000E7A5A" w:rsidRPr="00286789" w:rsidRDefault="00306071" w:rsidP="00E247FF">
      <w:pPr>
        <w:numPr>
          <w:ilvl w:val="1"/>
          <w:numId w:val="15"/>
        </w:numPr>
        <w:spacing w:after="0" w:line="276" w:lineRule="auto"/>
        <w:ind w:left="709"/>
        <w:contextualSpacing/>
        <w:jc w:val="both"/>
        <w:rPr>
          <w:rFonts w:cs="Arial"/>
          <w:szCs w:val="20"/>
        </w:rPr>
      </w:pPr>
      <w:r w:rsidRPr="00286789">
        <w:rPr>
          <w:rFonts w:eastAsia="SimSun" w:cs="Arial"/>
          <w:i/>
          <w:iCs/>
          <w:szCs w:val="20"/>
          <w:u w:val="single"/>
          <w:lang w:eastAsia="zh-CN"/>
        </w:rPr>
        <w:t>3. razvojno os – jug: Novo mesto-Maline (I. etapa – etapi 1 in 2)</w:t>
      </w:r>
      <w:r w:rsidRPr="00286789">
        <w:rPr>
          <w:rFonts w:eastAsia="SimSun" w:cs="Arial"/>
          <w:szCs w:val="20"/>
          <w:lang w:eastAsia="zh-CN"/>
        </w:rPr>
        <w:t>:</w:t>
      </w:r>
    </w:p>
    <w:p w14:paraId="118268CC" w14:textId="0FB03F9B" w:rsidR="000E7A5A" w:rsidRPr="00286789" w:rsidRDefault="00306071" w:rsidP="00E247FF">
      <w:pPr>
        <w:numPr>
          <w:ilvl w:val="1"/>
          <w:numId w:val="15"/>
        </w:numPr>
        <w:spacing w:after="0" w:line="276" w:lineRule="auto"/>
        <w:ind w:left="709"/>
        <w:contextualSpacing/>
        <w:jc w:val="both"/>
        <w:rPr>
          <w:rFonts w:cs="Arial"/>
          <w:szCs w:val="20"/>
        </w:rPr>
      </w:pPr>
      <w:r w:rsidRPr="00286789">
        <w:rPr>
          <w:rFonts w:eastAsia="SimSun" w:cs="Arial"/>
          <w:i/>
          <w:iCs/>
          <w:szCs w:val="20"/>
          <w:u w:val="single"/>
          <w:lang w:eastAsia="zh-CN"/>
        </w:rPr>
        <w:t>nadaljevanje del na 3. razvojni osi: odsek Dramlje-Šentjur</w:t>
      </w:r>
      <w:r w:rsidRPr="00286789">
        <w:rPr>
          <w:rFonts w:eastAsia="SimSun" w:cs="Arial"/>
          <w:szCs w:val="20"/>
          <w:lang w:eastAsia="zh-CN"/>
        </w:rPr>
        <w:t>.</w:t>
      </w:r>
    </w:p>
    <w:p w14:paraId="52FB068B" w14:textId="77777777" w:rsidR="000E7A5A" w:rsidRPr="00F425EA" w:rsidRDefault="000E7A5A" w:rsidP="00E247FF">
      <w:pPr>
        <w:spacing w:after="0" w:line="276" w:lineRule="auto"/>
        <w:contextualSpacing/>
        <w:jc w:val="both"/>
        <w:rPr>
          <w:rFonts w:eastAsia="SimSun" w:cs="Arial"/>
          <w:sz w:val="22"/>
          <w:szCs w:val="22"/>
          <w:lang w:eastAsia="zh-CN"/>
        </w:rPr>
      </w:pPr>
    </w:p>
    <w:p w14:paraId="0336D153" w14:textId="77777777" w:rsidR="000E7A5A" w:rsidRPr="00F425EA" w:rsidRDefault="00306071" w:rsidP="005F66E4">
      <w:pPr>
        <w:pStyle w:val="Naslov4"/>
        <w:spacing w:before="0"/>
        <w:rPr>
          <w:lang w:eastAsia="zh-CN"/>
        </w:rPr>
      </w:pPr>
      <w:bookmarkStart w:id="773" w:name="_Toc187739326"/>
      <w:bookmarkStart w:id="774" w:name="_Toc187740059"/>
      <w:r w:rsidRPr="00F425EA">
        <w:rPr>
          <w:lang w:eastAsia="zh-CN"/>
        </w:rPr>
        <w:t xml:space="preserve">2.1.5.3 Specifični cilj: RSO3.2. Razvoj in krepitev trajnostne, pametne in </w:t>
      </w:r>
      <w:proofErr w:type="spellStart"/>
      <w:r w:rsidRPr="00F425EA">
        <w:rPr>
          <w:lang w:eastAsia="zh-CN"/>
        </w:rPr>
        <w:t>intermodalne</w:t>
      </w:r>
      <w:proofErr w:type="spellEnd"/>
      <w:r w:rsidRPr="00F425EA">
        <w:rPr>
          <w:lang w:eastAsia="zh-CN"/>
        </w:rPr>
        <w:t xml:space="preserve"> nacionalne, regionalne in lokalne mobilnosti, odporne proti podnebnim spremembam, vključno z boljšim dostopom do omrežja TEN-T in čezmejno mobilnostjo (Kohezijski sklad)</w:t>
      </w:r>
      <w:bookmarkEnd w:id="773"/>
      <w:bookmarkEnd w:id="774"/>
    </w:p>
    <w:p w14:paraId="690913EC" w14:textId="77777777" w:rsidR="000E7A5A" w:rsidRPr="007E18A1" w:rsidRDefault="000E7A5A" w:rsidP="00E247FF">
      <w:pPr>
        <w:spacing w:after="0" w:line="276" w:lineRule="auto"/>
        <w:contextualSpacing/>
        <w:jc w:val="both"/>
        <w:rPr>
          <w:rFonts w:eastAsia="SimSun" w:cs="Arial"/>
          <w:color w:val="0070C0"/>
          <w:szCs w:val="20"/>
          <w:lang w:eastAsia="zh-CN"/>
        </w:rPr>
      </w:pPr>
    </w:p>
    <w:p w14:paraId="1C4E3C7A" w14:textId="77777777" w:rsidR="000E7A5A" w:rsidRPr="00AC77C3" w:rsidRDefault="00306071" w:rsidP="00E247FF">
      <w:pPr>
        <w:spacing w:after="0" w:line="276" w:lineRule="auto"/>
        <w:contextualSpacing/>
        <w:jc w:val="both"/>
        <w:rPr>
          <w:rFonts w:eastAsia="SimSun" w:cs="Arial"/>
          <w:szCs w:val="20"/>
          <w:lang w:eastAsia="zh-CN"/>
        </w:rPr>
      </w:pPr>
      <w:r w:rsidRPr="00AC77C3">
        <w:rPr>
          <w:rFonts w:eastAsia="SimSun" w:cs="Arial"/>
          <w:szCs w:val="20"/>
          <w:lang w:eastAsia="zh-CN"/>
        </w:rPr>
        <w:t xml:space="preserve">Specifični cilj je namenjen izboljšanju nacionalne in regionalne povezave znotraj Slovenije. Poudarek je na trajnostnemu prometu, predvsem tistim infrastrukturnim ureditvam, ki pripomorejo k zagotavljanju pogojev za večjo uporabo vseh oblik trajnostne mobilnosti in krepitvi razvoja JPP, pri čemer ne sme biti ogrožena dostopnost, kjer sta cesta in avtomobil edina izbira ali omogočata dostop do prvih prestopnih mest JPP. Cilj je zagotoviti nadgradnjo omrežja, da bo železnica zagotovila </w:t>
      </w:r>
      <w:proofErr w:type="spellStart"/>
      <w:r w:rsidRPr="00AC77C3">
        <w:rPr>
          <w:rFonts w:eastAsia="SimSun" w:cs="Arial"/>
          <w:szCs w:val="20"/>
          <w:lang w:eastAsia="zh-CN"/>
        </w:rPr>
        <w:t>t.i</w:t>
      </w:r>
      <w:proofErr w:type="spellEnd"/>
      <w:r w:rsidRPr="00AC77C3">
        <w:rPr>
          <w:rFonts w:eastAsia="SimSun" w:cs="Arial"/>
          <w:szCs w:val="20"/>
          <w:lang w:eastAsia="zh-CN"/>
        </w:rPr>
        <w:t xml:space="preserve">. hrbtenično prometno omrežje tam, kjer že obstaja, in ki bo povezano z cestnim prometnim omrežjem, JPP, P + R sistemi ter kolesarsko infrastrukturo. </w:t>
      </w:r>
    </w:p>
    <w:p w14:paraId="0072C27B" w14:textId="77777777" w:rsidR="000E7A5A" w:rsidRPr="00AC77C3" w:rsidRDefault="000E7A5A" w:rsidP="00E247FF">
      <w:pPr>
        <w:spacing w:after="0" w:line="276" w:lineRule="auto"/>
        <w:contextualSpacing/>
        <w:jc w:val="both"/>
        <w:rPr>
          <w:rFonts w:eastAsia="SimSun" w:cs="Arial"/>
          <w:szCs w:val="20"/>
          <w:lang w:eastAsia="zh-CN"/>
        </w:rPr>
      </w:pPr>
    </w:p>
    <w:p w14:paraId="02BB68F7" w14:textId="3135DDE2" w:rsidR="006477ED" w:rsidRPr="00AC77C3" w:rsidRDefault="00306071" w:rsidP="00E247FF">
      <w:pPr>
        <w:spacing w:after="0" w:line="276" w:lineRule="auto"/>
        <w:contextualSpacing/>
        <w:jc w:val="both"/>
        <w:rPr>
          <w:rFonts w:eastAsia="SimSun" w:cs="Arial"/>
          <w:szCs w:val="20"/>
          <w:lang w:eastAsia="zh-CN"/>
        </w:rPr>
      </w:pPr>
      <w:r w:rsidRPr="00AC77C3">
        <w:rPr>
          <w:rFonts w:eastAsia="SimSun" w:cs="Arial"/>
          <w:szCs w:val="20"/>
          <w:lang w:eastAsia="zh-CN"/>
        </w:rPr>
        <w:t>Ukrepi so osredotočeni na:</w:t>
      </w:r>
    </w:p>
    <w:p w14:paraId="6521A9CF" w14:textId="77777777" w:rsidR="000E7A5A" w:rsidRPr="00AC77C3" w:rsidRDefault="00306071" w:rsidP="00E247FF">
      <w:pPr>
        <w:numPr>
          <w:ilvl w:val="1"/>
          <w:numId w:val="15"/>
        </w:numPr>
        <w:spacing w:after="0" w:line="276" w:lineRule="auto"/>
        <w:ind w:left="709"/>
        <w:contextualSpacing/>
        <w:jc w:val="both"/>
        <w:rPr>
          <w:rFonts w:cs="Arial"/>
          <w:szCs w:val="20"/>
        </w:rPr>
      </w:pPr>
      <w:r w:rsidRPr="00AC77C3">
        <w:rPr>
          <w:rFonts w:eastAsia="SimSun" w:cs="Arial"/>
          <w:i/>
          <w:iCs/>
          <w:szCs w:val="20"/>
          <w:u w:val="single"/>
          <w:lang w:eastAsia="zh-CN"/>
        </w:rPr>
        <w:t>državno kolesarsko omrežje</w:t>
      </w:r>
      <w:r w:rsidRPr="00AC77C3">
        <w:rPr>
          <w:rFonts w:eastAsia="SimSun" w:cs="Arial"/>
          <w:szCs w:val="20"/>
          <w:lang w:eastAsia="zh-CN"/>
        </w:rPr>
        <w:t>;</w:t>
      </w:r>
    </w:p>
    <w:p w14:paraId="577C4FA7" w14:textId="77777777" w:rsidR="000E7A5A" w:rsidRPr="00AC77C3" w:rsidRDefault="00306071" w:rsidP="00E247FF">
      <w:pPr>
        <w:numPr>
          <w:ilvl w:val="1"/>
          <w:numId w:val="15"/>
        </w:numPr>
        <w:spacing w:after="0" w:line="276" w:lineRule="auto"/>
        <w:ind w:left="709"/>
        <w:contextualSpacing/>
        <w:jc w:val="both"/>
        <w:rPr>
          <w:rFonts w:eastAsia="SimSun" w:cs="Arial"/>
          <w:i/>
          <w:iCs/>
          <w:szCs w:val="20"/>
          <w:u w:val="single"/>
          <w:lang w:eastAsia="zh-CN"/>
        </w:rPr>
      </w:pPr>
      <w:proofErr w:type="spellStart"/>
      <w:r w:rsidRPr="00AC77C3">
        <w:rPr>
          <w:rFonts w:eastAsia="SimSun" w:cs="Arial"/>
          <w:i/>
          <w:iCs/>
          <w:szCs w:val="20"/>
          <w:u w:val="single"/>
          <w:lang w:eastAsia="zh-CN"/>
        </w:rPr>
        <w:t>neinfrastrukturne</w:t>
      </w:r>
      <w:proofErr w:type="spellEnd"/>
      <w:r w:rsidRPr="00AC77C3">
        <w:rPr>
          <w:rFonts w:eastAsia="SimSun" w:cs="Arial"/>
          <w:i/>
          <w:iCs/>
          <w:szCs w:val="20"/>
          <w:u w:val="single"/>
          <w:lang w:eastAsia="zh-CN"/>
        </w:rPr>
        <w:t xml:space="preserve"> ukrepe trajnostne mobilnosti na horizontalni ravni;</w:t>
      </w:r>
    </w:p>
    <w:p w14:paraId="57089142" w14:textId="77777777" w:rsidR="000E7A5A" w:rsidRPr="00AC77C3" w:rsidRDefault="00306071" w:rsidP="00E247FF">
      <w:pPr>
        <w:numPr>
          <w:ilvl w:val="1"/>
          <w:numId w:val="15"/>
        </w:numPr>
        <w:spacing w:after="0" w:line="276" w:lineRule="auto"/>
        <w:ind w:left="709"/>
        <w:contextualSpacing/>
        <w:jc w:val="both"/>
        <w:rPr>
          <w:rFonts w:eastAsia="SimSun" w:cs="Arial"/>
          <w:i/>
          <w:iCs/>
          <w:szCs w:val="20"/>
          <w:u w:val="single"/>
          <w:lang w:eastAsia="zh-CN"/>
        </w:rPr>
      </w:pPr>
      <w:r w:rsidRPr="00AC77C3">
        <w:rPr>
          <w:rFonts w:eastAsia="SimSun" w:cs="Arial"/>
          <w:i/>
          <w:iCs/>
          <w:szCs w:val="20"/>
          <w:u w:val="single"/>
          <w:lang w:eastAsia="zh-CN"/>
        </w:rPr>
        <w:t>infrastrukturo za trajnostno mobilnost na lokalni ravni;</w:t>
      </w:r>
    </w:p>
    <w:p w14:paraId="2C34EF3A" w14:textId="4407C0E1" w:rsidR="000E7A5A" w:rsidRPr="00AC77C3" w:rsidRDefault="00306071" w:rsidP="00E247FF">
      <w:pPr>
        <w:numPr>
          <w:ilvl w:val="1"/>
          <w:numId w:val="15"/>
        </w:numPr>
        <w:spacing w:after="0" w:line="276" w:lineRule="auto"/>
        <w:ind w:left="709"/>
        <w:contextualSpacing/>
        <w:jc w:val="both"/>
        <w:rPr>
          <w:rFonts w:eastAsia="SimSun" w:cs="Arial"/>
          <w:i/>
          <w:iCs/>
          <w:szCs w:val="20"/>
          <w:u w:val="single"/>
          <w:lang w:eastAsia="zh-CN"/>
        </w:rPr>
      </w:pPr>
      <w:r w:rsidRPr="00AC77C3">
        <w:rPr>
          <w:rFonts w:eastAsia="SimSun" w:cs="Arial"/>
          <w:i/>
          <w:iCs/>
          <w:szCs w:val="20"/>
          <w:u w:val="single"/>
          <w:lang w:eastAsia="zh-CN"/>
        </w:rPr>
        <w:t>organizacijo trajnostne mobilnosti na lokalni ravni.</w:t>
      </w:r>
    </w:p>
    <w:p w14:paraId="05CA4723" w14:textId="77777777" w:rsidR="000E7A5A" w:rsidRPr="00F425EA" w:rsidRDefault="000E7A5A" w:rsidP="00E247FF">
      <w:pPr>
        <w:spacing w:after="0" w:line="276" w:lineRule="auto"/>
        <w:contextualSpacing/>
        <w:jc w:val="both"/>
        <w:rPr>
          <w:rFonts w:eastAsia="SimSun" w:cs="Arial"/>
          <w:sz w:val="22"/>
          <w:szCs w:val="22"/>
          <w:lang w:eastAsia="zh-CN"/>
        </w:rPr>
      </w:pPr>
    </w:p>
    <w:p w14:paraId="73468F0D" w14:textId="345017DC" w:rsidR="000E7A5A" w:rsidRDefault="00306071" w:rsidP="005F66E4">
      <w:pPr>
        <w:pStyle w:val="Naslov4"/>
        <w:spacing w:before="0"/>
      </w:pPr>
      <w:bookmarkStart w:id="775" w:name="_Toc187739327"/>
      <w:bookmarkStart w:id="776" w:name="_Toc187740060"/>
      <w:r w:rsidRPr="00F425EA">
        <w:t>2.1.5.4 Trenutno stanje izvajanja na prednostni nalogi 5: stanje NPO in JR ter morebitne težave in izzivi</w:t>
      </w:r>
      <w:bookmarkEnd w:id="775"/>
      <w:bookmarkEnd w:id="776"/>
    </w:p>
    <w:p w14:paraId="1C04572E" w14:textId="77777777" w:rsidR="00AC77C3" w:rsidRPr="00AC77C3" w:rsidRDefault="00AC77C3" w:rsidP="00E247FF">
      <w:pPr>
        <w:spacing w:after="0" w:line="276" w:lineRule="auto"/>
        <w:jc w:val="both"/>
        <w:rPr>
          <w:rFonts w:cs="Arial"/>
        </w:rPr>
      </w:pPr>
    </w:p>
    <w:p w14:paraId="74EADB82" w14:textId="258E4F4E" w:rsidR="000E7A5A" w:rsidRPr="002F1263" w:rsidRDefault="00306071" w:rsidP="00E247FF">
      <w:pPr>
        <w:spacing w:after="0" w:line="276" w:lineRule="auto"/>
        <w:jc w:val="both"/>
        <w:rPr>
          <w:rFonts w:cs="Arial"/>
          <w:szCs w:val="20"/>
        </w:rPr>
      </w:pPr>
      <w:r w:rsidRPr="001B04D7">
        <w:rPr>
          <w:rFonts w:cs="Arial"/>
          <w:szCs w:val="20"/>
          <w:shd w:val="clear" w:color="auto" w:fill="FFFFFF" w:themeFill="background1"/>
        </w:rPr>
        <w:t>Do 31. 12. 2024 je OU</w:t>
      </w:r>
      <w:r w:rsidRPr="002F1263">
        <w:rPr>
          <w:rFonts w:cs="Arial"/>
          <w:szCs w:val="20"/>
        </w:rPr>
        <w:t xml:space="preserve"> izdal v okviru PN 3 odločitve o podpori v skupni višini 40 mio EUR EU dela, kar predstavlja 10</w:t>
      </w:r>
      <w:r w:rsidR="0051733E">
        <w:rPr>
          <w:rFonts w:cs="Arial"/>
          <w:szCs w:val="20"/>
        </w:rPr>
        <w:t xml:space="preserve"> </w:t>
      </w:r>
      <w:r w:rsidRPr="002F1263">
        <w:rPr>
          <w:rFonts w:cs="Arial"/>
          <w:szCs w:val="20"/>
        </w:rPr>
        <w:t>% glede na pravice porabe. Izplačila iz proračuna RS so znašala v skupni višini 11 mio EUR EU dela, kar predstavlja 2</w:t>
      </w:r>
      <w:r w:rsidR="0051733E">
        <w:rPr>
          <w:rFonts w:cs="Arial"/>
          <w:szCs w:val="20"/>
        </w:rPr>
        <w:t xml:space="preserve"> </w:t>
      </w:r>
      <w:r w:rsidRPr="002F1263">
        <w:rPr>
          <w:rFonts w:cs="Arial"/>
          <w:szCs w:val="20"/>
        </w:rPr>
        <w:t>% glede na pravice porabe.</w:t>
      </w:r>
    </w:p>
    <w:p w14:paraId="70F3F8BE" w14:textId="77777777" w:rsidR="000E7A5A" w:rsidRPr="002F1263" w:rsidRDefault="00306071" w:rsidP="00E247FF">
      <w:pPr>
        <w:spacing w:after="0" w:line="276" w:lineRule="auto"/>
        <w:jc w:val="both"/>
        <w:rPr>
          <w:rFonts w:cs="Arial"/>
          <w:szCs w:val="20"/>
        </w:rPr>
      </w:pPr>
      <w:r w:rsidRPr="002F1263">
        <w:rPr>
          <w:rFonts w:cs="Arial"/>
          <w:szCs w:val="20"/>
        </w:rPr>
        <w:t xml:space="preserve"> </w:t>
      </w:r>
    </w:p>
    <w:p w14:paraId="7585CE13" w14:textId="7A037848" w:rsidR="006477ED" w:rsidRPr="002F1263" w:rsidRDefault="00306071" w:rsidP="00E247FF">
      <w:pPr>
        <w:spacing w:after="0" w:line="276" w:lineRule="auto"/>
        <w:jc w:val="both"/>
        <w:rPr>
          <w:rFonts w:cs="Arial"/>
          <w:szCs w:val="20"/>
        </w:rPr>
      </w:pPr>
      <w:r w:rsidRPr="002F1263">
        <w:rPr>
          <w:rFonts w:cs="Arial"/>
          <w:szCs w:val="20"/>
        </w:rPr>
        <w:t>Odločitve o podpori so bile izdane za ukrepe na naslednjih področjih:</w:t>
      </w:r>
    </w:p>
    <w:p w14:paraId="764F34FD" w14:textId="77777777" w:rsidR="000E7A5A" w:rsidRPr="002F1263" w:rsidRDefault="00306071" w:rsidP="00E247FF">
      <w:pPr>
        <w:pStyle w:val="Odstavekseznama"/>
        <w:numPr>
          <w:ilvl w:val="0"/>
          <w:numId w:val="20"/>
        </w:numPr>
        <w:spacing w:after="0" w:line="276" w:lineRule="auto"/>
        <w:jc w:val="both"/>
        <w:rPr>
          <w:rFonts w:cs="Arial"/>
          <w:szCs w:val="20"/>
        </w:rPr>
      </w:pPr>
      <w:r w:rsidRPr="002F1263">
        <w:rPr>
          <w:rFonts w:cs="Arial"/>
          <w:szCs w:val="20"/>
        </w:rPr>
        <w:t>RSO3.1 (1 odločitev o podpori): nadgradnja proge Dobova - Sevnica: etapa 1.</w:t>
      </w:r>
    </w:p>
    <w:p w14:paraId="57B0B9A8" w14:textId="77777777" w:rsidR="000E7A5A" w:rsidRPr="002F1263" w:rsidRDefault="00306071" w:rsidP="00E247FF">
      <w:pPr>
        <w:pStyle w:val="Odstavekseznama"/>
        <w:numPr>
          <w:ilvl w:val="0"/>
          <w:numId w:val="20"/>
        </w:numPr>
        <w:spacing w:after="0" w:line="276" w:lineRule="auto"/>
        <w:jc w:val="both"/>
        <w:rPr>
          <w:rFonts w:cs="Arial"/>
          <w:szCs w:val="20"/>
        </w:rPr>
      </w:pPr>
      <w:r w:rsidRPr="002F1263">
        <w:rPr>
          <w:rFonts w:cs="Arial"/>
          <w:szCs w:val="20"/>
        </w:rPr>
        <w:t>RSO3.2 (2 odločitvi o podpori): vpeljava in spodbujanje celostnega prometnega načrtovanja ter usmerjanje lokalnih skupnosti v razvoj trajnostnega prometa s pomočjo instrumentov, kot je OCPS; izgradnja državne kolesarske povezave med Žalcem in Rogatcem.</w:t>
      </w:r>
    </w:p>
    <w:p w14:paraId="31CF43AA" w14:textId="77777777" w:rsidR="000E7A5A" w:rsidRPr="002F1263" w:rsidRDefault="000E7A5A" w:rsidP="00E247FF">
      <w:pPr>
        <w:spacing w:after="0" w:line="276" w:lineRule="auto"/>
        <w:jc w:val="both"/>
        <w:rPr>
          <w:rFonts w:cs="Arial"/>
          <w:color w:val="0070C0"/>
          <w:szCs w:val="20"/>
          <w:shd w:val="clear" w:color="auto" w:fill="00FF00"/>
        </w:rPr>
      </w:pPr>
    </w:p>
    <w:p w14:paraId="77639E3B" w14:textId="45D5E7EC" w:rsidR="000E7A5A" w:rsidRDefault="00306071" w:rsidP="00E247FF">
      <w:pPr>
        <w:spacing w:after="0" w:line="276" w:lineRule="auto"/>
        <w:jc w:val="both"/>
        <w:rPr>
          <w:rFonts w:cs="Arial"/>
          <w:szCs w:val="20"/>
        </w:rPr>
      </w:pPr>
      <w:r w:rsidRPr="002F1263">
        <w:rPr>
          <w:rFonts w:cs="Arial"/>
          <w:szCs w:val="20"/>
        </w:rPr>
        <w:t>Podatki o stanju izvajanja v celotnem obdobju kažejo, da izvajanje poteka počasneje od načrtovane dinamike</w:t>
      </w:r>
      <w:r w:rsidR="003975A0">
        <w:rPr>
          <w:rFonts w:cs="Arial"/>
          <w:szCs w:val="20"/>
        </w:rPr>
        <w:t>, kljub temu pa je mejnik</w:t>
      </w:r>
      <w:r w:rsidRPr="002F1263">
        <w:rPr>
          <w:rFonts w:cs="Arial"/>
          <w:szCs w:val="20"/>
        </w:rPr>
        <w:t xml:space="preserve"> iz okvira smotrnosti dosežen</w:t>
      </w:r>
      <w:r w:rsidR="003975A0">
        <w:rPr>
          <w:rFonts w:cs="Arial"/>
          <w:szCs w:val="20"/>
        </w:rPr>
        <w:t>.</w:t>
      </w:r>
      <w:r w:rsidRPr="002F1263">
        <w:rPr>
          <w:rFonts w:cs="Arial"/>
          <w:szCs w:val="20"/>
        </w:rPr>
        <w:t xml:space="preserve"> Razlog je predvsem v poznem začetku izvajanja, deloma tudi v neustreznem načrtovanju kazalnikov pri pripravi programa. Pri izvedbi ukrepov prav tako predstavlja težavo pridobitev gradbenih dovoljenj, in vezano na ta, zaključek spremembe OPN </w:t>
      </w:r>
      <w:r w:rsidRPr="002F1263">
        <w:rPr>
          <w:rFonts w:cs="Arial"/>
          <w:szCs w:val="20"/>
        </w:rPr>
        <w:lastRenderedPageBreak/>
        <w:t xml:space="preserve">ter pridobljeno OVS. Glede operacije strateškega pomena je treba izpostaviti, da so aktivnosti v okviru ukrepa zelo zapletene in zahtevajo veliko usklajevanja.   </w:t>
      </w:r>
    </w:p>
    <w:p w14:paraId="3BB3917A" w14:textId="77777777" w:rsidR="002F1263" w:rsidRPr="002F1263" w:rsidRDefault="002F1263" w:rsidP="00E247FF">
      <w:pPr>
        <w:spacing w:after="0" w:line="276" w:lineRule="auto"/>
        <w:jc w:val="both"/>
        <w:rPr>
          <w:rFonts w:cs="Arial"/>
          <w:szCs w:val="20"/>
        </w:rPr>
      </w:pPr>
    </w:p>
    <w:p w14:paraId="43BA3698" w14:textId="1B67D28A" w:rsidR="000E7A5A" w:rsidRPr="00F425EA" w:rsidRDefault="00306071" w:rsidP="00E247FF">
      <w:pPr>
        <w:spacing w:after="0" w:line="276" w:lineRule="auto"/>
        <w:jc w:val="both"/>
        <w:rPr>
          <w:rFonts w:cs="Arial"/>
        </w:rPr>
      </w:pPr>
      <w:r w:rsidRPr="002F1263">
        <w:rPr>
          <w:rFonts w:cs="Arial"/>
          <w:szCs w:val="20"/>
        </w:rPr>
        <w:t xml:space="preserve">Vezano na predhodno zapisano OU skupaj z Ministrstvom za finance v vlogi organa za </w:t>
      </w:r>
      <w:proofErr w:type="spellStart"/>
      <w:r w:rsidRPr="002F1263">
        <w:rPr>
          <w:rFonts w:cs="Arial"/>
          <w:szCs w:val="20"/>
        </w:rPr>
        <w:t>računovodenje</w:t>
      </w:r>
      <w:proofErr w:type="spellEnd"/>
      <w:r w:rsidRPr="002F1263">
        <w:rPr>
          <w:rFonts w:cs="Arial"/>
          <w:szCs w:val="20"/>
        </w:rPr>
        <w:t xml:space="preserve"> intenzivno pripravlja vse ustrezne postopke za čimprejšnje certificiranje izdatkov do EK. MKRR bo na podlagi pregleda napredka pri izvajanju načrtovanih ukrepov na ministrstvih, vključenih v izvajanje EKP, in na podlagi izdelane ocene tveganja pri izvajanju operacij, pripravilo izhodišča za spremembo PEKP 21–27</w:t>
      </w:r>
      <w:r w:rsidR="003975A0">
        <w:rPr>
          <w:rFonts w:cs="Arial"/>
          <w:szCs w:val="20"/>
        </w:rPr>
        <w:t xml:space="preserve">, </w:t>
      </w:r>
      <w:r w:rsidR="003975A0" w:rsidRPr="003975A0">
        <w:rPr>
          <w:rFonts w:cs="Arial"/>
          <w:szCs w:val="20"/>
        </w:rPr>
        <w:t>ki predvidevajo ukrepe za pospešitev izvajanja. Poleg ostalih ukrepov se predvideva se namreč vključitev rezervnih projektov, ki so v visoki stopnji pripravljenosti (Nadgradnja železniške postaje Ljubljana, 3. razvojna os sever) in bodo prispevali k učinkovitejšemu koriščenju sredstev, predvsem v letih 2025 in 2026</w:t>
      </w:r>
      <w:r w:rsidRPr="002F1263">
        <w:rPr>
          <w:rFonts w:cs="Arial"/>
          <w:szCs w:val="20"/>
        </w:rPr>
        <w:t xml:space="preserve">.  </w:t>
      </w:r>
      <w:r w:rsidRPr="00F425EA">
        <w:rPr>
          <w:rFonts w:cs="Arial"/>
          <w:sz w:val="22"/>
          <w:szCs w:val="22"/>
        </w:rPr>
        <w:t xml:space="preserve"> </w:t>
      </w:r>
    </w:p>
    <w:p w14:paraId="30554701" w14:textId="77777777" w:rsidR="000E7A5A" w:rsidRPr="00F425EA" w:rsidRDefault="000E7A5A" w:rsidP="00E247FF">
      <w:pPr>
        <w:spacing w:after="0" w:line="276" w:lineRule="auto"/>
        <w:contextualSpacing/>
        <w:jc w:val="both"/>
        <w:rPr>
          <w:rFonts w:eastAsia="SimSun" w:cs="Arial"/>
          <w:sz w:val="22"/>
          <w:szCs w:val="22"/>
          <w:lang w:eastAsia="zh-CN"/>
        </w:rPr>
      </w:pPr>
    </w:p>
    <w:p w14:paraId="5291BE9D" w14:textId="77777777" w:rsidR="000E7A5A" w:rsidRPr="00F425EA" w:rsidRDefault="00306071" w:rsidP="00E76A87">
      <w:pPr>
        <w:pStyle w:val="Naslov3"/>
      </w:pPr>
      <w:bookmarkStart w:id="777" w:name="_Toc2122621779"/>
      <w:bookmarkStart w:id="778" w:name="_Toc1240713288"/>
      <w:bookmarkStart w:id="779" w:name="_Toc1862643037"/>
      <w:bookmarkStart w:id="780" w:name="_Toc1532790531"/>
      <w:bookmarkStart w:id="781" w:name="_Toc685752955"/>
      <w:bookmarkStart w:id="782" w:name="_Toc1484710183"/>
      <w:bookmarkStart w:id="783" w:name="_Toc45921624"/>
      <w:bookmarkStart w:id="784" w:name="_Toc2015361652"/>
      <w:bookmarkStart w:id="785" w:name="_Toc1706510028"/>
      <w:bookmarkStart w:id="786" w:name="_Toc1943468492"/>
      <w:bookmarkStart w:id="787" w:name="_Toc919259093"/>
      <w:bookmarkStart w:id="788" w:name="_Toc1026474120"/>
      <w:bookmarkStart w:id="789" w:name="_Toc2124948078"/>
      <w:bookmarkStart w:id="790" w:name="_Toc92251256"/>
      <w:bookmarkStart w:id="791" w:name="_Toc574230594"/>
      <w:bookmarkStart w:id="792" w:name="_Toc1594813304"/>
      <w:bookmarkStart w:id="793" w:name="_Toc1106240299"/>
      <w:bookmarkStart w:id="794" w:name="_Toc271394433"/>
      <w:bookmarkStart w:id="795" w:name="_Toc1062128428"/>
      <w:bookmarkStart w:id="796" w:name="_Toc1788127782"/>
      <w:bookmarkStart w:id="797" w:name="_Toc326849212"/>
      <w:bookmarkStart w:id="798" w:name="_Toc26135810"/>
      <w:bookmarkStart w:id="799" w:name="_Toc678285494"/>
      <w:bookmarkStart w:id="800" w:name="_Toc561126449"/>
      <w:bookmarkStart w:id="801" w:name="_Toc1077669868"/>
      <w:bookmarkStart w:id="802" w:name="_Toc1764760218"/>
      <w:bookmarkStart w:id="803" w:name="_Toc979376673"/>
      <w:bookmarkStart w:id="804" w:name="_Toc1678453116"/>
      <w:bookmarkStart w:id="805" w:name="_Toc1744720109"/>
      <w:bookmarkStart w:id="806" w:name="_Toc1653234416"/>
      <w:bookmarkStart w:id="807" w:name="_Toc1844798160"/>
      <w:bookmarkStart w:id="808" w:name="_Toc682815330"/>
      <w:bookmarkStart w:id="809" w:name="_Toc1966861048"/>
      <w:bookmarkStart w:id="810" w:name="_Toc1583780880"/>
      <w:bookmarkStart w:id="811" w:name="_Toc770301084"/>
      <w:bookmarkStart w:id="812" w:name="_Toc1505898628"/>
      <w:bookmarkStart w:id="813" w:name="_Toc308214178"/>
      <w:bookmarkStart w:id="814" w:name="_Toc557577326"/>
      <w:bookmarkStart w:id="815" w:name="_Toc141748013"/>
      <w:bookmarkStart w:id="816" w:name="_Toc478548011"/>
      <w:bookmarkStart w:id="817" w:name="_Toc1318018186"/>
      <w:bookmarkStart w:id="818" w:name="_Toc1869642957"/>
      <w:bookmarkStart w:id="819" w:name="_Toc292487775"/>
      <w:bookmarkStart w:id="820" w:name="_Toc1444958250"/>
      <w:bookmarkStart w:id="821" w:name="_Toc630126113"/>
      <w:bookmarkStart w:id="822" w:name="_Toc2083513208"/>
      <w:bookmarkStart w:id="823" w:name="_Toc182013157"/>
      <w:bookmarkStart w:id="824" w:name="_Toc225810572"/>
      <w:bookmarkStart w:id="825" w:name="_Toc1999794630"/>
      <w:bookmarkStart w:id="826" w:name="_Toc488185844"/>
      <w:bookmarkStart w:id="827" w:name="_Toc1972374559"/>
      <w:bookmarkStart w:id="828" w:name="_Toc880195877"/>
      <w:bookmarkStart w:id="829" w:name="_Toc1480970267"/>
      <w:bookmarkStart w:id="830" w:name="_Toc1509158108"/>
      <w:bookmarkStart w:id="831" w:name="_Toc581624382"/>
      <w:bookmarkStart w:id="832" w:name="_Toc371362231"/>
      <w:bookmarkStart w:id="833" w:name="_Toc1308290201"/>
      <w:bookmarkStart w:id="834" w:name="_Toc1483739135"/>
      <w:bookmarkStart w:id="835" w:name="_Toc1586232366"/>
      <w:bookmarkStart w:id="836" w:name="_Toc1140475847"/>
      <w:bookmarkStart w:id="837" w:name="_Toc1933870747"/>
      <w:bookmarkStart w:id="838" w:name="_Toc2067533188"/>
      <w:bookmarkStart w:id="839" w:name="_Toc588308999"/>
      <w:bookmarkStart w:id="840" w:name="_Toc596987243"/>
      <w:bookmarkStart w:id="841" w:name="_Toc158275111"/>
      <w:bookmarkStart w:id="842" w:name="_Toc2010671668"/>
      <w:bookmarkStart w:id="843" w:name="_Toc94723380"/>
      <w:bookmarkStart w:id="844" w:name="_Toc759884543"/>
      <w:bookmarkStart w:id="845" w:name="_Toc1872430363"/>
      <w:bookmarkStart w:id="846" w:name="_Toc1020158076"/>
      <w:bookmarkStart w:id="847" w:name="_Toc141332062"/>
      <w:bookmarkStart w:id="848" w:name="_Toc1162888930"/>
      <w:bookmarkStart w:id="849" w:name="_Toc656768187"/>
      <w:bookmarkStart w:id="850" w:name="_Toc856792334"/>
      <w:bookmarkStart w:id="851" w:name="_Toc15994214"/>
      <w:bookmarkStart w:id="852" w:name="_Toc163899045"/>
      <w:bookmarkStart w:id="853" w:name="_Toc1878751601"/>
      <w:bookmarkStart w:id="854" w:name="_Toc1085332270"/>
      <w:bookmarkStart w:id="855" w:name="_Toc330026222"/>
      <w:bookmarkStart w:id="856" w:name="_Toc715523707"/>
      <w:bookmarkStart w:id="857" w:name="_Toc949099222"/>
      <w:bookmarkStart w:id="858" w:name="_Toc1478979442"/>
      <w:bookmarkStart w:id="859" w:name="_Toc2082835300"/>
      <w:bookmarkStart w:id="860" w:name="_Toc931191470"/>
      <w:bookmarkStart w:id="861" w:name="_Toc187739328"/>
      <w:bookmarkStart w:id="862" w:name="_Toc187740061"/>
      <w:bookmarkStart w:id="863" w:name="_Toc192681987"/>
      <w:r w:rsidRPr="00F425EA">
        <w:t>2.1.6</w:t>
      </w:r>
      <w:r w:rsidRPr="00F425EA">
        <w:tab/>
        <w:t>PN 6: Znanja in spretnosti ter odzivni trg dela</w:t>
      </w:r>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p>
    <w:p w14:paraId="0EE8FF13" w14:textId="77777777" w:rsidR="000E7A5A" w:rsidRPr="00BE73DC" w:rsidRDefault="000E7A5A" w:rsidP="00E247FF">
      <w:pPr>
        <w:spacing w:after="0" w:line="276" w:lineRule="auto"/>
        <w:contextualSpacing/>
        <w:jc w:val="both"/>
        <w:rPr>
          <w:rFonts w:eastAsia="SimSun" w:cs="Arial"/>
          <w:color w:val="0070C0"/>
          <w:szCs w:val="20"/>
          <w:lang w:eastAsia="zh-CN"/>
        </w:rPr>
      </w:pPr>
    </w:p>
    <w:p w14:paraId="1B8E318E" w14:textId="77777777" w:rsidR="000E7A5A" w:rsidRPr="00F425EA" w:rsidRDefault="00306071" w:rsidP="005F66E4">
      <w:pPr>
        <w:pStyle w:val="Naslov4"/>
        <w:spacing w:before="0"/>
        <w:rPr>
          <w:lang w:eastAsia="zh-CN"/>
        </w:rPr>
      </w:pPr>
      <w:bookmarkStart w:id="864" w:name="_Toc187739329"/>
      <w:bookmarkStart w:id="865" w:name="_Toc187740062"/>
      <w:r w:rsidRPr="00F425EA">
        <w:rPr>
          <w:lang w:eastAsia="zh-CN"/>
        </w:rPr>
        <w:t>2.1.6.1 Specifični cilj: RSO4.2. Doslednejše zagotavljanje enakega dostopa do vključujočih in kakovostnih storitev na področju izobraževanja, usposabljanja in vseživljenjskega učenja z razvojem dostopne infrastrukture, tudi s krepitvijo odpornosti za izobraževanje in usposabljanje na daljavo in prek spleta (ESRR)</w:t>
      </w:r>
      <w:bookmarkEnd w:id="864"/>
      <w:bookmarkEnd w:id="865"/>
    </w:p>
    <w:p w14:paraId="390FCA29" w14:textId="77777777" w:rsidR="000E7A5A" w:rsidRPr="007E18A1" w:rsidRDefault="000E7A5A" w:rsidP="00E247FF">
      <w:pPr>
        <w:spacing w:after="0" w:line="276" w:lineRule="auto"/>
        <w:contextualSpacing/>
        <w:jc w:val="both"/>
        <w:rPr>
          <w:rFonts w:eastAsia="SimSun" w:cs="Arial"/>
          <w:szCs w:val="20"/>
          <w:lang w:eastAsia="zh-CN"/>
        </w:rPr>
      </w:pPr>
    </w:p>
    <w:p w14:paraId="2DCB5BDD" w14:textId="77777777" w:rsidR="000E7A5A" w:rsidRPr="002F1263" w:rsidRDefault="00306071" w:rsidP="00E247FF">
      <w:pPr>
        <w:spacing w:after="0" w:line="276" w:lineRule="auto"/>
        <w:contextualSpacing/>
        <w:jc w:val="both"/>
        <w:rPr>
          <w:rFonts w:eastAsia="SimSun" w:cs="Arial"/>
          <w:szCs w:val="20"/>
          <w:lang w:eastAsia="zh-CN"/>
        </w:rPr>
      </w:pPr>
      <w:r w:rsidRPr="002F1263">
        <w:rPr>
          <w:rFonts w:eastAsia="SimSun" w:cs="Arial"/>
          <w:szCs w:val="20"/>
          <w:lang w:eastAsia="zh-CN"/>
        </w:rPr>
        <w:t>Specifični cilj je namenjen izboljšanju infrastrukture za izvajanje izobraževalnega procesa ter zagotovitve IKT infrastrukture v podporo digitalizaciji pedagoškega in administrativnega dela, vezanega na študijsko dejavnost, ter v podporo delovanju organizacij v mladinskem sektorju.</w:t>
      </w:r>
    </w:p>
    <w:p w14:paraId="6D90065F" w14:textId="77777777" w:rsidR="000E7A5A" w:rsidRPr="002F1263" w:rsidRDefault="000E7A5A" w:rsidP="00E247FF">
      <w:pPr>
        <w:spacing w:after="0" w:line="276" w:lineRule="auto"/>
        <w:contextualSpacing/>
        <w:jc w:val="both"/>
        <w:rPr>
          <w:rFonts w:eastAsia="SimSun" w:cs="Arial"/>
          <w:szCs w:val="20"/>
          <w:lang w:eastAsia="zh-CN"/>
        </w:rPr>
      </w:pPr>
    </w:p>
    <w:p w14:paraId="0778DB3D" w14:textId="5F76904F" w:rsidR="006477ED" w:rsidRPr="002F1263" w:rsidRDefault="00306071" w:rsidP="00E247FF">
      <w:pPr>
        <w:spacing w:after="0" w:line="276" w:lineRule="auto"/>
        <w:contextualSpacing/>
        <w:jc w:val="both"/>
        <w:rPr>
          <w:rFonts w:eastAsia="SimSun" w:cs="Arial"/>
          <w:szCs w:val="20"/>
          <w:lang w:eastAsia="zh-CN"/>
        </w:rPr>
      </w:pPr>
      <w:r w:rsidRPr="002F1263">
        <w:rPr>
          <w:rFonts w:eastAsia="SimSun" w:cs="Arial"/>
          <w:szCs w:val="20"/>
          <w:lang w:eastAsia="zh-CN"/>
        </w:rPr>
        <w:t>Ukrepi so osredotočeni na:</w:t>
      </w:r>
    </w:p>
    <w:p w14:paraId="534CA217" w14:textId="77777777" w:rsidR="000E7A5A" w:rsidRPr="002F1263" w:rsidRDefault="00306071" w:rsidP="00E247FF">
      <w:pPr>
        <w:numPr>
          <w:ilvl w:val="1"/>
          <w:numId w:val="15"/>
        </w:numPr>
        <w:spacing w:after="0" w:line="276" w:lineRule="auto"/>
        <w:ind w:left="709"/>
        <w:contextualSpacing/>
        <w:jc w:val="both"/>
        <w:rPr>
          <w:rFonts w:cs="Arial"/>
          <w:szCs w:val="20"/>
        </w:rPr>
      </w:pPr>
      <w:r w:rsidRPr="002F1263">
        <w:rPr>
          <w:rFonts w:eastAsia="SimSun" w:cs="Arial"/>
          <w:i/>
          <w:iCs/>
          <w:szCs w:val="20"/>
          <w:u w:val="single"/>
          <w:lang w:eastAsia="zh-CN"/>
        </w:rPr>
        <w:t>investicije v obstoječe in nove objekte s področja izobraževanja in usposabljanja</w:t>
      </w:r>
      <w:r w:rsidRPr="002F1263">
        <w:rPr>
          <w:rFonts w:eastAsia="SimSun" w:cs="Arial"/>
          <w:szCs w:val="20"/>
          <w:lang w:eastAsia="zh-CN"/>
        </w:rPr>
        <w:t>;</w:t>
      </w:r>
    </w:p>
    <w:p w14:paraId="3DF33D33" w14:textId="77777777" w:rsidR="000E7A5A" w:rsidRPr="002F1263" w:rsidRDefault="00306071" w:rsidP="00E247FF">
      <w:pPr>
        <w:numPr>
          <w:ilvl w:val="1"/>
          <w:numId w:val="15"/>
        </w:numPr>
        <w:spacing w:after="0" w:line="276" w:lineRule="auto"/>
        <w:ind w:left="709"/>
        <w:contextualSpacing/>
        <w:jc w:val="both"/>
        <w:rPr>
          <w:rFonts w:cs="Arial"/>
          <w:szCs w:val="20"/>
        </w:rPr>
      </w:pPr>
      <w:r w:rsidRPr="002F1263">
        <w:rPr>
          <w:rFonts w:eastAsia="SimSun" w:cs="Arial"/>
          <w:i/>
          <w:iCs/>
          <w:szCs w:val="20"/>
          <w:u w:val="single"/>
          <w:lang w:eastAsia="zh-CN"/>
        </w:rPr>
        <w:t>zagotovitev ustrezne informacijsko-komunikacijske tehnologije javnih visokošolskih zavodov in javnih visokošolskih knjižnic</w:t>
      </w:r>
      <w:r w:rsidRPr="002F1263">
        <w:rPr>
          <w:rFonts w:eastAsia="SimSun" w:cs="Arial"/>
          <w:szCs w:val="20"/>
          <w:lang w:eastAsia="zh-CN"/>
        </w:rPr>
        <w:t>;</w:t>
      </w:r>
    </w:p>
    <w:p w14:paraId="377F9622" w14:textId="77777777" w:rsidR="000E7A5A" w:rsidRPr="002F1263" w:rsidRDefault="00306071" w:rsidP="00E247FF">
      <w:pPr>
        <w:numPr>
          <w:ilvl w:val="1"/>
          <w:numId w:val="15"/>
        </w:numPr>
        <w:spacing w:after="0" w:line="276" w:lineRule="auto"/>
        <w:ind w:left="709"/>
        <w:contextualSpacing/>
        <w:jc w:val="both"/>
        <w:rPr>
          <w:rFonts w:eastAsia="SimSun" w:cs="Arial"/>
          <w:i/>
          <w:iCs/>
          <w:szCs w:val="20"/>
          <w:u w:val="single"/>
          <w:lang w:eastAsia="zh-CN"/>
        </w:rPr>
      </w:pPr>
      <w:r w:rsidRPr="002F1263">
        <w:rPr>
          <w:rFonts w:eastAsia="SimSun" w:cs="Arial"/>
          <w:i/>
          <w:iCs/>
          <w:szCs w:val="20"/>
          <w:u w:val="single"/>
          <w:lang w:eastAsia="zh-CN"/>
        </w:rPr>
        <w:t>zagotovitev ustrezne IKT infrastrukture in opreme organizacij v mladinskem sektorju.</w:t>
      </w:r>
    </w:p>
    <w:p w14:paraId="497E38D3" w14:textId="77777777" w:rsidR="000E7A5A" w:rsidRPr="00A11EF1" w:rsidRDefault="000E7A5A" w:rsidP="00E247FF">
      <w:pPr>
        <w:spacing w:after="0" w:line="276" w:lineRule="auto"/>
        <w:contextualSpacing/>
        <w:jc w:val="both"/>
        <w:rPr>
          <w:rFonts w:eastAsia="SimSun" w:cs="Arial"/>
          <w:i/>
          <w:iCs/>
          <w:szCs w:val="20"/>
          <w:u w:val="single"/>
          <w:lang w:eastAsia="zh-CN"/>
        </w:rPr>
      </w:pPr>
    </w:p>
    <w:p w14:paraId="0A56E1CE" w14:textId="77777777" w:rsidR="000E7A5A" w:rsidRPr="00F425EA" w:rsidRDefault="00306071" w:rsidP="005F66E4">
      <w:pPr>
        <w:pStyle w:val="Naslov4"/>
        <w:spacing w:before="0"/>
        <w:rPr>
          <w:lang w:eastAsia="zh-CN"/>
        </w:rPr>
      </w:pPr>
      <w:bookmarkStart w:id="866" w:name="_Toc187739330"/>
      <w:bookmarkStart w:id="867" w:name="_Toc187740063"/>
      <w:r w:rsidRPr="00F425EA">
        <w:rPr>
          <w:lang w:eastAsia="zh-CN"/>
        </w:rPr>
        <w:t>2.1.6.2 Specifični cilj: ESO4.1. Izboljšanje dostopa do zaposlitve in aktivacijski ukrepi za vse iskalce zaposlitve, zlasti mlade, predvsem v okviru izvajanja jamstva za mlade, dolgotrajno brezposelne in prikrajšane skupine na trgu dela, in neaktivne osebe, kot tudi s spodbujanjem samozaposlovanja in socialnega gospodarstva (ESS+)</w:t>
      </w:r>
      <w:bookmarkEnd w:id="866"/>
      <w:bookmarkEnd w:id="867"/>
    </w:p>
    <w:p w14:paraId="42214592" w14:textId="77777777" w:rsidR="000E7A5A" w:rsidRPr="007E18A1" w:rsidRDefault="000E7A5A" w:rsidP="00E247FF">
      <w:pPr>
        <w:spacing w:after="0" w:line="276" w:lineRule="auto"/>
        <w:contextualSpacing/>
        <w:jc w:val="both"/>
        <w:rPr>
          <w:rFonts w:eastAsia="SimSun" w:cs="Arial"/>
          <w:color w:val="0070C0"/>
          <w:szCs w:val="20"/>
          <w:lang w:eastAsia="zh-CN"/>
        </w:rPr>
      </w:pPr>
    </w:p>
    <w:p w14:paraId="1176D28D" w14:textId="77777777" w:rsidR="000E7A5A" w:rsidRPr="002F1263" w:rsidRDefault="00306071" w:rsidP="00E247FF">
      <w:pPr>
        <w:spacing w:after="0" w:line="276" w:lineRule="auto"/>
        <w:contextualSpacing/>
        <w:jc w:val="both"/>
        <w:rPr>
          <w:rFonts w:eastAsia="SimSun" w:cs="Arial"/>
          <w:szCs w:val="20"/>
          <w:lang w:eastAsia="zh-CN"/>
        </w:rPr>
      </w:pPr>
      <w:r w:rsidRPr="002F1263">
        <w:rPr>
          <w:rFonts w:eastAsia="SimSun" w:cs="Arial"/>
          <w:szCs w:val="20"/>
          <w:lang w:eastAsia="zh-CN"/>
        </w:rPr>
        <w:t xml:space="preserve">Specifični cilj je namenjen celotni skupini brezposelnih oseb, še zlasti dolgotrajno brezposelnim, starejšim in nizko izobraženim (tudi oseb z ISCED 3 ravnjo izobrazbe), kot tudi iskalcem zaposlitve ter osebam, katerih zaposlitev oz. samozaposlitev je ogrožena, predvsem z vidika zagotavljanja ustreznih kompetenc za lažji prehod na trg delovne sile ter skrajševanje trajanja brezposelnosti. Krepila se bo </w:t>
      </w:r>
      <w:proofErr w:type="spellStart"/>
      <w:r w:rsidRPr="002F1263">
        <w:rPr>
          <w:rFonts w:eastAsia="SimSun" w:cs="Arial"/>
          <w:szCs w:val="20"/>
          <w:lang w:eastAsia="zh-CN"/>
        </w:rPr>
        <w:t>opolnomočenosti</w:t>
      </w:r>
      <w:proofErr w:type="spellEnd"/>
      <w:r w:rsidRPr="002F1263">
        <w:rPr>
          <w:rFonts w:eastAsia="SimSun" w:cs="Arial"/>
          <w:szCs w:val="20"/>
          <w:lang w:eastAsia="zh-CN"/>
        </w:rPr>
        <w:t xml:space="preserve"> navedenih ciljnih skupin na trgu dela z vidika poznavanja pravic iz delovnih razmerij s ciljem zagotavljanja njihove socialne varnosti, zlasti ko bi se lahko soočali z zaposlitvami v atipičnih oblikah dela, prikritimi delovnimi razmerji ali </w:t>
      </w:r>
      <w:proofErr w:type="spellStart"/>
      <w:r w:rsidRPr="002F1263">
        <w:rPr>
          <w:rFonts w:eastAsia="SimSun" w:cs="Arial"/>
          <w:szCs w:val="20"/>
          <w:lang w:eastAsia="zh-CN"/>
        </w:rPr>
        <w:t>prekarizacijo</w:t>
      </w:r>
      <w:proofErr w:type="spellEnd"/>
      <w:r w:rsidRPr="002F1263">
        <w:rPr>
          <w:rFonts w:eastAsia="SimSun" w:cs="Arial"/>
          <w:szCs w:val="20"/>
          <w:lang w:eastAsia="zh-CN"/>
        </w:rPr>
        <w:t xml:space="preserve"> dela. </w:t>
      </w:r>
    </w:p>
    <w:p w14:paraId="16781CE7" w14:textId="77777777" w:rsidR="000E7A5A" w:rsidRPr="002F1263" w:rsidRDefault="000E7A5A" w:rsidP="00E247FF">
      <w:pPr>
        <w:spacing w:after="0" w:line="276" w:lineRule="auto"/>
        <w:contextualSpacing/>
        <w:jc w:val="both"/>
        <w:rPr>
          <w:rFonts w:eastAsia="SimSun" w:cs="Arial"/>
          <w:szCs w:val="20"/>
          <w:lang w:eastAsia="zh-CN"/>
        </w:rPr>
      </w:pPr>
    </w:p>
    <w:p w14:paraId="2A60C61B" w14:textId="5F708FEA" w:rsidR="006477ED" w:rsidRPr="002F1263" w:rsidRDefault="00306071" w:rsidP="00E247FF">
      <w:pPr>
        <w:spacing w:after="0" w:line="276" w:lineRule="auto"/>
        <w:contextualSpacing/>
        <w:jc w:val="both"/>
        <w:rPr>
          <w:rFonts w:eastAsia="SimSun" w:cs="Arial"/>
          <w:szCs w:val="20"/>
          <w:lang w:eastAsia="zh-CN"/>
        </w:rPr>
      </w:pPr>
      <w:r w:rsidRPr="002F1263">
        <w:rPr>
          <w:rFonts w:eastAsia="SimSun" w:cs="Arial"/>
          <w:szCs w:val="20"/>
          <w:lang w:eastAsia="zh-CN"/>
        </w:rPr>
        <w:t>Ukrepi so osredotočeni na:</w:t>
      </w:r>
    </w:p>
    <w:p w14:paraId="38C1E10B" w14:textId="77777777" w:rsidR="000E7A5A" w:rsidRPr="002F1263" w:rsidRDefault="00306071" w:rsidP="00E247FF">
      <w:pPr>
        <w:numPr>
          <w:ilvl w:val="1"/>
          <w:numId w:val="15"/>
        </w:numPr>
        <w:spacing w:after="0" w:line="276" w:lineRule="auto"/>
        <w:ind w:left="709"/>
        <w:contextualSpacing/>
        <w:jc w:val="both"/>
        <w:rPr>
          <w:rFonts w:cs="Arial"/>
          <w:szCs w:val="20"/>
        </w:rPr>
      </w:pPr>
      <w:r w:rsidRPr="002F1263">
        <w:rPr>
          <w:rFonts w:eastAsia="SimSun" w:cs="Arial"/>
          <w:i/>
          <w:iCs/>
          <w:szCs w:val="20"/>
          <w:u w:val="single"/>
          <w:lang w:eastAsia="zh-CN"/>
        </w:rPr>
        <w:t>izvajanje ukrepov aktivne politike zaposlovanja (APZ)</w:t>
      </w:r>
      <w:r w:rsidRPr="002F1263">
        <w:rPr>
          <w:rFonts w:eastAsia="SimSun" w:cs="Arial"/>
          <w:szCs w:val="20"/>
          <w:lang w:eastAsia="zh-CN"/>
        </w:rPr>
        <w:t>;</w:t>
      </w:r>
    </w:p>
    <w:p w14:paraId="00E3283C" w14:textId="77777777" w:rsidR="000E7A5A" w:rsidRPr="002F1263" w:rsidRDefault="00306071" w:rsidP="00E247FF">
      <w:pPr>
        <w:numPr>
          <w:ilvl w:val="1"/>
          <w:numId w:val="15"/>
        </w:numPr>
        <w:spacing w:after="0" w:line="276" w:lineRule="auto"/>
        <w:ind w:left="709"/>
        <w:contextualSpacing/>
        <w:jc w:val="both"/>
        <w:rPr>
          <w:rFonts w:eastAsia="SimSun" w:cs="Arial"/>
          <w:i/>
          <w:iCs/>
          <w:szCs w:val="20"/>
          <w:u w:val="single"/>
          <w:lang w:eastAsia="zh-CN"/>
        </w:rPr>
      </w:pPr>
      <w:r w:rsidRPr="002F1263">
        <w:rPr>
          <w:rFonts w:eastAsia="SimSun" w:cs="Arial"/>
          <w:i/>
          <w:iCs/>
          <w:szCs w:val="20"/>
          <w:u w:val="single"/>
          <w:lang w:eastAsia="zh-CN"/>
        </w:rPr>
        <w:t xml:space="preserve">izvajanje programov za ohranitev na trgu dela tistih skupin, katerih zaposlitev oziroma samozaposlitev je ogrožena ali začasna, zmanjševanje in preprečevanje </w:t>
      </w:r>
      <w:proofErr w:type="spellStart"/>
      <w:r w:rsidRPr="002F1263">
        <w:rPr>
          <w:rFonts w:eastAsia="SimSun" w:cs="Arial"/>
          <w:i/>
          <w:iCs/>
          <w:szCs w:val="20"/>
          <w:u w:val="single"/>
          <w:lang w:eastAsia="zh-CN"/>
        </w:rPr>
        <w:t>prekarnosti</w:t>
      </w:r>
      <w:proofErr w:type="spellEnd"/>
      <w:r w:rsidRPr="002F1263">
        <w:rPr>
          <w:rFonts w:eastAsia="SimSun" w:cs="Arial"/>
          <w:i/>
          <w:iCs/>
          <w:szCs w:val="20"/>
          <w:u w:val="single"/>
          <w:lang w:eastAsia="zh-CN"/>
        </w:rPr>
        <w:t xml:space="preserve"> ter preprečevanje prehoda nazaj v brezposelnost za ciljne skupine, ki se soočajo z atipičnimi oblikami dela;</w:t>
      </w:r>
    </w:p>
    <w:p w14:paraId="682F8EF7" w14:textId="5A158D68" w:rsidR="000E7A5A" w:rsidRPr="002F1263" w:rsidRDefault="00306071" w:rsidP="00E247FF">
      <w:pPr>
        <w:numPr>
          <w:ilvl w:val="1"/>
          <w:numId w:val="15"/>
        </w:numPr>
        <w:spacing w:after="0" w:line="276" w:lineRule="auto"/>
        <w:ind w:left="709"/>
        <w:contextualSpacing/>
        <w:jc w:val="both"/>
        <w:rPr>
          <w:rFonts w:eastAsia="SimSun" w:cs="Arial"/>
          <w:i/>
          <w:iCs/>
          <w:szCs w:val="20"/>
          <w:u w:val="single"/>
          <w:lang w:eastAsia="zh-CN"/>
        </w:rPr>
      </w:pPr>
      <w:r w:rsidRPr="002F1263">
        <w:rPr>
          <w:rFonts w:eastAsia="SimSun" w:cs="Arial"/>
          <w:i/>
          <w:iCs/>
          <w:szCs w:val="20"/>
          <w:u w:val="single"/>
          <w:lang w:eastAsia="zh-CN"/>
        </w:rPr>
        <w:t>ukrepe spodbujanja samozaposlovanja in socialnega gospodarstva.</w:t>
      </w:r>
    </w:p>
    <w:p w14:paraId="038C7F86" w14:textId="77777777" w:rsidR="000E7A5A" w:rsidRPr="00A11EF1" w:rsidRDefault="000E7A5A" w:rsidP="00E247FF">
      <w:pPr>
        <w:spacing w:after="0" w:line="276" w:lineRule="auto"/>
        <w:contextualSpacing/>
        <w:jc w:val="both"/>
        <w:rPr>
          <w:rFonts w:eastAsia="SimSun" w:cs="Arial"/>
          <w:szCs w:val="20"/>
          <w:lang w:eastAsia="zh-CN"/>
        </w:rPr>
      </w:pPr>
    </w:p>
    <w:p w14:paraId="4004F51F" w14:textId="77777777" w:rsidR="000E7A5A" w:rsidRPr="00F425EA" w:rsidRDefault="00306071" w:rsidP="005F66E4">
      <w:pPr>
        <w:pStyle w:val="Naslov4"/>
        <w:spacing w:before="0"/>
        <w:rPr>
          <w:lang w:eastAsia="zh-CN"/>
        </w:rPr>
      </w:pPr>
      <w:bookmarkStart w:id="868" w:name="_Toc187739331"/>
      <w:bookmarkStart w:id="869" w:name="_Toc187740064"/>
      <w:r w:rsidRPr="00F425EA">
        <w:rPr>
          <w:lang w:eastAsia="zh-CN"/>
        </w:rPr>
        <w:lastRenderedPageBreak/>
        <w:t>2.1.6.3 Specifični cilj: ESO4.2. Posodabljanje institucij in služb trga dela za oceno in predvidevanje potreb po veščinah ter zagotavljanje pravočasne in prilagojene pomoči in podpore pri usklajevanju ponudbe in povpraševanja na trgu dela, prehodih in mobilnosti (ESS+)</w:t>
      </w:r>
      <w:bookmarkEnd w:id="868"/>
      <w:bookmarkEnd w:id="869"/>
    </w:p>
    <w:p w14:paraId="193C7E01" w14:textId="77777777" w:rsidR="000E7A5A" w:rsidRPr="00F425EA" w:rsidRDefault="000E7A5A" w:rsidP="00E247FF">
      <w:pPr>
        <w:spacing w:after="0" w:line="276" w:lineRule="auto"/>
        <w:contextualSpacing/>
        <w:jc w:val="both"/>
        <w:rPr>
          <w:rFonts w:eastAsia="SimSun" w:cs="Arial"/>
          <w:color w:val="0070C0"/>
          <w:sz w:val="22"/>
          <w:szCs w:val="22"/>
          <w:lang w:eastAsia="zh-CN"/>
        </w:rPr>
      </w:pPr>
    </w:p>
    <w:p w14:paraId="40BABABD" w14:textId="77777777" w:rsidR="000E7A5A" w:rsidRPr="002F1263" w:rsidRDefault="00306071" w:rsidP="00E247FF">
      <w:pPr>
        <w:spacing w:after="0" w:line="276" w:lineRule="auto"/>
        <w:contextualSpacing/>
        <w:jc w:val="both"/>
        <w:rPr>
          <w:rFonts w:eastAsia="SimSun" w:cs="Arial"/>
          <w:szCs w:val="20"/>
          <w:lang w:eastAsia="zh-CN"/>
        </w:rPr>
      </w:pPr>
      <w:r w:rsidRPr="002F1263">
        <w:rPr>
          <w:rFonts w:eastAsia="SimSun" w:cs="Arial"/>
          <w:szCs w:val="20"/>
          <w:lang w:eastAsia="zh-CN"/>
        </w:rPr>
        <w:t xml:space="preserve">Specifični cilj je namenjen posodobitvi institucij in služb trga dela ter modernizaciji njihovih storitev za zagotovitev večje usklajenosti ponudbe in povpraševanja, predvidevanje potreb po spretnostih, prehodov in mobilnost na trgu dela ter predvsem ustrezna usposobljenost zaposlenih v institucijah trga dela. </w:t>
      </w:r>
    </w:p>
    <w:p w14:paraId="569ABE59" w14:textId="77777777" w:rsidR="000E7A5A" w:rsidRPr="002F1263" w:rsidRDefault="000E7A5A" w:rsidP="00E247FF">
      <w:pPr>
        <w:spacing w:after="0" w:line="276" w:lineRule="auto"/>
        <w:contextualSpacing/>
        <w:jc w:val="both"/>
        <w:rPr>
          <w:rFonts w:eastAsia="SimSun" w:cs="Arial"/>
          <w:szCs w:val="20"/>
          <w:lang w:eastAsia="zh-CN"/>
        </w:rPr>
      </w:pPr>
    </w:p>
    <w:p w14:paraId="64117D3E" w14:textId="722A6521" w:rsidR="006477ED" w:rsidRPr="002F1263" w:rsidRDefault="00306071" w:rsidP="00E247FF">
      <w:pPr>
        <w:spacing w:after="0" w:line="276" w:lineRule="auto"/>
        <w:contextualSpacing/>
        <w:jc w:val="both"/>
        <w:rPr>
          <w:rFonts w:eastAsia="SimSun" w:cs="Arial"/>
          <w:szCs w:val="20"/>
          <w:lang w:eastAsia="zh-CN"/>
        </w:rPr>
      </w:pPr>
      <w:r w:rsidRPr="002F1263">
        <w:rPr>
          <w:rFonts w:eastAsia="SimSun" w:cs="Arial"/>
          <w:szCs w:val="20"/>
          <w:lang w:eastAsia="zh-CN"/>
        </w:rPr>
        <w:t>Ukrepi so osredotočeni na:</w:t>
      </w:r>
    </w:p>
    <w:p w14:paraId="58EBCB97" w14:textId="77777777" w:rsidR="000E7A5A" w:rsidRPr="002F1263" w:rsidRDefault="00306071" w:rsidP="00E247FF">
      <w:pPr>
        <w:numPr>
          <w:ilvl w:val="1"/>
          <w:numId w:val="15"/>
        </w:numPr>
        <w:spacing w:after="0" w:line="276" w:lineRule="auto"/>
        <w:ind w:left="709"/>
        <w:contextualSpacing/>
        <w:jc w:val="both"/>
        <w:rPr>
          <w:rFonts w:cs="Arial"/>
          <w:szCs w:val="20"/>
        </w:rPr>
      </w:pPr>
      <w:r w:rsidRPr="002F1263">
        <w:rPr>
          <w:rFonts w:eastAsia="SimSun" w:cs="Arial"/>
          <w:i/>
          <w:iCs/>
          <w:szCs w:val="20"/>
          <w:u w:val="single"/>
          <w:lang w:eastAsia="zh-CN"/>
        </w:rPr>
        <w:t>razvoj in nadgradnjo platforme trga dela za dolgoročno napovedovanje kompetenc oz. znanj in spretnosti</w:t>
      </w:r>
      <w:r w:rsidRPr="002F1263">
        <w:rPr>
          <w:rFonts w:eastAsia="SimSun" w:cs="Arial"/>
          <w:szCs w:val="20"/>
          <w:lang w:eastAsia="zh-CN"/>
        </w:rPr>
        <w:t>;</w:t>
      </w:r>
    </w:p>
    <w:p w14:paraId="68EE53B1" w14:textId="77777777" w:rsidR="000E7A5A" w:rsidRPr="002F1263" w:rsidRDefault="00306071" w:rsidP="00E247FF">
      <w:pPr>
        <w:numPr>
          <w:ilvl w:val="1"/>
          <w:numId w:val="15"/>
        </w:numPr>
        <w:spacing w:after="0" w:line="276" w:lineRule="auto"/>
        <w:ind w:left="709"/>
        <w:contextualSpacing/>
        <w:jc w:val="both"/>
        <w:rPr>
          <w:rFonts w:cs="Arial"/>
          <w:szCs w:val="20"/>
        </w:rPr>
      </w:pPr>
      <w:r w:rsidRPr="002F1263">
        <w:rPr>
          <w:rFonts w:eastAsia="SimSun" w:cs="Arial"/>
          <w:i/>
          <w:iCs/>
          <w:szCs w:val="20"/>
          <w:u w:val="single"/>
          <w:lang w:eastAsia="zh-CN"/>
        </w:rPr>
        <w:t>modernizacijo storitev in povezovanje institucij trga dela</w:t>
      </w:r>
      <w:r w:rsidRPr="002F1263">
        <w:rPr>
          <w:rFonts w:eastAsia="SimSun" w:cs="Arial"/>
          <w:szCs w:val="20"/>
          <w:lang w:eastAsia="zh-CN"/>
        </w:rPr>
        <w:t>;</w:t>
      </w:r>
    </w:p>
    <w:p w14:paraId="1A0DA676" w14:textId="77777777" w:rsidR="000E7A5A" w:rsidRPr="002F1263" w:rsidRDefault="00306071" w:rsidP="00E247FF">
      <w:pPr>
        <w:numPr>
          <w:ilvl w:val="1"/>
          <w:numId w:val="15"/>
        </w:numPr>
        <w:spacing w:after="0" w:line="276" w:lineRule="auto"/>
        <w:ind w:left="709"/>
        <w:contextualSpacing/>
        <w:jc w:val="both"/>
        <w:rPr>
          <w:rFonts w:eastAsia="SimSun" w:cs="Arial"/>
          <w:i/>
          <w:iCs/>
          <w:szCs w:val="20"/>
          <w:u w:val="single"/>
          <w:lang w:eastAsia="zh-CN"/>
        </w:rPr>
      </w:pPr>
      <w:r w:rsidRPr="002F1263">
        <w:rPr>
          <w:rFonts w:eastAsia="SimSun" w:cs="Arial"/>
          <w:i/>
          <w:iCs/>
          <w:szCs w:val="20"/>
          <w:u w:val="single"/>
          <w:lang w:eastAsia="zh-CN"/>
        </w:rPr>
        <w:t>nadaljnje delovanje mreže EURES nacionalnih uradov za usklajevanje, ki deluje v podporo mobilnosti delavcev pri vstopanju na EU trg dela.</w:t>
      </w:r>
    </w:p>
    <w:p w14:paraId="5E0E226F" w14:textId="77777777" w:rsidR="000E7A5A" w:rsidRPr="00A11EF1" w:rsidRDefault="000E7A5A" w:rsidP="00E247FF">
      <w:pPr>
        <w:spacing w:after="0" w:line="276" w:lineRule="auto"/>
        <w:contextualSpacing/>
        <w:jc w:val="both"/>
        <w:rPr>
          <w:rFonts w:eastAsia="SimSun" w:cs="Arial"/>
          <w:i/>
          <w:iCs/>
          <w:szCs w:val="20"/>
          <w:u w:val="single"/>
          <w:lang w:eastAsia="zh-CN"/>
        </w:rPr>
      </w:pPr>
    </w:p>
    <w:p w14:paraId="5F4BF40F" w14:textId="77777777" w:rsidR="000E7A5A" w:rsidRPr="00F425EA" w:rsidRDefault="00306071" w:rsidP="005F66E4">
      <w:pPr>
        <w:pStyle w:val="Naslov4"/>
        <w:spacing w:before="0"/>
        <w:rPr>
          <w:lang w:eastAsia="zh-CN"/>
        </w:rPr>
      </w:pPr>
      <w:bookmarkStart w:id="870" w:name="_Toc187739332"/>
      <w:bookmarkStart w:id="871" w:name="_Toc187740065"/>
      <w:r w:rsidRPr="00F425EA">
        <w:rPr>
          <w:lang w:eastAsia="zh-CN"/>
        </w:rPr>
        <w:t>2.1.6.4 Specifični cilj: ESO4.4. Spodbujanje prilagajanja delavcev, podjetij in podjetnikov na spremembe, aktivnega in zdravega staranja ter zdravega in dobro prilagojenega delovnega okolja, ki obravnava tveganja za zdravje (ESS+)</w:t>
      </w:r>
      <w:bookmarkEnd w:id="870"/>
      <w:bookmarkEnd w:id="871"/>
    </w:p>
    <w:p w14:paraId="7FDEC753" w14:textId="77777777" w:rsidR="000E7A5A" w:rsidRPr="00A11EF1" w:rsidRDefault="000E7A5A" w:rsidP="00E247FF">
      <w:pPr>
        <w:spacing w:after="0" w:line="276" w:lineRule="auto"/>
        <w:contextualSpacing/>
        <w:jc w:val="both"/>
        <w:rPr>
          <w:rFonts w:eastAsia="SimSun" w:cs="Arial"/>
          <w:color w:val="0070C0"/>
          <w:szCs w:val="20"/>
          <w:lang w:eastAsia="zh-CN"/>
        </w:rPr>
      </w:pPr>
    </w:p>
    <w:p w14:paraId="2091C03A" w14:textId="77777777" w:rsidR="000E7A5A" w:rsidRPr="002F1263" w:rsidRDefault="00306071" w:rsidP="00E247FF">
      <w:pPr>
        <w:spacing w:after="0" w:line="276" w:lineRule="auto"/>
        <w:contextualSpacing/>
        <w:jc w:val="both"/>
        <w:rPr>
          <w:rFonts w:eastAsia="SimSun" w:cs="Arial"/>
          <w:szCs w:val="20"/>
          <w:lang w:eastAsia="zh-CN"/>
        </w:rPr>
      </w:pPr>
      <w:r w:rsidRPr="002F1263">
        <w:rPr>
          <w:rFonts w:eastAsia="SimSun" w:cs="Arial"/>
          <w:szCs w:val="20"/>
          <w:lang w:eastAsia="zh-CN"/>
        </w:rPr>
        <w:t xml:space="preserve">Specifični cilj je namenjen prilagajanju delovnih mest, zlasti za starejše zaposlene, s ciljem kakovostnega, varnega in zdravega, delovnega okolja v podjetjih in javnem sektorju ter spodbujanje sodelovanja delavcev pri upravljanju. Ključno za doseganje teh ciljev je sodelovanje socialnih partnerjev in drugih institucij, ki delujejo na področju trga dela, ter zagovorništvo delavskih pravic. K podaljševanju obdobja delovne aktivnosti, predvsem pri starejših, bodo prispevali ukrepi za dvig kakovosti delovnega okolja in pogojev za delo ter spodbujanje VŽU, zlasti prožnih možnosti za izpopolnjevanje in prekvalifikacijo za vse, ob upoštevanju podjetniških in digitalnih veščin, boljše predvidevanje sprememb in zahtev po novih veščinah na podlagi potreb trga dela, olajševanje kariernih prehodov in spodbujanje poklicne mobilnosti ter medgeneracijskega sodelovanja, s poudarkom na prenosu znanja in usposobljenosti med generacijami. </w:t>
      </w:r>
    </w:p>
    <w:p w14:paraId="09B77EC6" w14:textId="77777777" w:rsidR="0026422D" w:rsidRDefault="0026422D" w:rsidP="00E247FF">
      <w:pPr>
        <w:spacing w:after="0" w:line="276" w:lineRule="auto"/>
        <w:contextualSpacing/>
        <w:jc w:val="both"/>
        <w:rPr>
          <w:rFonts w:eastAsia="SimSun" w:cs="Arial"/>
          <w:szCs w:val="20"/>
          <w:lang w:eastAsia="zh-CN"/>
        </w:rPr>
      </w:pPr>
    </w:p>
    <w:p w14:paraId="7C92B726" w14:textId="5F872A59" w:rsidR="006477ED" w:rsidRPr="002F1263" w:rsidRDefault="00306071" w:rsidP="00E247FF">
      <w:pPr>
        <w:spacing w:after="0" w:line="276" w:lineRule="auto"/>
        <w:contextualSpacing/>
        <w:jc w:val="both"/>
        <w:rPr>
          <w:rFonts w:eastAsia="SimSun" w:cs="Arial"/>
          <w:szCs w:val="20"/>
          <w:lang w:eastAsia="zh-CN"/>
        </w:rPr>
      </w:pPr>
      <w:r w:rsidRPr="002F1263">
        <w:rPr>
          <w:rFonts w:eastAsia="SimSun" w:cs="Arial"/>
          <w:szCs w:val="20"/>
          <w:lang w:eastAsia="zh-CN"/>
        </w:rPr>
        <w:t>Ukrepi so osredotočeni na:</w:t>
      </w:r>
    </w:p>
    <w:p w14:paraId="59C6598E" w14:textId="77777777" w:rsidR="000E7A5A" w:rsidRPr="002F1263" w:rsidRDefault="00306071" w:rsidP="00E247FF">
      <w:pPr>
        <w:numPr>
          <w:ilvl w:val="1"/>
          <w:numId w:val="15"/>
        </w:numPr>
        <w:spacing w:after="0" w:line="276" w:lineRule="auto"/>
        <w:ind w:left="709"/>
        <w:contextualSpacing/>
        <w:jc w:val="both"/>
        <w:rPr>
          <w:rFonts w:cs="Arial"/>
          <w:szCs w:val="20"/>
        </w:rPr>
      </w:pPr>
      <w:r w:rsidRPr="002F1263">
        <w:rPr>
          <w:rFonts w:eastAsia="SimSun" w:cs="Arial"/>
          <w:i/>
          <w:iCs/>
          <w:szCs w:val="20"/>
          <w:u w:val="single"/>
          <w:lang w:eastAsia="zh-CN"/>
        </w:rPr>
        <w:t>dvig kakovosti delovnega okolja in pogojev za delo tudi s ciljem podaljševanja obdobja delovne aktivnosti, predvsem starejših, vključno z javnim sektorjem</w:t>
      </w:r>
      <w:r w:rsidRPr="002F1263">
        <w:rPr>
          <w:rFonts w:eastAsia="SimSun" w:cs="Arial"/>
          <w:szCs w:val="20"/>
          <w:lang w:eastAsia="zh-CN"/>
        </w:rPr>
        <w:t xml:space="preserve"> (zagotavljanje dostojnega dela z namenom preprečevanja konfliktov, zagovorništvo in spodbujanje stabilnejših oblik zaposlitev oz. opravljanja dela, z namenom zmanjševanja </w:t>
      </w:r>
      <w:proofErr w:type="spellStart"/>
      <w:r w:rsidRPr="002F1263">
        <w:rPr>
          <w:rFonts w:eastAsia="SimSun" w:cs="Arial"/>
          <w:szCs w:val="20"/>
          <w:lang w:eastAsia="zh-CN"/>
        </w:rPr>
        <w:t>prekarizacije</w:t>
      </w:r>
      <w:proofErr w:type="spellEnd"/>
      <w:r w:rsidRPr="002F1263">
        <w:rPr>
          <w:rFonts w:eastAsia="SimSun" w:cs="Arial"/>
          <w:szCs w:val="20"/>
          <w:lang w:eastAsia="zh-CN"/>
        </w:rPr>
        <w:t>; celosten pristop k varnosti in zdravju pri delu z usposabljanjem delodajalcev za promocijo varnosti in zdravja pri delu za prilagajanje delovnih mest in procesov predvsem starejšim in invalidom; celovito storitev svetovanja in podpore pred in po upokojitvi s poudarkom na podaljševanju delovne aktivnosti in ponovni aktivaciji starejših);</w:t>
      </w:r>
    </w:p>
    <w:p w14:paraId="5EAE392B" w14:textId="46F13E2F" w:rsidR="000E7A5A" w:rsidRPr="002F1263" w:rsidRDefault="00306071" w:rsidP="00E247FF">
      <w:pPr>
        <w:numPr>
          <w:ilvl w:val="1"/>
          <w:numId w:val="15"/>
        </w:numPr>
        <w:spacing w:after="0" w:line="276" w:lineRule="auto"/>
        <w:ind w:left="709"/>
        <w:contextualSpacing/>
        <w:jc w:val="both"/>
        <w:rPr>
          <w:rFonts w:cs="Arial"/>
          <w:szCs w:val="20"/>
        </w:rPr>
      </w:pPr>
      <w:r w:rsidRPr="002F1263">
        <w:rPr>
          <w:rFonts w:eastAsia="SimSun" w:cs="Arial"/>
          <w:i/>
          <w:iCs/>
          <w:szCs w:val="20"/>
          <w:u w:val="single"/>
          <w:lang w:eastAsia="zh-CN"/>
        </w:rPr>
        <w:t>spodbujanje medgeneracijskega sodelovanja s poudarkom na prenosu znanja in usposobljenosti med generacijami</w:t>
      </w:r>
      <w:r w:rsidRPr="002F1263">
        <w:rPr>
          <w:rFonts w:eastAsia="SimSun" w:cs="Arial"/>
          <w:szCs w:val="20"/>
          <w:lang w:eastAsia="zh-CN"/>
        </w:rPr>
        <w:t>.</w:t>
      </w:r>
    </w:p>
    <w:p w14:paraId="5CD40E2C" w14:textId="77777777" w:rsidR="000E7A5A" w:rsidRPr="00A11EF1" w:rsidRDefault="000E7A5A" w:rsidP="00E247FF">
      <w:pPr>
        <w:spacing w:after="0" w:line="276" w:lineRule="auto"/>
        <w:contextualSpacing/>
        <w:jc w:val="both"/>
        <w:rPr>
          <w:rFonts w:eastAsia="SimSun" w:cs="Arial"/>
          <w:szCs w:val="20"/>
          <w:lang w:eastAsia="zh-CN"/>
        </w:rPr>
      </w:pPr>
    </w:p>
    <w:p w14:paraId="4E3088DF" w14:textId="77777777" w:rsidR="000E7A5A" w:rsidRPr="00F425EA" w:rsidRDefault="00306071" w:rsidP="005F66E4">
      <w:pPr>
        <w:pStyle w:val="Naslov4"/>
        <w:spacing w:before="0"/>
        <w:rPr>
          <w:lang w:eastAsia="zh-CN"/>
        </w:rPr>
      </w:pPr>
      <w:bookmarkStart w:id="872" w:name="_Toc187740066"/>
      <w:r w:rsidRPr="00F425EA">
        <w:rPr>
          <w:lang w:eastAsia="zh-CN"/>
        </w:rPr>
        <w:t>2.1.6.5 Specifični cilj: ESO4.5. Izboljšanje kakovosti, vključenosti, učinkovitosti in ustreznosti sistemov izobraževanja in usposabljanja za potrebe trga dela, vključno z vrednotenjem neformalnega in priložnostnega učenja, da bi podprli pridobivanje ključnih kompetenc, tudi podjetniških in digitalnih veščin, ter s spodbujanjem uvedbe dualnih sistemov usposabljanja in vajeništev (ESS+)</w:t>
      </w:r>
      <w:bookmarkEnd w:id="872"/>
    </w:p>
    <w:p w14:paraId="36FFB984" w14:textId="77777777" w:rsidR="000E7A5A" w:rsidRPr="007E18A1" w:rsidRDefault="000E7A5A" w:rsidP="00E247FF">
      <w:pPr>
        <w:spacing w:after="0" w:line="276" w:lineRule="auto"/>
        <w:contextualSpacing/>
        <w:jc w:val="both"/>
        <w:rPr>
          <w:rFonts w:eastAsia="SimSun" w:cs="Arial"/>
          <w:color w:val="0070C0"/>
          <w:szCs w:val="20"/>
          <w:lang w:eastAsia="zh-CN"/>
        </w:rPr>
      </w:pPr>
    </w:p>
    <w:p w14:paraId="0B7CC304" w14:textId="77777777" w:rsidR="000E7A5A" w:rsidRPr="002F1263" w:rsidRDefault="00306071" w:rsidP="00E247FF">
      <w:pPr>
        <w:spacing w:after="0" w:line="276" w:lineRule="auto"/>
        <w:contextualSpacing/>
        <w:jc w:val="both"/>
        <w:rPr>
          <w:rFonts w:eastAsia="SimSun" w:cs="Arial"/>
          <w:szCs w:val="20"/>
          <w:lang w:eastAsia="zh-CN"/>
        </w:rPr>
      </w:pPr>
      <w:r w:rsidRPr="002F1263">
        <w:rPr>
          <w:rFonts w:eastAsia="SimSun" w:cs="Arial"/>
          <w:szCs w:val="20"/>
          <w:lang w:eastAsia="zh-CN"/>
        </w:rPr>
        <w:t xml:space="preserve">Specifični cilj je namenjen i izboljšanju kakovosti in učinkovitosti izobraževanja in usposabljanja ter njune ustreznosti za trg dela in podpori pridobivanju ključnih kompetenc, tudi preko nadgradnje modela dela z nadarjenimi ter karierne orientacije. Ključna sta krepitev kompetenc strokovnih delavcev na različnih področjih in sodelovanja med šolami, delodajalci in drugimi socialnimi partnerji ter vzpostavitev celovitega podpornega okolja za študente. </w:t>
      </w:r>
    </w:p>
    <w:p w14:paraId="4C521D8F" w14:textId="77777777" w:rsidR="000E7A5A" w:rsidRPr="002F1263" w:rsidRDefault="000E7A5A" w:rsidP="00E247FF">
      <w:pPr>
        <w:spacing w:after="0" w:line="276" w:lineRule="auto"/>
        <w:contextualSpacing/>
        <w:jc w:val="both"/>
        <w:rPr>
          <w:rFonts w:eastAsia="SimSun" w:cs="Arial"/>
          <w:szCs w:val="20"/>
          <w:lang w:eastAsia="zh-CN"/>
        </w:rPr>
      </w:pPr>
    </w:p>
    <w:p w14:paraId="5E9F2DEC" w14:textId="7C4E004F" w:rsidR="006477ED" w:rsidRPr="002F1263" w:rsidRDefault="00306071" w:rsidP="00E247FF">
      <w:pPr>
        <w:spacing w:after="0" w:line="276" w:lineRule="auto"/>
        <w:contextualSpacing/>
        <w:jc w:val="both"/>
        <w:rPr>
          <w:rFonts w:eastAsia="SimSun" w:cs="Arial"/>
          <w:szCs w:val="20"/>
          <w:lang w:eastAsia="zh-CN"/>
        </w:rPr>
      </w:pPr>
      <w:r w:rsidRPr="002F1263">
        <w:rPr>
          <w:rFonts w:eastAsia="SimSun" w:cs="Arial"/>
          <w:szCs w:val="20"/>
          <w:lang w:eastAsia="zh-CN"/>
        </w:rPr>
        <w:lastRenderedPageBreak/>
        <w:t>Ukrepi so osredotočeni na:</w:t>
      </w:r>
    </w:p>
    <w:p w14:paraId="3E0A5009" w14:textId="77777777" w:rsidR="000E7A5A" w:rsidRPr="002F1263" w:rsidRDefault="00306071" w:rsidP="00E247FF">
      <w:pPr>
        <w:numPr>
          <w:ilvl w:val="1"/>
          <w:numId w:val="15"/>
        </w:numPr>
        <w:spacing w:after="0" w:line="276" w:lineRule="auto"/>
        <w:ind w:left="709"/>
        <w:contextualSpacing/>
        <w:jc w:val="both"/>
        <w:rPr>
          <w:rFonts w:cs="Arial"/>
          <w:szCs w:val="20"/>
        </w:rPr>
      </w:pPr>
      <w:r w:rsidRPr="002F1263">
        <w:rPr>
          <w:rFonts w:eastAsia="SimSun" w:cs="Arial"/>
          <w:i/>
          <w:iCs/>
          <w:szCs w:val="20"/>
          <w:u w:val="single"/>
          <w:lang w:eastAsia="zh-CN"/>
        </w:rPr>
        <w:t>krepitev ključnih kompetenc</w:t>
      </w:r>
      <w:r w:rsidRPr="002F1263">
        <w:rPr>
          <w:rFonts w:eastAsia="SimSun" w:cs="Arial"/>
          <w:szCs w:val="20"/>
          <w:lang w:eastAsia="zh-CN"/>
        </w:rPr>
        <w:t xml:space="preserve"> (digitalne, jezikovne, </w:t>
      </w:r>
      <w:proofErr w:type="spellStart"/>
      <w:r w:rsidRPr="002F1263">
        <w:rPr>
          <w:rFonts w:eastAsia="SimSun" w:cs="Arial"/>
          <w:szCs w:val="20"/>
          <w:lang w:eastAsia="zh-CN"/>
        </w:rPr>
        <w:t>podjetnostne</w:t>
      </w:r>
      <w:proofErr w:type="spellEnd"/>
      <w:r w:rsidRPr="002F1263">
        <w:rPr>
          <w:rFonts w:eastAsia="SimSun" w:cs="Arial"/>
          <w:szCs w:val="20"/>
          <w:lang w:eastAsia="zh-CN"/>
        </w:rPr>
        <w:t>, medkulturne, državljanske, matematične in naravoslovne ter osebnostne in družbene, večjezičnost, bralna in medijska pismenost, kulturna ozaveščenost in izražanje, ustvarjalnost, računalniško mišljenje, kritično razmišljanje, zdrav odnos do samega sebe, preprečevanje nasilja, itd.);</w:t>
      </w:r>
    </w:p>
    <w:p w14:paraId="2CAD3E04" w14:textId="77777777" w:rsidR="000E7A5A" w:rsidRPr="002F1263" w:rsidRDefault="00306071" w:rsidP="00E247FF">
      <w:pPr>
        <w:numPr>
          <w:ilvl w:val="1"/>
          <w:numId w:val="15"/>
        </w:numPr>
        <w:spacing w:after="0" w:line="276" w:lineRule="auto"/>
        <w:ind w:left="709"/>
        <w:contextualSpacing/>
        <w:jc w:val="both"/>
        <w:rPr>
          <w:rFonts w:cs="Arial"/>
          <w:szCs w:val="20"/>
        </w:rPr>
      </w:pPr>
      <w:r w:rsidRPr="002F1263">
        <w:rPr>
          <w:rFonts w:eastAsia="SimSun" w:cs="Arial"/>
          <w:i/>
          <w:iCs/>
          <w:szCs w:val="20"/>
          <w:u w:val="single"/>
          <w:lang w:eastAsia="zh-CN"/>
        </w:rPr>
        <w:t>izboljšanje kakovosti in učinkovitosti izobraževanja in usposabljanja</w:t>
      </w:r>
      <w:r w:rsidRPr="002F1263">
        <w:rPr>
          <w:rFonts w:eastAsia="SimSun" w:cs="Arial"/>
          <w:szCs w:val="20"/>
          <w:lang w:eastAsia="zh-CN"/>
        </w:rPr>
        <w:t xml:space="preserve"> (digitalna preobrazba izobraževanja; nadgradnja sistema profesionalnega in kariernega razvoja strokovnih in vodstvenih delavcev v vzgoji in izobraževanju; </w:t>
      </w:r>
    </w:p>
    <w:p w14:paraId="0D30E3A4" w14:textId="77777777" w:rsidR="000E7A5A" w:rsidRPr="002F1263" w:rsidRDefault="00306071" w:rsidP="00E247FF">
      <w:pPr>
        <w:numPr>
          <w:ilvl w:val="1"/>
          <w:numId w:val="15"/>
        </w:numPr>
        <w:spacing w:after="0" w:line="276" w:lineRule="auto"/>
        <w:ind w:left="709"/>
        <w:contextualSpacing/>
        <w:jc w:val="both"/>
        <w:rPr>
          <w:rFonts w:cs="Arial"/>
          <w:szCs w:val="20"/>
        </w:rPr>
      </w:pPr>
      <w:r w:rsidRPr="002F1263">
        <w:rPr>
          <w:rFonts w:eastAsia="SimSun" w:cs="Arial"/>
          <w:i/>
          <w:iCs/>
          <w:szCs w:val="20"/>
          <w:u w:val="single"/>
          <w:lang w:eastAsia="zh-CN"/>
        </w:rPr>
        <w:t>krepitev ustreznosti izobraževalnega sistema za trg dela</w:t>
      </w:r>
      <w:r w:rsidRPr="002F1263">
        <w:rPr>
          <w:rFonts w:eastAsia="SimSun" w:cs="Arial"/>
          <w:szCs w:val="20"/>
          <w:lang w:eastAsia="zh-CN"/>
        </w:rPr>
        <w:t xml:space="preserve"> (izboljšanje odzivnosti poklicnega in strokovnega izobraževanja na potrebe trga dela; vzpostavitev celovitega podpornega okolja na visokošolskih zavodih, osredotočenega na študenta in v aktivnosti za uspešno in pravočasno zaključevanje študija; </w:t>
      </w:r>
    </w:p>
    <w:p w14:paraId="2799C94C" w14:textId="77777777" w:rsidR="000E7A5A" w:rsidRPr="002F1263" w:rsidRDefault="00306071" w:rsidP="00E247FF">
      <w:pPr>
        <w:numPr>
          <w:ilvl w:val="1"/>
          <w:numId w:val="15"/>
        </w:numPr>
        <w:spacing w:after="0" w:line="276" w:lineRule="auto"/>
        <w:ind w:left="709"/>
        <w:contextualSpacing/>
        <w:jc w:val="both"/>
        <w:rPr>
          <w:rFonts w:cs="Arial"/>
          <w:szCs w:val="20"/>
        </w:rPr>
      </w:pPr>
      <w:r w:rsidRPr="002F1263">
        <w:rPr>
          <w:rFonts w:eastAsia="SimSun" w:cs="Arial"/>
          <w:i/>
          <w:iCs/>
          <w:szCs w:val="20"/>
          <w:u w:val="single"/>
          <w:lang w:eastAsia="zh-CN"/>
        </w:rPr>
        <w:t>ukrepe s področja vseživljenjske karierne orientacije (VKO)</w:t>
      </w:r>
      <w:r w:rsidRPr="002F1263">
        <w:rPr>
          <w:rFonts w:eastAsia="SimSun" w:cs="Arial"/>
          <w:szCs w:val="20"/>
          <w:lang w:eastAsia="zh-CN"/>
        </w:rPr>
        <w:t xml:space="preserve"> (okrepitev kariernih centrov za mlade; štipendije za specializirane poklice v kulturi).</w:t>
      </w:r>
    </w:p>
    <w:p w14:paraId="1E8F2778" w14:textId="77777777" w:rsidR="000E7A5A" w:rsidRPr="00A11EF1" w:rsidRDefault="000E7A5A" w:rsidP="00E247FF">
      <w:pPr>
        <w:spacing w:after="0" w:line="276" w:lineRule="auto"/>
        <w:contextualSpacing/>
        <w:jc w:val="both"/>
        <w:rPr>
          <w:rFonts w:eastAsia="SimSun" w:cs="Arial"/>
          <w:szCs w:val="20"/>
          <w:lang w:eastAsia="zh-CN"/>
        </w:rPr>
      </w:pPr>
    </w:p>
    <w:p w14:paraId="74E9E049" w14:textId="77777777" w:rsidR="000E7A5A" w:rsidRPr="007E18A1" w:rsidRDefault="00306071" w:rsidP="005F66E4">
      <w:pPr>
        <w:pStyle w:val="Naslov4"/>
        <w:spacing w:before="0"/>
        <w:rPr>
          <w:sz w:val="20"/>
          <w:szCs w:val="22"/>
          <w:lang w:eastAsia="zh-CN"/>
        </w:rPr>
      </w:pPr>
      <w:bookmarkStart w:id="873" w:name="_Toc187740067"/>
      <w:r w:rsidRPr="00F425EA">
        <w:rPr>
          <w:lang w:eastAsia="zh-CN"/>
        </w:rPr>
        <w:t>2.1.6.6 Specifični cilj: ESO4.7. Spodbujanje vseživljenjskega učenja, zlasti prožnih možnosti za izpopolnjevanje in prekvalifikacijo za vse, ob upoštevanju podjetniških in digitalnih veščin, boljše predvidevanje sprememb in zahtev po novih veščinah na podlagi potreb trga dela, olajševanje prehodov med delovnimi mesti in spodbujanje poklicne mobilnosti (ESS+)</w:t>
      </w:r>
      <w:bookmarkEnd w:id="873"/>
      <w:r w:rsidRPr="00F425EA">
        <w:rPr>
          <w:lang w:eastAsia="zh-CN"/>
        </w:rPr>
        <w:br/>
      </w:r>
    </w:p>
    <w:p w14:paraId="15B26402" w14:textId="77777777" w:rsidR="000E7A5A" w:rsidRPr="002F1263" w:rsidRDefault="00306071" w:rsidP="00E247FF">
      <w:pPr>
        <w:spacing w:after="0" w:line="276" w:lineRule="auto"/>
        <w:contextualSpacing/>
        <w:jc w:val="both"/>
        <w:rPr>
          <w:rFonts w:eastAsia="SimSun" w:cs="Arial"/>
          <w:szCs w:val="20"/>
          <w:lang w:eastAsia="zh-CN"/>
        </w:rPr>
      </w:pPr>
      <w:r w:rsidRPr="002F1263">
        <w:rPr>
          <w:rFonts w:eastAsia="SimSun" w:cs="Arial"/>
          <w:szCs w:val="20"/>
          <w:lang w:eastAsia="zh-CN"/>
        </w:rPr>
        <w:t xml:space="preserve">Specifični cilj je namenjen doseganju večje vključenosti posameznikov v vseživljenjsko izobraževanje in učenje (v nadaljevanju: VŽU), predvsem deleža nižje izobraženih, manj usposobljenih in starejših, izboljšanih poklicnih kompetenc zaposlenih in učinkovit sistem karierne orientacije, vzpostavitve digitalnih izobraževalnih virov ter visokokakovostne didaktične programske opreme in zmanjšanja digitalne vrzeli. </w:t>
      </w:r>
    </w:p>
    <w:p w14:paraId="77B36EA6" w14:textId="77777777" w:rsidR="000E7A5A" w:rsidRPr="002F1263" w:rsidRDefault="000E7A5A" w:rsidP="00E247FF">
      <w:pPr>
        <w:spacing w:after="0" w:line="276" w:lineRule="auto"/>
        <w:contextualSpacing/>
        <w:jc w:val="both"/>
        <w:rPr>
          <w:rFonts w:eastAsia="SimSun" w:cs="Arial"/>
          <w:szCs w:val="20"/>
          <w:lang w:eastAsia="zh-CN"/>
        </w:rPr>
      </w:pPr>
    </w:p>
    <w:p w14:paraId="05A54D59" w14:textId="576EE403" w:rsidR="006477ED" w:rsidRPr="002F1263" w:rsidRDefault="00306071" w:rsidP="00E247FF">
      <w:pPr>
        <w:spacing w:after="0" w:line="276" w:lineRule="auto"/>
        <w:contextualSpacing/>
        <w:jc w:val="both"/>
        <w:rPr>
          <w:rFonts w:eastAsia="SimSun" w:cs="Arial"/>
          <w:szCs w:val="20"/>
          <w:lang w:eastAsia="zh-CN"/>
        </w:rPr>
      </w:pPr>
      <w:r w:rsidRPr="002F1263">
        <w:rPr>
          <w:rFonts w:eastAsia="SimSun" w:cs="Arial"/>
          <w:szCs w:val="20"/>
          <w:lang w:eastAsia="zh-CN"/>
        </w:rPr>
        <w:t>Ukrepi so osredotočeni na:</w:t>
      </w:r>
    </w:p>
    <w:p w14:paraId="1CB0112F" w14:textId="77777777" w:rsidR="000E7A5A" w:rsidRPr="002F1263" w:rsidRDefault="00306071" w:rsidP="00E247FF">
      <w:pPr>
        <w:numPr>
          <w:ilvl w:val="1"/>
          <w:numId w:val="15"/>
        </w:numPr>
        <w:spacing w:after="0" w:line="276" w:lineRule="auto"/>
        <w:ind w:left="709"/>
        <w:contextualSpacing/>
        <w:jc w:val="both"/>
        <w:rPr>
          <w:rFonts w:cs="Arial"/>
          <w:szCs w:val="20"/>
        </w:rPr>
      </w:pPr>
      <w:r w:rsidRPr="002F1263">
        <w:rPr>
          <w:rFonts w:eastAsia="SimSun" w:cs="Arial"/>
          <w:i/>
          <w:iCs/>
          <w:szCs w:val="20"/>
          <w:u w:val="single"/>
          <w:lang w:eastAsia="zh-CN"/>
        </w:rPr>
        <w:t>izvajanje podpornih aktivnosti za izvajanje VŽU</w:t>
      </w:r>
      <w:r w:rsidRPr="002F1263">
        <w:rPr>
          <w:rFonts w:eastAsia="SimSun" w:cs="Arial"/>
          <w:szCs w:val="20"/>
          <w:lang w:eastAsia="zh-CN"/>
        </w:rPr>
        <w:t>;</w:t>
      </w:r>
    </w:p>
    <w:p w14:paraId="298FF811" w14:textId="77777777" w:rsidR="000E7A5A" w:rsidRPr="002F1263" w:rsidRDefault="00306071" w:rsidP="00E247FF">
      <w:pPr>
        <w:numPr>
          <w:ilvl w:val="1"/>
          <w:numId w:val="15"/>
        </w:numPr>
        <w:spacing w:after="0" w:line="276" w:lineRule="auto"/>
        <w:ind w:left="709"/>
        <w:contextualSpacing/>
        <w:jc w:val="both"/>
        <w:rPr>
          <w:rFonts w:cs="Arial"/>
          <w:szCs w:val="20"/>
        </w:rPr>
      </w:pPr>
      <w:r w:rsidRPr="002F1263">
        <w:rPr>
          <w:rFonts w:eastAsia="SimSun" w:cs="Arial"/>
          <w:i/>
          <w:iCs/>
          <w:szCs w:val="20"/>
          <w:u w:val="single"/>
          <w:lang w:eastAsia="zh-CN"/>
        </w:rPr>
        <w:t>strokovne in razvojne naloge na področju informativne in svetovalne dejavnosti za odrasle</w:t>
      </w:r>
      <w:r w:rsidRPr="002F1263">
        <w:rPr>
          <w:rFonts w:eastAsia="SimSun" w:cs="Arial"/>
          <w:szCs w:val="20"/>
          <w:lang w:eastAsia="zh-CN"/>
        </w:rPr>
        <w:t>;</w:t>
      </w:r>
    </w:p>
    <w:p w14:paraId="132C5C4D" w14:textId="77777777" w:rsidR="000E7A5A" w:rsidRPr="002F1263" w:rsidRDefault="00306071" w:rsidP="00E247FF">
      <w:pPr>
        <w:numPr>
          <w:ilvl w:val="1"/>
          <w:numId w:val="15"/>
        </w:numPr>
        <w:spacing w:after="0" w:line="276" w:lineRule="auto"/>
        <w:ind w:left="709"/>
        <w:contextualSpacing/>
        <w:jc w:val="both"/>
        <w:rPr>
          <w:rFonts w:cs="Arial"/>
          <w:szCs w:val="20"/>
        </w:rPr>
      </w:pPr>
      <w:r w:rsidRPr="002F1263">
        <w:rPr>
          <w:rFonts w:eastAsia="SimSun" w:cs="Arial"/>
          <w:i/>
          <w:iCs/>
          <w:szCs w:val="20"/>
          <w:u w:val="single"/>
          <w:lang w:eastAsia="zh-CN"/>
        </w:rPr>
        <w:t>pridobitev srednješolske izobrazbe in novega poklica za različne ravni, kvalifikacije in prekvalifikacije, poklicno izpopolnjevanje in usposabljanje, pridobivanje in zviševanje ravni pismenosti in temeljnih zmožnosti ter izboljšanje splošne izobraženosti vključno z digitalnimi in drugimi ključnimi kompetencami za VŽU</w:t>
      </w:r>
      <w:r w:rsidRPr="002F1263">
        <w:rPr>
          <w:rFonts w:eastAsia="SimSun" w:cs="Arial"/>
          <w:szCs w:val="20"/>
          <w:lang w:eastAsia="zh-CN"/>
        </w:rPr>
        <w:t>;</w:t>
      </w:r>
    </w:p>
    <w:p w14:paraId="27DDAB53" w14:textId="77777777" w:rsidR="000E7A5A" w:rsidRPr="002F1263" w:rsidRDefault="00306071" w:rsidP="00E247FF">
      <w:pPr>
        <w:numPr>
          <w:ilvl w:val="1"/>
          <w:numId w:val="15"/>
        </w:numPr>
        <w:spacing w:after="0" w:line="276" w:lineRule="auto"/>
        <w:ind w:left="709"/>
        <w:contextualSpacing/>
        <w:jc w:val="both"/>
        <w:rPr>
          <w:rFonts w:eastAsia="SimSun" w:cs="Arial"/>
          <w:i/>
          <w:iCs/>
          <w:szCs w:val="20"/>
          <w:u w:val="single"/>
          <w:lang w:eastAsia="zh-CN"/>
        </w:rPr>
      </w:pPr>
      <w:r w:rsidRPr="002F1263">
        <w:rPr>
          <w:rFonts w:eastAsia="SimSun" w:cs="Arial"/>
          <w:i/>
          <w:iCs/>
          <w:szCs w:val="20"/>
          <w:u w:val="single"/>
          <w:lang w:eastAsia="zh-CN"/>
        </w:rPr>
        <w:t>krepitev kakovosti sistema izobraževanja odraslih.</w:t>
      </w:r>
    </w:p>
    <w:p w14:paraId="39A5D66F" w14:textId="77777777" w:rsidR="000E7A5A" w:rsidRPr="00F425EA" w:rsidRDefault="000E7A5A" w:rsidP="00E247FF">
      <w:pPr>
        <w:spacing w:after="0" w:line="276" w:lineRule="auto"/>
        <w:contextualSpacing/>
        <w:jc w:val="both"/>
        <w:rPr>
          <w:rFonts w:eastAsia="SimSun" w:cs="Arial"/>
          <w:i/>
          <w:iCs/>
          <w:sz w:val="22"/>
          <w:szCs w:val="22"/>
          <w:u w:val="single"/>
          <w:lang w:eastAsia="zh-CN"/>
        </w:rPr>
      </w:pPr>
    </w:p>
    <w:p w14:paraId="2A203811" w14:textId="77777777" w:rsidR="000E7A5A" w:rsidRPr="00F425EA" w:rsidRDefault="00306071" w:rsidP="005F66E4">
      <w:pPr>
        <w:pStyle w:val="Naslov4"/>
        <w:spacing w:before="0"/>
        <w:rPr>
          <w:lang w:eastAsia="zh-CN"/>
        </w:rPr>
      </w:pPr>
      <w:bookmarkStart w:id="874" w:name="_Toc187740068"/>
      <w:r w:rsidRPr="00F425EA">
        <w:rPr>
          <w:lang w:eastAsia="zh-CN"/>
        </w:rPr>
        <w:t>2.1.6.7 Trenutno stanje izvajanja na prednostni nalogi 6: stanje NPO in JR ter morebitne težave in izzivi</w:t>
      </w:r>
      <w:bookmarkEnd w:id="874"/>
    </w:p>
    <w:p w14:paraId="3113B28D" w14:textId="77777777" w:rsidR="000E7A5A" w:rsidRPr="007E18A1" w:rsidRDefault="000E7A5A" w:rsidP="00E247FF">
      <w:pPr>
        <w:spacing w:after="0" w:line="276" w:lineRule="auto"/>
        <w:contextualSpacing/>
        <w:jc w:val="both"/>
        <w:rPr>
          <w:rFonts w:eastAsia="SimSun" w:cs="Arial"/>
          <w:i/>
          <w:iCs/>
          <w:color w:val="0070C0"/>
          <w:szCs w:val="20"/>
          <w:u w:val="single"/>
          <w:lang w:eastAsia="zh-CN"/>
        </w:rPr>
      </w:pPr>
    </w:p>
    <w:p w14:paraId="5BB5A4E9" w14:textId="39EA8FC8" w:rsidR="000E7A5A" w:rsidRPr="002F1263" w:rsidRDefault="00306071" w:rsidP="00E247FF">
      <w:pPr>
        <w:spacing w:after="0" w:line="276" w:lineRule="auto"/>
        <w:contextualSpacing/>
        <w:jc w:val="both"/>
        <w:rPr>
          <w:rFonts w:cs="Arial"/>
          <w:szCs w:val="20"/>
        </w:rPr>
      </w:pPr>
      <w:r w:rsidRPr="005F66E4">
        <w:rPr>
          <w:rFonts w:eastAsia="SimSun" w:cs="Arial"/>
          <w:szCs w:val="20"/>
          <w:shd w:val="clear" w:color="auto" w:fill="FFFFFF" w:themeFill="background1"/>
          <w:lang w:eastAsia="zh-CN"/>
        </w:rPr>
        <w:t>Do 31. 12. 2024 je OU izdal v okviru PN 24 odločitev o podpori v skupni višini 211 mio EUR EU dela, kar predstavlja 48</w:t>
      </w:r>
      <w:r w:rsidR="006477ED" w:rsidRPr="005F66E4">
        <w:rPr>
          <w:rFonts w:eastAsia="SimSun" w:cs="Arial"/>
          <w:szCs w:val="20"/>
          <w:shd w:val="clear" w:color="auto" w:fill="FFFFFF" w:themeFill="background1"/>
          <w:lang w:eastAsia="zh-CN"/>
        </w:rPr>
        <w:t xml:space="preserve"> </w:t>
      </w:r>
      <w:r w:rsidRPr="005F66E4">
        <w:rPr>
          <w:rFonts w:eastAsia="SimSun" w:cs="Arial"/>
          <w:szCs w:val="20"/>
          <w:shd w:val="clear" w:color="auto" w:fill="FFFFFF" w:themeFill="background1"/>
          <w:lang w:eastAsia="zh-CN"/>
        </w:rPr>
        <w:t>% glede</w:t>
      </w:r>
      <w:r w:rsidRPr="002F1263">
        <w:rPr>
          <w:rFonts w:eastAsia="SimSun" w:cs="Arial"/>
          <w:szCs w:val="20"/>
          <w:lang w:eastAsia="zh-CN"/>
        </w:rPr>
        <w:t xml:space="preserve"> na pravice porabe. Izplačila iz proračuna RS so znašala v skupni višini 11 mio EUR EU dela, kar predstavlja 3</w:t>
      </w:r>
      <w:r w:rsidR="006477ED">
        <w:rPr>
          <w:rFonts w:eastAsia="SimSun" w:cs="Arial"/>
          <w:szCs w:val="20"/>
          <w:lang w:eastAsia="zh-CN"/>
        </w:rPr>
        <w:t xml:space="preserve"> </w:t>
      </w:r>
      <w:r w:rsidRPr="002F1263">
        <w:rPr>
          <w:rFonts w:eastAsia="SimSun" w:cs="Arial"/>
          <w:szCs w:val="20"/>
          <w:lang w:eastAsia="zh-CN"/>
        </w:rPr>
        <w:t xml:space="preserve">% glede na pravice porabe.   </w:t>
      </w:r>
    </w:p>
    <w:p w14:paraId="628468BE" w14:textId="77777777" w:rsidR="000E7A5A" w:rsidRPr="002F1263" w:rsidRDefault="00306071" w:rsidP="00E247FF">
      <w:pPr>
        <w:spacing w:after="0" w:line="276" w:lineRule="auto"/>
        <w:contextualSpacing/>
        <w:jc w:val="both"/>
        <w:rPr>
          <w:rFonts w:eastAsia="SimSun" w:cs="Arial"/>
          <w:szCs w:val="20"/>
          <w:lang w:eastAsia="zh-CN"/>
        </w:rPr>
      </w:pPr>
      <w:r w:rsidRPr="002F1263">
        <w:rPr>
          <w:rFonts w:eastAsia="SimSun" w:cs="Arial"/>
          <w:szCs w:val="20"/>
          <w:lang w:eastAsia="zh-CN"/>
        </w:rPr>
        <w:t xml:space="preserve">  </w:t>
      </w:r>
    </w:p>
    <w:p w14:paraId="0CB322A9" w14:textId="6569D230" w:rsidR="000E7A5A" w:rsidRPr="002F1263" w:rsidRDefault="00306071" w:rsidP="00E247FF">
      <w:pPr>
        <w:spacing w:after="0" w:line="276" w:lineRule="auto"/>
        <w:contextualSpacing/>
        <w:jc w:val="both"/>
        <w:rPr>
          <w:rFonts w:eastAsia="SimSun" w:cs="Arial"/>
          <w:szCs w:val="20"/>
          <w:lang w:eastAsia="zh-CN"/>
        </w:rPr>
      </w:pPr>
      <w:r w:rsidRPr="002F1263">
        <w:rPr>
          <w:rFonts w:eastAsia="SimSun" w:cs="Arial"/>
          <w:szCs w:val="20"/>
          <w:lang w:eastAsia="zh-CN"/>
        </w:rPr>
        <w:t>Odločitve o podpori so bile izdane za ukrepe na naslednjih področjih:</w:t>
      </w:r>
    </w:p>
    <w:p w14:paraId="4F455482" w14:textId="77777777" w:rsidR="000E7A5A" w:rsidRPr="002F1263" w:rsidRDefault="00306071" w:rsidP="00E247FF">
      <w:pPr>
        <w:pStyle w:val="Odstavekseznama"/>
        <w:numPr>
          <w:ilvl w:val="0"/>
          <w:numId w:val="21"/>
        </w:numPr>
        <w:spacing w:after="0" w:line="276" w:lineRule="auto"/>
        <w:jc w:val="both"/>
        <w:rPr>
          <w:rFonts w:eastAsia="SimSun" w:cs="Arial"/>
          <w:szCs w:val="20"/>
          <w:lang w:eastAsia="zh-CN"/>
        </w:rPr>
      </w:pPr>
      <w:r w:rsidRPr="002F1263">
        <w:rPr>
          <w:rFonts w:eastAsia="SimSun" w:cs="Arial"/>
          <w:szCs w:val="20"/>
          <w:lang w:eastAsia="zh-CN"/>
        </w:rPr>
        <w:t xml:space="preserve">ESO4.1 (6 odločitev o podpori): usposobitev in </w:t>
      </w:r>
      <w:proofErr w:type="spellStart"/>
      <w:r w:rsidRPr="002F1263">
        <w:rPr>
          <w:rFonts w:eastAsia="SimSun" w:cs="Arial"/>
          <w:szCs w:val="20"/>
          <w:lang w:eastAsia="zh-CN"/>
        </w:rPr>
        <w:t>opolnomočitev</w:t>
      </w:r>
      <w:proofErr w:type="spellEnd"/>
      <w:r w:rsidRPr="002F1263">
        <w:rPr>
          <w:rFonts w:eastAsia="SimSun" w:cs="Arial"/>
          <w:szCs w:val="20"/>
          <w:lang w:eastAsia="zh-CN"/>
        </w:rPr>
        <w:t xml:space="preserve"> mladih in mladinskih delavcev o problematiki </w:t>
      </w:r>
      <w:proofErr w:type="spellStart"/>
      <w:r w:rsidRPr="002F1263">
        <w:rPr>
          <w:rFonts w:eastAsia="SimSun" w:cs="Arial"/>
          <w:szCs w:val="20"/>
          <w:lang w:eastAsia="zh-CN"/>
        </w:rPr>
        <w:t>prekarnosti</w:t>
      </w:r>
      <w:proofErr w:type="spellEnd"/>
      <w:r w:rsidRPr="002F1263">
        <w:rPr>
          <w:rFonts w:eastAsia="SimSun" w:cs="Arial"/>
          <w:szCs w:val="20"/>
          <w:lang w:eastAsia="zh-CN"/>
        </w:rPr>
        <w:t xml:space="preserve"> preko vzpostavljenega podpornega okolja v mladinskem sektorju; vključitev brezposelnih oseb v programe usposabljanja in izobraževanja z namenom povečanja njihove zaposljivosti; vzpostavitev in delovanje krovne organizacije za spodbujanje sektorja socialne ekonomije; zagotovitev zaposlenim osebam, katerih zaposlitev oz. samozaposlitev je ogrožena, začasna ali </w:t>
      </w:r>
      <w:proofErr w:type="spellStart"/>
      <w:r w:rsidRPr="002F1263">
        <w:rPr>
          <w:rFonts w:eastAsia="SimSun" w:cs="Arial"/>
          <w:szCs w:val="20"/>
          <w:lang w:eastAsia="zh-CN"/>
        </w:rPr>
        <w:t>prekarna</w:t>
      </w:r>
      <w:proofErr w:type="spellEnd"/>
      <w:r w:rsidRPr="002F1263">
        <w:rPr>
          <w:rFonts w:eastAsia="SimSun" w:cs="Arial"/>
          <w:szCs w:val="20"/>
          <w:lang w:eastAsia="zh-CN"/>
        </w:rPr>
        <w:t>, ustrezne kompetence za lažji prehod na trg delovne sile ter preprečitev prehod v odprto brezposelnost; pridobitev in krepitev sposobnosti, znanj, veščin, kompetenc in spretnosti brezposelnih oseb, katerih obstoječa znanja oziroma delovne izkušnje ne omogočajo neposredne zaposlitve; spodbujanja delodajalcev k zaposlovanju ranljivih brezposelnih oseb.</w:t>
      </w:r>
    </w:p>
    <w:p w14:paraId="31C7D206" w14:textId="77777777" w:rsidR="000E7A5A" w:rsidRPr="002F1263" w:rsidRDefault="00306071" w:rsidP="00E247FF">
      <w:pPr>
        <w:pStyle w:val="Odstavekseznama"/>
        <w:numPr>
          <w:ilvl w:val="0"/>
          <w:numId w:val="21"/>
        </w:numPr>
        <w:spacing w:after="0" w:line="276" w:lineRule="auto"/>
        <w:jc w:val="both"/>
        <w:rPr>
          <w:rFonts w:eastAsia="SimSun" w:cs="Arial"/>
          <w:szCs w:val="20"/>
          <w:lang w:eastAsia="zh-CN"/>
        </w:rPr>
      </w:pPr>
      <w:r w:rsidRPr="002F1263">
        <w:rPr>
          <w:rFonts w:eastAsia="SimSun" w:cs="Arial"/>
          <w:szCs w:val="20"/>
          <w:lang w:eastAsia="zh-CN"/>
        </w:rPr>
        <w:t xml:space="preserve">ESO4.2 (5 odločitev o podpori): svetovanje za transnacionalno mobilnost delovne sile, zlasti mladih, preko storitev EURES; okrepitev mreže pisarn za delodajalce s storitvami za podporo </w:t>
      </w:r>
      <w:r w:rsidRPr="002F1263">
        <w:rPr>
          <w:rFonts w:eastAsia="SimSun" w:cs="Arial"/>
          <w:szCs w:val="20"/>
          <w:lang w:eastAsia="zh-CN"/>
        </w:rPr>
        <w:lastRenderedPageBreak/>
        <w:t>delodajalcem; digitaliziranje celotnega procesa osnovnega kariernega svetovanja in posredovanja zaposlitve; vzpostavitev sistemskega povezovanja CSD in ZRSZ in drugih relevantnih deležnikov za bolj celovito in kvalitetnejšo obravnavo posameznikov ciljne skupine.</w:t>
      </w:r>
    </w:p>
    <w:p w14:paraId="59D0FF01" w14:textId="77777777" w:rsidR="000E7A5A" w:rsidRPr="002F1263" w:rsidRDefault="00306071" w:rsidP="00E247FF">
      <w:pPr>
        <w:pStyle w:val="Odstavekseznama"/>
        <w:numPr>
          <w:ilvl w:val="0"/>
          <w:numId w:val="21"/>
        </w:numPr>
        <w:spacing w:after="0" w:line="276" w:lineRule="auto"/>
        <w:jc w:val="both"/>
        <w:rPr>
          <w:rFonts w:eastAsia="SimSun" w:cs="Arial"/>
          <w:szCs w:val="20"/>
          <w:lang w:eastAsia="zh-CN"/>
        </w:rPr>
      </w:pPr>
      <w:r w:rsidRPr="002F1263">
        <w:rPr>
          <w:rFonts w:eastAsia="SimSun" w:cs="Arial"/>
          <w:szCs w:val="20"/>
          <w:lang w:eastAsia="zh-CN"/>
        </w:rPr>
        <w:t>ESO4.4 (1 odločitev o podpori): podaljševanje delovne aktivnosti starejših zaposlenih.</w:t>
      </w:r>
    </w:p>
    <w:p w14:paraId="41D3A680" w14:textId="77777777" w:rsidR="000E7A5A" w:rsidRPr="002F1263" w:rsidRDefault="00306071" w:rsidP="00E247FF">
      <w:pPr>
        <w:pStyle w:val="Odstavekseznama"/>
        <w:numPr>
          <w:ilvl w:val="0"/>
          <w:numId w:val="21"/>
        </w:numPr>
        <w:spacing w:after="0" w:line="276" w:lineRule="auto"/>
        <w:jc w:val="both"/>
        <w:rPr>
          <w:rFonts w:eastAsia="SimSun" w:cs="Arial"/>
          <w:szCs w:val="20"/>
          <w:lang w:eastAsia="zh-CN"/>
        </w:rPr>
      </w:pPr>
      <w:r w:rsidRPr="002F1263">
        <w:rPr>
          <w:rFonts w:eastAsia="SimSun" w:cs="Arial"/>
          <w:szCs w:val="20"/>
          <w:lang w:eastAsia="zh-CN"/>
        </w:rPr>
        <w:t>ESO4.5 (6 odločitev o podpori): dvig kakovosti dvojezičnega šolstva za italijansko narodno skupnost v Sloveniji ter slovensko narodno skupnost v Italiji; dvig kakovosti dvojezičnega šolstva za madžarsko narodno skupnost v Sloveniji ter slovensko narodno skupnost na Madžarskem; izboljšanje kakovosti, vključenosti, učinkovitosti in ustreznosti sistemov izobraževanja in usposabljanja; pridobivanje praktičnih izkušenj, znanj in kompetenc študentov v delovnem okolju v času študija, spodbujanje krepitve sodelovanja in povezovanja ter prenosa znanja med visokošolskim sistemom in med delovnim okoljem; vzpostavitev razvojne pisarne za kulturno-umetnostno vzgojo; dvig poklicnih kompetenc na vseh področjih kulture in v ta namen vlaganje v izobraževanje, usposabljanje za spretnosti in vseživljenjsko učenje.</w:t>
      </w:r>
    </w:p>
    <w:p w14:paraId="6FA74DDF" w14:textId="7F6FE0FC" w:rsidR="000E7A5A" w:rsidRPr="002F1263" w:rsidRDefault="4EE128E9" w:rsidP="2EA23F19">
      <w:pPr>
        <w:pStyle w:val="Odstavekseznama"/>
        <w:numPr>
          <w:ilvl w:val="0"/>
          <w:numId w:val="21"/>
        </w:numPr>
        <w:spacing w:after="0" w:line="276" w:lineRule="auto"/>
        <w:jc w:val="both"/>
        <w:rPr>
          <w:rFonts w:eastAsia="SimSun" w:cs="Arial"/>
          <w:lang w:eastAsia="zh-CN"/>
        </w:rPr>
      </w:pPr>
      <w:r w:rsidRPr="00F7FCEE">
        <w:rPr>
          <w:rFonts w:eastAsia="SimSun" w:cs="Arial"/>
          <w:lang w:eastAsia="zh-CN"/>
        </w:rPr>
        <w:t>ESO4.7 (6 odločitev o podpori): posodobitev modela kompetenc, izvedba nadgradnje sistema merjenja razvitosti kompetenc in širitev nabora izobraževanj za zaposlene v pravosodju ter drugih deležnikov, ki delujejo v pravosodnem sistemu; pridobitev in izboljšanje temeljnih in poklicnih kompetenc ter splošne izobraženosti odraslih; spodbujanje kakovostnega vseživljenjskega učenja; dvig splošnega zavedanja o pomenu učenja in prispevanje k povečevanju vključenosti odraslih v vseživljenjsko učenje; dvig usposobljenosti javnih uslužbencev, zaposlenih v širšem javnem sektorju, vključno s funkcionarji</w:t>
      </w:r>
      <w:r w:rsidR="0C45F9B4" w:rsidRPr="00F7FCEE">
        <w:rPr>
          <w:rFonts w:eastAsia="SimSun" w:cs="Arial"/>
          <w:lang w:eastAsia="zh-CN"/>
        </w:rPr>
        <w:t>; dvig profesionalizacije javnega naročanja</w:t>
      </w:r>
      <w:r w:rsidRPr="00F7FCEE">
        <w:rPr>
          <w:rFonts w:eastAsia="SimSun" w:cs="Arial"/>
          <w:lang w:eastAsia="zh-CN"/>
        </w:rPr>
        <w:t>.</w:t>
      </w:r>
    </w:p>
    <w:p w14:paraId="006347E5" w14:textId="77777777" w:rsidR="000E7A5A" w:rsidRPr="002F1263" w:rsidRDefault="000E7A5A" w:rsidP="00E247FF">
      <w:pPr>
        <w:spacing w:after="0" w:line="276" w:lineRule="auto"/>
        <w:contextualSpacing/>
        <w:jc w:val="both"/>
        <w:rPr>
          <w:rFonts w:eastAsia="SimSun" w:cs="Arial"/>
          <w:color w:val="0070C0"/>
          <w:szCs w:val="20"/>
          <w:shd w:val="clear" w:color="auto" w:fill="00FF00"/>
          <w:lang w:eastAsia="zh-CN"/>
        </w:rPr>
      </w:pPr>
    </w:p>
    <w:p w14:paraId="70B218A4" w14:textId="1F1D3738" w:rsidR="00FB0F81" w:rsidRPr="00FB0F81" w:rsidRDefault="1ECD1B8B" w:rsidP="00FB0F81">
      <w:pPr>
        <w:spacing w:after="0" w:line="276" w:lineRule="auto"/>
        <w:contextualSpacing/>
        <w:jc w:val="both"/>
        <w:rPr>
          <w:rFonts w:eastAsia="SimSun" w:cs="Arial"/>
          <w:lang w:eastAsia="zh-CN"/>
        </w:rPr>
      </w:pPr>
      <w:r w:rsidRPr="00F7FCEE">
        <w:rPr>
          <w:rFonts w:eastAsia="SimSun" w:cs="Arial"/>
          <w:lang w:eastAsia="zh-CN"/>
        </w:rPr>
        <w:t xml:space="preserve">Podatki o stanju izvajanja v celotnem obdobju kažejo, da izvajanje poteka počasneje od načrtovane dinamike in da nekateri mejniki iz okvira smotrnosti ne bodo doseženi do konca leta 2024. </w:t>
      </w:r>
      <w:r w:rsidR="00FB0F81">
        <w:rPr>
          <w:rFonts w:eastAsia="SimSun" w:cs="Arial"/>
          <w:lang w:eastAsia="zh-CN"/>
        </w:rPr>
        <w:t>S</w:t>
      </w:r>
      <w:r w:rsidR="00FB0F81" w:rsidRPr="00FB0F81">
        <w:rPr>
          <w:rFonts w:eastAsia="SimSun" w:cs="Arial"/>
          <w:lang w:eastAsia="zh-CN"/>
        </w:rPr>
        <w:t xml:space="preserve">plošni razlog za zamude pri doseganju mejnikov 2024 </w:t>
      </w:r>
      <w:r w:rsidR="00FB0F81">
        <w:rPr>
          <w:rFonts w:eastAsia="SimSun" w:cs="Arial"/>
          <w:lang w:eastAsia="zh-CN"/>
        </w:rPr>
        <w:t xml:space="preserve">je bil </w:t>
      </w:r>
      <w:r w:rsidR="00FB0F81" w:rsidRPr="00FB0F81">
        <w:rPr>
          <w:rFonts w:eastAsia="SimSun" w:cs="Arial"/>
          <w:lang w:eastAsia="zh-CN"/>
        </w:rPr>
        <w:t>pozen začetek izvajanja P</w:t>
      </w:r>
      <w:r w:rsidR="00FB0F81">
        <w:rPr>
          <w:rFonts w:eastAsia="SimSun" w:cs="Arial"/>
          <w:lang w:eastAsia="zh-CN"/>
        </w:rPr>
        <w:t xml:space="preserve">EKP </w:t>
      </w:r>
      <w:r w:rsidR="00FB0F81" w:rsidRPr="00FB0F81">
        <w:rPr>
          <w:rFonts w:eastAsia="SimSun" w:cs="Arial"/>
          <w:lang w:eastAsia="zh-CN"/>
        </w:rPr>
        <w:t>21-27, zlasti zaradi:</w:t>
      </w:r>
    </w:p>
    <w:p w14:paraId="7B683B38" w14:textId="421253C6" w:rsidR="00FB0F81" w:rsidRPr="00FB0F81" w:rsidRDefault="00FB0F81" w:rsidP="00FB0F81">
      <w:pPr>
        <w:spacing w:after="0" w:line="276" w:lineRule="auto"/>
        <w:ind w:left="851" w:hanging="425"/>
        <w:contextualSpacing/>
        <w:jc w:val="both"/>
        <w:rPr>
          <w:rFonts w:eastAsia="SimSun" w:cs="Arial"/>
          <w:lang w:eastAsia="zh-CN"/>
        </w:rPr>
      </w:pPr>
      <w:r w:rsidRPr="00FB0F81">
        <w:rPr>
          <w:rFonts w:eastAsia="SimSun" w:cs="Arial"/>
          <w:lang w:eastAsia="zh-CN"/>
        </w:rPr>
        <w:t>-</w:t>
      </w:r>
      <w:r w:rsidRPr="00FB0F81">
        <w:rPr>
          <w:rFonts w:eastAsia="SimSun" w:cs="Arial"/>
          <w:lang w:eastAsia="zh-CN"/>
        </w:rPr>
        <w:tab/>
      </w:r>
      <w:r>
        <w:rPr>
          <w:rFonts w:eastAsia="SimSun" w:cs="Arial"/>
          <w:lang w:eastAsia="zh-CN"/>
        </w:rPr>
        <w:t>p</w:t>
      </w:r>
      <w:r w:rsidRPr="00FB0F81">
        <w:rPr>
          <w:rFonts w:eastAsia="SimSun" w:cs="Arial"/>
          <w:lang w:eastAsia="zh-CN"/>
        </w:rPr>
        <w:t xml:space="preserve">ozne potrditve </w:t>
      </w:r>
      <w:r>
        <w:rPr>
          <w:rFonts w:eastAsia="SimSun" w:cs="Arial"/>
          <w:lang w:eastAsia="zh-CN"/>
        </w:rPr>
        <w:t>programskih dokumentov</w:t>
      </w:r>
      <w:r w:rsidR="008E04DE">
        <w:rPr>
          <w:rFonts w:eastAsia="SimSun" w:cs="Arial"/>
          <w:lang w:eastAsia="zh-CN"/>
        </w:rPr>
        <w:t>,</w:t>
      </w:r>
    </w:p>
    <w:p w14:paraId="68B4C60F" w14:textId="0ED8484D" w:rsidR="00FB0F81" w:rsidRPr="00FB0F81" w:rsidRDefault="00FB0F81" w:rsidP="00FB0F81">
      <w:pPr>
        <w:spacing w:after="0" w:line="276" w:lineRule="auto"/>
        <w:ind w:left="851" w:hanging="425"/>
        <w:contextualSpacing/>
        <w:jc w:val="both"/>
        <w:rPr>
          <w:rFonts w:eastAsia="SimSun" w:cs="Arial"/>
          <w:lang w:eastAsia="zh-CN"/>
        </w:rPr>
      </w:pPr>
      <w:r w:rsidRPr="00FB0F81">
        <w:rPr>
          <w:rFonts w:eastAsia="SimSun" w:cs="Arial"/>
          <w:lang w:eastAsia="zh-CN"/>
        </w:rPr>
        <w:t>-</w:t>
      </w:r>
      <w:r w:rsidRPr="00FB0F81">
        <w:rPr>
          <w:rFonts w:eastAsia="SimSun" w:cs="Arial"/>
          <w:lang w:eastAsia="zh-CN"/>
        </w:rPr>
        <w:tab/>
      </w:r>
      <w:r>
        <w:rPr>
          <w:rFonts w:eastAsia="SimSun" w:cs="Arial"/>
          <w:lang w:eastAsia="zh-CN"/>
        </w:rPr>
        <w:t>i</w:t>
      </w:r>
      <w:r w:rsidRPr="00FB0F81">
        <w:rPr>
          <w:rFonts w:eastAsia="SimSun" w:cs="Arial"/>
          <w:lang w:eastAsia="zh-CN"/>
        </w:rPr>
        <w:t xml:space="preserve">ntenzivnega izvajanja in zaključevanja operacij iz obdobja 2014-2020, ki so </w:t>
      </w:r>
      <w:r>
        <w:rPr>
          <w:rFonts w:eastAsia="SimSun" w:cs="Arial"/>
          <w:lang w:eastAsia="zh-CN"/>
        </w:rPr>
        <w:t>bili</w:t>
      </w:r>
      <w:r w:rsidRPr="00FB0F81">
        <w:rPr>
          <w:rFonts w:eastAsia="SimSun" w:cs="Arial"/>
          <w:lang w:eastAsia="zh-CN"/>
        </w:rPr>
        <w:t xml:space="preserve"> financirali iz </w:t>
      </w:r>
      <w:r>
        <w:rPr>
          <w:rFonts w:eastAsia="SimSun" w:cs="Arial"/>
          <w:lang w:eastAsia="zh-CN"/>
        </w:rPr>
        <w:t xml:space="preserve">programa </w:t>
      </w:r>
      <w:proofErr w:type="spellStart"/>
      <w:r w:rsidRPr="00FB0F81">
        <w:rPr>
          <w:rFonts w:eastAsia="SimSun" w:cs="Arial"/>
          <w:lang w:eastAsia="zh-CN"/>
        </w:rPr>
        <w:t>ReactEU</w:t>
      </w:r>
      <w:proofErr w:type="spellEnd"/>
      <w:r w:rsidRPr="00FB0F81">
        <w:rPr>
          <w:rFonts w:eastAsia="SimSun" w:cs="Arial"/>
          <w:lang w:eastAsia="zh-CN"/>
        </w:rPr>
        <w:t xml:space="preserve"> </w:t>
      </w:r>
      <w:r w:rsidR="008E04DE">
        <w:rPr>
          <w:rFonts w:eastAsia="SimSun" w:cs="Arial"/>
          <w:lang w:eastAsia="zh-CN"/>
        </w:rPr>
        <w:t xml:space="preserve">ob </w:t>
      </w:r>
      <w:r w:rsidRPr="00FB0F81">
        <w:rPr>
          <w:rFonts w:eastAsia="SimSun" w:cs="Arial"/>
          <w:lang w:eastAsia="zh-CN"/>
        </w:rPr>
        <w:t>omenjenega obdobja</w:t>
      </w:r>
      <w:r w:rsidR="008E04DE">
        <w:rPr>
          <w:rFonts w:eastAsia="SimSun" w:cs="Arial"/>
          <w:lang w:eastAsia="zh-CN"/>
        </w:rPr>
        <w:t xml:space="preserve"> in</w:t>
      </w:r>
    </w:p>
    <w:p w14:paraId="0C0ECDCD" w14:textId="5FB83145" w:rsidR="000E7A5A" w:rsidRPr="002F1263" w:rsidRDefault="00FB0F81" w:rsidP="00FB0F81">
      <w:pPr>
        <w:spacing w:after="0" w:line="276" w:lineRule="auto"/>
        <w:ind w:left="851" w:hanging="425"/>
        <w:contextualSpacing/>
        <w:jc w:val="both"/>
        <w:rPr>
          <w:rFonts w:eastAsia="SimSun" w:cs="Arial"/>
          <w:lang w:eastAsia="zh-CN"/>
        </w:rPr>
      </w:pPr>
      <w:r w:rsidRPr="00FB0F81">
        <w:rPr>
          <w:rFonts w:eastAsia="SimSun" w:cs="Arial"/>
          <w:lang w:eastAsia="zh-CN"/>
        </w:rPr>
        <w:t>-</w:t>
      </w:r>
      <w:r w:rsidRPr="00FB0F81">
        <w:rPr>
          <w:rFonts w:eastAsia="SimSun" w:cs="Arial"/>
          <w:lang w:eastAsia="zh-CN"/>
        </w:rPr>
        <w:tab/>
      </w:r>
      <w:r w:rsidR="008E04DE">
        <w:rPr>
          <w:rFonts w:eastAsia="SimSun" w:cs="Arial"/>
          <w:lang w:eastAsia="zh-CN"/>
        </w:rPr>
        <w:t>p</w:t>
      </w:r>
      <w:r w:rsidRPr="00FB0F81">
        <w:rPr>
          <w:rFonts w:eastAsia="SimSun" w:cs="Arial"/>
          <w:lang w:eastAsia="zh-CN"/>
        </w:rPr>
        <w:t>ozne prip</w:t>
      </w:r>
      <w:r w:rsidR="008E04DE">
        <w:rPr>
          <w:rFonts w:eastAsia="SimSun" w:cs="Arial"/>
          <w:lang w:eastAsia="zh-CN"/>
        </w:rPr>
        <w:t>rave</w:t>
      </w:r>
      <w:r w:rsidRPr="00FB0F81">
        <w:rPr>
          <w:rFonts w:eastAsia="SimSun" w:cs="Arial"/>
          <w:lang w:eastAsia="zh-CN"/>
        </w:rPr>
        <w:t xml:space="preserve"> navodil OU za izvajanje PEKP 21-27</w:t>
      </w:r>
      <w:r w:rsidR="008E04DE">
        <w:rPr>
          <w:rFonts w:eastAsia="SimSun" w:cs="Arial"/>
          <w:lang w:eastAsia="zh-CN"/>
        </w:rPr>
        <w:t xml:space="preserve"> za izdajo odločitve o podpori</w:t>
      </w:r>
      <w:r w:rsidRPr="00FB0F81">
        <w:rPr>
          <w:rFonts w:eastAsia="SimSun" w:cs="Arial"/>
          <w:lang w:eastAsia="zh-CN"/>
        </w:rPr>
        <w:t xml:space="preserve">, ki so </w:t>
      </w:r>
      <w:r w:rsidR="008E04DE">
        <w:rPr>
          <w:rFonts w:eastAsia="SimSun" w:cs="Arial"/>
          <w:lang w:eastAsia="zh-CN"/>
        </w:rPr>
        <w:t xml:space="preserve">bila izdana </w:t>
      </w:r>
      <w:r w:rsidRPr="00FB0F81">
        <w:rPr>
          <w:rFonts w:eastAsia="SimSun" w:cs="Arial"/>
          <w:lang w:eastAsia="zh-CN"/>
        </w:rPr>
        <w:t>šele v letu 2023.</w:t>
      </w:r>
      <w:r w:rsidR="1ECD1B8B" w:rsidRPr="00F7FCEE">
        <w:rPr>
          <w:rFonts w:eastAsia="SimSun" w:cs="Arial"/>
          <w:lang w:eastAsia="zh-CN"/>
        </w:rPr>
        <w:t xml:space="preserve"> </w:t>
      </w:r>
    </w:p>
    <w:p w14:paraId="36744955" w14:textId="77BF87A1" w:rsidR="000E7A5A" w:rsidRPr="002F1263" w:rsidRDefault="000E7A5A" w:rsidP="431E93DE">
      <w:pPr>
        <w:spacing w:after="0" w:line="276" w:lineRule="auto"/>
        <w:contextualSpacing/>
        <w:jc w:val="both"/>
        <w:rPr>
          <w:rFonts w:eastAsia="SimSun" w:cs="Arial"/>
          <w:lang w:eastAsia="zh-CN"/>
        </w:rPr>
      </w:pPr>
    </w:p>
    <w:p w14:paraId="7BC9D49C" w14:textId="678246DB" w:rsidR="000E7A5A" w:rsidRPr="002F1263" w:rsidRDefault="4EE128E9" w:rsidP="431E93DE">
      <w:pPr>
        <w:spacing w:after="0" w:line="276" w:lineRule="auto"/>
        <w:contextualSpacing/>
        <w:jc w:val="both"/>
        <w:rPr>
          <w:rFonts w:eastAsia="SimSun" w:cs="Arial"/>
          <w:lang w:eastAsia="zh-CN"/>
        </w:rPr>
      </w:pPr>
      <w:r w:rsidRPr="00F7FCEE">
        <w:rPr>
          <w:rFonts w:eastAsia="SimSun" w:cs="Arial"/>
          <w:lang w:eastAsia="zh-CN"/>
        </w:rPr>
        <w:t>Pri izvedbi ukrepov prestavlja izziv sprememba razmer na trgu dela, ki so bistveno drugačne glede na razmere v času programiranja PEKP 21</w:t>
      </w:r>
      <w:r w:rsidR="34E1A471" w:rsidRPr="00F7FCEE">
        <w:rPr>
          <w:rFonts w:eastAsia="SimSun" w:cs="Arial"/>
          <w:lang w:eastAsia="zh-CN"/>
        </w:rPr>
        <w:t>–</w:t>
      </w:r>
      <w:r w:rsidRPr="00F7FCEE">
        <w:rPr>
          <w:rFonts w:eastAsia="SimSun" w:cs="Arial"/>
          <w:lang w:eastAsia="zh-CN"/>
        </w:rPr>
        <w:t xml:space="preserve">27. Glede operacije strateškega pomena je treba izpostaviti, da so aktivnosti zelo </w:t>
      </w:r>
      <w:r w:rsidR="30D60F4B" w:rsidRPr="00F7FCEE">
        <w:rPr>
          <w:rFonts w:eastAsia="SimSun" w:cs="Arial"/>
          <w:lang w:eastAsia="zh-CN"/>
        </w:rPr>
        <w:t>kompleksne</w:t>
      </w:r>
      <w:r w:rsidRPr="00F7FCEE">
        <w:rPr>
          <w:rFonts w:eastAsia="SimSun" w:cs="Arial"/>
          <w:lang w:eastAsia="zh-CN"/>
        </w:rPr>
        <w:t xml:space="preserve"> in zahtevajo veliko usklajevanja.</w:t>
      </w:r>
    </w:p>
    <w:p w14:paraId="08EE5C43" w14:textId="77777777" w:rsidR="000E7A5A" w:rsidRPr="002F1263" w:rsidRDefault="000E7A5A" w:rsidP="00E247FF">
      <w:pPr>
        <w:spacing w:after="0" w:line="276" w:lineRule="auto"/>
        <w:contextualSpacing/>
        <w:jc w:val="both"/>
        <w:rPr>
          <w:rFonts w:eastAsia="SimSun" w:cs="Arial"/>
          <w:szCs w:val="20"/>
          <w:lang w:eastAsia="zh-CN"/>
        </w:rPr>
      </w:pPr>
    </w:p>
    <w:p w14:paraId="3B56344E" w14:textId="5A47D436" w:rsidR="000E7A5A" w:rsidRPr="002F1263" w:rsidRDefault="00306071" w:rsidP="00E247FF">
      <w:pPr>
        <w:spacing w:after="0" w:line="276" w:lineRule="auto"/>
        <w:contextualSpacing/>
        <w:jc w:val="both"/>
        <w:rPr>
          <w:rFonts w:eastAsia="SimSun" w:cs="Arial"/>
          <w:szCs w:val="20"/>
          <w:lang w:eastAsia="zh-CN"/>
        </w:rPr>
      </w:pPr>
      <w:r w:rsidRPr="002F1263">
        <w:rPr>
          <w:rFonts w:eastAsia="SimSun" w:cs="Arial"/>
          <w:szCs w:val="20"/>
          <w:lang w:eastAsia="zh-CN"/>
        </w:rPr>
        <w:t>Kljub kasnejši izvedbi nekaterih ukrepov so načrtovani cilji do konca izvajanja PEKP 21</w:t>
      </w:r>
      <w:r w:rsidR="003037F8" w:rsidRPr="003037F8">
        <w:rPr>
          <w:rFonts w:eastAsia="SimSun" w:cs="Arial"/>
          <w:szCs w:val="20"/>
          <w:lang w:eastAsia="zh-CN"/>
        </w:rPr>
        <w:t>–</w:t>
      </w:r>
      <w:r w:rsidRPr="002F1263">
        <w:rPr>
          <w:rFonts w:eastAsia="SimSun" w:cs="Arial"/>
          <w:szCs w:val="20"/>
          <w:lang w:eastAsia="zh-CN"/>
        </w:rPr>
        <w:t xml:space="preserve">27 realni in dosegljivi. Temu kaže tudi delež izdanih odločitev o podpori, v okviru katerih se pričakuje večje </w:t>
      </w:r>
      <w:r w:rsidR="00FB0F81">
        <w:rPr>
          <w:rFonts w:eastAsia="SimSun" w:cs="Arial"/>
          <w:szCs w:val="20"/>
          <w:lang w:eastAsia="zh-CN"/>
        </w:rPr>
        <w:t>koriščenje</w:t>
      </w:r>
      <w:r w:rsidRPr="002F1263">
        <w:rPr>
          <w:rFonts w:eastAsia="SimSun" w:cs="Arial"/>
          <w:szCs w:val="20"/>
          <w:lang w:eastAsia="zh-CN"/>
        </w:rPr>
        <w:t xml:space="preserve"> od leta 2025 dalje.</w:t>
      </w:r>
    </w:p>
    <w:p w14:paraId="7521767D" w14:textId="77777777" w:rsidR="000E7A5A" w:rsidRPr="002F1263" w:rsidRDefault="000E7A5A" w:rsidP="00E247FF">
      <w:pPr>
        <w:spacing w:after="0" w:line="276" w:lineRule="auto"/>
        <w:contextualSpacing/>
        <w:jc w:val="both"/>
        <w:rPr>
          <w:rFonts w:eastAsia="SimSun" w:cs="Arial"/>
          <w:szCs w:val="20"/>
          <w:lang w:eastAsia="zh-CN"/>
        </w:rPr>
      </w:pPr>
    </w:p>
    <w:p w14:paraId="171830DC" w14:textId="4E84F644" w:rsidR="000E7A5A" w:rsidRDefault="00306071" w:rsidP="00E247FF">
      <w:pPr>
        <w:spacing w:after="0" w:line="276" w:lineRule="auto"/>
        <w:contextualSpacing/>
        <w:jc w:val="both"/>
        <w:rPr>
          <w:rFonts w:eastAsia="SimSun" w:cs="Arial"/>
          <w:szCs w:val="20"/>
          <w:lang w:eastAsia="zh-CN"/>
        </w:rPr>
      </w:pPr>
      <w:r w:rsidRPr="002F1263">
        <w:rPr>
          <w:rFonts w:eastAsia="SimSun" w:cs="Arial"/>
          <w:szCs w:val="20"/>
          <w:lang w:eastAsia="zh-CN"/>
        </w:rPr>
        <w:t xml:space="preserve">Vezano na predhodno zapisano OU skupaj z Ministrstvom za finance v vlogi organa za </w:t>
      </w:r>
      <w:proofErr w:type="spellStart"/>
      <w:r w:rsidRPr="002F1263">
        <w:rPr>
          <w:rFonts w:eastAsia="SimSun" w:cs="Arial"/>
          <w:szCs w:val="20"/>
          <w:lang w:eastAsia="zh-CN"/>
        </w:rPr>
        <w:t>računovodenje</w:t>
      </w:r>
      <w:proofErr w:type="spellEnd"/>
      <w:r w:rsidRPr="002F1263">
        <w:rPr>
          <w:rFonts w:eastAsia="SimSun" w:cs="Arial"/>
          <w:szCs w:val="20"/>
          <w:lang w:eastAsia="zh-CN"/>
        </w:rPr>
        <w:t xml:space="preserve"> intenzivno pripravlja vse ustrezne postopke za čimprejšnje certificiranje izdatkov do EK. MKRR bo na podlagi pregleda napredka pri izvajanju načrtovanih ukrepov na ministrstvih, vključenih v izvajanje EKP, in na podlagi izdelane ocene tveganja pri izvajanju operacij, pripravilo izhodišča za spremembo PEKP 21–27.</w:t>
      </w:r>
    </w:p>
    <w:p w14:paraId="07C6AE4C" w14:textId="77777777" w:rsidR="002F1263" w:rsidRPr="002F1263" w:rsidRDefault="002F1263" w:rsidP="00E247FF">
      <w:pPr>
        <w:spacing w:after="0" w:line="276" w:lineRule="auto"/>
        <w:contextualSpacing/>
        <w:jc w:val="both"/>
        <w:rPr>
          <w:rFonts w:eastAsia="SimSun" w:cs="Arial"/>
          <w:szCs w:val="20"/>
          <w:lang w:eastAsia="zh-CN"/>
        </w:rPr>
      </w:pPr>
    </w:p>
    <w:p w14:paraId="1617284A" w14:textId="77777777" w:rsidR="000E7A5A" w:rsidRPr="00F425EA" w:rsidRDefault="00306071" w:rsidP="00E76A87">
      <w:pPr>
        <w:pStyle w:val="Naslov3"/>
      </w:pPr>
      <w:bookmarkStart w:id="875" w:name="_Toc2017607592"/>
      <w:bookmarkStart w:id="876" w:name="_Toc31479839"/>
      <w:bookmarkStart w:id="877" w:name="_Toc1853750801"/>
      <w:bookmarkStart w:id="878" w:name="_Toc1050667011"/>
      <w:bookmarkStart w:id="879" w:name="_Toc681786629"/>
      <w:bookmarkStart w:id="880" w:name="_Toc430601222"/>
      <w:bookmarkStart w:id="881" w:name="_Toc693247607"/>
      <w:bookmarkStart w:id="882" w:name="_Toc285090042"/>
      <w:bookmarkStart w:id="883" w:name="_Toc1569136486"/>
      <w:bookmarkStart w:id="884" w:name="_Toc1307251037"/>
      <w:bookmarkStart w:id="885" w:name="_Toc777821679"/>
      <w:bookmarkStart w:id="886" w:name="_Toc1276466431"/>
      <w:bookmarkStart w:id="887" w:name="_Toc450911505"/>
      <w:bookmarkStart w:id="888" w:name="_Toc1386236687"/>
      <w:bookmarkStart w:id="889" w:name="_Toc1815785194"/>
      <w:bookmarkStart w:id="890" w:name="_Toc158955210"/>
      <w:bookmarkStart w:id="891" w:name="_Toc1062160574"/>
      <w:bookmarkStart w:id="892" w:name="_Toc1300721927"/>
      <w:bookmarkStart w:id="893" w:name="_Toc1998249019"/>
      <w:bookmarkStart w:id="894" w:name="_Toc962902742"/>
      <w:bookmarkStart w:id="895" w:name="_Toc1687382683"/>
      <w:bookmarkStart w:id="896" w:name="_Toc1345829475"/>
      <w:bookmarkStart w:id="897" w:name="_Toc233215084"/>
      <w:bookmarkStart w:id="898" w:name="_Toc1138408101"/>
      <w:bookmarkStart w:id="899" w:name="_Toc946399229"/>
      <w:bookmarkStart w:id="900" w:name="_Toc1566206960"/>
      <w:bookmarkStart w:id="901" w:name="_Toc1577419973"/>
      <w:bookmarkStart w:id="902" w:name="_Toc1249627883"/>
      <w:bookmarkStart w:id="903" w:name="_Toc1863848496"/>
      <w:bookmarkStart w:id="904" w:name="_Toc417189864"/>
      <w:bookmarkStart w:id="905" w:name="_Toc1109155825"/>
      <w:bookmarkStart w:id="906" w:name="_Toc1564878645"/>
      <w:bookmarkStart w:id="907" w:name="_Toc1916462317"/>
      <w:bookmarkStart w:id="908" w:name="_Toc1276153184"/>
      <w:bookmarkStart w:id="909" w:name="_Toc1184617619"/>
      <w:bookmarkStart w:id="910" w:name="_Toc1685624046"/>
      <w:bookmarkStart w:id="911" w:name="_Toc1894722375"/>
      <w:bookmarkStart w:id="912" w:name="_Toc2048019652"/>
      <w:bookmarkStart w:id="913" w:name="_Toc2085135744"/>
      <w:bookmarkStart w:id="914" w:name="_Toc1627416591"/>
      <w:bookmarkStart w:id="915" w:name="_Toc1512648942"/>
      <w:bookmarkStart w:id="916" w:name="_Toc908612462"/>
      <w:bookmarkStart w:id="917" w:name="_Toc1090597613"/>
      <w:bookmarkStart w:id="918" w:name="_Toc1235095915"/>
      <w:bookmarkStart w:id="919" w:name="_Toc1834218303"/>
      <w:bookmarkStart w:id="920" w:name="_Toc1885571755"/>
      <w:bookmarkStart w:id="921" w:name="_Toc1855364791"/>
      <w:bookmarkStart w:id="922" w:name="_Toc1556969241"/>
      <w:bookmarkStart w:id="923" w:name="_Toc2096204506"/>
      <w:bookmarkStart w:id="924" w:name="_Toc1315123693"/>
      <w:bookmarkStart w:id="925" w:name="_Toc1265106802"/>
      <w:bookmarkStart w:id="926" w:name="_Toc1544261118"/>
      <w:bookmarkStart w:id="927" w:name="_Toc419464908"/>
      <w:bookmarkStart w:id="928" w:name="_Toc557523136"/>
      <w:bookmarkStart w:id="929" w:name="_Toc948714645"/>
      <w:bookmarkStart w:id="930" w:name="_Toc1180173096"/>
      <w:bookmarkStart w:id="931" w:name="_Toc1915446114"/>
      <w:bookmarkStart w:id="932" w:name="_Toc1324526663"/>
      <w:bookmarkStart w:id="933" w:name="_Toc474204113"/>
      <w:bookmarkStart w:id="934" w:name="_Toc1095992303"/>
      <w:bookmarkStart w:id="935" w:name="_Toc352374897"/>
      <w:bookmarkStart w:id="936" w:name="_Toc1682041438"/>
      <w:bookmarkStart w:id="937" w:name="_Toc430676301"/>
      <w:bookmarkStart w:id="938" w:name="_Toc2047780361"/>
      <w:bookmarkStart w:id="939" w:name="_Toc939769855"/>
      <w:bookmarkStart w:id="940" w:name="_Toc1764303071"/>
      <w:bookmarkStart w:id="941" w:name="_Toc1506399900"/>
      <w:bookmarkStart w:id="942" w:name="_Toc437737178"/>
      <w:bookmarkStart w:id="943" w:name="_Toc377062609"/>
      <w:bookmarkStart w:id="944" w:name="_Toc1387660210"/>
      <w:bookmarkStart w:id="945" w:name="_Toc189637576"/>
      <w:bookmarkStart w:id="946" w:name="_Toc1222679937"/>
      <w:bookmarkStart w:id="947" w:name="_Toc1270174049"/>
      <w:bookmarkStart w:id="948" w:name="_Toc1363698596"/>
      <w:bookmarkStart w:id="949" w:name="_Toc2057980687"/>
      <w:bookmarkStart w:id="950" w:name="_Toc451011913"/>
      <w:bookmarkStart w:id="951" w:name="_Toc189104515"/>
      <w:bookmarkStart w:id="952" w:name="_Toc1942567147"/>
      <w:bookmarkStart w:id="953" w:name="_Toc1944372368"/>
      <w:bookmarkStart w:id="954" w:name="_Toc1446849918"/>
      <w:bookmarkStart w:id="955" w:name="_Toc477994734"/>
      <w:bookmarkStart w:id="956" w:name="_Toc1652806978"/>
      <w:bookmarkStart w:id="957" w:name="_Toc337200822"/>
      <w:bookmarkStart w:id="958" w:name="_Toc903184253"/>
      <w:bookmarkStart w:id="959" w:name="_Toc187739333"/>
      <w:bookmarkStart w:id="960" w:name="_Toc187740069"/>
      <w:bookmarkStart w:id="961" w:name="_Toc192681988"/>
      <w:r w:rsidRPr="00F425EA">
        <w:t>2.1.7</w:t>
      </w:r>
      <w:r w:rsidRPr="00F425EA">
        <w:tab/>
        <w:t>PN 7: Dolgotrajna oskrba in zdravje ter socialna vključenost</w:t>
      </w:r>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p>
    <w:p w14:paraId="439C8327" w14:textId="77777777" w:rsidR="000E7A5A" w:rsidRPr="00F425EA" w:rsidRDefault="000E7A5A" w:rsidP="00E247FF">
      <w:pPr>
        <w:spacing w:after="0" w:line="276" w:lineRule="auto"/>
        <w:contextualSpacing/>
        <w:jc w:val="both"/>
        <w:rPr>
          <w:rFonts w:eastAsia="SimSun" w:cs="Arial"/>
          <w:sz w:val="22"/>
          <w:szCs w:val="22"/>
          <w:lang w:eastAsia="zh-CN"/>
        </w:rPr>
      </w:pPr>
    </w:p>
    <w:p w14:paraId="66605777" w14:textId="77777777" w:rsidR="000E7A5A" w:rsidRPr="00F425EA" w:rsidRDefault="00306071" w:rsidP="005F66E4">
      <w:pPr>
        <w:pStyle w:val="Naslov4"/>
        <w:spacing w:before="0"/>
        <w:rPr>
          <w:lang w:eastAsia="zh-CN"/>
        </w:rPr>
      </w:pPr>
      <w:bookmarkStart w:id="962" w:name="_Toc187740070"/>
      <w:r w:rsidRPr="00F425EA">
        <w:rPr>
          <w:lang w:eastAsia="zh-CN"/>
        </w:rPr>
        <w:t>2.1.7.1 Specifični cilj: RSO4.3. Spodbujanje socialno-ekonomskega vključevanja marginaliziranih skupnosti, gospodinjstev z nizkimi dohodki in prikrajšanih skupin, tudi ljudi s posebnimi potrebami, s celostnimi ukrepi, vključno s stanovanjskimi in socialnimi storitvami (ESRR)</w:t>
      </w:r>
      <w:bookmarkEnd w:id="962"/>
    </w:p>
    <w:p w14:paraId="19086A71" w14:textId="77777777" w:rsidR="000E7A5A" w:rsidRPr="007E18A1" w:rsidRDefault="000E7A5A" w:rsidP="00E247FF">
      <w:pPr>
        <w:spacing w:after="0" w:line="276" w:lineRule="auto"/>
        <w:contextualSpacing/>
        <w:jc w:val="both"/>
        <w:rPr>
          <w:rFonts w:eastAsia="SimSun" w:cs="Arial"/>
          <w:color w:val="0070C0"/>
          <w:szCs w:val="20"/>
          <w:lang w:eastAsia="zh-CN"/>
        </w:rPr>
      </w:pPr>
    </w:p>
    <w:p w14:paraId="72E82E57" w14:textId="6D41919B" w:rsidR="000E7A5A" w:rsidRPr="002F1263" w:rsidRDefault="00306071" w:rsidP="00E247FF">
      <w:pPr>
        <w:spacing w:after="0" w:line="276" w:lineRule="auto"/>
        <w:contextualSpacing/>
        <w:jc w:val="both"/>
        <w:rPr>
          <w:rFonts w:eastAsia="SimSun" w:cs="Arial"/>
          <w:szCs w:val="20"/>
          <w:lang w:eastAsia="zh-CN"/>
        </w:rPr>
      </w:pPr>
      <w:r w:rsidRPr="002F1263">
        <w:rPr>
          <w:rFonts w:eastAsia="SimSun" w:cs="Arial"/>
          <w:szCs w:val="20"/>
          <w:lang w:eastAsia="zh-CN"/>
        </w:rPr>
        <w:t xml:space="preserve">Specifični cilj je namenjen ukrepom, ki bodo oblikovani po analizi vrzeli in rezultatih </w:t>
      </w:r>
      <w:proofErr w:type="spellStart"/>
      <w:r w:rsidRPr="002F1263">
        <w:rPr>
          <w:rFonts w:eastAsia="SimSun" w:cs="Arial"/>
          <w:szCs w:val="20"/>
          <w:lang w:eastAsia="zh-CN"/>
        </w:rPr>
        <w:t>mapiranja</w:t>
      </w:r>
      <w:proofErr w:type="spellEnd"/>
      <w:r w:rsidRPr="002F1263">
        <w:rPr>
          <w:rFonts w:eastAsia="SimSun" w:cs="Arial"/>
          <w:szCs w:val="20"/>
          <w:lang w:eastAsia="zh-CN"/>
        </w:rPr>
        <w:t xml:space="preserve"> infrastrukture, storitev in potreb, tudi na </w:t>
      </w:r>
      <w:proofErr w:type="spellStart"/>
      <w:r w:rsidRPr="002F1263">
        <w:rPr>
          <w:rFonts w:eastAsia="SimSun" w:cs="Arial"/>
          <w:szCs w:val="20"/>
          <w:lang w:eastAsia="zh-CN"/>
        </w:rPr>
        <w:t>mikroregionalni</w:t>
      </w:r>
      <w:proofErr w:type="spellEnd"/>
      <w:r w:rsidRPr="002F1263">
        <w:rPr>
          <w:rFonts w:eastAsia="SimSun" w:cs="Arial"/>
          <w:szCs w:val="20"/>
          <w:lang w:eastAsia="zh-CN"/>
        </w:rPr>
        <w:t xml:space="preserve"> ravni s posebno pozornostjo na ozemeljskih neenakostih, morebitni prostorski segregaciji ter demografskih spremembah. V skladu s Konvencijo o pravicah invalidov in Izbirnim protokolom h Konvenciji o pravicah invalidov (MKPI) bo narejen pregled odločitev za prioritetno </w:t>
      </w:r>
      <w:r w:rsidRPr="002F1263">
        <w:rPr>
          <w:rFonts w:eastAsia="SimSun" w:cs="Arial"/>
          <w:szCs w:val="20"/>
          <w:lang w:eastAsia="zh-CN"/>
        </w:rPr>
        <w:lastRenderedPageBreak/>
        <w:t>potrebne investicije na osnovi ocene individualnih potreb. Kartiranje (</w:t>
      </w:r>
      <w:proofErr w:type="spellStart"/>
      <w:r w:rsidRPr="002F1263">
        <w:rPr>
          <w:rFonts w:eastAsia="SimSun" w:cs="Arial"/>
          <w:szCs w:val="20"/>
          <w:lang w:eastAsia="zh-CN"/>
        </w:rPr>
        <w:t>mapiranje</w:t>
      </w:r>
      <w:proofErr w:type="spellEnd"/>
      <w:r w:rsidRPr="002F1263">
        <w:rPr>
          <w:rFonts w:eastAsia="SimSun" w:cs="Arial"/>
          <w:szCs w:val="20"/>
          <w:lang w:eastAsia="zh-CN"/>
        </w:rPr>
        <w:t xml:space="preserve">) bo temeljilo na pregledu trenutnega števila rezidenčnih ustanov (vključno z bivalnimi ustanovami v skupnosti), nerezidenčnimi družinskimi skupnostmi storitev ob upoštevanju teritorialnih neenakosti in demografskih izzivov. Vse naložbe v socialno infrastrukturo bodo v celoti v skladu z zahtevami MKPI, vključno s splošnim komentarjem 5 in sklepnimi ugotovitvami Odbora MKPI, ob ustreznem spoštovanju načel enakosti, svobode izbire, pravice do neodvisnega življenja, dostopnosti in prepovedi vseh oblik ločevanja. </w:t>
      </w:r>
    </w:p>
    <w:p w14:paraId="5046AFC6" w14:textId="77777777" w:rsidR="000E7A5A" w:rsidRPr="002F1263" w:rsidRDefault="000E7A5A" w:rsidP="00E247FF">
      <w:pPr>
        <w:spacing w:after="0" w:line="276" w:lineRule="auto"/>
        <w:contextualSpacing/>
        <w:jc w:val="both"/>
        <w:rPr>
          <w:rFonts w:eastAsia="SimSun" w:cs="Arial"/>
          <w:szCs w:val="20"/>
          <w:lang w:eastAsia="zh-CN"/>
        </w:rPr>
      </w:pPr>
    </w:p>
    <w:p w14:paraId="28A6212F" w14:textId="542E371B" w:rsidR="006477ED" w:rsidRPr="002F1263" w:rsidRDefault="00306071" w:rsidP="00E247FF">
      <w:pPr>
        <w:spacing w:after="0" w:line="276" w:lineRule="auto"/>
        <w:contextualSpacing/>
        <w:jc w:val="both"/>
        <w:rPr>
          <w:rFonts w:eastAsia="SimSun" w:cs="Arial"/>
          <w:szCs w:val="20"/>
          <w:lang w:eastAsia="zh-CN"/>
        </w:rPr>
      </w:pPr>
      <w:r w:rsidRPr="002F1263">
        <w:rPr>
          <w:rFonts w:eastAsia="SimSun" w:cs="Arial"/>
          <w:szCs w:val="20"/>
          <w:lang w:eastAsia="zh-CN"/>
        </w:rPr>
        <w:t>Ukrepi so osredotočeni na:</w:t>
      </w:r>
    </w:p>
    <w:p w14:paraId="109454AC" w14:textId="77777777" w:rsidR="000E7A5A" w:rsidRPr="002F1263" w:rsidRDefault="00306071" w:rsidP="00E247FF">
      <w:pPr>
        <w:numPr>
          <w:ilvl w:val="1"/>
          <w:numId w:val="15"/>
        </w:numPr>
        <w:spacing w:after="0" w:line="276" w:lineRule="auto"/>
        <w:ind w:left="709"/>
        <w:contextualSpacing/>
        <w:jc w:val="both"/>
        <w:rPr>
          <w:rFonts w:cs="Arial"/>
          <w:szCs w:val="20"/>
        </w:rPr>
      </w:pPr>
      <w:r w:rsidRPr="002F1263">
        <w:rPr>
          <w:rFonts w:eastAsia="SimSun" w:cs="Arial"/>
          <w:i/>
          <w:iCs/>
          <w:szCs w:val="20"/>
          <w:u w:val="single"/>
          <w:lang w:eastAsia="zh-CN"/>
        </w:rPr>
        <w:t>investicije v socialno infrastrukturo</w:t>
      </w:r>
      <w:r w:rsidRPr="002F1263">
        <w:rPr>
          <w:rFonts w:eastAsia="SimSun" w:cs="Arial"/>
          <w:szCs w:val="20"/>
          <w:lang w:eastAsia="zh-CN"/>
        </w:rPr>
        <w:t xml:space="preserve"> (vzpostavitev stanovanjskih skupin za prehod iz institucij v samostojno življenje v skupnosti; dnevni centri za oskrbo oseb z demenco in drugih oblik upada kognitivnih funkcij; stalne bivalne enote za začasno reševanje stanovanjskih potreb ranljivih ciljnih skupin).</w:t>
      </w:r>
    </w:p>
    <w:p w14:paraId="637B76EE" w14:textId="77777777" w:rsidR="000E7A5A" w:rsidRPr="00F425EA" w:rsidRDefault="000E7A5A" w:rsidP="00E247FF">
      <w:pPr>
        <w:spacing w:after="0" w:line="276" w:lineRule="auto"/>
        <w:contextualSpacing/>
        <w:jc w:val="both"/>
        <w:rPr>
          <w:rFonts w:eastAsia="SimSun" w:cs="Arial"/>
          <w:sz w:val="22"/>
          <w:szCs w:val="22"/>
          <w:lang w:eastAsia="zh-CN"/>
        </w:rPr>
      </w:pPr>
    </w:p>
    <w:p w14:paraId="128E7509" w14:textId="77777777" w:rsidR="000E7A5A" w:rsidRPr="007E18A1" w:rsidRDefault="00306071" w:rsidP="005F66E4">
      <w:pPr>
        <w:pStyle w:val="Naslov4"/>
        <w:spacing w:before="0"/>
        <w:rPr>
          <w:sz w:val="20"/>
          <w:szCs w:val="22"/>
          <w:lang w:eastAsia="zh-CN"/>
        </w:rPr>
      </w:pPr>
      <w:bookmarkStart w:id="963" w:name="_Toc187740071"/>
      <w:r w:rsidRPr="00F425EA">
        <w:rPr>
          <w:lang w:eastAsia="zh-CN"/>
        </w:rPr>
        <w:t>2.1.7.2 Specifični cilj: RSO4.5. Zagotavljanje enakega dostopa do zdravstvenega varstva in krepitev odpornosti zdravstvenih sistemov, vključno z osnovnim zdravstvenim varstvom, ter spodbujanje prehoda z institucionalne oskrbe na oskrbo v družini in skupnosti (ESRR)</w:t>
      </w:r>
      <w:bookmarkEnd w:id="963"/>
      <w:r w:rsidRPr="00F425EA">
        <w:rPr>
          <w:lang w:eastAsia="zh-CN"/>
        </w:rPr>
        <w:br/>
      </w:r>
    </w:p>
    <w:p w14:paraId="0F68FD00" w14:textId="77777777" w:rsidR="000E7A5A" w:rsidRPr="002F1263" w:rsidRDefault="00306071" w:rsidP="00E247FF">
      <w:pPr>
        <w:spacing w:after="0" w:line="276" w:lineRule="auto"/>
        <w:contextualSpacing/>
        <w:jc w:val="both"/>
        <w:rPr>
          <w:rFonts w:eastAsia="SimSun" w:cs="Arial"/>
          <w:szCs w:val="20"/>
          <w:lang w:eastAsia="zh-CN"/>
        </w:rPr>
      </w:pPr>
      <w:r w:rsidRPr="002F1263">
        <w:rPr>
          <w:rFonts w:eastAsia="SimSun" w:cs="Arial"/>
          <w:szCs w:val="20"/>
          <w:lang w:eastAsia="zh-CN"/>
        </w:rPr>
        <w:t xml:space="preserve">Specifični cilj je namenjen investicijam v zdravstvu, ki zajemajo tako gradnje, kot obnove javnih zdravstvenih zavodov ter nabavo opreme. Namen investicij je zagotoviti boljšo dostopnost prebivalcev do zdravstvenih storitev in preprečevanje bolezni, s ciljem ohranjanja zdravja prebivalcev in samostojnega bivanja posameznikov. </w:t>
      </w:r>
    </w:p>
    <w:p w14:paraId="49BEA1DF" w14:textId="77777777" w:rsidR="000E7A5A" w:rsidRPr="002F1263" w:rsidRDefault="000E7A5A" w:rsidP="00E247FF">
      <w:pPr>
        <w:spacing w:after="0" w:line="276" w:lineRule="auto"/>
        <w:contextualSpacing/>
        <w:jc w:val="both"/>
        <w:rPr>
          <w:rFonts w:eastAsia="SimSun" w:cs="Arial"/>
          <w:szCs w:val="20"/>
          <w:lang w:eastAsia="zh-CN"/>
        </w:rPr>
      </w:pPr>
    </w:p>
    <w:p w14:paraId="3154BCAF" w14:textId="77777777" w:rsidR="000E7A5A" w:rsidRDefault="00306071" w:rsidP="00E247FF">
      <w:pPr>
        <w:spacing w:after="0" w:line="276" w:lineRule="auto"/>
        <w:contextualSpacing/>
        <w:jc w:val="both"/>
        <w:rPr>
          <w:rFonts w:eastAsia="SimSun" w:cs="Arial"/>
          <w:szCs w:val="20"/>
          <w:lang w:eastAsia="zh-CN"/>
        </w:rPr>
      </w:pPr>
      <w:r w:rsidRPr="002F1263">
        <w:rPr>
          <w:rFonts w:eastAsia="SimSun" w:cs="Arial"/>
          <w:szCs w:val="20"/>
          <w:lang w:eastAsia="zh-CN"/>
        </w:rPr>
        <w:t xml:space="preserve">Ukrepi so osredotočeni na investicije v satelitske urgentne centre in dežurna mesta, ki zagotavljajo neprekinjeno izvajanje najnujnejših zdravstvenih storitev, centre za duševno zdravje in druge investicije v javne zdravstvene zavode, ki izvajajo zdravstveno dejavnost na način spodbujanja krepitve zdravja ter preprečevanja bolezni. Obenem investicije zajemajo nabavo drage medicinske opreme, ki je ključnega pomena za zagotavljanje optimalne zdravstvene obravnave pacientov. </w:t>
      </w:r>
    </w:p>
    <w:p w14:paraId="129BFBE0" w14:textId="77777777" w:rsidR="006477ED" w:rsidRPr="002F1263" w:rsidRDefault="006477ED" w:rsidP="00E247FF">
      <w:pPr>
        <w:spacing w:after="0" w:line="276" w:lineRule="auto"/>
        <w:contextualSpacing/>
        <w:jc w:val="both"/>
        <w:rPr>
          <w:rFonts w:eastAsia="SimSun" w:cs="Arial"/>
          <w:szCs w:val="20"/>
          <w:lang w:eastAsia="zh-CN"/>
        </w:rPr>
      </w:pPr>
    </w:p>
    <w:p w14:paraId="1F63B6DF" w14:textId="77777777" w:rsidR="000E7A5A" w:rsidRPr="00F425EA" w:rsidRDefault="00306071" w:rsidP="005F66E4">
      <w:pPr>
        <w:pStyle w:val="Naslov4"/>
        <w:spacing w:before="0"/>
        <w:rPr>
          <w:lang w:eastAsia="zh-CN"/>
        </w:rPr>
      </w:pPr>
      <w:bookmarkStart w:id="964" w:name="_Toc187740072"/>
      <w:r w:rsidRPr="00F425EA">
        <w:rPr>
          <w:lang w:eastAsia="zh-CN"/>
        </w:rPr>
        <w:t>2.1.7.3 Specifični cilj: ESO4.8. Pospeševanje dejavnega vključevanja za spodbujanje enakih možnosti, nediskriminacije in aktivne udeležbe ter povečevanje zaposljivosti, zlasti za prikrajšane skupine (ESS+)</w:t>
      </w:r>
      <w:bookmarkEnd w:id="964"/>
    </w:p>
    <w:p w14:paraId="4F6B3B37" w14:textId="77777777" w:rsidR="000E7A5A" w:rsidRPr="00BE73DC" w:rsidRDefault="000E7A5A" w:rsidP="00E247FF">
      <w:pPr>
        <w:spacing w:after="0" w:line="276" w:lineRule="auto"/>
        <w:contextualSpacing/>
        <w:jc w:val="both"/>
        <w:rPr>
          <w:rFonts w:eastAsia="SimSun" w:cs="Arial"/>
          <w:color w:val="0070C0"/>
          <w:szCs w:val="20"/>
          <w:lang w:eastAsia="zh-CN"/>
        </w:rPr>
      </w:pPr>
    </w:p>
    <w:p w14:paraId="653128F7" w14:textId="0C04F5DB" w:rsidR="006477ED" w:rsidRPr="00367FBF" w:rsidRDefault="00306071" w:rsidP="00E247FF">
      <w:pPr>
        <w:spacing w:after="0" w:line="276" w:lineRule="auto"/>
        <w:contextualSpacing/>
        <w:jc w:val="both"/>
        <w:rPr>
          <w:rFonts w:eastAsia="SimSun" w:cs="Arial"/>
          <w:szCs w:val="20"/>
          <w:lang w:eastAsia="zh-CN"/>
        </w:rPr>
      </w:pPr>
      <w:r w:rsidRPr="00367FBF">
        <w:rPr>
          <w:rFonts w:eastAsia="SimSun" w:cs="Arial"/>
          <w:szCs w:val="20"/>
          <w:lang w:eastAsia="zh-CN"/>
        </w:rPr>
        <w:t>Ukrepi specifičnega cilja so osredotočeni na:</w:t>
      </w:r>
    </w:p>
    <w:p w14:paraId="1C454BE1" w14:textId="77777777" w:rsidR="000E7A5A" w:rsidRPr="00367FBF" w:rsidRDefault="00306071" w:rsidP="00E247FF">
      <w:pPr>
        <w:numPr>
          <w:ilvl w:val="1"/>
          <w:numId w:val="15"/>
        </w:numPr>
        <w:spacing w:after="0" w:line="276" w:lineRule="auto"/>
        <w:ind w:left="709"/>
        <w:contextualSpacing/>
        <w:jc w:val="both"/>
        <w:rPr>
          <w:rFonts w:cs="Arial"/>
          <w:szCs w:val="20"/>
        </w:rPr>
      </w:pPr>
      <w:r w:rsidRPr="00367FBF">
        <w:rPr>
          <w:rFonts w:eastAsia="SimSun" w:cs="Arial"/>
          <w:i/>
          <w:iCs/>
          <w:szCs w:val="20"/>
          <w:u w:val="single"/>
          <w:lang w:eastAsia="zh-CN"/>
        </w:rPr>
        <w:t>spodbujanje socialnega vključevanja oseb, izpostavljenih tveganju revščine ali socialne izključenosti z identificiranimi ovirami pri vstopanju na trg dela</w:t>
      </w:r>
      <w:r w:rsidRPr="00367FBF">
        <w:rPr>
          <w:rFonts w:eastAsia="SimSun" w:cs="Arial"/>
          <w:szCs w:val="20"/>
          <w:lang w:eastAsia="zh-CN"/>
        </w:rPr>
        <w:t>;</w:t>
      </w:r>
    </w:p>
    <w:p w14:paraId="297CBE99" w14:textId="77777777" w:rsidR="000E7A5A" w:rsidRPr="00367FBF" w:rsidRDefault="00306071" w:rsidP="00E247FF">
      <w:pPr>
        <w:numPr>
          <w:ilvl w:val="1"/>
          <w:numId w:val="15"/>
        </w:numPr>
        <w:spacing w:after="0" w:line="276" w:lineRule="auto"/>
        <w:ind w:left="709"/>
        <w:contextualSpacing/>
        <w:jc w:val="both"/>
        <w:rPr>
          <w:rFonts w:eastAsia="SimSun" w:cs="Arial"/>
          <w:i/>
          <w:iCs/>
          <w:szCs w:val="20"/>
          <w:u w:val="single"/>
          <w:lang w:eastAsia="zh-CN"/>
        </w:rPr>
      </w:pPr>
      <w:r w:rsidRPr="00367FBF">
        <w:rPr>
          <w:rFonts w:eastAsia="SimSun" w:cs="Arial"/>
          <w:i/>
          <w:iCs/>
          <w:szCs w:val="20"/>
          <w:u w:val="single"/>
          <w:lang w:eastAsia="zh-CN"/>
        </w:rPr>
        <w:t>ukrepe za podporo izvajanju lažjega prehoda mladih s posebnimi potrebami na trg dela;</w:t>
      </w:r>
    </w:p>
    <w:p w14:paraId="31A8AE7A" w14:textId="77777777" w:rsidR="000E7A5A" w:rsidRPr="00367FBF" w:rsidRDefault="00306071" w:rsidP="00E247FF">
      <w:pPr>
        <w:numPr>
          <w:ilvl w:val="1"/>
          <w:numId w:val="15"/>
        </w:numPr>
        <w:spacing w:after="0" w:line="276" w:lineRule="auto"/>
        <w:ind w:left="709"/>
        <w:contextualSpacing/>
        <w:jc w:val="both"/>
        <w:rPr>
          <w:rFonts w:eastAsia="SimSun" w:cs="Arial"/>
          <w:i/>
          <w:iCs/>
          <w:szCs w:val="20"/>
          <w:u w:val="single"/>
          <w:lang w:eastAsia="zh-CN"/>
        </w:rPr>
      </w:pPr>
      <w:r w:rsidRPr="00367FBF">
        <w:rPr>
          <w:rFonts w:eastAsia="SimSun" w:cs="Arial"/>
          <w:i/>
          <w:iCs/>
          <w:szCs w:val="20"/>
          <w:u w:val="single"/>
          <w:lang w:eastAsia="zh-CN"/>
        </w:rPr>
        <w:t>izvajanje izobraževanj za zaprte osebe;</w:t>
      </w:r>
    </w:p>
    <w:p w14:paraId="6B01BDD3" w14:textId="2AB7E53A" w:rsidR="000E7A5A" w:rsidRPr="00367FBF" w:rsidRDefault="00306071" w:rsidP="00E247FF">
      <w:pPr>
        <w:numPr>
          <w:ilvl w:val="1"/>
          <w:numId w:val="15"/>
        </w:numPr>
        <w:spacing w:after="0" w:line="276" w:lineRule="auto"/>
        <w:ind w:left="709"/>
        <w:contextualSpacing/>
        <w:jc w:val="both"/>
        <w:rPr>
          <w:rFonts w:eastAsia="SimSun" w:cs="Arial"/>
          <w:i/>
          <w:iCs/>
          <w:szCs w:val="20"/>
          <w:u w:val="single"/>
          <w:lang w:eastAsia="zh-CN"/>
        </w:rPr>
      </w:pPr>
      <w:r w:rsidRPr="00367FBF">
        <w:rPr>
          <w:rFonts w:eastAsia="SimSun" w:cs="Arial"/>
          <w:i/>
          <w:iCs/>
          <w:szCs w:val="20"/>
          <w:u w:val="single"/>
          <w:lang w:eastAsia="zh-CN"/>
        </w:rPr>
        <w:t>zaposlovanje, usposabljanje in spodbujanje socialne vključenosti pripadnikov ranljivih družbenih skupin na področju kulture.</w:t>
      </w:r>
    </w:p>
    <w:p w14:paraId="3CDC3AF8" w14:textId="77777777" w:rsidR="000E7A5A" w:rsidRPr="00F425EA" w:rsidRDefault="000E7A5A" w:rsidP="00E247FF">
      <w:pPr>
        <w:spacing w:after="0" w:line="276" w:lineRule="auto"/>
        <w:contextualSpacing/>
        <w:jc w:val="both"/>
        <w:rPr>
          <w:rFonts w:eastAsia="SimSun" w:cs="Arial"/>
          <w:i/>
          <w:iCs/>
          <w:sz w:val="22"/>
          <w:szCs w:val="22"/>
          <w:u w:val="single"/>
          <w:lang w:eastAsia="zh-CN"/>
        </w:rPr>
      </w:pPr>
    </w:p>
    <w:p w14:paraId="67CF048C" w14:textId="77777777" w:rsidR="000E7A5A" w:rsidRPr="00F425EA" w:rsidRDefault="00306071" w:rsidP="005F66E4">
      <w:pPr>
        <w:pStyle w:val="Naslov4"/>
        <w:spacing w:before="0"/>
        <w:rPr>
          <w:lang w:eastAsia="zh-CN"/>
        </w:rPr>
      </w:pPr>
      <w:bookmarkStart w:id="965" w:name="_Toc187740073"/>
      <w:r w:rsidRPr="00F425EA">
        <w:rPr>
          <w:lang w:eastAsia="zh-CN"/>
        </w:rPr>
        <w:t>2.1.7.4 Specifični cilj: ESO4.11. Krepitev enakopravnega in pravočasnega dostopa do kakovostnih, trajnostnih in cenovno ugodnih storitev, vključno s storitvami, ki spodbujajo dostop do stanovanj, in storitvami oskrbe, usmerjene v posameznika, vključno z zdravstveno oskrbo; posodobitev sistemov socialne zaščite, vključno s spodbujanjem dostopa do socialne zaščite, s posebnim poudarkom na otrocih in prikrajšanih skupinah; izboljšanje dostopnosti, tudi za invalide, učinkovitosti in odpornosti zdravstvenih sistemov in storitev dolgotrajne oskrbe (ESS+)</w:t>
      </w:r>
      <w:bookmarkEnd w:id="965"/>
    </w:p>
    <w:p w14:paraId="0BEE6181" w14:textId="77777777" w:rsidR="000E7A5A" w:rsidRPr="007E18A1" w:rsidRDefault="000E7A5A" w:rsidP="00E247FF">
      <w:pPr>
        <w:spacing w:after="0" w:line="276" w:lineRule="auto"/>
        <w:contextualSpacing/>
        <w:jc w:val="both"/>
        <w:rPr>
          <w:rFonts w:eastAsia="SimSun" w:cs="Arial"/>
          <w:color w:val="0070C0"/>
          <w:szCs w:val="20"/>
          <w:lang w:eastAsia="zh-CN"/>
        </w:rPr>
      </w:pPr>
    </w:p>
    <w:p w14:paraId="531F41E4" w14:textId="77777777" w:rsidR="000E7A5A" w:rsidRPr="00367FBF" w:rsidRDefault="00306071" w:rsidP="00E247FF">
      <w:pPr>
        <w:spacing w:after="0" w:line="276" w:lineRule="auto"/>
        <w:contextualSpacing/>
        <w:jc w:val="both"/>
        <w:rPr>
          <w:rFonts w:eastAsia="SimSun" w:cs="Arial"/>
          <w:szCs w:val="20"/>
          <w:lang w:eastAsia="zh-CN"/>
        </w:rPr>
      </w:pPr>
      <w:r w:rsidRPr="00367FBF">
        <w:rPr>
          <w:rFonts w:eastAsia="SimSun" w:cs="Arial"/>
          <w:szCs w:val="20"/>
          <w:lang w:eastAsia="zh-CN"/>
        </w:rPr>
        <w:t xml:space="preserve">Specifični cilj je namenjen nadgradnji informacijske infrastrukture socialno varstvenih zavodov, ki omogočala pravočasen in ciljni dostop do podatkov. Na povečanje težav na področju zdravstva, na katere opozarja UMAR v </w:t>
      </w:r>
      <w:proofErr w:type="spellStart"/>
      <w:r w:rsidRPr="00367FBF">
        <w:rPr>
          <w:rFonts w:eastAsia="SimSun" w:cs="Arial"/>
          <w:szCs w:val="20"/>
          <w:lang w:eastAsia="zh-CN"/>
        </w:rPr>
        <w:t>PoR</w:t>
      </w:r>
      <w:proofErr w:type="spellEnd"/>
      <w:r w:rsidRPr="00367FBF">
        <w:rPr>
          <w:rFonts w:eastAsia="SimSun" w:cs="Arial"/>
          <w:szCs w:val="20"/>
          <w:lang w:eastAsia="zh-CN"/>
        </w:rPr>
        <w:t xml:space="preserve"> 2021, je treba odgovoriti s celovitimi in ciljno usmerjenimi ukrepi. Nujna je krepitev preventivnih programov (tudi športnih) in oblikovanje programov, ki so prilagojeni potrebam starejših ter podpora ukrepom za krepitev socialnega (družbenega) inoviranja, za hitrejši odziv na hitro spreminjajoče se družbene potrebe</w:t>
      </w:r>
    </w:p>
    <w:p w14:paraId="712FB239" w14:textId="77777777" w:rsidR="000E7A5A" w:rsidRPr="00367FBF" w:rsidRDefault="000E7A5A" w:rsidP="00E247FF">
      <w:pPr>
        <w:spacing w:after="0" w:line="276" w:lineRule="auto"/>
        <w:contextualSpacing/>
        <w:jc w:val="both"/>
        <w:rPr>
          <w:rFonts w:eastAsia="SimSun" w:cs="Arial"/>
          <w:szCs w:val="20"/>
          <w:lang w:eastAsia="zh-CN"/>
        </w:rPr>
      </w:pPr>
    </w:p>
    <w:p w14:paraId="6F2FAA70" w14:textId="77F5F839" w:rsidR="006477ED" w:rsidRPr="00367FBF" w:rsidRDefault="00306071" w:rsidP="00E247FF">
      <w:pPr>
        <w:spacing w:after="0" w:line="276" w:lineRule="auto"/>
        <w:contextualSpacing/>
        <w:jc w:val="both"/>
        <w:rPr>
          <w:rFonts w:eastAsia="SimSun" w:cs="Arial"/>
          <w:szCs w:val="20"/>
          <w:lang w:eastAsia="zh-CN"/>
        </w:rPr>
      </w:pPr>
      <w:r w:rsidRPr="00367FBF">
        <w:rPr>
          <w:rFonts w:eastAsia="SimSun" w:cs="Arial"/>
          <w:szCs w:val="20"/>
          <w:lang w:eastAsia="zh-CN"/>
        </w:rPr>
        <w:t>Ukrepi so osredotočeni na:</w:t>
      </w:r>
    </w:p>
    <w:p w14:paraId="06F4250D" w14:textId="77777777" w:rsidR="000E7A5A" w:rsidRPr="00367FBF" w:rsidRDefault="00306071" w:rsidP="00E247FF">
      <w:pPr>
        <w:numPr>
          <w:ilvl w:val="1"/>
          <w:numId w:val="15"/>
        </w:numPr>
        <w:spacing w:after="0" w:line="276" w:lineRule="auto"/>
        <w:ind w:left="709"/>
        <w:contextualSpacing/>
        <w:jc w:val="both"/>
        <w:rPr>
          <w:rFonts w:cs="Arial"/>
          <w:szCs w:val="20"/>
        </w:rPr>
      </w:pPr>
      <w:r w:rsidRPr="00367FBF">
        <w:rPr>
          <w:rFonts w:eastAsia="SimSun" w:cs="Arial"/>
          <w:i/>
          <w:iCs/>
          <w:szCs w:val="20"/>
          <w:u w:val="single"/>
          <w:lang w:eastAsia="zh-CN"/>
        </w:rPr>
        <w:t>krepitev socialno varstvenih (SV) storitev</w:t>
      </w:r>
      <w:r w:rsidRPr="00367FBF">
        <w:rPr>
          <w:rFonts w:eastAsia="SimSun" w:cs="Arial"/>
          <w:szCs w:val="20"/>
          <w:lang w:eastAsia="zh-CN"/>
        </w:rPr>
        <w:t>;</w:t>
      </w:r>
    </w:p>
    <w:p w14:paraId="5F3E189F" w14:textId="77777777" w:rsidR="000E7A5A" w:rsidRPr="00367FBF" w:rsidRDefault="00306071" w:rsidP="00E247FF">
      <w:pPr>
        <w:numPr>
          <w:ilvl w:val="1"/>
          <w:numId w:val="15"/>
        </w:numPr>
        <w:spacing w:after="0" w:line="276" w:lineRule="auto"/>
        <w:ind w:left="709"/>
        <w:contextualSpacing/>
        <w:jc w:val="both"/>
        <w:rPr>
          <w:rFonts w:eastAsia="SimSun" w:cs="Arial"/>
          <w:i/>
          <w:iCs/>
          <w:szCs w:val="20"/>
          <w:u w:val="single"/>
          <w:lang w:eastAsia="zh-CN"/>
        </w:rPr>
      </w:pPr>
      <w:r w:rsidRPr="00367FBF">
        <w:rPr>
          <w:rFonts w:eastAsia="SimSun" w:cs="Arial"/>
          <w:i/>
          <w:iCs/>
          <w:szCs w:val="20"/>
          <w:u w:val="single"/>
          <w:lang w:eastAsia="zh-CN"/>
        </w:rPr>
        <w:t>krepitev odpornosti sistema dolgotrajne oskrbe in ukrepi za zgodnje odkrivanje demence;</w:t>
      </w:r>
    </w:p>
    <w:p w14:paraId="6C436EBD" w14:textId="77777777" w:rsidR="000E7A5A" w:rsidRPr="00367FBF" w:rsidRDefault="00306071" w:rsidP="00E247FF">
      <w:pPr>
        <w:numPr>
          <w:ilvl w:val="1"/>
          <w:numId w:val="15"/>
        </w:numPr>
        <w:spacing w:after="0" w:line="276" w:lineRule="auto"/>
        <w:ind w:left="709"/>
        <w:contextualSpacing/>
        <w:jc w:val="both"/>
        <w:rPr>
          <w:rFonts w:eastAsia="SimSun" w:cs="Arial"/>
          <w:i/>
          <w:iCs/>
          <w:szCs w:val="20"/>
          <w:u w:val="single"/>
          <w:lang w:eastAsia="zh-CN"/>
        </w:rPr>
      </w:pPr>
      <w:r w:rsidRPr="00367FBF">
        <w:rPr>
          <w:rFonts w:eastAsia="SimSun" w:cs="Arial"/>
          <w:i/>
          <w:iCs/>
          <w:szCs w:val="20"/>
          <w:u w:val="single"/>
          <w:lang w:eastAsia="zh-CN"/>
        </w:rPr>
        <w:t>krepitev področja duševnega zdravja in ukrepanje na področju drog;</w:t>
      </w:r>
    </w:p>
    <w:p w14:paraId="71FC46D6" w14:textId="77777777" w:rsidR="000E7A5A" w:rsidRPr="00367FBF" w:rsidRDefault="00306071" w:rsidP="00E247FF">
      <w:pPr>
        <w:numPr>
          <w:ilvl w:val="1"/>
          <w:numId w:val="15"/>
        </w:numPr>
        <w:spacing w:after="0" w:line="276" w:lineRule="auto"/>
        <w:ind w:left="709"/>
        <w:contextualSpacing/>
        <w:jc w:val="both"/>
        <w:rPr>
          <w:rFonts w:eastAsia="SimSun" w:cs="Arial"/>
          <w:i/>
          <w:iCs/>
          <w:szCs w:val="20"/>
          <w:u w:val="single"/>
          <w:lang w:eastAsia="zh-CN"/>
        </w:rPr>
      </w:pPr>
      <w:r w:rsidRPr="00367FBF">
        <w:rPr>
          <w:rFonts w:eastAsia="SimSun" w:cs="Arial"/>
          <w:i/>
          <w:iCs/>
          <w:szCs w:val="20"/>
          <w:u w:val="single"/>
          <w:lang w:eastAsia="zh-CN"/>
        </w:rPr>
        <w:t>krepitev področja nujne medicinske pomoči (v nadaljevanju: NMP);</w:t>
      </w:r>
    </w:p>
    <w:p w14:paraId="76367B72" w14:textId="77777777" w:rsidR="000E7A5A" w:rsidRPr="00367FBF" w:rsidRDefault="00306071" w:rsidP="00E247FF">
      <w:pPr>
        <w:numPr>
          <w:ilvl w:val="1"/>
          <w:numId w:val="15"/>
        </w:numPr>
        <w:spacing w:after="0" w:line="276" w:lineRule="auto"/>
        <w:ind w:left="709"/>
        <w:contextualSpacing/>
        <w:jc w:val="both"/>
        <w:rPr>
          <w:rFonts w:eastAsia="SimSun" w:cs="Arial"/>
          <w:i/>
          <w:iCs/>
          <w:szCs w:val="20"/>
          <w:u w:val="single"/>
          <w:lang w:eastAsia="zh-CN"/>
        </w:rPr>
      </w:pPr>
      <w:r w:rsidRPr="00367FBF">
        <w:rPr>
          <w:rFonts w:eastAsia="SimSun" w:cs="Arial"/>
          <w:i/>
          <w:iCs/>
          <w:szCs w:val="20"/>
          <w:u w:val="single"/>
          <w:lang w:eastAsia="zh-CN"/>
        </w:rPr>
        <w:t>krepitev digitalne pismenosti zaposlenih v zdravstvu in dolgotrajni oskrbi;</w:t>
      </w:r>
    </w:p>
    <w:p w14:paraId="232AC06C" w14:textId="77777777" w:rsidR="000E7A5A" w:rsidRPr="00367FBF" w:rsidRDefault="00306071" w:rsidP="00E247FF">
      <w:pPr>
        <w:numPr>
          <w:ilvl w:val="1"/>
          <w:numId w:val="15"/>
        </w:numPr>
        <w:spacing w:after="0" w:line="276" w:lineRule="auto"/>
        <w:ind w:left="709"/>
        <w:contextualSpacing/>
        <w:jc w:val="both"/>
        <w:rPr>
          <w:rFonts w:eastAsia="SimSun" w:cs="Arial"/>
          <w:i/>
          <w:iCs/>
          <w:szCs w:val="20"/>
          <w:u w:val="single"/>
          <w:lang w:eastAsia="zh-CN"/>
        </w:rPr>
      </w:pPr>
      <w:r w:rsidRPr="00367FBF">
        <w:rPr>
          <w:rFonts w:eastAsia="SimSun" w:cs="Arial"/>
          <w:i/>
          <w:iCs/>
          <w:szCs w:val="20"/>
          <w:u w:val="single"/>
          <w:lang w:eastAsia="zh-CN"/>
        </w:rPr>
        <w:t>preventivne aktivnosti v zdravstvu in obvladovanje starostne krhkosti;</w:t>
      </w:r>
    </w:p>
    <w:p w14:paraId="3A24BA63" w14:textId="77777777" w:rsidR="000E7A5A" w:rsidRPr="00367FBF" w:rsidRDefault="00306071" w:rsidP="00E247FF">
      <w:pPr>
        <w:numPr>
          <w:ilvl w:val="1"/>
          <w:numId w:val="15"/>
        </w:numPr>
        <w:spacing w:after="0" w:line="276" w:lineRule="auto"/>
        <w:ind w:left="709"/>
        <w:contextualSpacing/>
        <w:jc w:val="both"/>
        <w:rPr>
          <w:rFonts w:eastAsia="SimSun" w:cs="Arial"/>
          <w:i/>
          <w:iCs/>
          <w:szCs w:val="20"/>
          <w:u w:val="single"/>
          <w:lang w:eastAsia="zh-CN"/>
        </w:rPr>
      </w:pPr>
      <w:r w:rsidRPr="00367FBF">
        <w:rPr>
          <w:rFonts w:eastAsia="SimSun" w:cs="Arial"/>
          <w:i/>
          <w:iCs/>
          <w:szCs w:val="20"/>
          <w:u w:val="single"/>
          <w:lang w:eastAsia="zh-CN"/>
        </w:rPr>
        <w:t>zagotavljanje podpornega okolja za razvoj in implementacijo novih storitev, produktov in modelov za naslavljanje družbenih izzivov na inovativen način;</w:t>
      </w:r>
    </w:p>
    <w:p w14:paraId="1B6D6139" w14:textId="5143C3DC" w:rsidR="000E7A5A" w:rsidRPr="00367FBF" w:rsidRDefault="00306071" w:rsidP="00E247FF">
      <w:pPr>
        <w:numPr>
          <w:ilvl w:val="1"/>
          <w:numId w:val="15"/>
        </w:numPr>
        <w:spacing w:after="0" w:line="276" w:lineRule="auto"/>
        <w:ind w:left="709"/>
        <w:contextualSpacing/>
        <w:jc w:val="both"/>
        <w:rPr>
          <w:rFonts w:eastAsia="SimSun" w:cs="Arial"/>
          <w:i/>
          <w:iCs/>
          <w:szCs w:val="20"/>
          <w:u w:val="single"/>
          <w:lang w:eastAsia="zh-CN"/>
        </w:rPr>
      </w:pPr>
      <w:r w:rsidRPr="00367FBF">
        <w:rPr>
          <w:rFonts w:eastAsia="SimSun" w:cs="Arial"/>
          <w:i/>
          <w:iCs/>
          <w:szCs w:val="20"/>
          <w:u w:val="single"/>
          <w:lang w:eastAsia="zh-CN"/>
        </w:rPr>
        <w:t>ukrepe socialnega vključevanja invalidov.</w:t>
      </w:r>
    </w:p>
    <w:p w14:paraId="4E37993A" w14:textId="77777777" w:rsidR="000E7A5A" w:rsidRPr="007E18A1" w:rsidRDefault="000E7A5A" w:rsidP="00E247FF">
      <w:pPr>
        <w:spacing w:after="0" w:line="276" w:lineRule="auto"/>
        <w:contextualSpacing/>
        <w:jc w:val="both"/>
        <w:rPr>
          <w:rFonts w:eastAsia="SimSun" w:cs="Arial"/>
          <w:i/>
          <w:iCs/>
          <w:szCs w:val="20"/>
          <w:u w:val="single"/>
          <w:lang w:eastAsia="zh-CN"/>
        </w:rPr>
      </w:pPr>
    </w:p>
    <w:p w14:paraId="45FE37E3" w14:textId="77777777" w:rsidR="000E7A5A" w:rsidRPr="00F425EA" w:rsidRDefault="00306071" w:rsidP="005F66E4">
      <w:pPr>
        <w:pStyle w:val="Naslov4"/>
        <w:spacing w:before="0"/>
        <w:rPr>
          <w:lang w:eastAsia="zh-CN"/>
        </w:rPr>
      </w:pPr>
      <w:bookmarkStart w:id="966" w:name="_Toc187740074"/>
      <w:r w:rsidRPr="00F425EA">
        <w:rPr>
          <w:lang w:eastAsia="zh-CN"/>
        </w:rPr>
        <w:t>2.1.7.5 Specifični cilj: ESO4.12. Spodbujanje socialnega vključevanja oseb, izpostavljenih tveganju revščine ali socialni izključenosti, vključno z najbolj ogroženimi osebami in otroki (ESS+)</w:t>
      </w:r>
      <w:bookmarkEnd w:id="966"/>
    </w:p>
    <w:p w14:paraId="44B2D5EF" w14:textId="77777777" w:rsidR="000E7A5A" w:rsidRPr="007E18A1" w:rsidRDefault="000E7A5A" w:rsidP="00E247FF">
      <w:pPr>
        <w:spacing w:after="0" w:line="276" w:lineRule="auto"/>
        <w:contextualSpacing/>
        <w:jc w:val="both"/>
        <w:rPr>
          <w:rFonts w:eastAsia="SimSun" w:cs="Arial"/>
          <w:color w:val="0070C0"/>
          <w:szCs w:val="20"/>
          <w:lang w:eastAsia="zh-CN"/>
        </w:rPr>
      </w:pPr>
    </w:p>
    <w:p w14:paraId="1BC5FCD4" w14:textId="77777777" w:rsidR="000E7A5A" w:rsidRPr="00367FBF" w:rsidRDefault="00306071" w:rsidP="00E247FF">
      <w:pPr>
        <w:spacing w:after="0" w:line="276" w:lineRule="auto"/>
        <w:contextualSpacing/>
        <w:jc w:val="both"/>
        <w:rPr>
          <w:rFonts w:eastAsia="SimSun" w:cs="Arial"/>
          <w:szCs w:val="20"/>
          <w:lang w:eastAsia="zh-CN"/>
        </w:rPr>
      </w:pPr>
      <w:r w:rsidRPr="00367FBF">
        <w:rPr>
          <w:rFonts w:eastAsia="SimSun" w:cs="Arial"/>
          <w:szCs w:val="20"/>
          <w:lang w:eastAsia="zh-CN"/>
        </w:rPr>
        <w:t>Specifični cilj je namenjen sistemu socialnega varstva v Slovenij, ki posameznikom in družinam omogoča socialno varnost in socialno vključenost. Dolgotrajna socialna izključenost in revščina lahko namreč pustita trajne posledice, tako posamezniku in družini kot tudi družbi, in se medgeneracijsko prenašata. Naloga države je, da skrbi za socialno varnost, zaščito in vključenost družin, posebej otrok in starostnikov ter z različnimi mehanizmi preprečuje oziroma zmanjšuje tveganje revščine. Posebej pomembne so različne oblike pomoči (storitve, programi, socialni transferji ipd.), ki morajo biti kakovostne, široko dostopne in raznovrstne.</w:t>
      </w:r>
    </w:p>
    <w:p w14:paraId="1581240A" w14:textId="77777777" w:rsidR="000E7A5A" w:rsidRPr="00367FBF" w:rsidRDefault="000E7A5A" w:rsidP="00E247FF">
      <w:pPr>
        <w:spacing w:after="0" w:line="276" w:lineRule="auto"/>
        <w:contextualSpacing/>
        <w:jc w:val="both"/>
        <w:rPr>
          <w:rFonts w:eastAsia="SimSun" w:cs="Arial"/>
          <w:szCs w:val="20"/>
          <w:lang w:eastAsia="zh-CN"/>
        </w:rPr>
      </w:pPr>
    </w:p>
    <w:p w14:paraId="30DEDE56" w14:textId="35588D61" w:rsidR="006477ED" w:rsidRPr="00367FBF" w:rsidRDefault="00306071" w:rsidP="00E247FF">
      <w:pPr>
        <w:spacing w:after="0" w:line="276" w:lineRule="auto"/>
        <w:contextualSpacing/>
        <w:jc w:val="both"/>
        <w:rPr>
          <w:rFonts w:eastAsia="SimSun" w:cs="Arial"/>
          <w:szCs w:val="20"/>
          <w:lang w:eastAsia="zh-CN"/>
        </w:rPr>
      </w:pPr>
      <w:r w:rsidRPr="00367FBF">
        <w:rPr>
          <w:rFonts w:eastAsia="SimSun" w:cs="Arial"/>
          <w:szCs w:val="20"/>
          <w:lang w:eastAsia="zh-CN"/>
        </w:rPr>
        <w:t>Ukrepi so osredotočeni na:</w:t>
      </w:r>
    </w:p>
    <w:p w14:paraId="22403DC6" w14:textId="77777777" w:rsidR="000E7A5A" w:rsidRPr="00367FBF" w:rsidRDefault="00306071" w:rsidP="00E247FF">
      <w:pPr>
        <w:numPr>
          <w:ilvl w:val="1"/>
          <w:numId w:val="15"/>
        </w:numPr>
        <w:spacing w:after="0" w:line="276" w:lineRule="auto"/>
        <w:ind w:left="709"/>
        <w:contextualSpacing/>
        <w:jc w:val="both"/>
        <w:rPr>
          <w:rFonts w:cs="Arial"/>
          <w:szCs w:val="20"/>
        </w:rPr>
      </w:pPr>
      <w:r w:rsidRPr="00367FBF">
        <w:rPr>
          <w:rFonts w:eastAsia="SimSun" w:cs="Arial"/>
          <w:i/>
          <w:iCs/>
          <w:szCs w:val="20"/>
          <w:u w:val="single"/>
          <w:lang w:eastAsia="zh-CN"/>
        </w:rPr>
        <w:t>programe socialnega vključevanja</w:t>
      </w:r>
      <w:r w:rsidRPr="00367FBF">
        <w:rPr>
          <w:rFonts w:eastAsia="SimSun" w:cs="Arial"/>
          <w:szCs w:val="20"/>
          <w:lang w:eastAsia="zh-CN"/>
        </w:rPr>
        <w:t>;</w:t>
      </w:r>
    </w:p>
    <w:p w14:paraId="158EA76E" w14:textId="77777777" w:rsidR="000E7A5A" w:rsidRPr="00367FBF" w:rsidRDefault="00306071" w:rsidP="00E247FF">
      <w:pPr>
        <w:numPr>
          <w:ilvl w:val="1"/>
          <w:numId w:val="15"/>
        </w:numPr>
        <w:spacing w:after="0" w:line="276" w:lineRule="auto"/>
        <w:ind w:left="709"/>
        <w:contextualSpacing/>
        <w:jc w:val="both"/>
        <w:rPr>
          <w:rFonts w:eastAsia="SimSun" w:cs="Arial"/>
          <w:i/>
          <w:iCs/>
          <w:szCs w:val="20"/>
          <w:u w:val="single"/>
          <w:lang w:eastAsia="zh-CN"/>
        </w:rPr>
      </w:pPr>
      <w:r w:rsidRPr="00367FBF">
        <w:rPr>
          <w:rFonts w:eastAsia="SimSun" w:cs="Arial"/>
          <w:i/>
          <w:iCs/>
          <w:szCs w:val="20"/>
          <w:u w:val="single"/>
          <w:lang w:eastAsia="zh-CN"/>
        </w:rPr>
        <w:t>ukrepe socialnega vključevanja oseb s posebnimi potrebami;</w:t>
      </w:r>
    </w:p>
    <w:p w14:paraId="1CB9D9EA" w14:textId="77777777" w:rsidR="000E7A5A" w:rsidRPr="00367FBF" w:rsidRDefault="00306071" w:rsidP="00E247FF">
      <w:pPr>
        <w:numPr>
          <w:ilvl w:val="1"/>
          <w:numId w:val="15"/>
        </w:numPr>
        <w:spacing w:after="0" w:line="276" w:lineRule="auto"/>
        <w:ind w:left="709"/>
        <w:contextualSpacing/>
        <w:jc w:val="both"/>
        <w:rPr>
          <w:rFonts w:eastAsia="SimSun" w:cs="Arial"/>
          <w:i/>
          <w:iCs/>
          <w:szCs w:val="20"/>
          <w:u w:val="single"/>
          <w:lang w:eastAsia="zh-CN"/>
        </w:rPr>
      </w:pPr>
      <w:r w:rsidRPr="00367FBF">
        <w:rPr>
          <w:rFonts w:eastAsia="SimSun" w:cs="Arial"/>
          <w:i/>
          <w:iCs/>
          <w:szCs w:val="20"/>
          <w:u w:val="single"/>
          <w:lang w:eastAsia="zh-CN"/>
        </w:rPr>
        <w:t>izvajanje ukrepov mreže večgeneracijskih centrov ter večnamenskih romskih centrov;</w:t>
      </w:r>
    </w:p>
    <w:p w14:paraId="20E9AD44" w14:textId="77777777" w:rsidR="000E7A5A" w:rsidRPr="00367FBF" w:rsidRDefault="00306071" w:rsidP="00E247FF">
      <w:pPr>
        <w:numPr>
          <w:ilvl w:val="1"/>
          <w:numId w:val="15"/>
        </w:numPr>
        <w:spacing w:after="0" w:line="276" w:lineRule="auto"/>
        <w:ind w:left="709"/>
        <w:contextualSpacing/>
        <w:jc w:val="both"/>
        <w:rPr>
          <w:rFonts w:eastAsia="SimSun" w:cs="Arial"/>
          <w:i/>
          <w:iCs/>
          <w:szCs w:val="20"/>
          <w:u w:val="single"/>
          <w:lang w:eastAsia="zh-CN"/>
        </w:rPr>
      </w:pPr>
      <w:r w:rsidRPr="00367FBF">
        <w:rPr>
          <w:rFonts w:eastAsia="SimSun" w:cs="Arial"/>
          <w:i/>
          <w:iCs/>
          <w:szCs w:val="20"/>
          <w:u w:val="single"/>
          <w:lang w:eastAsia="zh-CN"/>
        </w:rPr>
        <w:t>izvajanje različnih aktivnosti na področju zaprtih oseb in oseb v probaciji;</w:t>
      </w:r>
    </w:p>
    <w:p w14:paraId="3FA8D994" w14:textId="77777777" w:rsidR="000E7A5A" w:rsidRPr="00367FBF" w:rsidRDefault="00306071" w:rsidP="00E247FF">
      <w:pPr>
        <w:numPr>
          <w:ilvl w:val="1"/>
          <w:numId w:val="15"/>
        </w:numPr>
        <w:spacing w:after="0" w:line="276" w:lineRule="auto"/>
        <w:ind w:left="709"/>
        <w:contextualSpacing/>
        <w:jc w:val="both"/>
        <w:rPr>
          <w:rFonts w:eastAsia="SimSun" w:cs="Arial"/>
          <w:i/>
          <w:iCs/>
          <w:szCs w:val="20"/>
          <w:u w:val="single"/>
          <w:lang w:eastAsia="zh-CN"/>
        </w:rPr>
      </w:pPr>
      <w:r w:rsidRPr="00367FBF">
        <w:rPr>
          <w:rFonts w:eastAsia="SimSun" w:cs="Arial"/>
          <w:i/>
          <w:iCs/>
          <w:szCs w:val="20"/>
          <w:u w:val="single"/>
          <w:lang w:eastAsia="zh-CN"/>
        </w:rPr>
        <w:t>ukrepe za izboljšanje integracije priseljencev v izobraževalni sistem.</w:t>
      </w:r>
    </w:p>
    <w:p w14:paraId="328CD08E" w14:textId="77777777" w:rsidR="000E7A5A" w:rsidRPr="00BE73DC" w:rsidRDefault="000E7A5A" w:rsidP="00E247FF">
      <w:pPr>
        <w:spacing w:after="0" w:line="276" w:lineRule="auto"/>
        <w:contextualSpacing/>
        <w:jc w:val="both"/>
        <w:rPr>
          <w:rFonts w:eastAsia="SimSun" w:cs="Arial"/>
          <w:i/>
          <w:iCs/>
          <w:szCs w:val="20"/>
          <w:u w:val="single"/>
          <w:lang w:eastAsia="zh-CN"/>
        </w:rPr>
      </w:pPr>
    </w:p>
    <w:p w14:paraId="5F299A58" w14:textId="77777777" w:rsidR="000E7A5A" w:rsidRPr="00F425EA" w:rsidRDefault="00306071" w:rsidP="005F66E4">
      <w:pPr>
        <w:pStyle w:val="Naslov4"/>
        <w:spacing w:before="0"/>
        <w:rPr>
          <w:lang w:eastAsia="zh-CN"/>
        </w:rPr>
      </w:pPr>
      <w:bookmarkStart w:id="967" w:name="_Toc187740075"/>
      <w:r w:rsidRPr="00F425EA">
        <w:rPr>
          <w:lang w:eastAsia="zh-CN"/>
        </w:rPr>
        <w:t>2.1.7.6 Trenutno stanje izvajanja na prednostni nalogi 7: stanje NPO in JR ter morebitne težave in izzivi</w:t>
      </w:r>
      <w:bookmarkEnd w:id="967"/>
    </w:p>
    <w:p w14:paraId="5A131C1A" w14:textId="77777777" w:rsidR="000E7A5A" w:rsidRPr="007E18A1" w:rsidRDefault="000E7A5A" w:rsidP="00E247FF">
      <w:pPr>
        <w:spacing w:after="0" w:line="276" w:lineRule="auto"/>
        <w:contextualSpacing/>
        <w:jc w:val="both"/>
        <w:rPr>
          <w:rFonts w:eastAsia="SimSun" w:cs="Arial"/>
          <w:i/>
          <w:iCs/>
          <w:color w:val="0070C0"/>
          <w:szCs w:val="20"/>
          <w:u w:val="single"/>
          <w:lang w:eastAsia="zh-CN"/>
        </w:rPr>
      </w:pPr>
    </w:p>
    <w:p w14:paraId="2A29EE22" w14:textId="4E4207FF" w:rsidR="000E7A5A" w:rsidRPr="00367FBF" w:rsidRDefault="00306071" w:rsidP="00E247FF">
      <w:pPr>
        <w:spacing w:after="0" w:line="276" w:lineRule="auto"/>
        <w:contextualSpacing/>
        <w:jc w:val="both"/>
        <w:rPr>
          <w:rFonts w:cs="Arial"/>
          <w:sz w:val="18"/>
          <w:szCs w:val="20"/>
        </w:rPr>
      </w:pPr>
      <w:r w:rsidRPr="005F66E4">
        <w:rPr>
          <w:rFonts w:eastAsia="SimSun" w:cs="Arial"/>
          <w:szCs w:val="20"/>
          <w:shd w:val="clear" w:color="auto" w:fill="FFFFFF" w:themeFill="background1"/>
          <w:lang w:eastAsia="zh-CN"/>
        </w:rPr>
        <w:t>Do 31. 12. 2024 je OU izdal v okviru PN 18 odločitev o podpori v skupni višini 73 mio EUR EU dela, kar predstavlja 26</w:t>
      </w:r>
      <w:r w:rsidR="003C7E99">
        <w:rPr>
          <w:rFonts w:eastAsia="SimSun" w:cs="Arial"/>
          <w:szCs w:val="20"/>
          <w:shd w:val="clear" w:color="auto" w:fill="FFFFFF" w:themeFill="background1"/>
          <w:lang w:eastAsia="zh-CN"/>
        </w:rPr>
        <w:t xml:space="preserve"> </w:t>
      </w:r>
      <w:r w:rsidRPr="005F66E4">
        <w:rPr>
          <w:rFonts w:eastAsia="SimSun" w:cs="Arial"/>
          <w:szCs w:val="20"/>
          <w:shd w:val="clear" w:color="auto" w:fill="FFFFFF" w:themeFill="background1"/>
          <w:lang w:eastAsia="zh-CN"/>
        </w:rPr>
        <w:t>% glede</w:t>
      </w:r>
      <w:r w:rsidRPr="00367FBF">
        <w:rPr>
          <w:rFonts w:eastAsia="SimSun" w:cs="Arial"/>
          <w:szCs w:val="20"/>
          <w:lang w:eastAsia="zh-CN"/>
        </w:rPr>
        <w:t xml:space="preserve"> na pravice porabe. Izplačila iz proračuna RS so znašala v skupni višini 6 mio EUR EU dela, kar predstavlja 2</w:t>
      </w:r>
      <w:r w:rsidR="003C7E99">
        <w:rPr>
          <w:rFonts w:eastAsia="SimSun" w:cs="Arial"/>
          <w:szCs w:val="20"/>
          <w:lang w:eastAsia="zh-CN"/>
        </w:rPr>
        <w:t xml:space="preserve"> </w:t>
      </w:r>
      <w:r w:rsidRPr="00367FBF">
        <w:rPr>
          <w:rFonts w:eastAsia="SimSun" w:cs="Arial"/>
          <w:szCs w:val="20"/>
          <w:lang w:eastAsia="zh-CN"/>
        </w:rPr>
        <w:t>% glede na pravice porabe.</w:t>
      </w:r>
    </w:p>
    <w:p w14:paraId="25A15C47" w14:textId="77777777" w:rsidR="000E7A5A" w:rsidRPr="00367FBF" w:rsidRDefault="000E7A5A" w:rsidP="00E247FF">
      <w:pPr>
        <w:spacing w:after="0" w:line="276" w:lineRule="auto"/>
        <w:contextualSpacing/>
        <w:jc w:val="both"/>
        <w:rPr>
          <w:rFonts w:eastAsia="SimSun" w:cs="Arial"/>
          <w:szCs w:val="20"/>
          <w:shd w:val="clear" w:color="auto" w:fill="00FF00"/>
          <w:lang w:eastAsia="zh-CN"/>
        </w:rPr>
      </w:pPr>
    </w:p>
    <w:p w14:paraId="4E742428" w14:textId="21348C45" w:rsidR="006477ED" w:rsidRPr="00367FBF" w:rsidRDefault="00306071" w:rsidP="00E247FF">
      <w:pPr>
        <w:spacing w:after="0" w:line="276" w:lineRule="auto"/>
        <w:contextualSpacing/>
        <w:jc w:val="both"/>
        <w:rPr>
          <w:rFonts w:eastAsia="SimSun" w:cs="Arial"/>
          <w:szCs w:val="20"/>
          <w:lang w:eastAsia="zh-CN"/>
        </w:rPr>
      </w:pPr>
      <w:r w:rsidRPr="00367FBF">
        <w:rPr>
          <w:rFonts w:eastAsia="SimSun" w:cs="Arial"/>
          <w:szCs w:val="20"/>
          <w:lang w:eastAsia="zh-CN"/>
        </w:rPr>
        <w:t>Odločitve o podpori so bile izdane za ukrepe na naslednjih področjih:</w:t>
      </w:r>
    </w:p>
    <w:p w14:paraId="3F4EC3BB" w14:textId="77777777" w:rsidR="000E7A5A" w:rsidRPr="00367FBF" w:rsidRDefault="00306071" w:rsidP="00E247FF">
      <w:pPr>
        <w:pStyle w:val="Odstavekseznama"/>
        <w:numPr>
          <w:ilvl w:val="0"/>
          <w:numId w:val="22"/>
        </w:numPr>
        <w:spacing w:after="0" w:line="276" w:lineRule="auto"/>
        <w:jc w:val="both"/>
        <w:rPr>
          <w:rFonts w:eastAsia="SimSun" w:cs="Arial"/>
          <w:szCs w:val="20"/>
          <w:lang w:eastAsia="zh-CN"/>
        </w:rPr>
      </w:pPr>
      <w:r w:rsidRPr="00367FBF">
        <w:rPr>
          <w:rFonts w:eastAsia="SimSun" w:cs="Arial"/>
          <w:szCs w:val="20"/>
          <w:lang w:eastAsia="zh-CN"/>
        </w:rPr>
        <w:t xml:space="preserve">ESO4.8 (4 odločitev o podpori): pridobitev formalne izobrazbe za zaprte osebe za različne stopnje šolske izobrazbe; </w:t>
      </w:r>
      <w:proofErr w:type="spellStart"/>
      <w:r w:rsidRPr="00367FBF">
        <w:rPr>
          <w:rFonts w:eastAsia="SimSun" w:cs="Arial"/>
          <w:szCs w:val="20"/>
          <w:lang w:eastAsia="zh-CN"/>
        </w:rPr>
        <w:t>opolnomočenje</w:t>
      </w:r>
      <w:proofErr w:type="spellEnd"/>
      <w:r w:rsidRPr="00367FBF">
        <w:rPr>
          <w:rFonts w:eastAsia="SimSun" w:cs="Arial"/>
          <w:szCs w:val="20"/>
          <w:lang w:eastAsia="zh-CN"/>
        </w:rPr>
        <w:t xml:space="preserve"> oseb iz ciljne skupine za nadaljevanje izobraževanja za pridobitev izobrazbe ter za vstop na trg dela; izvajanje programov socialne aktivacije SA+, ki bodo s svojim celostnim pristopom prispevali k izboljšanju socialne vključenosti oseb iz ciljne skupine in k povečanju njihovih zaposlitvenih možnosti; vključevanje ranljivih ciljnih skupin v okolje socialnega podjetništva in razvoj dejavnosti in zaposlovanja v obstoječih socialnih podjetjih.</w:t>
      </w:r>
    </w:p>
    <w:p w14:paraId="4BB7BC51" w14:textId="0913D19D" w:rsidR="000E7A5A" w:rsidRPr="00367FBF" w:rsidRDefault="1ECD1B8B" w:rsidP="431E93DE">
      <w:pPr>
        <w:pStyle w:val="Odstavekseznama"/>
        <w:numPr>
          <w:ilvl w:val="0"/>
          <w:numId w:val="22"/>
        </w:numPr>
        <w:spacing w:after="0" w:line="276" w:lineRule="auto"/>
        <w:jc w:val="both"/>
        <w:rPr>
          <w:rFonts w:eastAsia="SimSun" w:cs="Arial"/>
          <w:lang w:eastAsia="zh-CN"/>
        </w:rPr>
      </w:pPr>
      <w:r w:rsidRPr="00F7FCEE">
        <w:rPr>
          <w:rFonts w:eastAsia="SimSun" w:cs="Arial"/>
          <w:lang w:eastAsia="zh-CN"/>
        </w:rPr>
        <w:t xml:space="preserve">ESO4.11 (9 odločitev o podpori): krepitev dostopa do kakovostnih, trajnostnih storitev na področju preventivnih programov za krepitev zdravja; vzpostavitev ukrepov za verificirano usposabljanje za poklic »bolničar – negovalec« ter vzpostavitev novega programa pripravništva za poklic »bolničar – negovalec«; </w:t>
      </w:r>
      <w:proofErr w:type="spellStart"/>
      <w:r w:rsidRPr="00F7FCEE">
        <w:rPr>
          <w:rFonts w:eastAsia="SimSun" w:cs="Arial"/>
          <w:lang w:eastAsia="zh-CN"/>
        </w:rPr>
        <w:t>deinstitucionalizacija</w:t>
      </w:r>
      <w:proofErr w:type="spellEnd"/>
      <w:r w:rsidRPr="00F7FCEE">
        <w:rPr>
          <w:rFonts w:eastAsia="SimSun" w:cs="Arial"/>
          <w:lang w:eastAsia="zh-CN"/>
        </w:rPr>
        <w:t xml:space="preserve">, preko katere se preobrazijo institucije za ljudi z oviranostjo ter zagotovitev raznolikih storitev v skupnosti, ki omogočajo oskrbo po meri posameznika, življenje v domačem okolju, in uresničevanje človekovih pravic ljudi z oviranostjo; vsebinska podpora digitalizaciji DO in SV v Sloveniji ter vzpostavitev vsebinskih podlag, ki bodo omogočile razvoj informacijskih rešitev; nadgradnja sistema testiranja, ki poleg prepovedanih drog in novih psihoaktivnih snovi omogoča tudi analizo nedovoljenih snovi v športu; vzpostavitev stične točke kot elementa za strokovno implementacijo novih programov, namenjenim pomoči in podpori ljudem, ki </w:t>
      </w:r>
      <w:r w:rsidRPr="00F7FCEE">
        <w:rPr>
          <w:rFonts w:eastAsia="SimSun" w:cs="Arial"/>
          <w:lang w:eastAsia="zh-CN"/>
        </w:rPr>
        <w:lastRenderedPageBreak/>
        <w:t xml:space="preserve">uporabljajo droge in druge ne-regulirane snovi s farmakološkim delovanjem; sofinanciranje aktivnosti, ki prispevajo k razvoju in implementaciji interdisciplinarne, preventivne obravnave za osebe s kronično ledvično boleznijo; celostni pristop in sistematične aktivnosti za vpliv na povečevanje socialne vključenosti ciljne skupe invalidov; vzpostavitev mreže kakovostnih strokovno vodenih športno-rekreativnih in preventivnih programov za krepitev zdravja in aktivacijo </w:t>
      </w:r>
      <w:r w:rsidR="04815C5C" w:rsidRPr="00F7FCEE">
        <w:rPr>
          <w:rFonts w:eastAsia="SimSun" w:cs="Arial"/>
          <w:lang w:eastAsia="zh-CN"/>
        </w:rPr>
        <w:t>vseh generacij</w:t>
      </w:r>
      <w:r w:rsidRPr="00F7FCEE">
        <w:rPr>
          <w:rFonts w:eastAsia="SimSun" w:cs="Arial"/>
          <w:lang w:eastAsia="zh-CN"/>
        </w:rPr>
        <w:t>.</w:t>
      </w:r>
    </w:p>
    <w:p w14:paraId="62C05208" w14:textId="65406891" w:rsidR="000E7A5A" w:rsidRPr="00367FBF" w:rsidRDefault="1ECD1B8B" w:rsidP="431E93DE">
      <w:pPr>
        <w:pStyle w:val="Odstavekseznama"/>
        <w:numPr>
          <w:ilvl w:val="0"/>
          <w:numId w:val="22"/>
        </w:numPr>
        <w:spacing w:after="0" w:line="276" w:lineRule="auto"/>
        <w:jc w:val="both"/>
        <w:rPr>
          <w:rFonts w:eastAsia="SimSun" w:cs="Arial"/>
          <w:lang w:eastAsia="zh-CN"/>
        </w:rPr>
      </w:pPr>
      <w:r w:rsidRPr="00F7FCEE">
        <w:rPr>
          <w:rFonts w:eastAsia="SimSun" w:cs="Arial"/>
          <w:lang w:eastAsia="zh-CN"/>
        </w:rPr>
        <w:t>ESO4.12 (5 odločitev o podpori): operacionalizacija ukrepa socialnega vključevanja oseb s posebnimi potrebami na področju športa invalidov; razvoj delovnih kompetenc in specializiranih programov za osebe, vključene v probacijo; razvoj kompetenc zaprtih oseb; spodbujanje socialnega vključevanja najbolj ogroženih otrok in njihovih družin; sofinanciranje projektov večgeneracijskih centrov</w:t>
      </w:r>
      <w:r w:rsidR="49BC54A2" w:rsidRPr="00F7FCEE">
        <w:rPr>
          <w:rFonts w:eastAsia="SimSun" w:cs="Arial"/>
          <w:lang w:eastAsia="zh-CN"/>
        </w:rPr>
        <w:t>, izvajanje večnamenskih romskih centrov</w:t>
      </w:r>
      <w:r w:rsidRPr="00F7FCEE">
        <w:rPr>
          <w:rFonts w:eastAsia="SimSun" w:cs="Arial"/>
          <w:lang w:eastAsia="zh-CN"/>
        </w:rPr>
        <w:t>.</w:t>
      </w:r>
    </w:p>
    <w:p w14:paraId="0717D83F" w14:textId="77777777" w:rsidR="000E7A5A" w:rsidRPr="00367FBF" w:rsidRDefault="000E7A5A" w:rsidP="00E247FF">
      <w:pPr>
        <w:spacing w:after="0" w:line="276" w:lineRule="auto"/>
        <w:contextualSpacing/>
        <w:jc w:val="both"/>
        <w:rPr>
          <w:rFonts w:eastAsia="SimSun" w:cs="Arial"/>
          <w:color w:val="0070C0"/>
          <w:szCs w:val="20"/>
          <w:shd w:val="clear" w:color="auto" w:fill="00FF00"/>
          <w:lang w:eastAsia="zh-CN"/>
        </w:rPr>
      </w:pPr>
    </w:p>
    <w:p w14:paraId="38CFAC79" w14:textId="22343218" w:rsidR="000E7A5A" w:rsidRPr="00367FBF" w:rsidRDefault="00306071" w:rsidP="00E247FF">
      <w:pPr>
        <w:spacing w:after="0" w:line="276" w:lineRule="auto"/>
        <w:contextualSpacing/>
        <w:jc w:val="both"/>
        <w:rPr>
          <w:rFonts w:eastAsia="SimSun" w:cs="Arial"/>
          <w:szCs w:val="20"/>
          <w:lang w:eastAsia="zh-CN"/>
        </w:rPr>
      </w:pPr>
      <w:r w:rsidRPr="00367FBF">
        <w:rPr>
          <w:rFonts w:eastAsia="SimSun" w:cs="Arial"/>
          <w:szCs w:val="20"/>
          <w:lang w:eastAsia="zh-CN"/>
        </w:rPr>
        <w:t>Podatki o stanju izvajanja v celotnem obdobju kažejo, da izvajanje poteka počasneje od načrtovane dinamike in da nekateri mejniki iz okvira smotrnosti ne bodo doseženi do konca leta 2024. Razlog je predvsem v poznem začetku izvajanja, deloma tudi v neustreznem načrtovanju kazalnikov pri pripravi programa.</w:t>
      </w:r>
    </w:p>
    <w:p w14:paraId="121871A8" w14:textId="77777777" w:rsidR="000E7A5A" w:rsidRPr="00367FBF" w:rsidRDefault="000E7A5A" w:rsidP="00E247FF">
      <w:pPr>
        <w:spacing w:after="0" w:line="276" w:lineRule="auto"/>
        <w:contextualSpacing/>
        <w:jc w:val="both"/>
        <w:rPr>
          <w:rFonts w:eastAsia="SimSun" w:cs="Arial"/>
          <w:szCs w:val="20"/>
          <w:lang w:eastAsia="zh-CN"/>
        </w:rPr>
      </w:pPr>
    </w:p>
    <w:p w14:paraId="0EFD7775" w14:textId="618FCF59" w:rsidR="00E97264" w:rsidRPr="004C6F15" w:rsidRDefault="00306071" w:rsidP="00E247FF">
      <w:pPr>
        <w:spacing w:after="0" w:line="276" w:lineRule="auto"/>
        <w:contextualSpacing/>
        <w:jc w:val="both"/>
        <w:rPr>
          <w:rFonts w:eastAsia="SimSun" w:cs="Arial"/>
          <w:szCs w:val="20"/>
          <w:lang w:eastAsia="zh-CN"/>
        </w:rPr>
      </w:pPr>
      <w:r w:rsidRPr="00367FBF">
        <w:rPr>
          <w:rFonts w:eastAsia="SimSun" w:cs="Arial"/>
          <w:szCs w:val="20"/>
          <w:lang w:eastAsia="zh-CN"/>
        </w:rPr>
        <w:t xml:space="preserve">Vezano na predhodno zapisano OU skupaj z Ministrstvom za finance v vlogi organa za </w:t>
      </w:r>
      <w:proofErr w:type="spellStart"/>
      <w:r w:rsidRPr="00367FBF">
        <w:rPr>
          <w:rFonts w:eastAsia="SimSun" w:cs="Arial"/>
          <w:szCs w:val="20"/>
          <w:lang w:eastAsia="zh-CN"/>
        </w:rPr>
        <w:t>računovodenje</w:t>
      </w:r>
      <w:proofErr w:type="spellEnd"/>
      <w:r w:rsidRPr="00367FBF">
        <w:rPr>
          <w:rFonts w:eastAsia="SimSun" w:cs="Arial"/>
          <w:szCs w:val="20"/>
          <w:lang w:eastAsia="zh-CN"/>
        </w:rPr>
        <w:t xml:space="preserve"> intenzivno pripravlja vse ustrezne postopke za čimprejšnje certificiranje izdatkov do EK. MKRR bo na podlagi pregleda napredka pri izvajanju načrtovanih ukrepov na ministrstvih, vključenih v izvajanje EKP, in na podlagi izdelane ocene tveganja pri izvajanju operacij, pripravilo izhodišča za spremembo PEKP 21–27</w:t>
      </w:r>
      <w:r w:rsidRPr="00F425EA">
        <w:rPr>
          <w:rFonts w:eastAsia="SimSun" w:cs="Arial"/>
          <w:sz w:val="22"/>
          <w:szCs w:val="22"/>
          <w:lang w:eastAsia="zh-CN"/>
        </w:rPr>
        <w:t xml:space="preserve">. </w:t>
      </w:r>
    </w:p>
    <w:p w14:paraId="0DAFBDF2" w14:textId="77777777" w:rsidR="004C6F15" w:rsidRPr="004C6F15" w:rsidRDefault="004C6F15" w:rsidP="00E247FF">
      <w:pPr>
        <w:spacing w:after="0" w:line="276" w:lineRule="auto"/>
        <w:contextualSpacing/>
        <w:jc w:val="both"/>
        <w:rPr>
          <w:rFonts w:eastAsia="SimSun" w:cs="Arial"/>
          <w:szCs w:val="20"/>
          <w:lang w:eastAsia="zh-CN"/>
        </w:rPr>
      </w:pPr>
    </w:p>
    <w:p w14:paraId="1E7C33FD" w14:textId="77777777" w:rsidR="000E7A5A" w:rsidRPr="00F425EA" w:rsidRDefault="00306071" w:rsidP="00E76A87">
      <w:pPr>
        <w:pStyle w:val="Naslov3"/>
      </w:pPr>
      <w:bookmarkStart w:id="968" w:name="_Toc2142959850"/>
      <w:bookmarkStart w:id="969" w:name="_Toc399167625"/>
      <w:bookmarkStart w:id="970" w:name="_Toc294471579"/>
      <w:bookmarkStart w:id="971" w:name="_Toc1266535328"/>
      <w:bookmarkStart w:id="972" w:name="_Toc1851016320"/>
      <w:bookmarkStart w:id="973" w:name="_Toc1829866921"/>
      <w:bookmarkStart w:id="974" w:name="_Toc2074989490"/>
      <w:bookmarkStart w:id="975" w:name="_Toc839303178"/>
      <w:bookmarkStart w:id="976" w:name="_Toc574129397"/>
      <w:bookmarkStart w:id="977" w:name="_Toc1914285493"/>
      <w:bookmarkStart w:id="978" w:name="_Toc2114278700"/>
      <w:bookmarkStart w:id="979" w:name="_Toc371467525"/>
      <w:bookmarkStart w:id="980" w:name="_Toc1782458753"/>
      <w:bookmarkStart w:id="981" w:name="_Toc1765281401"/>
      <w:bookmarkStart w:id="982" w:name="_Toc1377298874"/>
      <w:bookmarkStart w:id="983" w:name="_Toc1360398037"/>
      <w:bookmarkStart w:id="984" w:name="_Toc1476286100"/>
      <w:bookmarkStart w:id="985" w:name="_Toc974345869"/>
      <w:bookmarkStart w:id="986" w:name="_Toc82890815"/>
      <w:bookmarkStart w:id="987" w:name="_Toc1109462570"/>
      <w:bookmarkStart w:id="988" w:name="_Toc327334663"/>
      <w:bookmarkStart w:id="989" w:name="_Toc1983414200"/>
      <w:bookmarkStart w:id="990" w:name="_Toc1808158711"/>
      <w:bookmarkStart w:id="991" w:name="_Toc835778020"/>
      <w:bookmarkStart w:id="992" w:name="_Toc1063297859"/>
      <w:bookmarkStart w:id="993" w:name="_Toc1507942339"/>
      <w:bookmarkStart w:id="994" w:name="_Toc1261570100"/>
      <w:bookmarkStart w:id="995" w:name="_Toc843645960"/>
      <w:bookmarkStart w:id="996" w:name="_Toc318835979"/>
      <w:bookmarkStart w:id="997" w:name="_Toc1920156632"/>
      <w:bookmarkStart w:id="998" w:name="_Toc1273437139"/>
      <w:bookmarkStart w:id="999" w:name="_Toc666724979"/>
      <w:bookmarkStart w:id="1000" w:name="_Toc157510880"/>
      <w:bookmarkStart w:id="1001" w:name="_Toc1228523679"/>
      <w:bookmarkStart w:id="1002" w:name="_Toc1849499631"/>
      <w:bookmarkStart w:id="1003" w:name="_Toc620298152"/>
      <w:bookmarkStart w:id="1004" w:name="_Toc1992125487"/>
      <w:bookmarkStart w:id="1005" w:name="_Toc1597978167"/>
      <w:bookmarkStart w:id="1006" w:name="_Toc1864094282"/>
      <w:bookmarkStart w:id="1007" w:name="_Toc1280015256"/>
      <w:bookmarkStart w:id="1008" w:name="_Toc336373462"/>
      <w:bookmarkStart w:id="1009" w:name="_Toc81112742"/>
      <w:bookmarkStart w:id="1010" w:name="_Toc1175047619"/>
      <w:bookmarkStart w:id="1011" w:name="_Toc855770341"/>
      <w:bookmarkStart w:id="1012" w:name="_Toc1561791793"/>
      <w:bookmarkStart w:id="1013" w:name="_Toc1543944965"/>
      <w:bookmarkStart w:id="1014" w:name="_Toc1014255223"/>
      <w:bookmarkStart w:id="1015" w:name="_Toc2127875602"/>
      <w:bookmarkStart w:id="1016" w:name="_Toc371557699"/>
      <w:bookmarkStart w:id="1017" w:name="_Toc1995577665"/>
      <w:bookmarkStart w:id="1018" w:name="_Toc470386445"/>
      <w:bookmarkStart w:id="1019" w:name="_Toc318872473"/>
      <w:bookmarkStart w:id="1020" w:name="_Toc342104354"/>
      <w:bookmarkStart w:id="1021" w:name="_Toc252084103"/>
      <w:bookmarkStart w:id="1022" w:name="_Toc1268866252"/>
      <w:bookmarkStart w:id="1023" w:name="_Toc2088744643"/>
      <w:bookmarkStart w:id="1024" w:name="_Toc1197513955"/>
      <w:bookmarkStart w:id="1025" w:name="_Toc1741767652"/>
      <w:bookmarkStart w:id="1026" w:name="_Toc1406268977"/>
      <w:bookmarkStart w:id="1027" w:name="_Toc1954397467"/>
      <w:bookmarkStart w:id="1028" w:name="_Toc1466233399"/>
      <w:bookmarkStart w:id="1029" w:name="_Toc815531516"/>
      <w:bookmarkStart w:id="1030" w:name="_Toc183327292"/>
      <w:bookmarkStart w:id="1031" w:name="_Toc803924061"/>
      <w:bookmarkStart w:id="1032" w:name="_Toc252646476"/>
      <w:bookmarkStart w:id="1033" w:name="_Toc220425911"/>
      <w:bookmarkStart w:id="1034" w:name="_Toc284044042"/>
      <w:bookmarkStart w:id="1035" w:name="_Toc1586499115"/>
      <w:bookmarkStart w:id="1036" w:name="_Toc930218902"/>
      <w:bookmarkStart w:id="1037" w:name="_Toc1861796906"/>
      <w:bookmarkStart w:id="1038" w:name="_Toc280012950"/>
      <w:bookmarkStart w:id="1039" w:name="_Toc1884874091"/>
      <w:bookmarkStart w:id="1040" w:name="_Toc1594158274"/>
      <w:bookmarkStart w:id="1041" w:name="_Toc1098886890"/>
      <w:bookmarkStart w:id="1042" w:name="_Toc1049735236"/>
      <w:bookmarkStart w:id="1043" w:name="_Toc1627083399"/>
      <w:bookmarkStart w:id="1044" w:name="_Toc1937956522"/>
      <w:bookmarkStart w:id="1045" w:name="_Toc1484327693"/>
      <w:bookmarkStart w:id="1046" w:name="_Toc1035467695"/>
      <w:bookmarkStart w:id="1047" w:name="_Toc416890050"/>
      <w:bookmarkStart w:id="1048" w:name="_Toc523635817"/>
      <w:bookmarkStart w:id="1049" w:name="_Toc120346214"/>
      <w:bookmarkStart w:id="1050" w:name="_Toc2108269793"/>
      <w:bookmarkStart w:id="1051" w:name="_Toc331828225"/>
      <w:bookmarkStart w:id="1052" w:name="_Toc187739334"/>
      <w:bookmarkStart w:id="1053" w:name="_Toc187740076"/>
      <w:bookmarkStart w:id="1054" w:name="_Toc192681989"/>
      <w:r w:rsidRPr="00F425EA">
        <w:t>2.1.8</w:t>
      </w:r>
      <w:r w:rsidRPr="00F425EA">
        <w:tab/>
        <w:t>PN 8: Trajnostna turizem in kultura</w:t>
      </w:r>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p>
    <w:p w14:paraId="31E2EE81" w14:textId="77777777" w:rsidR="000E7A5A" w:rsidRPr="004C6F15" w:rsidRDefault="000E7A5A" w:rsidP="00E247FF">
      <w:pPr>
        <w:spacing w:after="0" w:line="276" w:lineRule="auto"/>
        <w:contextualSpacing/>
        <w:jc w:val="both"/>
        <w:rPr>
          <w:rFonts w:eastAsia="SimSun" w:cs="Arial"/>
          <w:szCs w:val="20"/>
          <w:lang w:eastAsia="zh-CN"/>
        </w:rPr>
      </w:pPr>
    </w:p>
    <w:p w14:paraId="69E49172" w14:textId="77777777" w:rsidR="000E7A5A" w:rsidRPr="00F425EA" w:rsidRDefault="00306071" w:rsidP="005F66E4">
      <w:pPr>
        <w:pStyle w:val="Naslov4"/>
        <w:spacing w:before="0"/>
        <w:rPr>
          <w:lang w:eastAsia="zh-CN"/>
        </w:rPr>
      </w:pPr>
      <w:bookmarkStart w:id="1055" w:name="_Toc187740077"/>
      <w:r w:rsidRPr="00F425EA">
        <w:rPr>
          <w:lang w:eastAsia="zh-CN"/>
        </w:rPr>
        <w:t>2.1.8.1 Specifični cilj: RSO4.6. Krepitev vloge kulture in trajnostnega turizma pri gospodarskem razvoju, socialni vključenosti in socialnih inovacijah (ESRR)</w:t>
      </w:r>
      <w:bookmarkEnd w:id="1055"/>
    </w:p>
    <w:p w14:paraId="00ACA04E" w14:textId="77777777" w:rsidR="000E7A5A" w:rsidRPr="004C6F15" w:rsidRDefault="000E7A5A" w:rsidP="00E247FF">
      <w:pPr>
        <w:spacing w:after="0" w:line="276" w:lineRule="auto"/>
        <w:contextualSpacing/>
        <w:jc w:val="both"/>
        <w:rPr>
          <w:rFonts w:eastAsia="SimSun" w:cs="Arial"/>
          <w:color w:val="0070C0"/>
          <w:szCs w:val="20"/>
          <w:lang w:eastAsia="zh-CN"/>
        </w:rPr>
      </w:pPr>
    </w:p>
    <w:p w14:paraId="798E744C" w14:textId="77777777" w:rsidR="000E7A5A" w:rsidRPr="00367FBF" w:rsidRDefault="00306071" w:rsidP="00E247FF">
      <w:pPr>
        <w:spacing w:after="0" w:line="276" w:lineRule="auto"/>
        <w:contextualSpacing/>
        <w:jc w:val="both"/>
        <w:rPr>
          <w:rFonts w:eastAsia="SimSun" w:cs="Arial"/>
          <w:szCs w:val="20"/>
          <w:lang w:eastAsia="zh-CN"/>
        </w:rPr>
      </w:pPr>
      <w:r w:rsidRPr="00367FBF">
        <w:rPr>
          <w:rFonts w:eastAsia="SimSun" w:cs="Arial"/>
          <w:szCs w:val="20"/>
          <w:lang w:eastAsia="zh-CN"/>
        </w:rPr>
        <w:t xml:space="preserve">Specifični cilj je namenjen naložbam v oživljanje kulturne dediščine in njenim vključevanjem v turistično ponudbo. Kultura in kulturna identiteta, valorizirana v podobi in celostni ponudbi slovenskega turizma, je tisti inovativni dejavnik, ki lahko ključno prispeva k izpopolnitvi verige vrednosti in znatnemu povečanju dodane vrednosti in trajnosti v slovenskem turizmu. Podprti ukrepi krepijo socialno kohezijo skozi večjo dostopnost do kulturne dediščine in prispevajo k večji dodani vrednosti turističnega sektorja z bogatenjem kulturne ponudbe in izboljšavami življenjskega okolja v manj razviti regiji Vzhodna Slovenija. </w:t>
      </w:r>
    </w:p>
    <w:p w14:paraId="69108F01" w14:textId="77777777" w:rsidR="000E7A5A" w:rsidRPr="00367FBF" w:rsidRDefault="000E7A5A" w:rsidP="00E247FF">
      <w:pPr>
        <w:spacing w:after="0" w:line="276" w:lineRule="auto"/>
        <w:contextualSpacing/>
        <w:jc w:val="both"/>
        <w:rPr>
          <w:rFonts w:eastAsia="SimSun" w:cs="Arial"/>
          <w:szCs w:val="20"/>
          <w:lang w:eastAsia="zh-CN"/>
        </w:rPr>
      </w:pPr>
    </w:p>
    <w:p w14:paraId="719C809C" w14:textId="72B9CD5B" w:rsidR="006477ED" w:rsidRPr="00367FBF" w:rsidRDefault="00306071" w:rsidP="00E247FF">
      <w:pPr>
        <w:spacing w:after="0" w:line="276" w:lineRule="auto"/>
        <w:contextualSpacing/>
        <w:jc w:val="both"/>
        <w:rPr>
          <w:rFonts w:eastAsia="SimSun" w:cs="Arial"/>
          <w:szCs w:val="20"/>
          <w:lang w:eastAsia="zh-CN"/>
        </w:rPr>
      </w:pPr>
      <w:r w:rsidRPr="00367FBF">
        <w:rPr>
          <w:rFonts w:eastAsia="SimSun" w:cs="Arial"/>
          <w:szCs w:val="20"/>
          <w:lang w:eastAsia="zh-CN"/>
        </w:rPr>
        <w:t>Ukrepi so osredotočeni na:</w:t>
      </w:r>
    </w:p>
    <w:p w14:paraId="486900A5" w14:textId="77777777" w:rsidR="000E7A5A" w:rsidRPr="00367FBF" w:rsidRDefault="00306071" w:rsidP="00E247FF">
      <w:pPr>
        <w:numPr>
          <w:ilvl w:val="1"/>
          <w:numId w:val="15"/>
        </w:numPr>
        <w:spacing w:after="0" w:line="276" w:lineRule="auto"/>
        <w:ind w:left="851"/>
        <w:contextualSpacing/>
        <w:jc w:val="both"/>
        <w:rPr>
          <w:rFonts w:cs="Arial"/>
          <w:sz w:val="18"/>
          <w:szCs w:val="20"/>
        </w:rPr>
      </w:pPr>
      <w:r w:rsidRPr="00367FBF">
        <w:rPr>
          <w:rFonts w:eastAsia="SimSun" w:cs="Arial"/>
          <w:i/>
          <w:iCs/>
          <w:szCs w:val="20"/>
          <w:u w:val="single"/>
          <w:lang w:eastAsia="zh-CN"/>
        </w:rPr>
        <w:t>revitalizacija in obnova kulturne dediščine</w:t>
      </w:r>
      <w:r w:rsidRPr="00367FBF">
        <w:rPr>
          <w:rFonts w:eastAsia="SimSun" w:cs="Arial"/>
          <w:szCs w:val="20"/>
          <w:lang w:eastAsia="zh-CN"/>
        </w:rPr>
        <w:t>;</w:t>
      </w:r>
    </w:p>
    <w:p w14:paraId="7F4A932D" w14:textId="77777777" w:rsidR="000E7A5A" w:rsidRPr="00367FBF" w:rsidRDefault="00306071" w:rsidP="00E247FF">
      <w:pPr>
        <w:numPr>
          <w:ilvl w:val="1"/>
          <w:numId w:val="15"/>
        </w:numPr>
        <w:spacing w:after="0" w:line="276" w:lineRule="auto"/>
        <w:ind w:left="851"/>
        <w:contextualSpacing/>
        <w:jc w:val="both"/>
        <w:rPr>
          <w:rFonts w:cs="Arial"/>
          <w:sz w:val="18"/>
          <w:szCs w:val="20"/>
        </w:rPr>
      </w:pPr>
      <w:r w:rsidRPr="00367FBF">
        <w:rPr>
          <w:rFonts w:eastAsia="SimSun" w:cs="Arial"/>
          <w:i/>
          <w:iCs/>
          <w:szCs w:val="20"/>
          <w:u w:val="single"/>
          <w:lang w:eastAsia="zh-CN"/>
        </w:rPr>
        <w:t>vlaganja v razvoj celovitih turističnih produktov v obliki avtentičnih turističnih doživetij</w:t>
      </w:r>
      <w:r w:rsidRPr="00367FBF">
        <w:rPr>
          <w:rFonts w:eastAsia="SimSun" w:cs="Arial"/>
          <w:szCs w:val="20"/>
          <w:lang w:eastAsia="zh-CN"/>
        </w:rPr>
        <w:t>.</w:t>
      </w:r>
    </w:p>
    <w:p w14:paraId="6AFD325C" w14:textId="77777777" w:rsidR="000E7A5A" w:rsidRPr="00367FBF" w:rsidRDefault="000E7A5A" w:rsidP="00E247FF">
      <w:pPr>
        <w:spacing w:after="0" w:line="276" w:lineRule="auto"/>
        <w:contextualSpacing/>
        <w:jc w:val="both"/>
        <w:rPr>
          <w:rFonts w:eastAsia="SimSun" w:cs="Arial"/>
          <w:szCs w:val="20"/>
          <w:lang w:eastAsia="zh-CN"/>
        </w:rPr>
      </w:pPr>
    </w:p>
    <w:p w14:paraId="29919CB4" w14:textId="77777777" w:rsidR="000E7A5A" w:rsidRPr="00367FBF" w:rsidRDefault="00306071" w:rsidP="005F66E4">
      <w:pPr>
        <w:pStyle w:val="Naslov4"/>
        <w:spacing w:before="0"/>
        <w:rPr>
          <w:lang w:eastAsia="zh-CN"/>
        </w:rPr>
      </w:pPr>
      <w:bookmarkStart w:id="1056" w:name="_Toc187740078"/>
      <w:r w:rsidRPr="00367FBF">
        <w:rPr>
          <w:lang w:eastAsia="zh-CN"/>
        </w:rPr>
        <w:t>2.1.8.2 Trenutno stanje izvajanja na prednostni nalogi 8: stanje NPO in JR ter morebitne težave in izzivi</w:t>
      </w:r>
      <w:bookmarkEnd w:id="1056"/>
    </w:p>
    <w:p w14:paraId="523565AE" w14:textId="77777777" w:rsidR="000E7A5A" w:rsidRPr="00367FBF" w:rsidRDefault="000E7A5A" w:rsidP="00E247FF">
      <w:pPr>
        <w:spacing w:after="0" w:line="276" w:lineRule="auto"/>
        <w:contextualSpacing/>
        <w:jc w:val="both"/>
        <w:rPr>
          <w:rFonts w:eastAsia="SimSun" w:cs="Arial"/>
          <w:i/>
          <w:iCs/>
          <w:color w:val="0070C0"/>
          <w:szCs w:val="20"/>
          <w:u w:val="single"/>
          <w:lang w:eastAsia="zh-CN"/>
        </w:rPr>
      </w:pPr>
    </w:p>
    <w:p w14:paraId="658A9834" w14:textId="434F20F3" w:rsidR="000E7A5A" w:rsidRPr="00367FBF" w:rsidRDefault="00306071" w:rsidP="00E247FF">
      <w:pPr>
        <w:spacing w:after="0" w:line="276" w:lineRule="auto"/>
        <w:contextualSpacing/>
        <w:jc w:val="both"/>
        <w:rPr>
          <w:rFonts w:cs="Arial"/>
          <w:sz w:val="18"/>
          <w:szCs w:val="20"/>
        </w:rPr>
      </w:pPr>
      <w:r w:rsidRPr="005F66E4">
        <w:rPr>
          <w:rFonts w:eastAsia="SimSun" w:cs="Arial"/>
          <w:szCs w:val="20"/>
          <w:shd w:val="clear" w:color="auto" w:fill="FFFFFF" w:themeFill="background1"/>
          <w:lang w:eastAsia="zh-CN"/>
        </w:rPr>
        <w:t>Do 31. 12. 2024 je OU izdal v okviru PN 1 odločitev o podpori v skupni višini 14 mio EUR EU dela, kar predstavlja 70</w:t>
      </w:r>
      <w:r w:rsidR="005F66E4">
        <w:rPr>
          <w:rFonts w:eastAsia="SimSun" w:cs="Arial"/>
          <w:szCs w:val="20"/>
          <w:shd w:val="clear" w:color="auto" w:fill="FFFFFF" w:themeFill="background1"/>
          <w:lang w:eastAsia="zh-CN"/>
        </w:rPr>
        <w:t xml:space="preserve"> </w:t>
      </w:r>
      <w:r w:rsidRPr="005F66E4">
        <w:rPr>
          <w:rFonts w:eastAsia="SimSun" w:cs="Arial"/>
          <w:szCs w:val="20"/>
          <w:shd w:val="clear" w:color="auto" w:fill="FFFFFF" w:themeFill="background1"/>
          <w:lang w:eastAsia="zh-CN"/>
        </w:rPr>
        <w:t>% glede</w:t>
      </w:r>
      <w:r w:rsidRPr="00367FBF">
        <w:rPr>
          <w:rFonts w:eastAsia="SimSun" w:cs="Arial"/>
          <w:szCs w:val="20"/>
          <w:lang w:eastAsia="zh-CN"/>
        </w:rPr>
        <w:t xml:space="preserve"> na pravice porabe. Izplačila iz proračuna RS so znašala v skupni višini 0 mio EUR EU dela, kar predstavlja 0</w:t>
      </w:r>
      <w:r w:rsidR="005F66E4">
        <w:rPr>
          <w:rFonts w:eastAsia="SimSun" w:cs="Arial"/>
          <w:szCs w:val="20"/>
          <w:lang w:eastAsia="zh-CN"/>
        </w:rPr>
        <w:t xml:space="preserve"> </w:t>
      </w:r>
      <w:r w:rsidRPr="00367FBF">
        <w:rPr>
          <w:rFonts w:eastAsia="SimSun" w:cs="Arial"/>
          <w:szCs w:val="20"/>
          <w:lang w:eastAsia="zh-CN"/>
        </w:rPr>
        <w:t>% glede na pravice porabe.</w:t>
      </w:r>
    </w:p>
    <w:p w14:paraId="10FDF47C" w14:textId="77777777" w:rsidR="000E7A5A" w:rsidRPr="00367FBF" w:rsidRDefault="00306071" w:rsidP="00E247FF">
      <w:pPr>
        <w:spacing w:after="0" w:line="276" w:lineRule="auto"/>
        <w:contextualSpacing/>
        <w:jc w:val="both"/>
        <w:rPr>
          <w:rFonts w:cs="Arial"/>
          <w:sz w:val="18"/>
          <w:szCs w:val="20"/>
        </w:rPr>
      </w:pPr>
      <w:r w:rsidRPr="00367FBF">
        <w:rPr>
          <w:rFonts w:eastAsia="SimSun" w:cs="Arial"/>
          <w:color w:val="0070C0"/>
          <w:szCs w:val="20"/>
          <w:lang w:eastAsia="zh-CN"/>
        </w:rPr>
        <w:t xml:space="preserve"> </w:t>
      </w:r>
    </w:p>
    <w:p w14:paraId="1C3F408A" w14:textId="5D0803E8" w:rsidR="006477ED" w:rsidRPr="00367FBF" w:rsidRDefault="00306071" w:rsidP="00E247FF">
      <w:pPr>
        <w:spacing w:after="0" w:line="276" w:lineRule="auto"/>
        <w:contextualSpacing/>
        <w:jc w:val="both"/>
        <w:rPr>
          <w:rFonts w:eastAsia="SimSun" w:cs="Arial"/>
          <w:szCs w:val="20"/>
          <w:lang w:eastAsia="zh-CN"/>
        </w:rPr>
      </w:pPr>
      <w:r w:rsidRPr="00367FBF">
        <w:rPr>
          <w:rFonts w:eastAsia="SimSun" w:cs="Arial"/>
          <w:szCs w:val="20"/>
          <w:lang w:eastAsia="zh-CN"/>
        </w:rPr>
        <w:t>Odločitve o podpori so bile izdane za ukrepe na naslednjih področjih:</w:t>
      </w:r>
    </w:p>
    <w:p w14:paraId="7CD30A09" w14:textId="77777777" w:rsidR="000E7A5A" w:rsidRPr="00367FBF" w:rsidRDefault="00306071" w:rsidP="00E247FF">
      <w:pPr>
        <w:pStyle w:val="Odstavekseznama"/>
        <w:numPr>
          <w:ilvl w:val="0"/>
          <w:numId w:val="23"/>
        </w:numPr>
        <w:spacing w:after="0" w:line="276" w:lineRule="auto"/>
        <w:jc w:val="both"/>
        <w:rPr>
          <w:rFonts w:eastAsia="SimSun" w:cs="Arial"/>
          <w:szCs w:val="20"/>
          <w:lang w:eastAsia="zh-CN"/>
        </w:rPr>
      </w:pPr>
      <w:r w:rsidRPr="00367FBF">
        <w:rPr>
          <w:rFonts w:eastAsia="SimSun" w:cs="Arial"/>
          <w:szCs w:val="20"/>
          <w:lang w:eastAsia="zh-CN"/>
        </w:rPr>
        <w:t>RSO4.6 (1 odločitev o podpori): trajnostna obnova in oživljanje kulturnih spomenikov v lasti občin ter vključevanje kulturnih doživetij v slovenski turizem.</w:t>
      </w:r>
    </w:p>
    <w:p w14:paraId="4734F3AE" w14:textId="77777777" w:rsidR="000E7A5A" w:rsidRPr="00367FBF" w:rsidRDefault="00306071" w:rsidP="00E247FF">
      <w:pPr>
        <w:spacing w:after="0" w:line="276" w:lineRule="auto"/>
        <w:contextualSpacing/>
        <w:jc w:val="both"/>
        <w:rPr>
          <w:rFonts w:eastAsia="SimSun" w:cs="Arial"/>
          <w:szCs w:val="20"/>
          <w:lang w:eastAsia="zh-CN"/>
        </w:rPr>
      </w:pPr>
      <w:r w:rsidRPr="00367FBF">
        <w:rPr>
          <w:rFonts w:eastAsia="SimSun" w:cs="Arial"/>
          <w:szCs w:val="20"/>
          <w:lang w:eastAsia="zh-CN"/>
        </w:rPr>
        <w:t xml:space="preserve"> </w:t>
      </w:r>
    </w:p>
    <w:p w14:paraId="55753027" w14:textId="3C262065" w:rsidR="000E7A5A" w:rsidRPr="00367FBF" w:rsidRDefault="00306071" w:rsidP="00E247FF">
      <w:pPr>
        <w:spacing w:after="0" w:line="276" w:lineRule="auto"/>
        <w:contextualSpacing/>
        <w:jc w:val="both"/>
        <w:rPr>
          <w:rFonts w:cs="Arial"/>
          <w:sz w:val="18"/>
          <w:szCs w:val="20"/>
        </w:rPr>
      </w:pPr>
      <w:r w:rsidRPr="00367FBF">
        <w:rPr>
          <w:rFonts w:eastAsia="SimSun" w:cs="Arial"/>
          <w:szCs w:val="20"/>
          <w:lang w:eastAsia="zh-CN"/>
        </w:rPr>
        <w:t xml:space="preserve">Podatki o stanju izvajanja v celotnem obdobju kažejo, da izvajanje poteka skladno s predvidenim terminskim načrtom. </w:t>
      </w:r>
      <w:r w:rsidR="0059022B">
        <w:rPr>
          <w:rFonts w:eastAsia="SimSun" w:cs="Arial"/>
          <w:szCs w:val="20"/>
          <w:lang w:eastAsia="zh-CN"/>
        </w:rPr>
        <w:t>Koriščenje</w:t>
      </w:r>
      <w:r w:rsidR="0059022B" w:rsidRPr="00367FBF">
        <w:rPr>
          <w:rFonts w:eastAsia="SimSun" w:cs="Arial"/>
          <w:szCs w:val="20"/>
          <w:lang w:eastAsia="zh-CN"/>
        </w:rPr>
        <w:t xml:space="preserve"> </w:t>
      </w:r>
      <w:r w:rsidRPr="00367FBF">
        <w:rPr>
          <w:rFonts w:eastAsia="SimSun" w:cs="Arial"/>
          <w:szCs w:val="20"/>
          <w:lang w:eastAsia="zh-CN"/>
        </w:rPr>
        <w:t>je načrtovano v letu 2025.</w:t>
      </w:r>
    </w:p>
    <w:p w14:paraId="26AD81C5" w14:textId="77777777" w:rsidR="000E7A5A" w:rsidRPr="00F425EA" w:rsidRDefault="000E7A5A" w:rsidP="00E247FF">
      <w:pPr>
        <w:spacing w:after="0" w:line="276" w:lineRule="auto"/>
        <w:contextualSpacing/>
        <w:jc w:val="both"/>
        <w:rPr>
          <w:rFonts w:eastAsia="SimSun" w:cs="Arial"/>
          <w:sz w:val="22"/>
          <w:szCs w:val="22"/>
          <w:shd w:val="clear" w:color="auto" w:fill="00FF00"/>
          <w:lang w:eastAsia="zh-CN"/>
        </w:rPr>
      </w:pPr>
    </w:p>
    <w:p w14:paraId="69581D4F" w14:textId="77777777" w:rsidR="000E7A5A" w:rsidRPr="00F425EA" w:rsidRDefault="00306071" w:rsidP="00E76A87">
      <w:pPr>
        <w:pStyle w:val="Naslov3"/>
      </w:pPr>
      <w:bookmarkStart w:id="1057" w:name="_Toc571895455"/>
      <w:bookmarkStart w:id="1058" w:name="_Toc1664077557"/>
      <w:bookmarkStart w:id="1059" w:name="_Toc1101187369"/>
      <w:bookmarkStart w:id="1060" w:name="_Toc1663122347"/>
      <w:bookmarkStart w:id="1061" w:name="_Toc1767758475"/>
      <w:bookmarkStart w:id="1062" w:name="_Toc316273532"/>
      <w:bookmarkStart w:id="1063" w:name="_Toc1808495937"/>
      <w:bookmarkStart w:id="1064" w:name="_Toc1908546143"/>
      <w:bookmarkStart w:id="1065" w:name="_Toc1147553419"/>
      <w:bookmarkStart w:id="1066" w:name="_Toc1278414341"/>
      <w:bookmarkStart w:id="1067" w:name="_Toc1761548515"/>
      <w:bookmarkStart w:id="1068" w:name="_Toc291139530"/>
      <w:bookmarkStart w:id="1069" w:name="_Toc1410796757"/>
      <w:bookmarkStart w:id="1070" w:name="_Toc1474571980"/>
      <w:bookmarkStart w:id="1071" w:name="_Toc1470250688"/>
      <w:bookmarkStart w:id="1072" w:name="_Toc1424273638"/>
      <w:bookmarkStart w:id="1073" w:name="_Toc1237142550"/>
      <w:bookmarkStart w:id="1074" w:name="_Toc2086963972"/>
      <w:bookmarkStart w:id="1075" w:name="_Toc1650039875"/>
      <w:bookmarkStart w:id="1076" w:name="_Toc366647993"/>
      <w:bookmarkStart w:id="1077" w:name="_Toc1444991682"/>
      <w:bookmarkStart w:id="1078" w:name="_Toc1085859656"/>
      <w:bookmarkStart w:id="1079" w:name="_Toc1287128702"/>
      <w:bookmarkStart w:id="1080" w:name="_Toc717594990"/>
      <w:bookmarkStart w:id="1081" w:name="_Toc357641375"/>
      <w:bookmarkStart w:id="1082" w:name="_Toc1844975889"/>
      <w:bookmarkStart w:id="1083" w:name="_Toc83221427"/>
      <w:bookmarkStart w:id="1084" w:name="_Toc324676843"/>
      <w:bookmarkStart w:id="1085" w:name="_Toc764285900"/>
      <w:bookmarkStart w:id="1086" w:name="_Toc576856007"/>
      <w:bookmarkStart w:id="1087" w:name="_Toc88444915"/>
      <w:bookmarkStart w:id="1088" w:name="_Toc1778875876"/>
      <w:bookmarkStart w:id="1089" w:name="_Toc1813649500"/>
      <w:bookmarkStart w:id="1090" w:name="_Toc1005032111"/>
      <w:bookmarkStart w:id="1091" w:name="_Toc161079481"/>
      <w:bookmarkStart w:id="1092" w:name="_Toc1910484348"/>
      <w:bookmarkStart w:id="1093" w:name="_Toc883172857"/>
      <w:bookmarkStart w:id="1094" w:name="_Toc1366230121"/>
      <w:bookmarkStart w:id="1095" w:name="_Toc1293942535"/>
      <w:bookmarkStart w:id="1096" w:name="_Toc1946595262"/>
      <w:bookmarkStart w:id="1097" w:name="_Toc1028526388"/>
      <w:bookmarkStart w:id="1098" w:name="_Toc1155795227"/>
      <w:bookmarkStart w:id="1099" w:name="_Toc1713505808"/>
      <w:bookmarkStart w:id="1100" w:name="_Toc1984174736"/>
      <w:bookmarkStart w:id="1101" w:name="_Toc569273393"/>
      <w:bookmarkStart w:id="1102" w:name="_Toc158475953"/>
      <w:bookmarkStart w:id="1103" w:name="_Toc668433209"/>
      <w:bookmarkStart w:id="1104" w:name="_Toc808375293"/>
      <w:bookmarkStart w:id="1105" w:name="_Toc872376929"/>
      <w:bookmarkStart w:id="1106" w:name="_Toc1672476180"/>
      <w:bookmarkStart w:id="1107" w:name="_Toc1416215186"/>
      <w:bookmarkStart w:id="1108" w:name="_Toc1868221059"/>
      <w:bookmarkStart w:id="1109" w:name="_Toc1240177694"/>
      <w:bookmarkStart w:id="1110" w:name="_Toc1896500889"/>
      <w:bookmarkStart w:id="1111" w:name="_Toc2030287911"/>
      <w:bookmarkStart w:id="1112" w:name="_Toc1929550348"/>
      <w:bookmarkStart w:id="1113" w:name="_Toc115327347"/>
      <w:bookmarkStart w:id="1114" w:name="_Toc1117672586"/>
      <w:bookmarkStart w:id="1115" w:name="_Toc1957133467"/>
      <w:bookmarkStart w:id="1116" w:name="_Toc1963519783"/>
      <w:bookmarkStart w:id="1117" w:name="_Toc705954535"/>
      <w:bookmarkStart w:id="1118" w:name="_Toc921972142"/>
      <w:bookmarkStart w:id="1119" w:name="_Toc904818398"/>
      <w:bookmarkStart w:id="1120" w:name="_Toc1984760276"/>
      <w:bookmarkStart w:id="1121" w:name="_Toc1138292727"/>
      <w:bookmarkStart w:id="1122" w:name="_Toc680819640"/>
      <w:bookmarkStart w:id="1123" w:name="_Toc1262216688"/>
      <w:bookmarkStart w:id="1124" w:name="_Toc1496436179"/>
      <w:bookmarkStart w:id="1125" w:name="_Toc1769406613"/>
      <w:bookmarkStart w:id="1126" w:name="_Toc2015797846"/>
      <w:bookmarkStart w:id="1127" w:name="_Toc699511121"/>
      <w:bookmarkStart w:id="1128" w:name="_Toc476016839"/>
      <w:bookmarkStart w:id="1129" w:name="_Toc414452968"/>
      <w:bookmarkStart w:id="1130" w:name="_Toc825898683"/>
      <w:bookmarkStart w:id="1131" w:name="_Toc44685238"/>
      <w:bookmarkStart w:id="1132" w:name="_Toc797277548"/>
      <w:bookmarkStart w:id="1133" w:name="_Toc511063809"/>
      <w:bookmarkStart w:id="1134" w:name="_Toc2080716739"/>
      <w:bookmarkStart w:id="1135" w:name="_Toc818818389"/>
      <w:bookmarkStart w:id="1136" w:name="_Toc2111860702"/>
      <w:bookmarkStart w:id="1137" w:name="_Toc1545098437"/>
      <w:bookmarkStart w:id="1138" w:name="_Toc1539622172"/>
      <w:bookmarkStart w:id="1139" w:name="_Toc71136634"/>
      <w:bookmarkStart w:id="1140" w:name="_Toc1202326990"/>
      <w:bookmarkStart w:id="1141" w:name="_Toc187739335"/>
      <w:bookmarkStart w:id="1142" w:name="_Toc187740079"/>
      <w:bookmarkStart w:id="1143" w:name="_Toc192681990"/>
      <w:r w:rsidRPr="00F425EA">
        <w:lastRenderedPageBreak/>
        <w:t>2.1.9</w:t>
      </w:r>
      <w:r w:rsidRPr="00F425EA">
        <w:tab/>
        <w:t>PN 9: Trajnostni razvoj lokalnih območij</w:t>
      </w:r>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p>
    <w:p w14:paraId="7469491F" w14:textId="77777777" w:rsidR="000E7A5A" w:rsidRPr="00F425EA" w:rsidRDefault="000E7A5A" w:rsidP="00E247FF">
      <w:pPr>
        <w:spacing w:after="0" w:line="276" w:lineRule="auto"/>
        <w:contextualSpacing/>
        <w:jc w:val="both"/>
        <w:rPr>
          <w:rFonts w:eastAsia="SimSun" w:cs="Arial"/>
          <w:sz w:val="22"/>
          <w:szCs w:val="22"/>
          <w:lang w:eastAsia="zh-CN"/>
        </w:rPr>
      </w:pPr>
    </w:p>
    <w:p w14:paraId="2519A5A3" w14:textId="77777777" w:rsidR="000E7A5A" w:rsidRPr="00F425EA" w:rsidRDefault="00306071" w:rsidP="005F66E4">
      <w:pPr>
        <w:pStyle w:val="Naslov4"/>
        <w:spacing w:before="0"/>
        <w:rPr>
          <w:lang w:eastAsia="zh-CN"/>
        </w:rPr>
      </w:pPr>
      <w:bookmarkStart w:id="1144" w:name="_Toc187740080"/>
      <w:r w:rsidRPr="00F425EA">
        <w:rPr>
          <w:lang w:eastAsia="zh-CN"/>
        </w:rPr>
        <w:t xml:space="preserve">2.1.9.1 Specifični cilj: RSO5.1. Spodbujanje celostnega in vključujočega socialnega, gospodarskega in </w:t>
      </w:r>
      <w:proofErr w:type="spellStart"/>
      <w:r w:rsidRPr="00F425EA">
        <w:rPr>
          <w:lang w:eastAsia="zh-CN"/>
        </w:rPr>
        <w:t>okoljskega</w:t>
      </w:r>
      <w:proofErr w:type="spellEnd"/>
      <w:r w:rsidRPr="00F425EA">
        <w:rPr>
          <w:lang w:eastAsia="zh-CN"/>
        </w:rPr>
        <w:t xml:space="preserve"> razvoja, kulture, naravne dediščine, trajnostnega turizma in varnosti na mestnih območjih (ESRR)</w:t>
      </w:r>
      <w:bookmarkEnd w:id="1144"/>
    </w:p>
    <w:p w14:paraId="63F41536" w14:textId="77777777" w:rsidR="000E7A5A" w:rsidRPr="007E37D9" w:rsidRDefault="000E7A5A" w:rsidP="00E247FF">
      <w:pPr>
        <w:spacing w:after="0" w:line="276" w:lineRule="auto"/>
        <w:contextualSpacing/>
        <w:jc w:val="both"/>
        <w:rPr>
          <w:rFonts w:eastAsia="SimSun" w:cs="Arial"/>
          <w:szCs w:val="20"/>
          <w:lang w:eastAsia="zh-CN"/>
        </w:rPr>
      </w:pPr>
    </w:p>
    <w:p w14:paraId="25DE9EE5" w14:textId="77777777" w:rsidR="000E7A5A" w:rsidRPr="00367FBF" w:rsidRDefault="00306071" w:rsidP="00E247FF">
      <w:pPr>
        <w:spacing w:after="0" w:line="276" w:lineRule="auto"/>
        <w:contextualSpacing/>
        <w:jc w:val="both"/>
        <w:rPr>
          <w:rFonts w:eastAsia="SimSun" w:cs="Arial"/>
          <w:szCs w:val="20"/>
          <w:lang w:eastAsia="zh-CN"/>
        </w:rPr>
      </w:pPr>
      <w:r w:rsidRPr="00367FBF">
        <w:rPr>
          <w:rFonts w:eastAsia="SimSun" w:cs="Arial"/>
          <w:szCs w:val="20"/>
          <w:lang w:eastAsia="zh-CN"/>
        </w:rPr>
        <w:t xml:space="preserve">Specifični cilj je namenjen ukrepom za prenovo mest, ki so večdimenzionalni – ekonomski, </w:t>
      </w:r>
      <w:proofErr w:type="spellStart"/>
      <w:r w:rsidRPr="00367FBF">
        <w:rPr>
          <w:rFonts w:eastAsia="SimSun" w:cs="Arial"/>
          <w:szCs w:val="20"/>
          <w:lang w:eastAsia="zh-CN"/>
        </w:rPr>
        <w:t>okoljski</w:t>
      </w:r>
      <w:proofErr w:type="spellEnd"/>
      <w:r w:rsidRPr="00367FBF">
        <w:rPr>
          <w:rFonts w:eastAsia="SimSun" w:cs="Arial"/>
          <w:szCs w:val="20"/>
          <w:lang w:eastAsia="zh-CN"/>
        </w:rPr>
        <w:t>, podnebni, družbeni. Za spodbujanje učinkovite rabe prostora v mestih so podprti ukrepi, ki izhajajo iz noveliranih/novih trajnostnih urbanih strategij mestnih občin.</w:t>
      </w:r>
    </w:p>
    <w:p w14:paraId="68828EB5" w14:textId="77777777" w:rsidR="000E7A5A" w:rsidRPr="00367FBF" w:rsidRDefault="000E7A5A" w:rsidP="00E247FF">
      <w:pPr>
        <w:spacing w:after="0" w:line="276" w:lineRule="auto"/>
        <w:contextualSpacing/>
        <w:jc w:val="both"/>
        <w:rPr>
          <w:rFonts w:eastAsia="SimSun" w:cs="Arial"/>
          <w:szCs w:val="20"/>
          <w:lang w:eastAsia="zh-CN"/>
        </w:rPr>
      </w:pPr>
    </w:p>
    <w:p w14:paraId="4BDC818B" w14:textId="324095A6" w:rsidR="000E7A5A" w:rsidRPr="00367FBF" w:rsidRDefault="00306071" w:rsidP="00E247FF">
      <w:pPr>
        <w:spacing w:after="0" w:line="276" w:lineRule="auto"/>
        <w:contextualSpacing/>
        <w:jc w:val="both"/>
        <w:rPr>
          <w:rFonts w:eastAsia="SimSun" w:cs="Arial"/>
          <w:szCs w:val="20"/>
          <w:lang w:eastAsia="zh-CN"/>
        </w:rPr>
      </w:pPr>
      <w:r w:rsidRPr="00367FBF">
        <w:rPr>
          <w:rFonts w:eastAsia="SimSun" w:cs="Arial"/>
          <w:szCs w:val="20"/>
          <w:lang w:eastAsia="zh-CN"/>
        </w:rPr>
        <w:t>Ukrepi za prenovo in oživljanje praznih ter nezadostno izkoriščenih stavb v javnem interesu, prenovo kulturne dediščine in drugih objektov, prenovo in oblikovanje novih odprtih javnih prostorov so osredotočeni na:</w:t>
      </w:r>
    </w:p>
    <w:p w14:paraId="65629A9E" w14:textId="77777777" w:rsidR="000E7A5A" w:rsidRPr="00367FBF" w:rsidRDefault="00306071" w:rsidP="00E247FF">
      <w:pPr>
        <w:numPr>
          <w:ilvl w:val="1"/>
          <w:numId w:val="15"/>
        </w:numPr>
        <w:spacing w:after="0" w:line="276" w:lineRule="auto"/>
        <w:ind w:left="709"/>
        <w:contextualSpacing/>
        <w:jc w:val="both"/>
        <w:rPr>
          <w:rFonts w:eastAsia="SimSun" w:cs="Arial"/>
          <w:szCs w:val="20"/>
          <w:lang w:eastAsia="zh-CN"/>
        </w:rPr>
      </w:pPr>
      <w:r w:rsidRPr="00367FBF">
        <w:rPr>
          <w:rFonts w:eastAsia="SimSun" w:cs="Arial"/>
          <w:szCs w:val="20"/>
          <w:lang w:eastAsia="zh-CN"/>
        </w:rPr>
        <w:t>izvedbo gradbenih in drugih del povezanih z gradnjo, ki obsegajo novogradnjo, rekonstrukcijo, manjšo rekonstrukcijo, idr., ureditev fizične okolice stavb ter nakup nepremičnin in zemljišč;</w:t>
      </w:r>
    </w:p>
    <w:p w14:paraId="12D29989" w14:textId="77777777" w:rsidR="000E7A5A" w:rsidRPr="00367FBF" w:rsidRDefault="00306071" w:rsidP="00E247FF">
      <w:pPr>
        <w:numPr>
          <w:ilvl w:val="1"/>
          <w:numId w:val="15"/>
        </w:numPr>
        <w:spacing w:after="0" w:line="276" w:lineRule="auto"/>
        <w:ind w:left="709"/>
        <w:contextualSpacing/>
        <w:jc w:val="both"/>
        <w:rPr>
          <w:rFonts w:eastAsia="SimSun" w:cs="Arial"/>
          <w:szCs w:val="20"/>
          <w:lang w:eastAsia="zh-CN"/>
        </w:rPr>
      </w:pPr>
      <w:r w:rsidRPr="00367FBF">
        <w:rPr>
          <w:rFonts w:eastAsia="SimSun" w:cs="Arial"/>
          <w:szCs w:val="20"/>
          <w:lang w:eastAsia="zh-CN"/>
        </w:rPr>
        <w:t xml:space="preserve">prenovo obstoječih in vzpostavitev novih javnih prostorov v skladu z uporabo na naravi temelječih rešitev; </w:t>
      </w:r>
    </w:p>
    <w:p w14:paraId="3458D318" w14:textId="77777777" w:rsidR="000E7A5A" w:rsidRPr="00367FBF" w:rsidRDefault="00306071" w:rsidP="00E247FF">
      <w:pPr>
        <w:numPr>
          <w:ilvl w:val="1"/>
          <w:numId w:val="15"/>
        </w:numPr>
        <w:spacing w:after="0" w:line="276" w:lineRule="auto"/>
        <w:ind w:left="709"/>
        <w:contextualSpacing/>
        <w:jc w:val="both"/>
        <w:rPr>
          <w:rFonts w:eastAsia="SimSun" w:cs="Arial"/>
          <w:szCs w:val="20"/>
          <w:lang w:eastAsia="zh-CN"/>
        </w:rPr>
      </w:pPr>
      <w:r w:rsidRPr="00367FBF">
        <w:rPr>
          <w:rFonts w:eastAsia="SimSun" w:cs="Arial"/>
          <w:szCs w:val="20"/>
          <w:lang w:eastAsia="zh-CN"/>
        </w:rPr>
        <w:t xml:space="preserve">pripravo strokovnih podlag vključno s projektnim natečajem ali katero od njegovih alternativnih oblik za iskanje urbanističnih, krajinskih in arhitekturnih rešitev; </w:t>
      </w:r>
    </w:p>
    <w:p w14:paraId="4EA70DA5" w14:textId="77777777" w:rsidR="000E7A5A" w:rsidRPr="00367FBF" w:rsidRDefault="00306071" w:rsidP="00E247FF">
      <w:pPr>
        <w:numPr>
          <w:ilvl w:val="1"/>
          <w:numId w:val="15"/>
        </w:numPr>
        <w:spacing w:after="0" w:line="276" w:lineRule="auto"/>
        <w:ind w:left="709"/>
        <w:contextualSpacing/>
        <w:jc w:val="both"/>
        <w:rPr>
          <w:rFonts w:eastAsia="SimSun" w:cs="Arial"/>
          <w:szCs w:val="20"/>
          <w:lang w:eastAsia="zh-CN"/>
        </w:rPr>
      </w:pPr>
      <w:r w:rsidRPr="00367FBF">
        <w:rPr>
          <w:rFonts w:eastAsia="SimSun" w:cs="Arial"/>
          <w:szCs w:val="20"/>
          <w:lang w:eastAsia="zh-CN"/>
        </w:rPr>
        <w:t>vključevanje javnosti v pripravo in izvajanje investicij v prenovo.</w:t>
      </w:r>
    </w:p>
    <w:p w14:paraId="79C3492E" w14:textId="77777777" w:rsidR="000E7A5A" w:rsidRPr="00367FBF" w:rsidRDefault="000E7A5A" w:rsidP="00E247FF">
      <w:pPr>
        <w:spacing w:after="0" w:line="276" w:lineRule="auto"/>
        <w:contextualSpacing/>
        <w:jc w:val="both"/>
        <w:rPr>
          <w:rFonts w:eastAsia="SimSun" w:cs="Arial"/>
          <w:szCs w:val="20"/>
          <w:lang w:eastAsia="zh-CN"/>
        </w:rPr>
      </w:pPr>
    </w:p>
    <w:p w14:paraId="53DB6C89" w14:textId="77777777" w:rsidR="000E7A5A" w:rsidRPr="00367FBF" w:rsidRDefault="00306071" w:rsidP="00E247FF">
      <w:pPr>
        <w:spacing w:after="0" w:line="276" w:lineRule="auto"/>
        <w:contextualSpacing/>
        <w:jc w:val="both"/>
        <w:rPr>
          <w:rFonts w:eastAsia="SimSun" w:cs="Arial"/>
          <w:szCs w:val="20"/>
          <w:lang w:eastAsia="zh-CN"/>
        </w:rPr>
      </w:pPr>
      <w:r w:rsidRPr="00367FBF">
        <w:rPr>
          <w:rFonts w:eastAsia="SimSun" w:cs="Arial"/>
          <w:szCs w:val="20"/>
          <w:lang w:eastAsia="zh-CN"/>
        </w:rPr>
        <w:t xml:space="preserve">V okviru ukrepov za oživljanje mest so podprti tudi integrirani projekti za urbani razvoj, ki naslavljajo celovito prenovo izbranega območja in so namenjeni pripravi nove generacije projektov urbane prenove. </w:t>
      </w:r>
    </w:p>
    <w:p w14:paraId="23DFA34E" w14:textId="77777777" w:rsidR="000E7A5A" w:rsidRPr="00F425EA" w:rsidRDefault="000E7A5A" w:rsidP="00E247FF">
      <w:pPr>
        <w:spacing w:after="0" w:line="276" w:lineRule="auto"/>
        <w:contextualSpacing/>
        <w:jc w:val="both"/>
        <w:rPr>
          <w:rFonts w:eastAsia="SimSun" w:cs="Arial"/>
          <w:sz w:val="22"/>
          <w:szCs w:val="22"/>
          <w:lang w:eastAsia="zh-CN"/>
        </w:rPr>
      </w:pPr>
    </w:p>
    <w:p w14:paraId="780EE80C" w14:textId="77777777" w:rsidR="000E7A5A" w:rsidRPr="00F425EA" w:rsidRDefault="00306071" w:rsidP="005F66E4">
      <w:pPr>
        <w:pStyle w:val="Naslov4"/>
        <w:spacing w:before="0"/>
        <w:rPr>
          <w:lang w:eastAsia="zh-CN"/>
        </w:rPr>
      </w:pPr>
      <w:bookmarkStart w:id="1145" w:name="_Toc187740081"/>
      <w:r w:rsidRPr="00F425EA">
        <w:rPr>
          <w:lang w:eastAsia="zh-CN"/>
        </w:rPr>
        <w:t xml:space="preserve">2.1.9.2 Specifični cilj: RSO5.2. Spodbujanje celostnega in vključujočega socialnega, gospodarskega in </w:t>
      </w:r>
      <w:proofErr w:type="spellStart"/>
      <w:r w:rsidRPr="00F425EA">
        <w:rPr>
          <w:lang w:eastAsia="zh-CN"/>
        </w:rPr>
        <w:t>okoljskega</w:t>
      </w:r>
      <w:proofErr w:type="spellEnd"/>
      <w:r w:rsidRPr="00F425EA">
        <w:rPr>
          <w:lang w:eastAsia="zh-CN"/>
        </w:rPr>
        <w:t xml:space="preserve"> lokalnega razvoja, kulture, naravne dediščine, trajnostnega turizma in varnosti na območjih, ki niso mestna območja (ESRR)</w:t>
      </w:r>
      <w:bookmarkEnd w:id="1145"/>
    </w:p>
    <w:p w14:paraId="6EE8FF0E" w14:textId="77777777" w:rsidR="000E7A5A" w:rsidRPr="007E37D9" w:rsidRDefault="000E7A5A" w:rsidP="00E247FF">
      <w:pPr>
        <w:spacing w:after="0" w:line="276" w:lineRule="auto"/>
        <w:contextualSpacing/>
        <w:jc w:val="both"/>
        <w:rPr>
          <w:rFonts w:eastAsia="SimSun" w:cs="Arial"/>
          <w:color w:val="0070C0"/>
          <w:szCs w:val="20"/>
          <w:lang w:eastAsia="zh-CN"/>
        </w:rPr>
      </w:pPr>
    </w:p>
    <w:p w14:paraId="7B8DAF19" w14:textId="77777777" w:rsidR="000E7A5A" w:rsidRPr="00367FBF" w:rsidRDefault="00306071" w:rsidP="00E247FF">
      <w:pPr>
        <w:spacing w:after="0" w:line="276" w:lineRule="auto"/>
        <w:contextualSpacing/>
        <w:jc w:val="both"/>
        <w:rPr>
          <w:rFonts w:eastAsia="SimSun" w:cs="Arial"/>
          <w:szCs w:val="20"/>
          <w:lang w:eastAsia="zh-CN"/>
        </w:rPr>
      </w:pPr>
      <w:r w:rsidRPr="00367FBF">
        <w:rPr>
          <w:rFonts w:eastAsia="SimSun" w:cs="Arial"/>
          <w:szCs w:val="20"/>
          <w:lang w:eastAsia="zh-CN"/>
        </w:rPr>
        <w:t xml:space="preserve">Specifični cilj je namenjen lokalnemu razvoju, ki ga vodi skupnost (CLLD) in se izvaja na območjih vzpostavljenih lokalnih akcijskih skupin (LAS) v skladu s pripravljenimi strategijami lokalnega razvoja (SLR). CLLD se bo izvaja kot skupni pristop skladov v ESRR in EKSRP, na celotnem območju države. </w:t>
      </w:r>
    </w:p>
    <w:p w14:paraId="05834B65" w14:textId="77777777" w:rsidR="000E7A5A" w:rsidRPr="00367FBF" w:rsidRDefault="000E7A5A" w:rsidP="00E247FF">
      <w:pPr>
        <w:spacing w:after="0" w:line="276" w:lineRule="auto"/>
        <w:contextualSpacing/>
        <w:jc w:val="both"/>
        <w:rPr>
          <w:rFonts w:eastAsia="SimSun" w:cs="Arial"/>
          <w:szCs w:val="20"/>
          <w:lang w:eastAsia="zh-CN"/>
        </w:rPr>
      </w:pPr>
    </w:p>
    <w:p w14:paraId="18F0182B" w14:textId="7A53471C" w:rsidR="000E7A5A" w:rsidRPr="00367FBF" w:rsidRDefault="00306071" w:rsidP="00E247FF">
      <w:pPr>
        <w:spacing w:after="0" w:line="276" w:lineRule="auto"/>
        <w:contextualSpacing/>
        <w:jc w:val="both"/>
        <w:rPr>
          <w:rFonts w:eastAsia="SimSun" w:cs="Arial"/>
          <w:szCs w:val="20"/>
          <w:lang w:eastAsia="zh-CN"/>
        </w:rPr>
      </w:pPr>
      <w:r w:rsidRPr="00367FBF">
        <w:rPr>
          <w:rFonts w:eastAsia="SimSun" w:cs="Arial"/>
          <w:szCs w:val="20"/>
          <w:lang w:eastAsia="zh-CN"/>
        </w:rPr>
        <w:t xml:space="preserve">Vlaganja so namenjena izgradnji vključujoče družbe in nadaljnji celostni družbeno-gospodarski razvoj v območjih LAS, s posebno pozornostjo na zmanjšanju razlik med socialno-ekonomsko prikrajšanimi osebami in območji. Tematska področja ukrepanja so odvisna od prepoznave potreb lokalnega partnerstva in so utemeljena v SLR. </w:t>
      </w:r>
    </w:p>
    <w:p w14:paraId="4DDBDF1F" w14:textId="77777777" w:rsidR="000E7A5A" w:rsidRPr="00367FBF" w:rsidRDefault="000E7A5A" w:rsidP="00E247FF">
      <w:pPr>
        <w:spacing w:after="0" w:line="276" w:lineRule="auto"/>
        <w:contextualSpacing/>
        <w:jc w:val="both"/>
        <w:rPr>
          <w:rFonts w:eastAsia="SimSun" w:cs="Arial"/>
          <w:szCs w:val="20"/>
          <w:lang w:eastAsia="zh-CN"/>
        </w:rPr>
      </w:pPr>
    </w:p>
    <w:p w14:paraId="070B7644" w14:textId="77777777" w:rsidR="000E7A5A" w:rsidRPr="00367FBF" w:rsidRDefault="00306071" w:rsidP="00E247FF">
      <w:pPr>
        <w:spacing w:after="0" w:line="276" w:lineRule="auto"/>
        <w:contextualSpacing/>
        <w:jc w:val="both"/>
        <w:rPr>
          <w:rFonts w:eastAsia="SimSun" w:cs="Arial"/>
          <w:szCs w:val="20"/>
          <w:lang w:eastAsia="zh-CN"/>
        </w:rPr>
      </w:pPr>
      <w:r w:rsidRPr="00367FBF">
        <w:rPr>
          <w:rFonts w:eastAsia="SimSun" w:cs="Arial"/>
          <w:szCs w:val="20"/>
          <w:lang w:eastAsia="zh-CN"/>
        </w:rPr>
        <w:t>SLR naslavljajo podporo trajnostnim oblikam lokalnega podjetništva, inovacijam glede uporabe lokalnih virov, turizma, varovanju naravne in kulturne dediščine, revitalizaciji javnih površin za skupno uporabo, preventivi in varovanju zdravja, medgeneracijskemu sodelovanju, krepitvi kompetenc, skrbi za starejše, mlade in druge prikrajšane skupine ter socialni vključenosti.</w:t>
      </w:r>
    </w:p>
    <w:p w14:paraId="5DC4C58D" w14:textId="77777777" w:rsidR="000E7A5A" w:rsidRPr="00367FBF" w:rsidRDefault="000E7A5A" w:rsidP="00E247FF">
      <w:pPr>
        <w:spacing w:after="0" w:line="276" w:lineRule="auto"/>
        <w:contextualSpacing/>
        <w:jc w:val="both"/>
        <w:rPr>
          <w:rFonts w:eastAsia="SimSun" w:cs="Arial"/>
          <w:szCs w:val="20"/>
          <w:lang w:eastAsia="zh-CN"/>
        </w:rPr>
      </w:pPr>
    </w:p>
    <w:p w14:paraId="60DB8A90" w14:textId="77777777" w:rsidR="000E7A5A" w:rsidRPr="00367FBF" w:rsidRDefault="00306071" w:rsidP="00E247FF">
      <w:pPr>
        <w:spacing w:after="0" w:line="276" w:lineRule="auto"/>
        <w:contextualSpacing/>
        <w:jc w:val="both"/>
        <w:rPr>
          <w:rFonts w:eastAsia="SimSun" w:cs="Arial"/>
          <w:szCs w:val="20"/>
          <w:lang w:eastAsia="zh-CN"/>
        </w:rPr>
      </w:pPr>
      <w:r w:rsidRPr="00367FBF">
        <w:rPr>
          <w:rFonts w:eastAsia="SimSun" w:cs="Arial"/>
          <w:szCs w:val="20"/>
          <w:lang w:eastAsia="zh-CN"/>
        </w:rPr>
        <w:t>Projekti CLLD prispevajo k boljši kakovosti življenja lokalnega prebivalstva, zagotavljajo ustrezno dostopnost storitev tako v urbanih središčih kot na podeželju, izboljšujejo področje dolgotrajne oskrbe in preventivnih zdravstvenih ukrepov, spodbujajo medgeneracijsko sodelovanje, krepitev kompetenc ter skrbi za prikrajšane skupine. Obenem so območja lokalnih akcijskih skupin bolj prepoznavna na področju lokalnega podjetništva, pri inovativni uporabi lokalnih virov, (</w:t>
      </w:r>
      <w:proofErr w:type="spellStart"/>
      <w:r w:rsidRPr="00367FBF">
        <w:rPr>
          <w:rFonts w:eastAsia="SimSun" w:cs="Arial"/>
          <w:szCs w:val="20"/>
          <w:lang w:eastAsia="zh-CN"/>
        </w:rPr>
        <w:t>eko</w:t>
      </w:r>
      <w:proofErr w:type="spellEnd"/>
      <w:r w:rsidRPr="00367FBF">
        <w:rPr>
          <w:rFonts w:eastAsia="SimSun" w:cs="Arial"/>
          <w:szCs w:val="20"/>
          <w:lang w:eastAsia="zh-CN"/>
        </w:rPr>
        <w:t xml:space="preserve">)turizmu ter ohranjanju naravne raznolikosti in kulturne dediščine. Projekti CLLD hkrati prispevajo k doseganju ciljev SLR, </w:t>
      </w:r>
      <w:proofErr w:type="spellStart"/>
      <w:r w:rsidRPr="00367FBF">
        <w:rPr>
          <w:rFonts w:eastAsia="SimSun" w:cs="Arial"/>
          <w:szCs w:val="20"/>
          <w:lang w:eastAsia="zh-CN"/>
        </w:rPr>
        <w:t>okoljski</w:t>
      </w:r>
      <w:proofErr w:type="spellEnd"/>
      <w:r w:rsidRPr="00367FBF">
        <w:rPr>
          <w:rFonts w:eastAsia="SimSun" w:cs="Arial"/>
          <w:szCs w:val="20"/>
          <w:lang w:eastAsia="zh-CN"/>
        </w:rPr>
        <w:t xml:space="preserve"> trajnosti, socialni vzdržnosti, inovativnosti, enakopravnem vključevanju različnih partnerjev ter višji dodani vrednosti območja LAS.</w:t>
      </w:r>
    </w:p>
    <w:p w14:paraId="615F9612" w14:textId="77777777" w:rsidR="000E7A5A" w:rsidRPr="00F425EA" w:rsidRDefault="000E7A5A" w:rsidP="00E247FF">
      <w:pPr>
        <w:spacing w:after="0" w:line="276" w:lineRule="auto"/>
        <w:contextualSpacing/>
        <w:jc w:val="both"/>
        <w:rPr>
          <w:rFonts w:eastAsia="SimSun" w:cs="Arial"/>
          <w:sz w:val="22"/>
          <w:szCs w:val="22"/>
          <w:lang w:eastAsia="zh-CN"/>
        </w:rPr>
      </w:pPr>
    </w:p>
    <w:p w14:paraId="2F1D33DC" w14:textId="77777777" w:rsidR="000E7A5A" w:rsidRPr="00F425EA" w:rsidRDefault="00306071" w:rsidP="005F66E4">
      <w:pPr>
        <w:pStyle w:val="Naslov4"/>
        <w:spacing w:before="0"/>
        <w:rPr>
          <w:lang w:eastAsia="zh-CN"/>
        </w:rPr>
      </w:pPr>
      <w:bookmarkStart w:id="1146" w:name="_Toc187740082"/>
      <w:r w:rsidRPr="00F425EA">
        <w:rPr>
          <w:lang w:eastAsia="zh-CN"/>
        </w:rPr>
        <w:lastRenderedPageBreak/>
        <w:t>2.1.9.3 Trenutno stanje izvajanja na prednostni nalogi 9: stanje NPO in JR ter morebitne težave in izzivi</w:t>
      </w:r>
      <w:bookmarkEnd w:id="1146"/>
    </w:p>
    <w:p w14:paraId="0E5B4462" w14:textId="77777777" w:rsidR="000E7A5A" w:rsidRPr="007E37D9" w:rsidRDefault="000E7A5A" w:rsidP="00E247FF">
      <w:pPr>
        <w:spacing w:after="0" w:line="276" w:lineRule="auto"/>
        <w:contextualSpacing/>
        <w:jc w:val="both"/>
        <w:rPr>
          <w:rFonts w:eastAsia="SimSun" w:cs="Arial"/>
          <w:i/>
          <w:iCs/>
          <w:color w:val="0070C0"/>
          <w:szCs w:val="20"/>
          <w:u w:val="single"/>
          <w:lang w:eastAsia="zh-CN"/>
        </w:rPr>
      </w:pPr>
    </w:p>
    <w:p w14:paraId="5E5B25B0" w14:textId="71C36645" w:rsidR="000E7A5A" w:rsidRPr="00367FBF" w:rsidRDefault="00306071" w:rsidP="00E247FF">
      <w:pPr>
        <w:spacing w:after="0" w:line="276" w:lineRule="auto"/>
        <w:contextualSpacing/>
        <w:jc w:val="both"/>
        <w:rPr>
          <w:rFonts w:cs="Arial"/>
          <w:szCs w:val="20"/>
        </w:rPr>
      </w:pPr>
      <w:r w:rsidRPr="005F66E4">
        <w:rPr>
          <w:rFonts w:eastAsia="SimSun" w:cs="Arial"/>
          <w:szCs w:val="20"/>
          <w:shd w:val="clear" w:color="auto" w:fill="FFFFFF" w:themeFill="background1"/>
          <w:lang w:eastAsia="zh-CN"/>
        </w:rPr>
        <w:t>Do 31. 12. 2024 je OU izdal v okviru PN 38 odločitev o podpori v skupni višini 32 mio EUR EU dela, kar predstavlja 37</w:t>
      </w:r>
      <w:r w:rsidR="00D32980">
        <w:rPr>
          <w:rFonts w:eastAsia="SimSun" w:cs="Arial"/>
          <w:szCs w:val="20"/>
          <w:shd w:val="clear" w:color="auto" w:fill="FFFFFF" w:themeFill="background1"/>
          <w:lang w:eastAsia="zh-CN"/>
        </w:rPr>
        <w:t xml:space="preserve"> </w:t>
      </w:r>
      <w:r w:rsidRPr="005F66E4">
        <w:rPr>
          <w:rFonts w:eastAsia="SimSun" w:cs="Arial"/>
          <w:szCs w:val="20"/>
          <w:shd w:val="clear" w:color="auto" w:fill="FFFFFF" w:themeFill="background1"/>
          <w:lang w:eastAsia="zh-CN"/>
        </w:rPr>
        <w:t>% glede</w:t>
      </w:r>
      <w:r w:rsidRPr="00367FBF">
        <w:rPr>
          <w:rFonts w:eastAsia="SimSun" w:cs="Arial"/>
          <w:szCs w:val="20"/>
          <w:lang w:eastAsia="zh-CN"/>
        </w:rPr>
        <w:t xml:space="preserve"> na pravice porabe. Izplačila iz proračuna RS so znašala v skupni višini</w:t>
      </w:r>
      <w:r w:rsidR="002A1F43">
        <w:rPr>
          <w:rFonts w:eastAsia="SimSun" w:cs="Arial"/>
          <w:szCs w:val="20"/>
          <w:lang w:eastAsia="zh-CN"/>
        </w:rPr>
        <w:t xml:space="preserve"> 3,9 </w:t>
      </w:r>
      <w:r w:rsidRPr="00367FBF">
        <w:rPr>
          <w:rFonts w:eastAsia="SimSun" w:cs="Arial"/>
          <w:szCs w:val="20"/>
          <w:lang w:eastAsia="zh-CN"/>
        </w:rPr>
        <w:t>mio EUR EU dela, kar predstavlja 5</w:t>
      </w:r>
      <w:r w:rsidR="00D32980">
        <w:rPr>
          <w:rFonts w:eastAsia="SimSun" w:cs="Arial"/>
          <w:szCs w:val="20"/>
          <w:lang w:eastAsia="zh-CN"/>
        </w:rPr>
        <w:t xml:space="preserve"> </w:t>
      </w:r>
      <w:r w:rsidRPr="00367FBF">
        <w:rPr>
          <w:rFonts w:eastAsia="SimSun" w:cs="Arial"/>
          <w:szCs w:val="20"/>
          <w:lang w:eastAsia="zh-CN"/>
        </w:rPr>
        <w:t>% glede na pravice porabe.</w:t>
      </w:r>
    </w:p>
    <w:p w14:paraId="69C1B2B7" w14:textId="62791420" w:rsidR="000E7A5A" w:rsidRPr="00367FBF" w:rsidRDefault="000E7A5A" w:rsidP="00E247FF">
      <w:pPr>
        <w:spacing w:after="0" w:line="276" w:lineRule="auto"/>
        <w:contextualSpacing/>
        <w:jc w:val="both"/>
        <w:rPr>
          <w:rFonts w:eastAsia="SimSun" w:cs="Arial"/>
          <w:szCs w:val="20"/>
          <w:lang w:eastAsia="zh-CN"/>
        </w:rPr>
      </w:pPr>
    </w:p>
    <w:p w14:paraId="0AB34DED" w14:textId="178AD232" w:rsidR="006477ED" w:rsidRPr="00367FBF" w:rsidRDefault="00306071" w:rsidP="00E247FF">
      <w:pPr>
        <w:spacing w:after="0" w:line="276" w:lineRule="auto"/>
        <w:contextualSpacing/>
        <w:jc w:val="both"/>
        <w:rPr>
          <w:rFonts w:eastAsia="SimSun" w:cs="Arial"/>
          <w:szCs w:val="20"/>
          <w:lang w:eastAsia="zh-CN"/>
        </w:rPr>
      </w:pPr>
      <w:r w:rsidRPr="00367FBF">
        <w:rPr>
          <w:rFonts w:eastAsia="SimSun" w:cs="Arial"/>
          <w:szCs w:val="20"/>
          <w:lang w:eastAsia="zh-CN"/>
        </w:rPr>
        <w:t>Odločitve o podpori so bile izdane za ukrepe na naslednjih področjih:</w:t>
      </w:r>
    </w:p>
    <w:p w14:paraId="50996688" w14:textId="3CA4C532" w:rsidR="000E7A5A" w:rsidRPr="00367FBF" w:rsidRDefault="4EE128E9" w:rsidP="2EA23F19">
      <w:pPr>
        <w:pStyle w:val="Odstavekseznama"/>
        <w:numPr>
          <w:ilvl w:val="0"/>
          <w:numId w:val="24"/>
        </w:numPr>
        <w:spacing w:after="0" w:line="276" w:lineRule="auto"/>
        <w:jc w:val="both"/>
        <w:rPr>
          <w:rFonts w:eastAsia="SimSun" w:cs="Arial"/>
          <w:lang w:eastAsia="zh-CN"/>
        </w:rPr>
      </w:pPr>
      <w:r w:rsidRPr="00F7FCEE">
        <w:rPr>
          <w:rFonts w:eastAsia="SimSun" w:cs="Arial"/>
          <w:lang w:eastAsia="zh-CN"/>
        </w:rPr>
        <w:t>RSO5.1 (</w:t>
      </w:r>
      <w:r w:rsidR="31F42EF3" w:rsidRPr="00F7FCEE">
        <w:rPr>
          <w:rFonts w:eastAsia="SimSun" w:cs="Arial"/>
          <w:lang w:eastAsia="zh-CN"/>
        </w:rPr>
        <w:t>2</w:t>
      </w:r>
      <w:r w:rsidRPr="00F7FCEE">
        <w:rPr>
          <w:rFonts w:eastAsia="SimSun" w:cs="Arial"/>
          <w:lang w:eastAsia="zh-CN"/>
        </w:rPr>
        <w:t xml:space="preserve"> odločitv</w:t>
      </w:r>
      <w:r w:rsidR="20696C87" w:rsidRPr="00F7FCEE">
        <w:rPr>
          <w:rFonts w:eastAsia="SimSun" w:cs="Arial"/>
          <w:lang w:eastAsia="zh-CN"/>
        </w:rPr>
        <w:t>i</w:t>
      </w:r>
      <w:r w:rsidRPr="00F7FCEE">
        <w:rPr>
          <w:rFonts w:eastAsia="SimSun" w:cs="Arial"/>
          <w:lang w:eastAsia="zh-CN"/>
        </w:rPr>
        <w:t xml:space="preserve"> o podpori): ureditev kopališča Vevče</w:t>
      </w:r>
      <w:r w:rsidR="103444A0" w:rsidRPr="00F7FCEE">
        <w:rPr>
          <w:rFonts w:eastAsia="SimSun" w:cs="Arial"/>
          <w:lang w:eastAsia="zh-CN"/>
        </w:rPr>
        <w:t>; Trg Evrope EPK GO!2025</w:t>
      </w:r>
      <w:r w:rsidRPr="00F7FCEE">
        <w:rPr>
          <w:rFonts w:eastAsia="SimSun" w:cs="Arial"/>
          <w:lang w:eastAsia="zh-CN"/>
        </w:rPr>
        <w:t>.</w:t>
      </w:r>
    </w:p>
    <w:p w14:paraId="27FF3EFB" w14:textId="1DC69EDB" w:rsidR="000E7A5A" w:rsidRPr="00367FBF" w:rsidRDefault="00306071" w:rsidP="00E247FF">
      <w:pPr>
        <w:pStyle w:val="Odstavekseznama"/>
        <w:numPr>
          <w:ilvl w:val="0"/>
          <w:numId w:val="24"/>
        </w:numPr>
        <w:spacing w:after="0" w:line="276" w:lineRule="auto"/>
        <w:jc w:val="both"/>
        <w:rPr>
          <w:rFonts w:eastAsia="SimSun" w:cs="Arial"/>
          <w:szCs w:val="20"/>
          <w:lang w:eastAsia="zh-CN"/>
        </w:rPr>
      </w:pPr>
      <w:r w:rsidRPr="00367FBF">
        <w:rPr>
          <w:rFonts w:eastAsia="SimSun" w:cs="Arial"/>
          <w:szCs w:val="20"/>
          <w:lang w:eastAsia="zh-CN"/>
        </w:rPr>
        <w:t>RSO5.2 (37 odločitev o podpori): LAS Barje z zaledjem; LAS Bogastvo podeželja; LAS Dolenjska in Bela krajina; LAS Dolina Soče; LAS Gorenjska košarica za podeželje; LAS Goričko; LAS Haloze 2021</w:t>
      </w:r>
      <w:r w:rsidR="003037F8" w:rsidRPr="003037F8">
        <w:rPr>
          <w:rFonts w:eastAsia="SimSun" w:cs="Arial"/>
          <w:szCs w:val="20"/>
          <w:lang w:eastAsia="zh-CN"/>
        </w:rPr>
        <w:t>–</w:t>
      </w:r>
      <w:r w:rsidRPr="00367FBF">
        <w:rPr>
          <w:rFonts w:eastAsia="SimSun" w:cs="Arial"/>
          <w:szCs w:val="20"/>
          <w:lang w:eastAsia="zh-CN"/>
        </w:rPr>
        <w:t xml:space="preserve">2027; LAS Kozjak-Pohorje; LAS Krasa in Brkinov; LAS loškega pogorja; LAS MD; LAS MDD 2027; LAS Med Pohorjem in Bočem; LAS Med Snežnikom in Nanosom; LAS Notranjska; LAS Obsotelje in Kozjansko; LAS Od Pohorja do Bohorja; LAS </w:t>
      </w:r>
      <w:proofErr w:type="spellStart"/>
      <w:r w:rsidRPr="00367FBF">
        <w:rPr>
          <w:rFonts w:eastAsia="SimSun" w:cs="Arial"/>
          <w:szCs w:val="20"/>
          <w:lang w:eastAsia="zh-CN"/>
        </w:rPr>
        <w:t>Ovtar</w:t>
      </w:r>
      <w:proofErr w:type="spellEnd"/>
      <w:r w:rsidRPr="00367FBF">
        <w:rPr>
          <w:rFonts w:eastAsia="SimSun" w:cs="Arial"/>
          <w:szCs w:val="20"/>
          <w:lang w:eastAsia="zh-CN"/>
        </w:rPr>
        <w:t xml:space="preserve"> Slovenskih goric; LAS Po poteh dediščine od Turjaka do Kolpe; LAS Posavje 2021</w:t>
      </w:r>
      <w:r w:rsidR="003037F8" w:rsidRPr="003037F8">
        <w:rPr>
          <w:rFonts w:eastAsia="SimSun" w:cs="Arial"/>
          <w:szCs w:val="20"/>
          <w:lang w:eastAsia="zh-CN"/>
        </w:rPr>
        <w:t>–</w:t>
      </w:r>
      <w:r w:rsidRPr="00367FBF">
        <w:rPr>
          <w:rFonts w:eastAsia="SimSun" w:cs="Arial"/>
          <w:szCs w:val="20"/>
          <w:lang w:eastAsia="zh-CN"/>
        </w:rPr>
        <w:t>2027; LAS Povezani med Dravo in goricami; LAS Pri dobrih ljudeh; LAS Prlekija; LAS Raznolikost podeželja; LAS S ciljem; LAS Savinjske in Šaleške doline; LAS Sožitje med mestom in podeželjem; LAS Srce Slovenije; LAS Srce Štajerske; LAS SSD; LAS STIK; LAS V objemu sonca; LAS Vipavska dolina; LAS Za mesto in vas; LAS Zelena Istra; LAS Zgornja Gorenjska – BOJA; Partnerstvo LAS Zasavje.</w:t>
      </w:r>
    </w:p>
    <w:p w14:paraId="061FF948" w14:textId="22EF6A4E" w:rsidR="000E7A5A" w:rsidRPr="00367FBF" w:rsidRDefault="000E7A5A" w:rsidP="00E247FF">
      <w:pPr>
        <w:spacing w:after="0" w:line="276" w:lineRule="auto"/>
        <w:contextualSpacing/>
        <w:jc w:val="both"/>
        <w:rPr>
          <w:rFonts w:eastAsia="SimSun" w:cs="Arial"/>
          <w:szCs w:val="20"/>
          <w:lang w:eastAsia="zh-CN"/>
        </w:rPr>
      </w:pPr>
    </w:p>
    <w:p w14:paraId="13AAE752" w14:textId="1BC12928" w:rsidR="000E7A5A" w:rsidRPr="00367FBF" w:rsidRDefault="00306071" w:rsidP="00E247FF">
      <w:pPr>
        <w:spacing w:after="0" w:line="276" w:lineRule="auto"/>
        <w:contextualSpacing/>
        <w:jc w:val="both"/>
        <w:rPr>
          <w:rFonts w:eastAsia="SimSun" w:cs="Arial"/>
          <w:szCs w:val="20"/>
          <w:lang w:eastAsia="zh-CN"/>
        </w:rPr>
      </w:pPr>
      <w:r w:rsidRPr="00367FBF">
        <w:rPr>
          <w:rFonts w:eastAsia="SimSun" w:cs="Arial"/>
          <w:szCs w:val="20"/>
          <w:lang w:eastAsia="zh-CN"/>
        </w:rPr>
        <w:t xml:space="preserve">Na RSO 5.1 se izvaja mehanizem CTN, ki poteka po </w:t>
      </w:r>
      <w:proofErr w:type="spellStart"/>
      <w:r w:rsidRPr="00367FBF">
        <w:rPr>
          <w:rFonts w:eastAsia="SimSun" w:cs="Arial"/>
          <w:szCs w:val="20"/>
          <w:lang w:eastAsia="zh-CN"/>
        </w:rPr>
        <w:t>dvo</w:t>
      </w:r>
      <w:proofErr w:type="spellEnd"/>
      <w:r w:rsidRPr="00367FBF">
        <w:rPr>
          <w:rFonts w:eastAsia="SimSun" w:cs="Arial"/>
          <w:szCs w:val="20"/>
          <w:lang w:eastAsia="zh-CN"/>
        </w:rPr>
        <w:t>-faznem postopku, zato je proces do izdaje odločitve o podpori daljši. V oktobru 2023 je PT ZMOS objavilo prvo povabilo za izbor operacij in v januarju 2024 izbralo 14 operacij. Celotna vrednost prijavljenih operacij na povabilo PT ZMOS je bila 76,7 mio EUR, od tega 34,2 mio EUR EU dela, kar predstavlja 76</w:t>
      </w:r>
      <w:r w:rsidR="006477ED">
        <w:rPr>
          <w:rFonts w:eastAsia="SimSun" w:cs="Arial"/>
          <w:szCs w:val="20"/>
          <w:lang w:eastAsia="zh-CN"/>
        </w:rPr>
        <w:t xml:space="preserve"> </w:t>
      </w:r>
      <w:r w:rsidRPr="00367FBF">
        <w:rPr>
          <w:rFonts w:eastAsia="SimSun" w:cs="Arial"/>
          <w:szCs w:val="20"/>
          <w:lang w:eastAsia="zh-CN"/>
        </w:rPr>
        <w:t>% vseh razpisanih sredstev. Tekom leta 2024 je potekala priprava vlog za odločitev o podpori na strani upravičencev (mestnih občin) ter usklajevanju s PT MNVP. Do konca leta 2024 je bila s strani OU izdana 1 odločitev o podpori, ostale bodo izdane v začetku leta 2025.</w:t>
      </w:r>
    </w:p>
    <w:p w14:paraId="1E78F60E" w14:textId="77777777" w:rsidR="000E7A5A" w:rsidRPr="00367FBF" w:rsidRDefault="000E7A5A" w:rsidP="00E247FF">
      <w:pPr>
        <w:spacing w:after="0" w:line="276" w:lineRule="auto"/>
        <w:contextualSpacing/>
        <w:jc w:val="both"/>
        <w:rPr>
          <w:rFonts w:eastAsia="SimSun" w:cs="Arial"/>
          <w:szCs w:val="20"/>
          <w:lang w:eastAsia="zh-CN"/>
        </w:rPr>
      </w:pPr>
    </w:p>
    <w:p w14:paraId="21843295" w14:textId="77777777" w:rsidR="000E7A5A" w:rsidRPr="00367FBF" w:rsidRDefault="00306071" w:rsidP="00E247FF">
      <w:pPr>
        <w:spacing w:after="0" w:line="276" w:lineRule="auto"/>
        <w:contextualSpacing/>
        <w:jc w:val="both"/>
        <w:rPr>
          <w:rFonts w:eastAsia="SimSun" w:cs="Arial"/>
          <w:szCs w:val="20"/>
          <w:lang w:eastAsia="zh-CN"/>
        </w:rPr>
      </w:pPr>
      <w:r w:rsidRPr="00367FBF">
        <w:rPr>
          <w:rFonts w:eastAsia="SimSun" w:cs="Arial"/>
          <w:szCs w:val="20"/>
          <w:lang w:eastAsia="zh-CN"/>
        </w:rPr>
        <w:t>Podatki o stanju izvajanja v celotnem obdobju kažejo, da izvajanje poteka počasneje od načrtovane dinamike in da nekateri mejniki iz okvira smotrnosti ne bodo doseženi do konca leta 2024. Razlog je predvsem v poznem začetku izvajanja, deloma tudi v neustreznem načrtovanju in razumevanju kazalnikov pri pripravi programa. Glede operacije strateškega pomena je treba izpostaviti, da so aktivnosti zelo zapletene in zahtevajo veliko usklajevanja.</w:t>
      </w:r>
    </w:p>
    <w:p w14:paraId="67953A25" w14:textId="77777777" w:rsidR="000E7A5A" w:rsidRPr="00367FBF" w:rsidRDefault="000E7A5A" w:rsidP="00E247FF">
      <w:pPr>
        <w:spacing w:after="0" w:line="276" w:lineRule="auto"/>
        <w:contextualSpacing/>
        <w:jc w:val="both"/>
        <w:rPr>
          <w:rFonts w:eastAsia="SimSun" w:cs="Arial"/>
          <w:szCs w:val="20"/>
          <w:lang w:eastAsia="zh-CN"/>
        </w:rPr>
      </w:pPr>
    </w:p>
    <w:p w14:paraId="62E48A3C" w14:textId="34824A8B" w:rsidR="000E7A5A" w:rsidRPr="00367FBF" w:rsidRDefault="00306071" w:rsidP="00E247FF">
      <w:pPr>
        <w:spacing w:after="0" w:line="276" w:lineRule="auto"/>
        <w:contextualSpacing/>
        <w:jc w:val="both"/>
        <w:rPr>
          <w:rFonts w:eastAsia="SimSun" w:cs="Arial"/>
          <w:szCs w:val="20"/>
          <w:lang w:eastAsia="zh-CN"/>
        </w:rPr>
      </w:pPr>
      <w:r w:rsidRPr="00367FBF">
        <w:rPr>
          <w:rFonts w:eastAsia="SimSun" w:cs="Arial"/>
          <w:szCs w:val="20"/>
          <w:lang w:eastAsia="zh-CN"/>
        </w:rPr>
        <w:t xml:space="preserve">Vezano na predhodno zapisano OU skupaj z Ministrstvom za finance v vlogi organa za </w:t>
      </w:r>
      <w:proofErr w:type="spellStart"/>
      <w:r w:rsidRPr="00367FBF">
        <w:rPr>
          <w:rFonts w:eastAsia="SimSun" w:cs="Arial"/>
          <w:szCs w:val="20"/>
          <w:lang w:eastAsia="zh-CN"/>
        </w:rPr>
        <w:t>računovodenje</w:t>
      </w:r>
      <w:proofErr w:type="spellEnd"/>
      <w:r w:rsidRPr="00367FBF">
        <w:rPr>
          <w:rFonts w:eastAsia="SimSun" w:cs="Arial"/>
          <w:szCs w:val="20"/>
          <w:lang w:eastAsia="zh-CN"/>
        </w:rPr>
        <w:t xml:space="preserve"> intenzivno pripravlja vse ustrezne postopke za čimprejšnje certificiranje izdatkov do EK. MKRR bo na podlagi pregleda napredka pri izvajanju načrtovanih ukrepov na ministrstvih, vključenih v izvajanje EKP, in na podlagi izdelane ocene tveganja pri izvajanju operacij, pripravilo izhodišča za spremembo PEKP 21–27.</w:t>
      </w:r>
    </w:p>
    <w:p w14:paraId="7498161B" w14:textId="77777777" w:rsidR="000E7A5A" w:rsidRPr="00F425EA" w:rsidRDefault="000E7A5A" w:rsidP="00E247FF">
      <w:pPr>
        <w:spacing w:after="0" w:line="276" w:lineRule="auto"/>
        <w:contextualSpacing/>
        <w:jc w:val="both"/>
        <w:rPr>
          <w:rFonts w:eastAsia="SimSun" w:cs="Arial"/>
          <w:sz w:val="22"/>
          <w:szCs w:val="22"/>
          <w:lang w:eastAsia="zh-CN"/>
        </w:rPr>
      </w:pPr>
    </w:p>
    <w:p w14:paraId="34971375" w14:textId="77777777" w:rsidR="000E7A5A" w:rsidRPr="00F425EA" w:rsidRDefault="00306071" w:rsidP="00E76A87">
      <w:pPr>
        <w:pStyle w:val="Naslov3"/>
      </w:pPr>
      <w:bookmarkStart w:id="1147" w:name="_Toc1128160367"/>
      <w:bookmarkStart w:id="1148" w:name="_Toc117834780"/>
      <w:bookmarkStart w:id="1149" w:name="_Toc846445411"/>
      <w:bookmarkStart w:id="1150" w:name="_Toc366488631"/>
      <w:bookmarkStart w:id="1151" w:name="_Toc1969914540"/>
      <w:bookmarkStart w:id="1152" w:name="_Toc1290701956"/>
      <w:bookmarkStart w:id="1153" w:name="_Toc205912381"/>
      <w:bookmarkStart w:id="1154" w:name="_Toc605087535"/>
      <w:bookmarkStart w:id="1155" w:name="_Toc828649051"/>
      <w:bookmarkStart w:id="1156" w:name="_Toc591715270"/>
      <w:bookmarkStart w:id="1157" w:name="_Toc1913070874"/>
      <w:bookmarkStart w:id="1158" w:name="_Toc1307115431"/>
      <w:bookmarkStart w:id="1159" w:name="_Toc1612010066"/>
      <w:bookmarkStart w:id="1160" w:name="_Toc1923347902"/>
      <w:bookmarkStart w:id="1161" w:name="_Toc295333281"/>
      <w:bookmarkStart w:id="1162" w:name="_Toc1678894997"/>
      <w:bookmarkStart w:id="1163" w:name="_Toc2076648849"/>
      <w:bookmarkStart w:id="1164" w:name="_Toc262716669"/>
      <w:bookmarkStart w:id="1165" w:name="_Toc150803009"/>
      <w:bookmarkStart w:id="1166" w:name="_Toc268138375"/>
      <w:bookmarkStart w:id="1167" w:name="_Toc2035063497"/>
      <w:bookmarkStart w:id="1168" w:name="_Toc491183413"/>
      <w:bookmarkStart w:id="1169" w:name="_Toc392884891"/>
      <w:bookmarkStart w:id="1170" w:name="_Toc2015213350"/>
      <w:bookmarkStart w:id="1171" w:name="_Toc1859769992"/>
      <w:bookmarkStart w:id="1172" w:name="_Toc1930031275"/>
      <w:bookmarkStart w:id="1173" w:name="_Toc621056928"/>
      <w:bookmarkStart w:id="1174" w:name="_Toc255215404"/>
      <w:bookmarkStart w:id="1175" w:name="_Toc1895689119"/>
      <w:bookmarkStart w:id="1176" w:name="_Toc1499160573"/>
      <w:bookmarkStart w:id="1177" w:name="_Toc527377744"/>
      <w:bookmarkStart w:id="1178" w:name="_Toc99882845"/>
      <w:bookmarkStart w:id="1179" w:name="_Toc1948258485"/>
      <w:bookmarkStart w:id="1180" w:name="_Toc1955966896"/>
      <w:bookmarkStart w:id="1181" w:name="_Toc208451668"/>
      <w:bookmarkStart w:id="1182" w:name="_Toc1460812310"/>
      <w:bookmarkStart w:id="1183" w:name="_Toc1969939446"/>
      <w:bookmarkStart w:id="1184" w:name="_Toc669232925"/>
      <w:bookmarkStart w:id="1185" w:name="_Toc1799249014"/>
      <w:bookmarkStart w:id="1186" w:name="_Toc2120306650"/>
      <w:bookmarkStart w:id="1187" w:name="_Toc252358624"/>
      <w:bookmarkStart w:id="1188" w:name="_Toc347336680"/>
      <w:bookmarkStart w:id="1189" w:name="_Toc1779100466"/>
      <w:bookmarkStart w:id="1190" w:name="_Toc1360612911"/>
      <w:bookmarkStart w:id="1191" w:name="_Toc1036982201"/>
      <w:bookmarkStart w:id="1192" w:name="_Toc587769637"/>
      <w:bookmarkStart w:id="1193" w:name="_Toc1736354205"/>
      <w:bookmarkStart w:id="1194" w:name="_Toc172267025"/>
      <w:bookmarkStart w:id="1195" w:name="_Toc1500706795"/>
      <w:bookmarkStart w:id="1196" w:name="_Toc1746310944"/>
      <w:bookmarkStart w:id="1197" w:name="_Toc420492852"/>
      <w:bookmarkStart w:id="1198" w:name="_Toc906498393"/>
      <w:bookmarkStart w:id="1199" w:name="_Toc684256360"/>
      <w:bookmarkStart w:id="1200" w:name="_Toc1786068541"/>
      <w:bookmarkStart w:id="1201" w:name="_Toc566333923"/>
      <w:bookmarkStart w:id="1202" w:name="_Toc1982023108"/>
      <w:bookmarkStart w:id="1203" w:name="_Toc1021532692"/>
      <w:bookmarkStart w:id="1204" w:name="_Toc2003848817"/>
      <w:bookmarkStart w:id="1205" w:name="_Toc1111540033"/>
      <w:bookmarkStart w:id="1206" w:name="_Toc2057676887"/>
      <w:bookmarkStart w:id="1207" w:name="_Toc635090374"/>
      <w:bookmarkStart w:id="1208" w:name="_Toc2125868638"/>
      <w:bookmarkStart w:id="1209" w:name="_Toc1722084070"/>
      <w:bookmarkStart w:id="1210" w:name="_Toc1274338886"/>
      <w:bookmarkStart w:id="1211" w:name="_Toc1231171604"/>
      <w:bookmarkStart w:id="1212" w:name="_Toc1150963681"/>
      <w:bookmarkStart w:id="1213" w:name="_Toc774098237"/>
      <w:bookmarkStart w:id="1214" w:name="_Toc810106582"/>
      <w:bookmarkStart w:id="1215" w:name="_Toc162956188"/>
      <w:bookmarkStart w:id="1216" w:name="_Toc1811498969"/>
      <w:bookmarkStart w:id="1217" w:name="_Toc1179426358"/>
      <w:bookmarkStart w:id="1218" w:name="_Toc717869168"/>
      <w:bookmarkStart w:id="1219" w:name="_Toc2001023105"/>
      <w:bookmarkStart w:id="1220" w:name="_Toc1820920026"/>
      <w:bookmarkStart w:id="1221" w:name="_Toc886666761"/>
      <w:bookmarkStart w:id="1222" w:name="_Toc247052138"/>
      <w:bookmarkStart w:id="1223" w:name="_Toc1315002026"/>
      <w:bookmarkStart w:id="1224" w:name="_Toc1208370996"/>
      <w:bookmarkStart w:id="1225" w:name="_Toc846537477"/>
      <w:bookmarkStart w:id="1226" w:name="_Toc910090976"/>
      <w:bookmarkStart w:id="1227" w:name="_Toc1555709226"/>
      <w:bookmarkStart w:id="1228" w:name="_Toc1182818256"/>
      <w:bookmarkStart w:id="1229" w:name="_Toc43869397"/>
      <w:bookmarkStart w:id="1230" w:name="_Toc598854690"/>
      <w:bookmarkStart w:id="1231" w:name="_Toc187739336"/>
      <w:bookmarkStart w:id="1232" w:name="_Toc187740083"/>
      <w:bookmarkStart w:id="1233" w:name="_Toc192681991"/>
      <w:r w:rsidRPr="00F425EA">
        <w:t>2.1.10</w:t>
      </w:r>
      <w:r w:rsidRPr="00F425EA">
        <w:tab/>
        <w:t xml:space="preserve">PN 10: </w:t>
      </w:r>
      <w:bookmarkStart w:id="1234" w:name="_Hlk181083483"/>
      <w:r w:rsidRPr="00F425EA">
        <w:t>Prestrukturiranje premogovnih regij</w:t>
      </w:r>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4"/>
      <w:bookmarkEnd w:id="1233"/>
    </w:p>
    <w:p w14:paraId="22D24094" w14:textId="77777777" w:rsidR="000E7A5A" w:rsidRPr="00F425EA" w:rsidRDefault="000E7A5A" w:rsidP="00E97264">
      <w:pPr>
        <w:spacing w:after="0" w:line="276" w:lineRule="auto"/>
        <w:rPr>
          <w:rFonts w:eastAsia="Arial" w:cs="Arial"/>
          <w:sz w:val="22"/>
          <w:szCs w:val="22"/>
        </w:rPr>
      </w:pPr>
    </w:p>
    <w:p w14:paraId="770435C5" w14:textId="1DB59E8E" w:rsidR="000E7A5A" w:rsidRPr="00367FBF" w:rsidRDefault="00306071" w:rsidP="00E247FF">
      <w:pPr>
        <w:spacing w:line="276" w:lineRule="auto"/>
        <w:jc w:val="both"/>
        <w:rPr>
          <w:rFonts w:cs="Arial"/>
          <w:szCs w:val="20"/>
        </w:rPr>
      </w:pPr>
      <w:r w:rsidRPr="00367FBF">
        <w:rPr>
          <w:rFonts w:eastAsia="Arial" w:cs="Arial"/>
          <w:szCs w:val="20"/>
        </w:rPr>
        <w:t xml:space="preserve">Do 31. 12. 2024 je OU izdal v okviru PN </w:t>
      </w:r>
      <w:r w:rsidR="007161DF">
        <w:rPr>
          <w:rFonts w:eastAsia="Arial" w:cs="Arial"/>
          <w:szCs w:val="20"/>
        </w:rPr>
        <w:t>10</w:t>
      </w:r>
      <w:r w:rsidRPr="00367FBF">
        <w:rPr>
          <w:rFonts w:eastAsia="Arial" w:cs="Arial"/>
          <w:szCs w:val="20"/>
        </w:rPr>
        <w:t xml:space="preserve"> odločitev o podpori v skupni višini 15</w:t>
      </w:r>
      <w:r w:rsidR="002A1F43">
        <w:rPr>
          <w:rFonts w:eastAsia="Arial" w:cs="Arial"/>
          <w:szCs w:val="20"/>
        </w:rPr>
        <w:t>8</w:t>
      </w:r>
      <w:r w:rsidRPr="00367FBF">
        <w:rPr>
          <w:rFonts w:eastAsia="Arial" w:cs="Arial"/>
          <w:szCs w:val="20"/>
        </w:rPr>
        <w:t xml:space="preserve"> mio EUR EU dela, kar predstavlja 63</w:t>
      </w:r>
      <w:r w:rsidR="006477ED">
        <w:rPr>
          <w:rFonts w:eastAsia="Arial" w:cs="Arial"/>
          <w:szCs w:val="20"/>
        </w:rPr>
        <w:t xml:space="preserve"> </w:t>
      </w:r>
      <w:r w:rsidRPr="00367FBF">
        <w:rPr>
          <w:rFonts w:eastAsia="Arial" w:cs="Arial"/>
          <w:szCs w:val="20"/>
        </w:rPr>
        <w:t>% glede na pravice porabe. Izplačila iz proračuna RS so znašala v skupni višini 9 mio EUR EU dela, kar predstavlja 3,6 % glede na pravice porabe.</w:t>
      </w:r>
    </w:p>
    <w:p w14:paraId="758C0265" w14:textId="4E395B97" w:rsidR="006477ED" w:rsidRPr="00367FBF" w:rsidRDefault="00306071" w:rsidP="006477ED">
      <w:pPr>
        <w:spacing w:after="0" w:line="276" w:lineRule="auto"/>
        <w:jc w:val="both"/>
        <w:rPr>
          <w:rFonts w:eastAsia="Arial" w:cs="Arial"/>
          <w:szCs w:val="20"/>
        </w:rPr>
      </w:pPr>
      <w:r w:rsidRPr="00367FBF">
        <w:rPr>
          <w:rFonts w:eastAsia="Arial" w:cs="Arial"/>
          <w:szCs w:val="20"/>
        </w:rPr>
        <w:t>Odločitve o podpori so bile izdane za ukrepe na naslednjih področjih:</w:t>
      </w:r>
    </w:p>
    <w:p w14:paraId="5F3CC298" w14:textId="77777777" w:rsidR="000E7A5A" w:rsidRPr="00367FBF" w:rsidRDefault="00306071" w:rsidP="006477ED">
      <w:pPr>
        <w:pStyle w:val="Odstavekseznama"/>
        <w:numPr>
          <w:ilvl w:val="0"/>
          <w:numId w:val="25"/>
        </w:numPr>
        <w:spacing w:after="0" w:line="276" w:lineRule="auto"/>
        <w:jc w:val="both"/>
        <w:rPr>
          <w:rFonts w:eastAsia="Arial" w:cs="Arial"/>
          <w:szCs w:val="20"/>
        </w:rPr>
      </w:pPr>
      <w:r w:rsidRPr="00367FBF">
        <w:rPr>
          <w:rFonts w:eastAsia="Arial" w:cs="Arial"/>
          <w:szCs w:val="20"/>
        </w:rPr>
        <w:t xml:space="preserve">JSO8.1 (5 odločitev o podpori): gospodarsko prestrukturiranje premogovnih regij s spodbujanjem raznolikih, trajnostno naravnanih investicij, ki prispevajo k ustvarjanju novih delovnih mest; razvoj Start-up - ekosistema ter spodbujanje podjetij s potencialom hitre rasti, vključno z ekonomsko poslovno infrastrukturo; izvedba centra za demonstracije in usposabljanje za </w:t>
      </w:r>
      <w:proofErr w:type="spellStart"/>
      <w:r w:rsidRPr="00367FBF">
        <w:rPr>
          <w:rFonts w:eastAsia="Arial" w:cs="Arial"/>
          <w:szCs w:val="20"/>
        </w:rPr>
        <w:t>brezogljične</w:t>
      </w:r>
      <w:proofErr w:type="spellEnd"/>
      <w:r w:rsidRPr="00367FBF">
        <w:rPr>
          <w:rFonts w:eastAsia="Arial" w:cs="Arial"/>
          <w:szCs w:val="20"/>
        </w:rPr>
        <w:t xml:space="preserve"> tehnologije (Center DUBT) v okviru izvajanja ONPP Zasavje.</w:t>
      </w:r>
    </w:p>
    <w:p w14:paraId="10DFB621" w14:textId="77777777" w:rsidR="00E97264" w:rsidRPr="004C6F15" w:rsidRDefault="00E97264" w:rsidP="004C6F15">
      <w:pPr>
        <w:spacing w:after="0" w:line="276" w:lineRule="auto"/>
        <w:jc w:val="both"/>
        <w:rPr>
          <w:rFonts w:eastAsia="Arial" w:cs="Arial"/>
          <w:szCs w:val="20"/>
        </w:rPr>
      </w:pPr>
    </w:p>
    <w:p w14:paraId="22FCC74B" w14:textId="349A3533" w:rsidR="000E7A5A" w:rsidRDefault="00306071" w:rsidP="00E97264">
      <w:pPr>
        <w:spacing w:after="0" w:line="276" w:lineRule="auto"/>
        <w:jc w:val="both"/>
        <w:rPr>
          <w:rFonts w:eastAsia="Arial" w:cs="Arial"/>
          <w:szCs w:val="20"/>
        </w:rPr>
      </w:pPr>
      <w:r w:rsidRPr="00367FBF">
        <w:rPr>
          <w:rFonts w:eastAsia="Arial" w:cs="Arial"/>
          <w:szCs w:val="20"/>
        </w:rPr>
        <w:lastRenderedPageBreak/>
        <w:t>Podatki o stanju izvajanja v celotnem obdobju kažejo, da izvajanje poteka počasneje od načrtovane dinamike in da nekateri mejniki iz okvira smotrnosti ne bodo doseženi do konca leta 2024. Razlogi za zamude pri izvajanju so:</w:t>
      </w:r>
    </w:p>
    <w:p w14:paraId="4640015B" w14:textId="77777777" w:rsidR="006477ED" w:rsidRPr="00367FBF" w:rsidRDefault="006477ED" w:rsidP="00E97264">
      <w:pPr>
        <w:spacing w:after="0" w:line="276" w:lineRule="auto"/>
        <w:jc w:val="both"/>
        <w:rPr>
          <w:rFonts w:eastAsia="Arial" w:cs="Arial"/>
          <w:szCs w:val="20"/>
        </w:rPr>
      </w:pPr>
    </w:p>
    <w:p w14:paraId="567649A8" w14:textId="77777777" w:rsidR="000E7A5A" w:rsidRPr="00BE73DC" w:rsidRDefault="00306071" w:rsidP="00E247FF">
      <w:pPr>
        <w:pStyle w:val="Odstavekseznama"/>
        <w:numPr>
          <w:ilvl w:val="0"/>
          <w:numId w:val="26"/>
        </w:numPr>
        <w:spacing w:line="276" w:lineRule="auto"/>
        <w:jc w:val="both"/>
        <w:rPr>
          <w:rFonts w:eastAsia="Arial" w:cs="Arial"/>
          <w:szCs w:val="20"/>
        </w:rPr>
      </w:pPr>
      <w:r w:rsidRPr="00367FBF">
        <w:rPr>
          <w:rFonts w:eastAsia="Arial" w:cs="Arial"/>
          <w:szCs w:val="20"/>
        </w:rPr>
        <w:t xml:space="preserve">kasnejša objava javnih razpisov (nekateri načrtovani v letu 2023 so se objavili šele v 1. polovici 2024; </w:t>
      </w:r>
      <w:r w:rsidRPr="00BE73DC">
        <w:rPr>
          <w:rFonts w:eastAsia="Arial" w:cs="Arial"/>
          <w:szCs w:val="20"/>
        </w:rPr>
        <w:t xml:space="preserve">načrtovani v 2024 bodo objavljeni predvidoma 2025); </w:t>
      </w:r>
    </w:p>
    <w:p w14:paraId="12F4A1D4" w14:textId="77777777" w:rsidR="000E7A5A" w:rsidRPr="00BE73DC" w:rsidRDefault="00306071" w:rsidP="00E247FF">
      <w:pPr>
        <w:pStyle w:val="Odstavekseznama"/>
        <w:numPr>
          <w:ilvl w:val="0"/>
          <w:numId w:val="27"/>
        </w:numPr>
        <w:spacing w:line="276" w:lineRule="auto"/>
        <w:jc w:val="both"/>
        <w:rPr>
          <w:rFonts w:eastAsia="Arial" w:cs="Arial"/>
          <w:szCs w:val="20"/>
        </w:rPr>
      </w:pPr>
      <w:r w:rsidRPr="00BE73DC">
        <w:rPr>
          <w:rFonts w:eastAsia="Arial" w:cs="Arial"/>
          <w:szCs w:val="20"/>
        </w:rPr>
        <w:t>potrebnem daljšem času za pripravo in prijavo projektov (prijave na zadnji razpisani rok, številne zahteve po dopolnitvah);</w:t>
      </w:r>
    </w:p>
    <w:p w14:paraId="4DF0F5CA" w14:textId="77777777" w:rsidR="000E7A5A" w:rsidRPr="00BE73DC" w:rsidRDefault="1ECD1B8B" w:rsidP="431E93DE">
      <w:pPr>
        <w:pStyle w:val="Odstavekseznama"/>
        <w:numPr>
          <w:ilvl w:val="0"/>
          <w:numId w:val="28"/>
        </w:numPr>
        <w:spacing w:line="276" w:lineRule="auto"/>
        <w:jc w:val="both"/>
        <w:rPr>
          <w:rFonts w:eastAsia="Arial" w:cs="Arial"/>
        </w:rPr>
      </w:pPr>
      <w:r w:rsidRPr="00BE73DC">
        <w:rPr>
          <w:rFonts w:eastAsia="Arial" w:cs="Arial"/>
        </w:rPr>
        <w:t>časovno zahtevni postopki vključevanja deležnikov pri končnem oblikovanju ukrepov, namenjenih ciljni skupini zaposlenih v premogovni dejavnosti in ukrepov, namenjenih vzgojno izobraževalnim zavodov v obeh regijah;</w:t>
      </w:r>
    </w:p>
    <w:p w14:paraId="31B3E94F" w14:textId="4D3EE903" w:rsidR="02986C6E" w:rsidRPr="00BE73DC" w:rsidRDefault="4D3A134C" w:rsidP="00F7FCEE">
      <w:pPr>
        <w:pStyle w:val="Odstavekseznama"/>
        <w:numPr>
          <w:ilvl w:val="0"/>
          <w:numId w:val="28"/>
        </w:numPr>
        <w:spacing w:line="276" w:lineRule="auto"/>
        <w:jc w:val="both"/>
        <w:rPr>
          <w:rFonts w:eastAsia="Arial" w:cs="Arial"/>
        </w:rPr>
      </w:pPr>
      <w:r w:rsidRPr="00BE73DC">
        <w:rPr>
          <w:rFonts w:eastAsia="Arial" w:cs="Arial"/>
        </w:rPr>
        <w:t>kadrovske ovire (obremenjenost kadrov, ki opravljajo naloge EKP, hkrati pa tudi naloge povezane z izvajanjem NOO projektov);</w:t>
      </w:r>
    </w:p>
    <w:p w14:paraId="301233EE" w14:textId="5B907B96" w:rsidR="000E7A5A" w:rsidRPr="00BE73DC" w:rsidRDefault="4D3A134C" w:rsidP="00E247FF">
      <w:pPr>
        <w:pStyle w:val="Odstavekseznama"/>
        <w:numPr>
          <w:ilvl w:val="0"/>
          <w:numId w:val="29"/>
        </w:numPr>
        <w:spacing w:line="276" w:lineRule="auto"/>
        <w:jc w:val="both"/>
        <w:rPr>
          <w:rFonts w:eastAsia="Arial" w:cs="Arial"/>
          <w:szCs w:val="20"/>
        </w:rPr>
      </w:pPr>
      <w:r w:rsidRPr="00BE73DC">
        <w:rPr>
          <w:rFonts w:cs="Arial"/>
        </w:rPr>
        <w:t xml:space="preserve">priprava ustreznih sprememb zakonodajnih predlogov in njihov sprejem (reševanje kadrovske stiske na področju vzgoje in izobraževanja), kar bo pripomogel k uspešnejši izvedbi operacij in </w:t>
      </w:r>
      <w:r w:rsidR="0059022B">
        <w:rPr>
          <w:rFonts w:cs="Arial"/>
        </w:rPr>
        <w:t>koriščenju</w:t>
      </w:r>
      <w:r w:rsidR="0059022B" w:rsidRPr="00BE73DC">
        <w:rPr>
          <w:rFonts w:cs="Arial"/>
        </w:rPr>
        <w:t xml:space="preserve"> </w:t>
      </w:r>
      <w:r w:rsidRPr="00BE73DC">
        <w:rPr>
          <w:rFonts w:cs="Arial"/>
        </w:rPr>
        <w:t>sredstev;</w:t>
      </w:r>
      <w:r w:rsidR="0059022B">
        <w:rPr>
          <w:rFonts w:cs="Arial"/>
        </w:rPr>
        <w:t xml:space="preserve"> </w:t>
      </w:r>
      <w:r w:rsidR="00306071" w:rsidRPr="00BE73DC">
        <w:rPr>
          <w:rFonts w:eastAsia="Arial" w:cs="Arial"/>
          <w:szCs w:val="20"/>
        </w:rPr>
        <w:t>pri operaciji strateškega pomena Posodobitev daljinskega sistema ogrevanja v SAŠA regiji postopki preverjanja predlaganih rešitev z vključevanjem tehnične pomoči JASPERS;</w:t>
      </w:r>
    </w:p>
    <w:p w14:paraId="455EFA5E" w14:textId="77777777" w:rsidR="000E7A5A" w:rsidRPr="00BE73DC" w:rsidRDefault="00306071" w:rsidP="00E97264">
      <w:pPr>
        <w:pStyle w:val="Odstavekseznama"/>
        <w:numPr>
          <w:ilvl w:val="0"/>
          <w:numId w:val="30"/>
        </w:numPr>
        <w:spacing w:after="0" w:line="276" w:lineRule="auto"/>
        <w:jc w:val="both"/>
        <w:rPr>
          <w:rFonts w:eastAsia="Arial" w:cs="Arial"/>
          <w:szCs w:val="20"/>
        </w:rPr>
      </w:pPr>
      <w:r w:rsidRPr="00BE73DC">
        <w:rPr>
          <w:rFonts w:eastAsia="Arial" w:cs="Arial"/>
          <w:szCs w:val="20"/>
        </w:rPr>
        <w:t>pri operacijah energetskega prehoda SAŠA regije zaradi postopkov usklajevanja elementov državnih pomoči z EK DG COMP ter časovno zahtevnih postopkov umeščanja v prostor.</w:t>
      </w:r>
    </w:p>
    <w:p w14:paraId="67B7B7DF" w14:textId="77777777" w:rsidR="000E7A5A" w:rsidRPr="00367FBF" w:rsidRDefault="00306071" w:rsidP="00E97264">
      <w:pPr>
        <w:spacing w:after="0" w:line="276" w:lineRule="auto"/>
        <w:jc w:val="both"/>
        <w:rPr>
          <w:rFonts w:eastAsia="Arial" w:cs="Arial"/>
          <w:szCs w:val="20"/>
        </w:rPr>
      </w:pPr>
      <w:r w:rsidRPr="00367FBF">
        <w:rPr>
          <w:rFonts w:eastAsia="Arial" w:cs="Arial"/>
          <w:szCs w:val="20"/>
        </w:rPr>
        <w:t xml:space="preserve"> </w:t>
      </w:r>
    </w:p>
    <w:p w14:paraId="0C36A715" w14:textId="61E989F4" w:rsidR="000E7A5A" w:rsidRDefault="00306071" w:rsidP="00332FE8">
      <w:pPr>
        <w:spacing w:after="0" w:line="276" w:lineRule="auto"/>
        <w:jc w:val="both"/>
        <w:rPr>
          <w:rFonts w:eastAsia="Arial" w:cs="Arial"/>
          <w:szCs w:val="20"/>
        </w:rPr>
      </w:pPr>
      <w:r w:rsidRPr="00367FBF">
        <w:rPr>
          <w:rFonts w:eastAsia="Arial" w:cs="Arial"/>
          <w:szCs w:val="20"/>
        </w:rPr>
        <w:t>Kljub kasnejši izvedbi nekaterih ukrepov so načrtovani cilji do konca izvajanja PEKP 21</w:t>
      </w:r>
      <w:r w:rsidR="003037F8" w:rsidRPr="003037F8">
        <w:rPr>
          <w:rFonts w:eastAsia="Arial" w:cs="Arial"/>
          <w:szCs w:val="20"/>
        </w:rPr>
        <w:t>–</w:t>
      </w:r>
      <w:r w:rsidRPr="00367FBF">
        <w:rPr>
          <w:rFonts w:eastAsia="Arial" w:cs="Arial"/>
          <w:szCs w:val="20"/>
        </w:rPr>
        <w:t xml:space="preserve">27 realni in dosegljivi, razen kazalnikov, katerih vrednost se lahko </w:t>
      </w:r>
      <w:r w:rsidR="006477ED" w:rsidRPr="00367FBF">
        <w:rPr>
          <w:rFonts w:eastAsia="Arial" w:cs="Arial"/>
          <w:szCs w:val="20"/>
        </w:rPr>
        <w:t>spremeni</w:t>
      </w:r>
      <w:r w:rsidRPr="00367FBF">
        <w:rPr>
          <w:rFonts w:eastAsia="Arial" w:cs="Arial"/>
          <w:szCs w:val="20"/>
        </w:rPr>
        <w:t xml:space="preserve"> v procesu spremembe PEKP 21</w:t>
      </w:r>
      <w:r w:rsidR="003037F8" w:rsidRPr="003037F8">
        <w:rPr>
          <w:rFonts w:eastAsia="Arial" w:cs="Arial"/>
          <w:szCs w:val="20"/>
        </w:rPr>
        <w:t>–</w:t>
      </w:r>
      <w:r w:rsidRPr="00367FBF">
        <w:rPr>
          <w:rFonts w:eastAsia="Arial" w:cs="Arial"/>
          <w:szCs w:val="20"/>
        </w:rPr>
        <w:t>27.</w:t>
      </w:r>
    </w:p>
    <w:p w14:paraId="7D566EA2" w14:textId="77777777" w:rsidR="006477ED" w:rsidRDefault="006477ED" w:rsidP="00332FE8">
      <w:pPr>
        <w:spacing w:after="0" w:line="276" w:lineRule="auto"/>
        <w:jc w:val="both"/>
        <w:rPr>
          <w:rFonts w:eastAsia="Arial" w:cs="Arial"/>
          <w:szCs w:val="20"/>
        </w:rPr>
      </w:pPr>
    </w:p>
    <w:p w14:paraId="3DFBEFCE" w14:textId="163C8DE0" w:rsidR="007664ED" w:rsidRPr="00332FE8" w:rsidRDefault="007664ED" w:rsidP="00332FE8">
      <w:pPr>
        <w:spacing w:after="0" w:line="276" w:lineRule="auto"/>
        <w:jc w:val="both"/>
        <w:rPr>
          <w:rFonts w:eastAsia="Arial" w:cs="Arial"/>
          <w:szCs w:val="20"/>
        </w:rPr>
        <w:sectPr w:rsidR="007664ED" w:rsidRPr="00332FE8">
          <w:headerReference w:type="even" r:id="rId30"/>
          <w:headerReference w:type="default" r:id="rId31"/>
          <w:footerReference w:type="default" r:id="rId32"/>
          <w:headerReference w:type="first" r:id="rId33"/>
          <w:pgSz w:w="11906" w:h="16838"/>
          <w:pgMar w:top="1418" w:right="1418" w:bottom="851" w:left="1134" w:header="709" w:footer="709" w:gutter="0"/>
          <w:cols w:space="708"/>
        </w:sectPr>
      </w:pPr>
    </w:p>
    <w:p w14:paraId="70AEB3A2" w14:textId="5885640A" w:rsidR="000E7A5A" w:rsidRPr="00F425EA" w:rsidRDefault="00306071" w:rsidP="000B2C28">
      <w:pPr>
        <w:pStyle w:val="Naslov2"/>
      </w:pPr>
      <w:bookmarkStart w:id="1235" w:name="_Toc982214409"/>
      <w:bookmarkStart w:id="1236" w:name="_Toc1297100484"/>
      <w:bookmarkStart w:id="1237" w:name="_Toc176807244"/>
      <w:bookmarkStart w:id="1238" w:name="_Toc1060211084"/>
      <w:bookmarkStart w:id="1239" w:name="_Toc144827277"/>
      <w:bookmarkStart w:id="1240" w:name="_Toc1541741440"/>
      <w:bookmarkStart w:id="1241" w:name="_Toc1578631368"/>
      <w:bookmarkStart w:id="1242" w:name="_Toc752828184"/>
      <w:bookmarkStart w:id="1243" w:name="_Toc1886616664"/>
      <w:bookmarkStart w:id="1244" w:name="_Toc1138568536"/>
      <w:bookmarkStart w:id="1245" w:name="_Toc1421873332"/>
      <w:bookmarkStart w:id="1246" w:name="_Toc1650681519"/>
      <w:bookmarkStart w:id="1247" w:name="_Toc1908747138"/>
      <w:bookmarkStart w:id="1248" w:name="_Toc1918445966"/>
      <w:bookmarkStart w:id="1249" w:name="_Toc1189198164"/>
      <w:bookmarkStart w:id="1250" w:name="_Toc1825846320"/>
      <w:bookmarkStart w:id="1251" w:name="_Toc250100459"/>
      <w:bookmarkStart w:id="1252" w:name="_Toc699029514"/>
      <w:bookmarkStart w:id="1253" w:name="_Toc2108272737"/>
      <w:bookmarkStart w:id="1254" w:name="_Toc598895137"/>
      <w:bookmarkStart w:id="1255" w:name="_Toc1657677898"/>
      <w:bookmarkStart w:id="1256" w:name="_Toc1178912862"/>
      <w:bookmarkStart w:id="1257" w:name="_Toc988891958"/>
      <w:bookmarkStart w:id="1258" w:name="_Toc1475250829"/>
      <w:bookmarkStart w:id="1259" w:name="_Toc1085428390"/>
      <w:bookmarkStart w:id="1260" w:name="_Toc1835098718"/>
      <w:bookmarkStart w:id="1261" w:name="_Toc1558938782"/>
      <w:bookmarkStart w:id="1262" w:name="_Toc320091800"/>
      <w:bookmarkStart w:id="1263" w:name="_Toc806517545"/>
      <w:bookmarkStart w:id="1264" w:name="_Toc933706786"/>
      <w:bookmarkStart w:id="1265" w:name="_Toc1021312533"/>
      <w:bookmarkStart w:id="1266" w:name="_Toc952331565"/>
      <w:bookmarkStart w:id="1267" w:name="_Toc1872163585"/>
      <w:bookmarkStart w:id="1268" w:name="_Toc222329976"/>
      <w:bookmarkStart w:id="1269" w:name="_Toc1446631601"/>
      <w:bookmarkStart w:id="1270" w:name="_Toc515122845"/>
      <w:bookmarkStart w:id="1271" w:name="_Toc1935870338"/>
      <w:bookmarkStart w:id="1272" w:name="_Toc1632418945"/>
      <w:bookmarkStart w:id="1273" w:name="_Toc2079881456"/>
      <w:bookmarkStart w:id="1274" w:name="_Toc112425712"/>
      <w:bookmarkStart w:id="1275" w:name="_Toc880937138"/>
      <w:bookmarkStart w:id="1276" w:name="_Toc1203975772"/>
      <w:bookmarkStart w:id="1277" w:name="_Toc636349042"/>
      <w:bookmarkStart w:id="1278" w:name="_Toc303502431"/>
      <w:bookmarkStart w:id="1279" w:name="_Toc1950821152"/>
      <w:bookmarkStart w:id="1280" w:name="_Toc791154202"/>
      <w:bookmarkStart w:id="1281" w:name="_Toc202214626"/>
      <w:bookmarkStart w:id="1282" w:name="_Toc396769267"/>
      <w:bookmarkStart w:id="1283" w:name="_Toc1635224044"/>
      <w:bookmarkStart w:id="1284" w:name="_Toc263502979"/>
      <w:bookmarkStart w:id="1285" w:name="_Toc1897240371"/>
      <w:bookmarkStart w:id="1286" w:name="_Toc586271285"/>
      <w:bookmarkStart w:id="1287" w:name="_Toc1099700512"/>
      <w:bookmarkStart w:id="1288" w:name="_Toc56860765"/>
      <w:bookmarkStart w:id="1289" w:name="_Toc599699750"/>
      <w:bookmarkStart w:id="1290" w:name="_Toc165126107"/>
      <w:bookmarkStart w:id="1291" w:name="_Toc2092319122"/>
      <w:bookmarkStart w:id="1292" w:name="_Toc1291387546"/>
      <w:bookmarkStart w:id="1293" w:name="_Toc2027400736"/>
      <w:bookmarkStart w:id="1294" w:name="_Toc660386867"/>
      <w:bookmarkStart w:id="1295" w:name="_Toc1411398642"/>
      <w:bookmarkStart w:id="1296" w:name="_Toc1305226928"/>
      <w:bookmarkStart w:id="1297" w:name="_Toc1054644845"/>
      <w:bookmarkStart w:id="1298" w:name="_Toc401219562"/>
      <w:bookmarkStart w:id="1299" w:name="_Toc878256897"/>
      <w:bookmarkStart w:id="1300" w:name="_Toc42184850"/>
      <w:bookmarkStart w:id="1301" w:name="_Toc1578964227"/>
      <w:bookmarkStart w:id="1302" w:name="_Toc855191361"/>
      <w:bookmarkStart w:id="1303" w:name="_Toc1414682021"/>
      <w:bookmarkStart w:id="1304" w:name="_Toc501870963"/>
      <w:bookmarkStart w:id="1305" w:name="_Toc1413964988"/>
      <w:bookmarkStart w:id="1306" w:name="_Toc1905811532"/>
      <w:bookmarkStart w:id="1307" w:name="_Toc540155191"/>
      <w:bookmarkStart w:id="1308" w:name="_Toc1766865392"/>
      <w:bookmarkStart w:id="1309" w:name="_Toc1988126267"/>
      <w:bookmarkStart w:id="1310" w:name="_Toc858285945"/>
      <w:bookmarkStart w:id="1311" w:name="_Toc1864717374"/>
      <w:bookmarkStart w:id="1312" w:name="_Toc1469263277"/>
      <w:bookmarkStart w:id="1313" w:name="_Toc1065048515"/>
      <w:bookmarkStart w:id="1314" w:name="_Toc52192677"/>
      <w:bookmarkStart w:id="1315" w:name="_Toc667867965"/>
      <w:bookmarkStart w:id="1316" w:name="_Toc203160554"/>
      <w:bookmarkStart w:id="1317" w:name="_Toc154737500"/>
      <w:bookmarkStart w:id="1318" w:name="_Toc111788369"/>
      <w:bookmarkStart w:id="1319" w:name="_Toc187739337"/>
      <w:bookmarkStart w:id="1320" w:name="_Toc187740084"/>
      <w:bookmarkStart w:id="1321" w:name="_Toc192681992"/>
      <w:r w:rsidRPr="00F425EA">
        <w:rPr>
          <w:rStyle w:val="Neenpoudarek"/>
          <w:rFonts w:cs="Arial"/>
          <w:i w:val="0"/>
          <w:iCs w:val="0"/>
          <w:color w:val="2E74B5"/>
        </w:rPr>
        <w:t>2.2</w:t>
      </w:r>
      <w:r w:rsidRPr="00F425EA">
        <w:tab/>
      </w:r>
      <w:r w:rsidR="005A12CC" w:rsidRPr="00F425EA">
        <w:rPr>
          <w:rStyle w:val="Neenpoudarek"/>
          <w:rFonts w:cs="Arial"/>
          <w:i w:val="0"/>
          <w:iCs w:val="0"/>
          <w:color w:val="2E74B5"/>
        </w:rPr>
        <w:t>TERITORIALNI PRISTOPI IN INSTRUMENTI ZA PODPORO IZVAJANJU</w:t>
      </w:r>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p>
    <w:p w14:paraId="792E3566" w14:textId="77777777" w:rsidR="000E7A5A" w:rsidRPr="00F425EA" w:rsidRDefault="000E7A5A" w:rsidP="007A6EA3">
      <w:pPr>
        <w:spacing w:after="0" w:line="276" w:lineRule="auto"/>
        <w:jc w:val="both"/>
        <w:rPr>
          <w:rFonts w:cs="Arial"/>
        </w:rPr>
      </w:pPr>
    </w:p>
    <w:p w14:paraId="7CC38B74" w14:textId="77777777" w:rsidR="000E7A5A" w:rsidRPr="007A6EA3" w:rsidRDefault="00306071" w:rsidP="00E76A87">
      <w:pPr>
        <w:pStyle w:val="Naslov3"/>
      </w:pPr>
      <w:bookmarkStart w:id="1322" w:name="_Toc853731471"/>
      <w:bookmarkStart w:id="1323" w:name="_Toc1143904136"/>
      <w:bookmarkStart w:id="1324" w:name="_Toc1289477058"/>
      <w:bookmarkStart w:id="1325" w:name="_Toc352423816"/>
      <w:bookmarkStart w:id="1326" w:name="_Toc1145497734"/>
      <w:bookmarkStart w:id="1327" w:name="_Toc1792045899"/>
      <w:bookmarkStart w:id="1328" w:name="_Toc1706547726"/>
      <w:bookmarkStart w:id="1329" w:name="_Toc1343214658"/>
      <w:bookmarkStart w:id="1330" w:name="_Toc999440008"/>
      <w:bookmarkStart w:id="1331" w:name="_Toc414949714"/>
      <w:bookmarkStart w:id="1332" w:name="_Toc1887782842"/>
      <w:bookmarkStart w:id="1333" w:name="_Toc1772990933"/>
      <w:bookmarkStart w:id="1334" w:name="_Toc960206191"/>
      <w:bookmarkStart w:id="1335" w:name="_Toc728421106"/>
      <w:bookmarkStart w:id="1336" w:name="_Toc1365200117"/>
      <w:bookmarkStart w:id="1337" w:name="_Toc476653994"/>
      <w:bookmarkStart w:id="1338" w:name="_Toc639948807"/>
      <w:bookmarkStart w:id="1339" w:name="_Toc357860007"/>
      <w:bookmarkStart w:id="1340" w:name="_Toc767639029"/>
      <w:bookmarkStart w:id="1341" w:name="_Toc1829058586"/>
      <w:bookmarkStart w:id="1342" w:name="_Toc74423280"/>
      <w:bookmarkStart w:id="1343" w:name="_Toc1774137425"/>
      <w:bookmarkStart w:id="1344" w:name="_Toc1681724882"/>
      <w:bookmarkStart w:id="1345" w:name="_Toc404776939"/>
      <w:bookmarkStart w:id="1346" w:name="_Toc1176057037"/>
      <w:bookmarkStart w:id="1347" w:name="_Toc1640664852"/>
      <w:bookmarkStart w:id="1348" w:name="_Toc384503655"/>
      <w:bookmarkStart w:id="1349" w:name="_Toc1063864315"/>
      <w:bookmarkStart w:id="1350" w:name="_Toc1387179850"/>
      <w:bookmarkStart w:id="1351" w:name="_Toc721751982"/>
      <w:bookmarkStart w:id="1352" w:name="_Toc82198590"/>
      <w:bookmarkStart w:id="1353" w:name="_Toc1175455427"/>
      <w:bookmarkStart w:id="1354" w:name="_Toc178211149"/>
      <w:bookmarkStart w:id="1355" w:name="_Toc660621172"/>
      <w:bookmarkStart w:id="1356" w:name="_Toc1741868450"/>
      <w:bookmarkStart w:id="1357" w:name="_Toc835913376"/>
      <w:bookmarkStart w:id="1358" w:name="_Toc1364831433"/>
      <w:bookmarkStart w:id="1359" w:name="_Toc1869927560"/>
      <w:bookmarkStart w:id="1360" w:name="_Toc2049225615"/>
      <w:bookmarkStart w:id="1361" w:name="_Toc2122770967"/>
      <w:bookmarkStart w:id="1362" w:name="_Toc753550"/>
      <w:bookmarkStart w:id="1363" w:name="_Toc1332962738"/>
      <w:bookmarkStart w:id="1364" w:name="_Toc890521724"/>
      <w:bookmarkStart w:id="1365" w:name="_Toc250618019"/>
      <w:bookmarkStart w:id="1366" w:name="_Toc1922370501"/>
      <w:bookmarkStart w:id="1367" w:name="_Toc1711188318"/>
      <w:bookmarkStart w:id="1368" w:name="_Toc1184958402"/>
      <w:bookmarkStart w:id="1369" w:name="_Toc1451278692"/>
      <w:bookmarkStart w:id="1370" w:name="_Toc1739325876"/>
      <w:bookmarkStart w:id="1371" w:name="_Toc1602416787"/>
      <w:bookmarkStart w:id="1372" w:name="_Toc1822191434"/>
      <w:bookmarkStart w:id="1373" w:name="_Toc1915322429"/>
      <w:bookmarkStart w:id="1374" w:name="_Toc827433285"/>
      <w:bookmarkStart w:id="1375" w:name="_Toc690458426"/>
      <w:bookmarkStart w:id="1376" w:name="_Toc573923493"/>
      <w:bookmarkStart w:id="1377" w:name="_Toc1859353567"/>
      <w:bookmarkStart w:id="1378" w:name="_Toc66479978"/>
      <w:bookmarkStart w:id="1379" w:name="_Toc211345027"/>
      <w:bookmarkStart w:id="1380" w:name="_Toc1201159940"/>
      <w:bookmarkStart w:id="1381" w:name="_Toc1725836171"/>
      <w:bookmarkStart w:id="1382" w:name="_Toc1250317855"/>
      <w:bookmarkStart w:id="1383" w:name="_Toc828547130"/>
      <w:bookmarkStart w:id="1384" w:name="_Toc1410610681"/>
      <w:bookmarkStart w:id="1385" w:name="_Toc976483935"/>
      <w:bookmarkStart w:id="1386" w:name="_Toc133088524"/>
      <w:bookmarkStart w:id="1387" w:name="_Toc619024087"/>
      <w:bookmarkStart w:id="1388" w:name="_Toc1819275452"/>
      <w:bookmarkStart w:id="1389" w:name="_Toc957813530"/>
      <w:bookmarkStart w:id="1390" w:name="_Toc646300387"/>
      <w:bookmarkStart w:id="1391" w:name="_Toc528190760"/>
      <w:bookmarkStart w:id="1392" w:name="_Toc1713819958"/>
      <w:bookmarkStart w:id="1393" w:name="_Toc366940831"/>
      <w:bookmarkStart w:id="1394" w:name="_Toc295358122"/>
      <w:bookmarkStart w:id="1395" w:name="_Toc1622426140"/>
      <w:bookmarkStart w:id="1396" w:name="_Toc1416866130"/>
      <w:bookmarkStart w:id="1397" w:name="_Toc1147810493"/>
      <w:bookmarkStart w:id="1398" w:name="_Toc1275004939"/>
      <w:bookmarkStart w:id="1399" w:name="_Toc712702445"/>
      <w:bookmarkStart w:id="1400" w:name="_Toc1776181686"/>
      <w:bookmarkStart w:id="1401" w:name="_Toc136506376"/>
      <w:bookmarkStart w:id="1402" w:name="_Toc649292681"/>
      <w:bookmarkStart w:id="1403" w:name="_Toc360203966"/>
      <w:bookmarkStart w:id="1404" w:name="_Toc540257773"/>
      <w:bookmarkStart w:id="1405" w:name="_Toc1564808146"/>
      <w:bookmarkStart w:id="1406" w:name="_Toc187739338"/>
      <w:bookmarkStart w:id="1407" w:name="_Toc187740085"/>
      <w:bookmarkStart w:id="1408" w:name="_Toc192681993"/>
      <w:r w:rsidRPr="007A6EA3">
        <w:rPr>
          <w:rStyle w:val="Neenpoudarek"/>
          <w:rFonts w:cs="Arial"/>
          <w:i w:val="0"/>
          <w:iCs w:val="0"/>
          <w:color w:val="0070C0"/>
        </w:rPr>
        <w:t>2.2.1</w:t>
      </w:r>
      <w:r w:rsidRPr="007A6EA3">
        <w:tab/>
      </w:r>
      <w:r w:rsidRPr="007A6EA3">
        <w:rPr>
          <w:rStyle w:val="Neenpoudarek"/>
          <w:rFonts w:cs="Arial"/>
          <w:i w:val="0"/>
          <w:iCs w:val="0"/>
          <w:color w:val="0070C0"/>
        </w:rPr>
        <w:t>Lokalni razvoj, ki ga vodi skupnost (CLLD)</w:t>
      </w:r>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p>
    <w:p w14:paraId="74C9D5A7" w14:textId="77777777" w:rsidR="000E7A5A" w:rsidRPr="00F425EA" w:rsidRDefault="000E7A5A" w:rsidP="00E247FF">
      <w:pPr>
        <w:spacing w:after="0" w:line="276" w:lineRule="auto"/>
        <w:jc w:val="both"/>
        <w:rPr>
          <w:rFonts w:cs="Arial"/>
        </w:rPr>
      </w:pPr>
    </w:p>
    <w:p w14:paraId="7E1652E3" w14:textId="38E3F803" w:rsidR="000E7A5A" w:rsidRPr="00F425EA" w:rsidRDefault="00306071" w:rsidP="00E247FF">
      <w:pPr>
        <w:spacing w:line="276" w:lineRule="auto"/>
        <w:jc w:val="both"/>
        <w:rPr>
          <w:rFonts w:cs="Arial"/>
        </w:rPr>
      </w:pPr>
      <w:r w:rsidRPr="00F425EA">
        <w:rPr>
          <w:rFonts w:cs="Arial"/>
        </w:rPr>
        <w:t>Na območju države je v programskem obdobju 2014–2020 delovalo 37 lokalnih akcijskih skupin (LAS).</w:t>
      </w:r>
    </w:p>
    <w:p w14:paraId="3976CBF8" w14:textId="77777777" w:rsidR="000E7A5A" w:rsidRDefault="00306071" w:rsidP="004A6ED4">
      <w:pPr>
        <w:spacing w:after="0" w:line="276" w:lineRule="auto"/>
        <w:jc w:val="both"/>
        <w:rPr>
          <w:rFonts w:cs="Arial"/>
        </w:rPr>
      </w:pPr>
      <w:r w:rsidRPr="00F425EA">
        <w:rPr>
          <w:rFonts w:cs="Arial"/>
        </w:rPr>
        <w:t>Za obdobje 2021–2027 se je prav tako oblikovalo 37 lokalnih akcijskih skupin (LAS), ki so za območja, na katerih delujejo, že pripravile Strategije lokalnega razvoja (SLR), ki so bile s strani Medresorske delovne skupine za CLLD po 2020 pregledane, ocenjene in odobrene na podlagi izdanega Mnenja o izboru SLR in LAS, v novembru 2023.</w:t>
      </w:r>
    </w:p>
    <w:p w14:paraId="05761565" w14:textId="77777777" w:rsidR="004A6ED4" w:rsidRPr="00F425EA" w:rsidRDefault="004A6ED4" w:rsidP="004A6ED4">
      <w:pPr>
        <w:spacing w:after="0" w:line="276" w:lineRule="auto"/>
        <w:jc w:val="both"/>
        <w:rPr>
          <w:rFonts w:cs="Arial"/>
        </w:rPr>
      </w:pPr>
    </w:p>
    <w:p w14:paraId="1D7BCC87" w14:textId="77777777" w:rsidR="000E7A5A" w:rsidRPr="00F425EA" w:rsidRDefault="00306071" w:rsidP="004A6ED4">
      <w:pPr>
        <w:spacing w:after="0" w:line="276" w:lineRule="auto"/>
        <w:jc w:val="both"/>
        <w:rPr>
          <w:rFonts w:cs="Arial"/>
        </w:rPr>
      </w:pPr>
      <w:r w:rsidRPr="00F425EA">
        <w:rPr>
          <w:rFonts w:cs="Arial"/>
        </w:rPr>
        <w:t>V januarju 2024 so bile izdane odločitve o podpori za potrditev vseh 37 Strategij lokalnega razvoja (SLR) in LAS. Na podlagi izdanih odločitev o podpori je do konca januarja 2024 Ministrstvo za kmetijstvo, gozdarstvo in prehrano izdalo vseh 37 odločb o potrditvi SLR in LAS. Do konca leta 2024 je vseh 37 LAS pripravilo osnutke javnih pozivov. Od tega je 18 LAS s strani PT MKRR prejelo pozitivno mnenje k objavi javnih pozivov na spletnih straneh LAS. Na LAS se izvajajo postopki izbora projektov, ki se bodo v 2025 pričeli izvajati.</w:t>
      </w:r>
    </w:p>
    <w:p w14:paraId="31620BF2" w14:textId="77777777" w:rsidR="000E7A5A" w:rsidRPr="00F425EA" w:rsidRDefault="000E7A5A" w:rsidP="007A6EA3">
      <w:pPr>
        <w:spacing w:after="0" w:line="276" w:lineRule="auto"/>
        <w:jc w:val="both"/>
        <w:rPr>
          <w:rFonts w:cs="Arial"/>
        </w:rPr>
      </w:pPr>
    </w:p>
    <w:p w14:paraId="1970FF89" w14:textId="77777777" w:rsidR="000E7A5A" w:rsidRPr="007A6EA3" w:rsidRDefault="00306071" w:rsidP="00E76A87">
      <w:pPr>
        <w:pStyle w:val="Naslov3"/>
      </w:pPr>
      <w:bookmarkStart w:id="1409" w:name="_Toc210742444"/>
      <w:bookmarkStart w:id="1410" w:name="_Toc872563127"/>
      <w:bookmarkStart w:id="1411" w:name="_Toc1486978323"/>
      <w:bookmarkStart w:id="1412" w:name="_Toc409086448"/>
      <w:bookmarkStart w:id="1413" w:name="_Toc113997465"/>
      <w:bookmarkStart w:id="1414" w:name="_Toc1455166714"/>
      <w:bookmarkStart w:id="1415" w:name="_Toc809112453"/>
      <w:bookmarkStart w:id="1416" w:name="_Toc512454728"/>
      <w:bookmarkStart w:id="1417" w:name="_Toc1455530463"/>
      <w:bookmarkStart w:id="1418" w:name="_Toc996924171"/>
      <w:bookmarkStart w:id="1419" w:name="_Toc926961150"/>
      <w:bookmarkStart w:id="1420" w:name="_Toc1868912275"/>
      <w:bookmarkStart w:id="1421" w:name="_Toc625691190"/>
      <w:bookmarkStart w:id="1422" w:name="_Toc783248696"/>
      <w:bookmarkStart w:id="1423" w:name="_Toc181085231"/>
      <w:bookmarkStart w:id="1424" w:name="_Toc248354227"/>
      <w:bookmarkStart w:id="1425" w:name="_Toc1998621455"/>
      <w:bookmarkStart w:id="1426" w:name="_Toc1222869871"/>
      <w:bookmarkStart w:id="1427" w:name="_Toc338340816"/>
      <w:bookmarkStart w:id="1428" w:name="_Toc532086696"/>
      <w:bookmarkStart w:id="1429" w:name="_Toc142203680"/>
      <w:bookmarkStart w:id="1430" w:name="_Toc301072606"/>
      <w:bookmarkStart w:id="1431" w:name="_Toc1972115852"/>
      <w:bookmarkStart w:id="1432" w:name="_Toc1737669798"/>
      <w:bookmarkStart w:id="1433" w:name="_Toc2020053883"/>
      <w:bookmarkStart w:id="1434" w:name="_Toc1349865315"/>
      <w:bookmarkStart w:id="1435" w:name="_Toc1846649610"/>
      <w:bookmarkStart w:id="1436" w:name="_Toc962533494"/>
      <w:bookmarkStart w:id="1437" w:name="_Toc256049560"/>
      <w:bookmarkStart w:id="1438" w:name="_Toc1845201999"/>
      <w:bookmarkStart w:id="1439" w:name="_Toc1007781616"/>
      <w:bookmarkStart w:id="1440" w:name="_Toc913037851"/>
      <w:bookmarkStart w:id="1441" w:name="_Toc273155494"/>
      <w:bookmarkStart w:id="1442" w:name="_Toc1527392812"/>
      <w:bookmarkStart w:id="1443" w:name="_Toc595724347"/>
      <w:bookmarkStart w:id="1444" w:name="_Toc494289398"/>
      <w:bookmarkStart w:id="1445" w:name="_Toc402214184"/>
      <w:bookmarkStart w:id="1446" w:name="_Toc355561195"/>
      <w:bookmarkStart w:id="1447" w:name="_Toc1261003609"/>
      <w:bookmarkStart w:id="1448" w:name="_Toc2117718944"/>
      <w:bookmarkStart w:id="1449" w:name="_Toc1914138403"/>
      <w:bookmarkStart w:id="1450" w:name="_Toc1375773878"/>
      <w:bookmarkStart w:id="1451" w:name="_Toc1264300686"/>
      <w:bookmarkStart w:id="1452" w:name="_Toc242360057"/>
      <w:bookmarkStart w:id="1453" w:name="_Toc785004969"/>
      <w:bookmarkStart w:id="1454" w:name="_Toc2141189637"/>
      <w:bookmarkStart w:id="1455" w:name="_Toc2010224354"/>
      <w:bookmarkStart w:id="1456" w:name="_Toc1778561293"/>
      <w:bookmarkStart w:id="1457" w:name="_Toc1904096669"/>
      <w:bookmarkStart w:id="1458" w:name="_Toc385228617"/>
      <w:bookmarkStart w:id="1459" w:name="_Toc313258608"/>
      <w:bookmarkStart w:id="1460" w:name="_Toc1705958514"/>
      <w:bookmarkStart w:id="1461" w:name="_Toc1000124035"/>
      <w:bookmarkStart w:id="1462" w:name="_Toc1354169978"/>
      <w:bookmarkStart w:id="1463" w:name="_Toc2056661511"/>
      <w:bookmarkStart w:id="1464" w:name="_Toc230230107"/>
      <w:bookmarkStart w:id="1465" w:name="_Toc1382638541"/>
      <w:bookmarkStart w:id="1466" w:name="_Toc1286869399"/>
      <w:bookmarkStart w:id="1467" w:name="_Toc589619367"/>
      <w:bookmarkStart w:id="1468" w:name="_Toc87486512"/>
      <w:bookmarkStart w:id="1469" w:name="_Toc1954085277"/>
      <w:bookmarkStart w:id="1470" w:name="_Toc926682613"/>
      <w:bookmarkStart w:id="1471" w:name="_Toc1526647663"/>
      <w:bookmarkStart w:id="1472" w:name="_Toc1243903124"/>
      <w:bookmarkStart w:id="1473" w:name="_Toc901495919"/>
      <w:bookmarkStart w:id="1474" w:name="_Toc1458694437"/>
      <w:bookmarkStart w:id="1475" w:name="_Toc601739727"/>
      <w:bookmarkStart w:id="1476" w:name="_Toc324929554"/>
      <w:bookmarkStart w:id="1477" w:name="_Toc1680906643"/>
      <w:bookmarkStart w:id="1478" w:name="_Toc2140831658"/>
      <w:bookmarkStart w:id="1479" w:name="_Toc801771819"/>
      <w:bookmarkStart w:id="1480" w:name="_Toc1223305114"/>
      <w:bookmarkStart w:id="1481" w:name="_Toc609901660"/>
      <w:bookmarkStart w:id="1482" w:name="_Toc501781946"/>
      <w:bookmarkStart w:id="1483" w:name="_Toc764721689"/>
      <w:bookmarkStart w:id="1484" w:name="_Toc1120909326"/>
      <w:bookmarkStart w:id="1485" w:name="_Toc569003767"/>
      <w:bookmarkStart w:id="1486" w:name="_Toc738917305"/>
      <w:bookmarkStart w:id="1487" w:name="_Toc1268465913"/>
      <w:bookmarkStart w:id="1488" w:name="_Toc1668728867"/>
      <w:bookmarkStart w:id="1489" w:name="_Toc1307686708"/>
      <w:bookmarkStart w:id="1490" w:name="_Toc1544516702"/>
      <w:bookmarkStart w:id="1491" w:name="_Toc352398116"/>
      <w:bookmarkStart w:id="1492" w:name="_Toc454642063"/>
      <w:bookmarkStart w:id="1493" w:name="_Toc187739339"/>
      <w:bookmarkStart w:id="1494" w:name="_Toc187740086"/>
      <w:bookmarkStart w:id="1495" w:name="_Toc192681994"/>
      <w:r w:rsidRPr="007A6EA3">
        <w:rPr>
          <w:rStyle w:val="Neenpoudarek"/>
          <w:rFonts w:cs="Arial"/>
          <w:i w:val="0"/>
          <w:iCs w:val="0"/>
          <w:color w:val="0070C0"/>
        </w:rPr>
        <w:t>2.2.2</w:t>
      </w:r>
      <w:r w:rsidRPr="007A6EA3">
        <w:tab/>
      </w:r>
      <w:r w:rsidRPr="007A6EA3">
        <w:rPr>
          <w:rStyle w:val="Neenpoudarek"/>
          <w:rFonts w:cs="Arial"/>
          <w:i w:val="0"/>
          <w:iCs w:val="0"/>
          <w:color w:val="0070C0"/>
        </w:rPr>
        <w:t>Celostne teritorialne naložbe (CTN)</w:t>
      </w:r>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p>
    <w:p w14:paraId="1F07DC39" w14:textId="77777777" w:rsidR="000E7A5A" w:rsidRPr="00F425EA" w:rsidRDefault="000E7A5A" w:rsidP="00367FBF">
      <w:pPr>
        <w:spacing w:after="0" w:line="276" w:lineRule="auto"/>
        <w:jc w:val="both"/>
        <w:rPr>
          <w:rFonts w:cs="Arial"/>
        </w:rPr>
      </w:pPr>
    </w:p>
    <w:p w14:paraId="0B984C0E" w14:textId="3D94CFCC" w:rsidR="000E7A5A" w:rsidRPr="00367FBF" w:rsidRDefault="00306071" w:rsidP="00367FBF">
      <w:pPr>
        <w:spacing w:after="0" w:line="276" w:lineRule="auto"/>
        <w:jc w:val="both"/>
        <w:rPr>
          <w:rFonts w:cs="Arial"/>
          <w:sz w:val="18"/>
          <w:szCs w:val="20"/>
        </w:rPr>
      </w:pPr>
      <w:r w:rsidRPr="00367FBF">
        <w:rPr>
          <w:rFonts w:eastAsia="Calibri" w:cs="Arial"/>
          <w:szCs w:val="20"/>
        </w:rPr>
        <w:t>Za izvajanje CTN v obdobju 2021</w:t>
      </w:r>
      <w:r w:rsidR="003037F8" w:rsidRPr="003037F8">
        <w:rPr>
          <w:rFonts w:cs="Arial"/>
          <w:szCs w:val="20"/>
        </w:rPr>
        <w:t>–</w:t>
      </w:r>
      <w:r w:rsidRPr="00367FBF">
        <w:rPr>
          <w:rFonts w:eastAsia="Calibri" w:cs="Arial"/>
          <w:szCs w:val="20"/>
        </w:rPr>
        <w:t xml:space="preserve">2027 je namenjenih 127 mio EUR ESRR sredstev. Mehanizem CTN se izvaja na treh specifičnih ciljih in sicer: </w:t>
      </w:r>
      <w:r w:rsidRPr="00367FBF">
        <w:rPr>
          <w:rFonts w:cs="Arial"/>
          <w:color w:val="000000"/>
          <w:szCs w:val="20"/>
        </w:rPr>
        <w:t>RSO 2.7 – zelene infrastrukture, RSO 2.8 – trajnostna mobilnost in RSO 5.1 – učinkovita raba prostora v urbanih območjih. Upravičenci mehanizma CTN so mestne občine (12), ki morajo imeti sprejete Trajnostne urbane strategije iz katerih izhajajo predlogi za predvidene ukrepe.</w:t>
      </w:r>
    </w:p>
    <w:p w14:paraId="6CAA644A" w14:textId="77777777" w:rsidR="000E7A5A" w:rsidRPr="00367FBF" w:rsidRDefault="000E7A5A" w:rsidP="00367FBF">
      <w:pPr>
        <w:spacing w:after="0" w:line="276" w:lineRule="auto"/>
        <w:jc w:val="both"/>
        <w:rPr>
          <w:rFonts w:cs="Arial"/>
          <w:color w:val="000000"/>
          <w:szCs w:val="20"/>
        </w:rPr>
      </w:pPr>
    </w:p>
    <w:p w14:paraId="79F2C332" w14:textId="240C4616" w:rsidR="000E7A5A" w:rsidRPr="00367FBF" w:rsidRDefault="1A327854" w:rsidP="2EA23F19">
      <w:pPr>
        <w:spacing w:after="0" w:line="276" w:lineRule="auto"/>
        <w:jc w:val="both"/>
        <w:rPr>
          <w:rFonts w:eastAsia="Calibri" w:cs="Arial"/>
        </w:rPr>
      </w:pPr>
      <w:r w:rsidRPr="2EA23F19">
        <w:rPr>
          <w:rFonts w:eastAsia="Calibri" w:cs="Arial"/>
        </w:rPr>
        <w:t xml:space="preserve">PT ZMOS je v oktobru in novembru 2023 objavil prva povabila za izbor operacij na vseh treh specifičnih ciljih. V januarju in februarju 2024 so bili objavljeni seznami izbranih operacij na vseh treh specifičnih ciljih. Na povabila PT ZMOS so mestne občine prijavile 39 operacij v skupni vrednosti 63,9 mio EUR EU dela, kar predstavlja 55 % vseh razpisanih sredstev. V letu 2024 so mestne občine začele s pripravo </w:t>
      </w:r>
      <w:r w:rsidRPr="2EA23F19">
        <w:rPr>
          <w:rFonts w:eastAsia="Calibri" w:cs="Arial"/>
        </w:rPr>
        <w:lastRenderedPageBreak/>
        <w:t>vlog za odločitev o podpori ter usklajevanjem vlog s PT MNVP oziroma PT MOPE. S strani OU je bila izdana 1 odločitev o podpori v vrednosti 2,9 mio EUR (EU del).</w:t>
      </w:r>
    </w:p>
    <w:p w14:paraId="3D2041AD" w14:textId="310D2D80" w:rsidR="000E7A5A" w:rsidRPr="00367FBF" w:rsidRDefault="000E7A5A" w:rsidP="2EA23F19">
      <w:pPr>
        <w:spacing w:after="0" w:line="276" w:lineRule="auto"/>
        <w:jc w:val="both"/>
        <w:rPr>
          <w:rFonts w:eastAsia="Calibri" w:cs="Arial"/>
        </w:rPr>
      </w:pPr>
    </w:p>
    <w:p w14:paraId="58428C92" w14:textId="2E9DB738" w:rsidR="000E7A5A" w:rsidRPr="00367FBF" w:rsidRDefault="6EC90A9F" w:rsidP="2EA23F19">
      <w:pPr>
        <w:spacing w:after="0" w:line="276" w:lineRule="auto"/>
        <w:jc w:val="both"/>
        <w:rPr>
          <w:rFonts w:eastAsia="Calibri" w:cs="Arial"/>
        </w:rPr>
      </w:pPr>
      <w:r w:rsidRPr="00F7FCEE">
        <w:rPr>
          <w:rFonts w:eastAsia="Calibri" w:cs="Arial"/>
        </w:rPr>
        <w:t>V okvir mehanizma CTN so vključena tudi sredstva za izvajanje strateškega projekta evropske prestolnice kulture GO!2025. Za ta del so bile predložene tri operacije, pri čemer je OU izdal 1 odločitev o podpori v vrednosti 0,7 mio EUR (EU del).</w:t>
      </w:r>
    </w:p>
    <w:p w14:paraId="4EEF3EDE" w14:textId="34E9E16B" w:rsidR="000E7A5A" w:rsidRPr="00367FBF" w:rsidRDefault="6EC90A9F" w:rsidP="2EA23F19">
      <w:pPr>
        <w:spacing w:after="0" w:line="276" w:lineRule="auto"/>
        <w:jc w:val="both"/>
      </w:pPr>
      <w:r w:rsidRPr="00F7FCEE">
        <w:rPr>
          <w:rFonts w:eastAsia="Calibri" w:cs="Arial"/>
        </w:rPr>
        <w:t xml:space="preserve"> </w:t>
      </w:r>
    </w:p>
    <w:p w14:paraId="5FD6555B" w14:textId="12866BA4" w:rsidR="000E7A5A" w:rsidRPr="00367FBF" w:rsidRDefault="6EC90A9F" w:rsidP="2EA23F19">
      <w:pPr>
        <w:spacing w:after="0" w:line="276" w:lineRule="auto"/>
        <w:jc w:val="both"/>
      </w:pPr>
      <w:r w:rsidRPr="00F7FCEE">
        <w:rPr>
          <w:rFonts w:eastAsia="Calibri" w:cs="Arial"/>
        </w:rPr>
        <w:t>V prvem četrtletju 2025 se pričakuje izdaja večjega števila odločitev o podpori za izbrane operacije, čemur bo sledila objava novih povabil za izbor operacij s strani PT ZMOS.</w:t>
      </w:r>
    </w:p>
    <w:p w14:paraId="3C95623E" w14:textId="77777777" w:rsidR="000E7A5A" w:rsidRPr="00F425EA" w:rsidRDefault="00306071" w:rsidP="007A6EA3">
      <w:pPr>
        <w:spacing w:after="0" w:line="276" w:lineRule="auto"/>
        <w:jc w:val="both"/>
        <w:rPr>
          <w:rFonts w:cs="Arial"/>
        </w:rPr>
      </w:pPr>
      <w:r w:rsidRPr="00F425EA">
        <w:rPr>
          <w:rFonts w:eastAsia="Calibri" w:cs="Arial"/>
          <w:sz w:val="22"/>
          <w:szCs w:val="22"/>
        </w:rPr>
        <w:t xml:space="preserve"> </w:t>
      </w:r>
    </w:p>
    <w:p w14:paraId="49E6CABA" w14:textId="77777777" w:rsidR="000E7A5A" w:rsidRPr="007A6EA3" w:rsidRDefault="00306071" w:rsidP="00E76A87">
      <w:pPr>
        <w:pStyle w:val="Naslov3"/>
      </w:pPr>
      <w:bookmarkStart w:id="1496" w:name="_Toc594928292"/>
      <w:bookmarkStart w:id="1497" w:name="_Toc1240455385"/>
      <w:bookmarkStart w:id="1498" w:name="_Toc2123926866"/>
      <w:bookmarkStart w:id="1499" w:name="_Toc1430786008"/>
      <w:bookmarkStart w:id="1500" w:name="_Toc935493539"/>
      <w:bookmarkStart w:id="1501" w:name="_Toc1376882728"/>
      <w:bookmarkStart w:id="1502" w:name="_Toc1974889042"/>
      <w:bookmarkStart w:id="1503" w:name="_Toc180925430"/>
      <w:bookmarkStart w:id="1504" w:name="_Toc46547285"/>
      <w:bookmarkStart w:id="1505" w:name="_Toc959496526"/>
      <w:bookmarkStart w:id="1506" w:name="_Toc578560824"/>
      <w:bookmarkStart w:id="1507" w:name="_Toc1822347207"/>
      <w:bookmarkStart w:id="1508" w:name="_Toc1135052969"/>
      <w:bookmarkStart w:id="1509" w:name="_Toc1239142921"/>
      <w:bookmarkStart w:id="1510" w:name="_Toc1042137290"/>
      <w:bookmarkStart w:id="1511" w:name="_Toc949612058"/>
      <w:bookmarkStart w:id="1512" w:name="_Toc924827788"/>
      <w:bookmarkStart w:id="1513" w:name="_Toc1662954874"/>
      <w:bookmarkStart w:id="1514" w:name="_Toc952800371"/>
      <w:bookmarkStart w:id="1515" w:name="_Toc2018159081"/>
      <w:bookmarkStart w:id="1516" w:name="_Toc553558336"/>
      <w:bookmarkStart w:id="1517" w:name="_Toc131945312"/>
      <w:bookmarkStart w:id="1518" w:name="_Toc252232327"/>
      <w:bookmarkStart w:id="1519" w:name="_Toc1144390954"/>
      <w:bookmarkStart w:id="1520" w:name="_Toc1663862783"/>
      <w:bookmarkStart w:id="1521" w:name="_Toc1847834801"/>
      <w:bookmarkStart w:id="1522" w:name="_Toc153498552"/>
      <w:bookmarkStart w:id="1523" w:name="_Toc343915274"/>
      <w:bookmarkStart w:id="1524" w:name="_Toc549434270"/>
      <w:bookmarkStart w:id="1525" w:name="_Toc389279895"/>
      <w:bookmarkStart w:id="1526" w:name="_Toc2125196977"/>
      <w:bookmarkStart w:id="1527" w:name="_Toc1327905382"/>
      <w:bookmarkStart w:id="1528" w:name="_Toc264194244"/>
      <w:bookmarkStart w:id="1529" w:name="_Toc1046435047"/>
      <w:bookmarkStart w:id="1530" w:name="_Toc1765066601"/>
      <w:bookmarkStart w:id="1531" w:name="_Toc693614449"/>
      <w:bookmarkStart w:id="1532" w:name="_Toc1763447398"/>
      <w:bookmarkStart w:id="1533" w:name="_Toc249246581"/>
      <w:bookmarkStart w:id="1534" w:name="_Toc1264116831"/>
      <w:bookmarkStart w:id="1535" w:name="_Toc1991556912"/>
      <w:bookmarkStart w:id="1536" w:name="_Toc492860815"/>
      <w:bookmarkStart w:id="1537" w:name="_Toc305503884"/>
      <w:bookmarkStart w:id="1538" w:name="_Toc100945215"/>
      <w:bookmarkStart w:id="1539" w:name="_Toc477605042"/>
      <w:bookmarkStart w:id="1540" w:name="_Toc1576544422"/>
      <w:bookmarkStart w:id="1541" w:name="_Toc255248081"/>
      <w:bookmarkStart w:id="1542" w:name="_Toc48605645"/>
      <w:bookmarkStart w:id="1543" w:name="_Toc1383101079"/>
      <w:bookmarkStart w:id="1544" w:name="_Toc1457343373"/>
      <w:bookmarkStart w:id="1545" w:name="_Toc1343057181"/>
      <w:bookmarkStart w:id="1546" w:name="_Toc289721966"/>
      <w:bookmarkStart w:id="1547" w:name="_Toc1092042304"/>
      <w:bookmarkStart w:id="1548" w:name="_Toc1178712571"/>
      <w:bookmarkStart w:id="1549" w:name="_Toc1348885901"/>
      <w:bookmarkStart w:id="1550" w:name="_Toc786044047"/>
      <w:bookmarkStart w:id="1551" w:name="_Toc1633588068"/>
      <w:bookmarkStart w:id="1552" w:name="_Toc480612735"/>
      <w:bookmarkStart w:id="1553" w:name="_Toc425562944"/>
      <w:bookmarkStart w:id="1554" w:name="_Toc1656367645"/>
      <w:bookmarkStart w:id="1555" w:name="_Toc1514221094"/>
      <w:bookmarkStart w:id="1556" w:name="_Toc2135391603"/>
      <w:bookmarkStart w:id="1557" w:name="_Toc1324146634"/>
      <w:bookmarkStart w:id="1558" w:name="_Toc2065366977"/>
      <w:bookmarkStart w:id="1559" w:name="_Toc1600466209"/>
      <w:bookmarkStart w:id="1560" w:name="_Toc987333101"/>
      <w:bookmarkStart w:id="1561" w:name="_Toc1277595894"/>
      <w:bookmarkStart w:id="1562" w:name="_Toc392992522"/>
      <w:bookmarkStart w:id="1563" w:name="_Toc986270739"/>
      <w:bookmarkStart w:id="1564" w:name="_Toc1586098319"/>
      <w:bookmarkStart w:id="1565" w:name="_Toc1865287557"/>
      <w:bookmarkStart w:id="1566" w:name="_Toc2130400100"/>
      <w:bookmarkStart w:id="1567" w:name="_Toc1524487777"/>
      <w:bookmarkStart w:id="1568" w:name="_Toc1751266619"/>
      <w:bookmarkStart w:id="1569" w:name="_Toc512731262"/>
      <w:bookmarkStart w:id="1570" w:name="_Toc181333814"/>
      <w:bookmarkStart w:id="1571" w:name="_Toc1343556387"/>
      <w:bookmarkStart w:id="1572" w:name="_Toc466630506"/>
      <w:bookmarkStart w:id="1573" w:name="_Toc1900516811"/>
      <w:bookmarkStart w:id="1574" w:name="_Toc1201950698"/>
      <w:bookmarkStart w:id="1575" w:name="_Toc305700642"/>
      <w:bookmarkStart w:id="1576" w:name="_Toc747930759"/>
      <w:bookmarkStart w:id="1577" w:name="_Toc1718160170"/>
      <w:bookmarkStart w:id="1578" w:name="_Toc2059353044"/>
      <w:bookmarkStart w:id="1579" w:name="_Toc1342718634"/>
      <w:bookmarkStart w:id="1580" w:name="_Toc187739340"/>
      <w:bookmarkStart w:id="1581" w:name="_Toc187740087"/>
      <w:bookmarkStart w:id="1582" w:name="_Toc192681995"/>
      <w:r w:rsidRPr="007A6EA3">
        <w:rPr>
          <w:rStyle w:val="Neenpoudarek"/>
          <w:rFonts w:cs="Arial"/>
          <w:i w:val="0"/>
          <w:iCs w:val="0"/>
          <w:color w:val="0070C0"/>
        </w:rPr>
        <w:t>2.2.3</w:t>
      </w:r>
      <w:r w:rsidRPr="007A6EA3">
        <w:tab/>
      </w:r>
      <w:r w:rsidRPr="007A6EA3">
        <w:rPr>
          <w:rStyle w:val="Neenpoudarek"/>
          <w:rFonts w:cs="Arial"/>
          <w:i w:val="0"/>
          <w:iCs w:val="0"/>
          <w:color w:val="0070C0"/>
        </w:rPr>
        <w:t>Dogovor za razvoj regij (DRR)</w:t>
      </w:r>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p>
    <w:p w14:paraId="35FC121F" w14:textId="77777777" w:rsidR="000E7A5A" w:rsidRPr="00F425EA" w:rsidRDefault="000E7A5A" w:rsidP="00E247FF">
      <w:pPr>
        <w:autoSpaceDE w:val="0"/>
        <w:spacing w:after="0" w:line="276" w:lineRule="auto"/>
        <w:jc w:val="both"/>
        <w:rPr>
          <w:rFonts w:cs="Arial"/>
        </w:rPr>
      </w:pPr>
    </w:p>
    <w:p w14:paraId="224FECDB" w14:textId="77777777" w:rsidR="000E7A5A" w:rsidRPr="00367FBF" w:rsidRDefault="00306071" w:rsidP="007A6EA3">
      <w:pPr>
        <w:spacing w:after="0" w:line="276" w:lineRule="auto"/>
        <w:jc w:val="both"/>
        <w:rPr>
          <w:rFonts w:cs="Arial"/>
          <w:sz w:val="18"/>
          <w:szCs w:val="20"/>
        </w:rPr>
      </w:pPr>
      <w:r w:rsidRPr="00367FBF">
        <w:rPr>
          <w:rFonts w:cs="Arial"/>
          <w:szCs w:val="20"/>
        </w:rPr>
        <w:t>Za programsko obdobje 2021–2027 je potrjenih vseh 12 Regionalnih razvojnih programov. Na tej podlagi je bilo junija 2023 objavljeno Povabilo razvojnim svetom regij za pripravo in podpis dogovorov za razvoj regij za programsko obdobje 2021−2027. Predmet povabila iz junija 2023 je bilo sofinanciranje projektov v okviru naslednjega cilja evropske kohezijske politike: »Prednostna naloga: 1. Inovacijska družba znanja, RSO1.3, Krepitev trajnostne rasti in konkurenčnosti malih in srednjih podjetij ter ustvarjanje</w:t>
      </w:r>
      <w:r w:rsidRPr="00367FBF">
        <w:rPr>
          <w:rFonts w:cs="Arial"/>
          <w:sz w:val="18"/>
          <w:szCs w:val="20"/>
        </w:rPr>
        <w:t xml:space="preserve"> </w:t>
      </w:r>
      <w:r w:rsidRPr="00367FBF">
        <w:rPr>
          <w:rFonts w:cs="Arial"/>
          <w:szCs w:val="20"/>
        </w:rPr>
        <w:t>delovnih mest v malih in srednjih podjetjih, med drugim s produktivnimi naložbami (ESRR)« – Podjetno nad izzive (PONI), v višini 18,47 mio EUR. Rok za posredovanje osnutkov dogovorov za razvoj regij je bil 30. 10. 2023. Dogovori za razvoj regij za zgoraj navedene vsebine so sklenjeni z vsemi 12 regijami.</w:t>
      </w:r>
    </w:p>
    <w:p w14:paraId="6F3E4CDF" w14:textId="77777777" w:rsidR="000E7A5A" w:rsidRPr="00367FBF" w:rsidRDefault="000E7A5A" w:rsidP="007A6EA3">
      <w:pPr>
        <w:spacing w:after="0" w:line="276" w:lineRule="auto"/>
        <w:jc w:val="both"/>
        <w:rPr>
          <w:rFonts w:cs="Arial"/>
          <w:szCs w:val="20"/>
        </w:rPr>
      </w:pPr>
    </w:p>
    <w:p w14:paraId="3576BD76" w14:textId="520E94D4" w:rsidR="004A6ED4" w:rsidRPr="00367FBF" w:rsidRDefault="00306071" w:rsidP="007A6EA3">
      <w:pPr>
        <w:spacing w:after="0" w:line="276" w:lineRule="auto"/>
        <w:jc w:val="both"/>
        <w:rPr>
          <w:rFonts w:cs="Arial"/>
          <w:szCs w:val="20"/>
        </w:rPr>
      </w:pPr>
      <w:r w:rsidRPr="00367FBF">
        <w:rPr>
          <w:rFonts w:cs="Arial"/>
          <w:szCs w:val="20"/>
        </w:rPr>
        <w:t>Povabilo razvojnim svetom regij za pripravo dogovorov za razvoj regij se je z objavo MKRR dne 29. 3. 2024 dopolnilo (dne 24. 6. 2024 so bile objavljene še nekatere spremembe te dopolnitve) z naslednjimi vsebinami:</w:t>
      </w:r>
    </w:p>
    <w:p w14:paraId="65E59CAA" w14:textId="77777777" w:rsidR="000E7A5A" w:rsidRPr="00367FBF" w:rsidRDefault="00306071" w:rsidP="00E247FF">
      <w:pPr>
        <w:pStyle w:val="Odstavekseznama"/>
        <w:numPr>
          <w:ilvl w:val="0"/>
          <w:numId w:val="31"/>
        </w:numPr>
        <w:spacing w:after="0" w:line="276" w:lineRule="auto"/>
        <w:jc w:val="both"/>
        <w:rPr>
          <w:rFonts w:cs="Arial"/>
          <w:szCs w:val="20"/>
        </w:rPr>
      </w:pPr>
      <w:r w:rsidRPr="00367FBF">
        <w:rPr>
          <w:rFonts w:cs="Arial"/>
          <w:szCs w:val="20"/>
        </w:rPr>
        <w:t xml:space="preserve">specifični cilj: RSO 1.3, Krepitev trajnostne rasti in konkurenčnosti malih in srednjih podjetij ter ustvarjanje delovnih mest v malih in srednjih podjetjih, med drugim s produktivnimi naložbami, sofinanciranje iz ESRR - Podjetniški inkubatorji, skupna vrednost 10 mio EUR; </w:t>
      </w:r>
    </w:p>
    <w:p w14:paraId="34B808D0" w14:textId="77777777" w:rsidR="000E7A5A" w:rsidRPr="00367FBF" w:rsidRDefault="00306071" w:rsidP="00E247FF">
      <w:pPr>
        <w:pStyle w:val="Odstavekseznama"/>
        <w:numPr>
          <w:ilvl w:val="0"/>
          <w:numId w:val="31"/>
        </w:numPr>
        <w:spacing w:after="0" w:line="276" w:lineRule="auto"/>
        <w:jc w:val="both"/>
        <w:rPr>
          <w:rFonts w:cs="Arial"/>
          <w:szCs w:val="20"/>
        </w:rPr>
      </w:pPr>
      <w:r w:rsidRPr="00367FBF">
        <w:rPr>
          <w:rFonts w:cs="Arial"/>
          <w:szCs w:val="20"/>
        </w:rPr>
        <w:t>specifični cilj: RSO 2.5, Spodbujanje dostopa do vode in trajnostnega gospodarjenja z vodnimi viri, sofinanciranje iz KS - odprava neskladij v aglomeracijah s skupno obremenitvijo, enako ali večjo od 2.000 PE, skupna vrednost 217,11 mio EUR;</w:t>
      </w:r>
    </w:p>
    <w:p w14:paraId="1336F25A" w14:textId="77777777" w:rsidR="000E7A5A" w:rsidRPr="00367FBF" w:rsidRDefault="00306071" w:rsidP="00E247FF">
      <w:pPr>
        <w:pStyle w:val="Odstavekseznama"/>
        <w:numPr>
          <w:ilvl w:val="0"/>
          <w:numId w:val="31"/>
        </w:numPr>
        <w:spacing w:after="0" w:line="276" w:lineRule="auto"/>
        <w:jc w:val="both"/>
        <w:rPr>
          <w:rFonts w:cs="Arial"/>
          <w:szCs w:val="20"/>
        </w:rPr>
      </w:pPr>
      <w:r w:rsidRPr="00367FBF">
        <w:rPr>
          <w:rFonts w:cs="Arial"/>
          <w:szCs w:val="20"/>
        </w:rPr>
        <w:t>specifični cilj: RSO 2.5, Spodbujanje trajnostnega gospodarjenja z vodnimi viri z urejanjem vodovodnih sistemov nad 10.000 prebivalcev, sofinanciranje iz KS, skupna vrednost 85 mio EUR,</w:t>
      </w:r>
    </w:p>
    <w:p w14:paraId="3DFC118E" w14:textId="77777777" w:rsidR="000E7A5A" w:rsidRPr="00367FBF" w:rsidRDefault="00306071" w:rsidP="00E247FF">
      <w:pPr>
        <w:pStyle w:val="Odstavekseznama"/>
        <w:numPr>
          <w:ilvl w:val="0"/>
          <w:numId w:val="31"/>
        </w:numPr>
        <w:spacing w:after="0" w:line="276" w:lineRule="auto"/>
        <w:jc w:val="both"/>
        <w:rPr>
          <w:rFonts w:cs="Arial"/>
          <w:szCs w:val="20"/>
        </w:rPr>
      </w:pPr>
      <w:r w:rsidRPr="00367FBF">
        <w:rPr>
          <w:rFonts w:cs="Arial"/>
          <w:szCs w:val="20"/>
        </w:rPr>
        <w:t>specifični cilj: RSO 2.7, Izboljšanje varstva in ohranjanja narave ter biotske raznovrstnosti in zelene infrastrukture, tudi v mestnem okolju in zmanjšanje vseh oblik onesnaževanja, sofinanciranje iz ESRR, skupna vrednost 39,73 mio EUR;</w:t>
      </w:r>
    </w:p>
    <w:p w14:paraId="0A3A4A88" w14:textId="77777777" w:rsidR="000E7A5A" w:rsidRPr="00367FBF" w:rsidRDefault="00306071" w:rsidP="00E247FF">
      <w:pPr>
        <w:pStyle w:val="Odstavekseznama"/>
        <w:numPr>
          <w:ilvl w:val="0"/>
          <w:numId w:val="31"/>
        </w:numPr>
        <w:spacing w:after="0" w:line="276" w:lineRule="auto"/>
        <w:jc w:val="both"/>
        <w:rPr>
          <w:rFonts w:cs="Arial"/>
          <w:szCs w:val="20"/>
        </w:rPr>
      </w:pPr>
      <w:r w:rsidRPr="00367FBF">
        <w:rPr>
          <w:rFonts w:cs="Arial"/>
          <w:szCs w:val="20"/>
        </w:rPr>
        <w:t xml:space="preserve">specifični cilj: RSO 3.2, Razvoj in krepitev trajnostne, pametne in </w:t>
      </w:r>
      <w:proofErr w:type="spellStart"/>
      <w:r w:rsidRPr="00367FBF">
        <w:rPr>
          <w:rFonts w:cs="Arial"/>
          <w:szCs w:val="20"/>
        </w:rPr>
        <w:t>intermodalne</w:t>
      </w:r>
      <w:proofErr w:type="spellEnd"/>
      <w:r w:rsidRPr="00367FBF">
        <w:rPr>
          <w:rFonts w:cs="Arial"/>
          <w:szCs w:val="20"/>
        </w:rPr>
        <w:t xml:space="preserve"> nacionalne, regionalne in lokalne mobilnosti, odporne proti podnebnim spremembam, vključno z boljšim dostopom do omrežja TEN-T in čezmejno mobilnostjo, sofinanciranje iz KS: </w:t>
      </w:r>
    </w:p>
    <w:p w14:paraId="794A03FE" w14:textId="77777777" w:rsidR="000E7A5A" w:rsidRPr="00367FBF" w:rsidRDefault="00306071" w:rsidP="00E247FF">
      <w:pPr>
        <w:pStyle w:val="Odstavekseznama"/>
        <w:numPr>
          <w:ilvl w:val="0"/>
          <w:numId w:val="32"/>
        </w:numPr>
        <w:autoSpaceDE w:val="0"/>
        <w:spacing w:after="0" w:line="276" w:lineRule="auto"/>
        <w:contextualSpacing w:val="0"/>
        <w:jc w:val="both"/>
        <w:rPr>
          <w:rFonts w:cs="Arial"/>
          <w:szCs w:val="20"/>
        </w:rPr>
      </w:pPr>
      <w:r w:rsidRPr="00367FBF">
        <w:rPr>
          <w:rFonts w:cs="Arial"/>
          <w:szCs w:val="20"/>
        </w:rPr>
        <w:t>spodbujanje trajnostne mobilnosti na horizontalni ravni, skupna vrednost 6,47 mio EUR,</w:t>
      </w:r>
    </w:p>
    <w:p w14:paraId="27881725" w14:textId="77777777" w:rsidR="000E7A5A" w:rsidRPr="00367FBF" w:rsidRDefault="00306071" w:rsidP="00E247FF">
      <w:pPr>
        <w:pStyle w:val="Odstavekseznama"/>
        <w:numPr>
          <w:ilvl w:val="0"/>
          <w:numId w:val="32"/>
        </w:numPr>
        <w:autoSpaceDE w:val="0"/>
        <w:spacing w:after="0" w:line="276" w:lineRule="auto"/>
        <w:contextualSpacing w:val="0"/>
        <w:jc w:val="both"/>
        <w:rPr>
          <w:rFonts w:cs="Arial"/>
          <w:szCs w:val="20"/>
        </w:rPr>
      </w:pPr>
      <w:r w:rsidRPr="00367FBF">
        <w:rPr>
          <w:rFonts w:cs="Arial"/>
          <w:szCs w:val="20"/>
        </w:rPr>
        <w:t>zagotavljanje povezljivosti kolesarske infrastrukture na državni ravni, skupna vrednost 81,76 mio EUR.</w:t>
      </w:r>
    </w:p>
    <w:p w14:paraId="2AECA143" w14:textId="77777777" w:rsidR="000E7A5A" w:rsidRPr="00367FBF" w:rsidRDefault="000E7A5A" w:rsidP="007A6EA3">
      <w:pPr>
        <w:spacing w:after="0" w:line="276" w:lineRule="auto"/>
        <w:jc w:val="both"/>
        <w:rPr>
          <w:rFonts w:cs="Arial"/>
          <w:szCs w:val="20"/>
        </w:rPr>
      </w:pPr>
    </w:p>
    <w:p w14:paraId="52F3515E" w14:textId="77777777" w:rsidR="000E7A5A" w:rsidRPr="00367FBF" w:rsidRDefault="00306071" w:rsidP="007A6EA3">
      <w:pPr>
        <w:spacing w:after="0" w:line="276" w:lineRule="auto"/>
        <w:jc w:val="both"/>
        <w:rPr>
          <w:rFonts w:cs="Arial"/>
          <w:szCs w:val="20"/>
        </w:rPr>
      </w:pPr>
      <w:r w:rsidRPr="00367FBF">
        <w:rPr>
          <w:rFonts w:cs="Arial"/>
          <w:szCs w:val="20"/>
        </w:rPr>
        <w:t xml:space="preserve">Dopolnitev povabila razvojnim svetom regij je bila pripravljena v sodelovanju še s pristojnimi tremi drugimi ministrstvi in sicer: MNVP, MOPE in MZI. </w:t>
      </w:r>
    </w:p>
    <w:p w14:paraId="1CE4DDDB" w14:textId="77777777" w:rsidR="007A6EA3" w:rsidRDefault="007A6EA3" w:rsidP="007A6EA3">
      <w:pPr>
        <w:spacing w:after="0" w:line="276" w:lineRule="auto"/>
        <w:jc w:val="both"/>
        <w:rPr>
          <w:rFonts w:cs="Arial"/>
          <w:szCs w:val="20"/>
        </w:rPr>
      </w:pPr>
    </w:p>
    <w:p w14:paraId="5B856EAB" w14:textId="31FEF409" w:rsidR="000E7A5A" w:rsidRPr="00367FBF" w:rsidRDefault="00306071" w:rsidP="007A6EA3">
      <w:pPr>
        <w:spacing w:after="0" w:line="276" w:lineRule="auto"/>
        <w:jc w:val="both"/>
        <w:rPr>
          <w:rFonts w:cs="Arial"/>
          <w:sz w:val="18"/>
          <w:szCs w:val="20"/>
        </w:rPr>
      </w:pPr>
      <w:r w:rsidRPr="00367FBF">
        <w:rPr>
          <w:rFonts w:cs="Arial"/>
          <w:szCs w:val="20"/>
        </w:rPr>
        <w:t xml:space="preserve">Vse regije so do roka za posredovanje osnutkov dopolnitev dogovorov s strani regij za zgoraj navedene vsebine, ki je bil 30. 10. 2024 posredovale dopolnjene osnutke dogovorov. </w:t>
      </w:r>
    </w:p>
    <w:p w14:paraId="46F65805" w14:textId="77777777" w:rsidR="007A6EA3" w:rsidRDefault="007A6EA3" w:rsidP="007A6EA3">
      <w:pPr>
        <w:spacing w:after="0" w:line="276" w:lineRule="auto"/>
        <w:jc w:val="both"/>
        <w:rPr>
          <w:rFonts w:cs="Arial"/>
          <w:szCs w:val="20"/>
        </w:rPr>
      </w:pPr>
    </w:p>
    <w:p w14:paraId="28F38910" w14:textId="131FD335" w:rsidR="000E7A5A" w:rsidRPr="00367FBF" w:rsidRDefault="00306071" w:rsidP="007A6EA3">
      <w:pPr>
        <w:spacing w:after="0" w:line="276" w:lineRule="auto"/>
        <w:jc w:val="both"/>
        <w:rPr>
          <w:rFonts w:cs="Arial"/>
          <w:sz w:val="18"/>
          <w:szCs w:val="20"/>
        </w:rPr>
      </w:pPr>
      <w:r w:rsidRPr="00367FBF">
        <w:rPr>
          <w:rFonts w:cs="Arial"/>
          <w:szCs w:val="20"/>
        </w:rPr>
        <w:t>V nadaljnjem postopku so bili slednji predhodno pregledani s strani MKRR ter naknadno predloženi v pregled na pristojno ministrstvo (MGTŠ, MOPE, MZI, MNVP).</w:t>
      </w:r>
    </w:p>
    <w:p w14:paraId="21DDF6B8" w14:textId="77777777" w:rsidR="000E7A5A" w:rsidRPr="00F425EA" w:rsidRDefault="000E7A5A" w:rsidP="007A6EA3">
      <w:pPr>
        <w:spacing w:after="0" w:line="276" w:lineRule="auto"/>
        <w:jc w:val="both"/>
        <w:rPr>
          <w:rFonts w:cs="Arial"/>
        </w:rPr>
      </w:pPr>
    </w:p>
    <w:p w14:paraId="5B4EA465" w14:textId="77777777" w:rsidR="000E7A5A" w:rsidRPr="007A6EA3" w:rsidRDefault="00306071" w:rsidP="00E76A87">
      <w:pPr>
        <w:pStyle w:val="Naslov3"/>
      </w:pPr>
      <w:bookmarkStart w:id="1583" w:name="_Toc1374897854"/>
      <w:bookmarkStart w:id="1584" w:name="_Toc220740174"/>
      <w:bookmarkStart w:id="1585" w:name="_Toc620551115"/>
      <w:bookmarkStart w:id="1586" w:name="_Toc769030567"/>
      <w:bookmarkStart w:id="1587" w:name="_Toc1637756029"/>
      <w:bookmarkStart w:id="1588" w:name="_Toc768623465"/>
      <w:bookmarkStart w:id="1589" w:name="_Toc7659090"/>
      <w:bookmarkStart w:id="1590" w:name="_Toc111212168"/>
      <w:bookmarkStart w:id="1591" w:name="_Toc1541013623"/>
      <w:bookmarkStart w:id="1592" w:name="_Toc1290105784"/>
      <w:bookmarkStart w:id="1593" w:name="_Toc1557529409"/>
      <w:bookmarkStart w:id="1594" w:name="_Toc66753974"/>
      <w:bookmarkStart w:id="1595" w:name="_Toc842672056"/>
      <w:bookmarkStart w:id="1596" w:name="_Toc340688864"/>
      <w:bookmarkStart w:id="1597" w:name="_Toc175547755"/>
      <w:bookmarkStart w:id="1598" w:name="_Toc256529342"/>
      <w:bookmarkStart w:id="1599" w:name="_Toc976508059"/>
      <w:bookmarkStart w:id="1600" w:name="_Toc2004676796"/>
      <w:bookmarkStart w:id="1601" w:name="_Toc727872038"/>
      <w:bookmarkStart w:id="1602" w:name="_Toc1848716506"/>
      <w:bookmarkStart w:id="1603" w:name="_Toc1963227244"/>
      <w:bookmarkStart w:id="1604" w:name="_Toc1016752120"/>
      <w:bookmarkStart w:id="1605" w:name="_Toc1825653214"/>
      <w:bookmarkStart w:id="1606" w:name="_Toc449050139"/>
      <w:bookmarkStart w:id="1607" w:name="_Toc1363953080"/>
      <w:bookmarkStart w:id="1608" w:name="_Toc2129089729"/>
      <w:bookmarkStart w:id="1609" w:name="_Toc915535295"/>
      <w:bookmarkStart w:id="1610" w:name="_Toc1054932479"/>
      <w:bookmarkStart w:id="1611" w:name="_Toc1233395499"/>
      <w:bookmarkStart w:id="1612" w:name="_Toc280653518"/>
      <w:bookmarkStart w:id="1613" w:name="_Toc1358405249"/>
      <w:bookmarkStart w:id="1614" w:name="_Toc1170100571"/>
      <w:bookmarkStart w:id="1615" w:name="_Toc553801803"/>
      <w:bookmarkStart w:id="1616" w:name="_Toc2126471709"/>
      <w:bookmarkStart w:id="1617" w:name="_Toc1260400161"/>
      <w:bookmarkStart w:id="1618" w:name="_Toc1413672965"/>
      <w:bookmarkStart w:id="1619" w:name="_Toc329584970"/>
      <w:bookmarkStart w:id="1620" w:name="_Toc1065863994"/>
      <w:bookmarkStart w:id="1621" w:name="_Toc472309483"/>
      <w:bookmarkStart w:id="1622" w:name="_Toc150774464"/>
      <w:bookmarkStart w:id="1623" w:name="_Toc1894722122"/>
      <w:bookmarkStart w:id="1624" w:name="_Toc122139303"/>
      <w:bookmarkStart w:id="1625" w:name="_Toc676860614"/>
      <w:bookmarkStart w:id="1626" w:name="_Toc374806626"/>
      <w:bookmarkStart w:id="1627" w:name="_Toc310323301"/>
      <w:bookmarkStart w:id="1628" w:name="_Toc1316700242"/>
      <w:bookmarkStart w:id="1629" w:name="_Toc1348849056"/>
      <w:bookmarkStart w:id="1630" w:name="_Toc283997063"/>
      <w:bookmarkStart w:id="1631" w:name="_Toc1642931745"/>
      <w:bookmarkStart w:id="1632" w:name="_Toc574839745"/>
      <w:bookmarkStart w:id="1633" w:name="_Toc1108795679"/>
      <w:bookmarkStart w:id="1634" w:name="_Toc477911613"/>
      <w:bookmarkStart w:id="1635" w:name="_Toc989222300"/>
      <w:bookmarkStart w:id="1636" w:name="_Toc631544940"/>
      <w:bookmarkStart w:id="1637" w:name="_Toc388322022"/>
      <w:bookmarkStart w:id="1638" w:name="_Toc2018078475"/>
      <w:bookmarkStart w:id="1639" w:name="_Toc1731865448"/>
      <w:bookmarkStart w:id="1640" w:name="_Toc315855856"/>
      <w:bookmarkStart w:id="1641" w:name="_Toc706600767"/>
      <w:bookmarkStart w:id="1642" w:name="_Toc1281501835"/>
      <w:bookmarkStart w:id="1643" w:name="_Toc987484312"/>
      <w:bookmarkStart w:id="1644" w:name="_Toc1761844293"/>
      <w:bookmarkStart w:id="1645" w:name="_Toc1964350794"/>
      <w:bookmarkStart w:id="1646" w:name="_Toc1058367638"/>
      <w:bookmarkStart w:id="1647" w:name="_Toc2106954241"/>
      <w:bookmarkStart w:id="1648" w:name="_Toc359134396"/>
      <w:bookmarkStart w:id="1649" w:name="_Toc306947198"/>
      <w:bookmarkStart w:id="1650" w:name="_Toc828140230"/>
      <w:bookmarkStart w:id="1651" w:name="_Toc227911933"/>
      <w:bookmarkStart w:id="1652" w:name="_Toc1008121197"/>
      <w:bookmarkStart w:id="1653" w:name="_Toc88752867"/>
      <w:bookmarkStart w:id="1654" w:name="_Toc1763143328"/>
      <w:bookmarkStart w:id="1655" w:name="_Toc1558736357"/>
      <w:bookmarkStart w:id="1656" w:name="_Toc1883901210"/>
      <w:bookmarkStart w:id="1657" w:name="_Toc916242096"/>
      <w:bookmarkStart w:id="1658" w:name="_Toc270873217"/>
      <w:bookmarkStart w:id="1659" w:name="_Toc1345219516"/>
      <w:bookmarkStart w:id="1660" w:name="_Toc1979435199"/>
      <w:bookmarkStart w:id="1661" w:name="_Toc1376483127"/>
      <w:bookmarkStart w:id="1662" w:name="_Toc987058980"/>
      <w:bookmarkStart w:id="1663" w:name="_Toc800641782"/>
      <w:bookmarkStart w:id="1664" w:name="_Toc642747610"/>
      <w:bookmarkStart w:id="1665" w:name="_Toc632693622"/>
      <w:bookmarkStart w:id="1666" w:name="_Toc1986349256"/>
      <w:bookmarkStart w:id="1667" w:name="_Toc187739341"/>
      <w:bookmarkStart w:id="1668" w:name="_Toc187740088"/>
      <w:bookmarkStart w:id="1669" w:name="_Toc192681996"/>
      <w:r w:rsidRPr="007A6EA3">
        <w:rPr>
          <w:rStyle w:val="Neenpoudarek"/>
          <w:i w:val="0"/>
          <w:iCs w:val="0"/>
          <w:color w:val="0070C0"/>
        </w:rPr>
        <w:t>2.2.4</w:t>
      </w:r>
      <w:r w:rsidRPr="007A6EA3">
        <w:tab/>
      </w:r>
      <w:r w:rsidRPr="007A6EA3">
        <w:rPr>
          <w:rStyle w:val="Neenpoudarek"/>
          <w:i w:val="0"/>
          <w:iCs w:val="0"/>
          <w:color w:val="0070C0"/>
        </w:rPr>
        <w:t>Finančni instrumenti (FI)</w:t>
      </w:r>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p>
    <w:p w14:paraId="73058F54" w14:textId="77777777" w:rsidR="000E7A5A" w:rsidRPr="007A6EA3" w:rsidRDefault="000E7A5A" w:rsidP="00367FBF">
      <w:pPr>
        <w:spacing w:after="0" w:line="276" w:lineRule="auto"/>
        <w:jc w:val="both"/>
        <w:rPr>
          <w:rFonts w:eastAsia="Calibri" w:cs="Arial"/>
          <w:szCs w:val="20"/>
        </w:rPr>
      </w:pPr>
    </w:p>
    <w:p w14:paraId="237DA693" w14:textId="097B7F48" w:rsidR="004A6ED4" w:rsidRPr="00367FBF" w:rsidRDefault="00306071" w:rsidP="00367FBF">
      <w:pPr>
        <w:spacing w:after="0" w:line="276" w:lineRule="auto"/>
        <w:jc w:val="both"/>
        <w:rPr>
          <w:rFonts w:eastAsia="Calibri" w:cs="Arial"/>
          <w:szCs w:val="20"/>
        </w:rPr>
      </w:pPr>
      <w:r w:rsidRPr="00367FBF">
        <w:rPr>
          <w:rFonts w:eastAsia="Calibri" w:cs="Arial"/>
          <w:szCs w:val="20"/>
        </w:rPr>
        <w:t>V PEKP 21–27 so finančni instrumenti (v nadaljevanju: FI) predvideni v okviru povratnih in tudi nepovratnih sredstev sklada ESRR v skupni vrednosti 190 mio EUR. Sredstva namenjena za FI so razdeljena na 5 specifičnih ciljev v okviru 3 prednostnih nalog na podlagi izvedene Predhodne ocene potreb trga in vrzeli financiranja na trgu za izvajanje finančnih instrumentov v programskem obdobju 2021</w:t>
      </w:r>
      <w:r w:rsidR="003037F8" w:rsidRPr="003037F8">
        <w:rPr>
          <w:rFonts w:eastAsia="Calibri" w:cs="Arial"/>
          <w:szCs w:val="20"/>
        </w:rPr>
        <w:t>–</w:t>
      </w:r>
      <w:r w:rsidRPr="00367FBF">
        <w:rPr>
          <w:rFonts w:eastAsia="Calibri" w:cs="Arial"/>
          <w:szCs w:val="20"/>
        </w:rPr>
        <w:t>2027 (v nadaljevanju: Predhodna ocena):</w:t>
      </w:r>
    </w:p>
    <w:p w14:paraId="59F8D18E" w14:textId="77777777" w:rsidR="000E7A5A" w:rsidRPr="00367FBF" w:rsidRDefault="00306071" w:rsidP="00367FBF">
      <w:pPr>
        <w:pStyle w:val="Odstavekseznama"/>
        <w:numPr>
          <w:ilvl w:val="0"/>
          <w:numId w:val="33"/>
        </w:numPr>
        <w:spacing w:after="0" w:line="276" w:lineRule="auto"/>
        <w:jc w:val="both"/>
        <w:rPr>
          <w:rFonts w:cs="Arial"/>
          <w:szCs w:val="20"/>
        </w:rPr>
      </w:pPr>
      <w:r w:rsidRPr="00367FBF">
        <w:rPr>
          <w:rFonts w:cs="Arial"/>
          <w:szCs w:val="20"/>
        </w:rPr>
        <w:t>specifični cilj RSO 1.1, Razvoj in izboljšanje raziskovalne in inovacijske zmogljivosti ter uvajanje naprednih tehnologij (ESRR)</w:t>
      </w:r>
      <w:r w:rsidRPr="00367FBF">
        <w:rPr>
          <w:rFonts w:cs="Arial"/>
          <w:b/>
          <w:bCs/>
          <w:szCs w:val="20"/>
        </w:rPr>
        <w:t xml:space="preserve"> </w:t>
      </w:r>
      <w:r w:rsidRPr="00367FBF">
        <w:rPr>
          <w:rFonts w:cs="Arial"/>
          <w:szCs w:val="20"/>
        </w:rPr>
        <w:t>–</w:t>
      </w:r>
      <w:r w:rsidRPr="00367FBF">
        <w:rPr>
          <w:rFonts w:cs="Arial"/>
          <w:b/>
          <w:bCs/>
          <w:szCs w:val="20"/>
        </w:rPr>
        <w:t xml:space="preserve"> </w:t>
      </w:r>
      <w:r w:rsidRPr="00367FBF">
        <w:rPr>
          <w:rFonts w:cs="Arial"/>
          <w:szCs w:val="20"/>
        </w:rPr>
        <w:t xml:space="preserve">FI se predvidevajo na področju krepitve vlaganj v raziskovalne razvojne in inovacijske projekte ter sodelovanje med raziskovalnimi organizacijami, gospodarstvom, upravo in ostalimi deležniki. </w:t>
      </w:r>
    </w:p>
    <w:p w14:paraId="398C0AC1" w14:textId="50E206B4" w:rsidR="000E7A5A" w:rsidRPr="00367FBF" w:rsidRDefault="4EE128E9" w:rsidP="2EA23F19">
      <w:pPr>
        <w:pStyle w:val="Odstavekseznama"/>
        <w:numPr>
          <w:ilvl w:val="0"/>
          <w:numId w:val="33"/>
        </w:numPr>
        <w:spacing w:after="0" w:line="276" w:lineRule="auto"/>
        <w:jc w:val="both"/>
        <w:rPr>
          <w:rFonts w:cs="Arial"/>
        </w:rPr>
      </w:pPr>
      <w:r w:rsidRPr="00F7FCEE">
        <w:rPr>
          <w:rFonts w:cs="Arial"/>
        </w:rPr>
        <w:t xml:space="preserve">specifični cilj RSO 1.3, Krepitev trajnostne rasti in konkurenčnosti malih in srednjih podjetij ter ustvarjanje delovnih mest v malih in srednjih podjetjih, med drugim s produktivnimi naložbami (ESRR) – </w:t>
      </w:r>
      <w:r w:rsidR="000A39E5">
        <w:rPr>
          <w:rFonts w:cs="Arial"/>
        </w:rPr>
        <w:t xml:space="preserve">z </w:t>
      </w:r>
      <w:r w:rsidR="000A39E5" w:rsidRPr="000A39E5">
        <w:rPr>
          <w:rFonts w:cs="Arial"/>
        </w:rPr>
        <w:t>izvajanje</w:t>
      </w:r>
      <w:r w:rsidR="000A39E5">
        <w:rPr>
          <w:rFonts w:cs="Arial"/>
        </w:rPr>
        <w:t>m</w:t>
      </w:r>
      <w:r w:rsidR="000A39E5" w:rsidRPr="000A39E5">
        <w:rPr>
          <w:rFonts w:cs="Arial"/>
        </w:rPr>
        <w:t xml:space="preserve"> garancij (s subvencijo obrestne mere) se bo spodbujala rast in razvoj MSP z izvedbo investicijskih projektov (za njihovo konkurenčno uveljavljanje na trgu, izboljšan tržni položaj in širitev dejavnosti).</w:t>
      </w:r>
      <w:r w:rsidRPr="00F7FCEE">
        <w:rPr>
          <w:rFonts w:cs="Arial"/>
        </w:rPr>
        <w:t>.</w:t>
      </w:r>
    </w:p>
    <w:p w14:paraId="4C85639B" w14:textId="12FD9D10" w:rsidR="000E7A5A" w:rsidRPr="00367FBF" w:rsidRDefault="4EE128E9" w:rsidP="2EA23F19">
      <w:pPr>
        <w:pStyle w:val="Odstavekseznama"/>
        <w:numPr>
          <w:ilvl w:val="0"/>
          <w:numId w:val="33"/>
        </w:numPr>
        <w:spacing w:after="0" w:line="276" w:lineRule="auto"/>
        <w:jc w:val="both"/>
        <w:rPr>
          <w:rFonts w:cs="Arial"/>
        </w:rPr>
      </w:pPr>
      <w:r w:rsidRPr="00F7FCEE">
        <w:rPr>
          <w:rFonts w:cs="Arial"/>
        </w:rPr>
        <w:t xml:space="preserve">specifični cilj RSO 2.1, Spodbujanje energijske učinkovitosti in zmanjševanje emisij toplogrednih plinov – uporaba FI je predvidena pri energetski prenovi stavb </w:t>
      </w:r>
      <w:r w:rsidR="702AAB90" w:rsidRPr="00F7FCEE">
        <w:rPr>
          <w:rFonts w:cs="Arial"/>
        </w:rPr>
        <w:t>poslovnih objektov</w:t>
      </w:r>
      <w:r w:rsidRPr="00F7FCEE">
        <w:rPr>
          <w:rFonts w:cs="Arial"/>
        </w:rPr>
        <w:t>. predvidoma se bo izvajal v kombinaciji z nepovratnimi sredstvi v okviru ene operacije.</w:t>
      </w:r>
    </w:p>
    <w:p w14:paraId="344B14D0" w14:textId="77777777" w:rsidR="000E7A5A" w:rsidRPr="00367FBF" w:rsidRDefault="00306071" w:rsidP="00367FBF">
      <w:pPr>
        <w:pStyle w:val="Odstavekseznama"/>
        <w:numPr>
          <w:ilvl w:val="0"/>
          <w:numId w:val="33"/>
        </w:numPr>
        <w:spacing w:after="0" w:line="276" w:lineRule="auto"/>
        <w:jc w:val="both"/>
        <w:rPr>
          <w:rFonts w:cs="Arial"/>
          <w:szCs w:val="20"/>
        </w:rPr>
      </w:pPr>
      <w:r w:rsidRPr="00367FBF">
        <w:rPr>
          <w:rFonts w:cs="Arial"/>
          <w:szCs w:val="20"/>
        </w:rPr>
        <w:t xml:space="preserve">specifični cilj RSO 2.6, Spodbujanje prehoda na krožno gospodarstvo, gospodarni z viri (ESSR) – uporaba FI se predvideva za spodbujanje krožnih inovacijskih procesov in učinkovite rabe virov v podjetjih. </w:t>
      </w:r>
    </w:p>
    <w:p w14:paraId="3F6A51CB" w14:textId="77777777" w:rsidR="000E7A5A" w:rsidRPr="00367FBF" w:rsidRDefault="00306071" w:rsidP="00367FBF">
      <w:pPr>
        <w:pStyle w:val="Odstavekseznama"/>
        <w:numPr>
          <w:ilvl w:val="0"/>
          <w:numId w:val="33"/>
        </w:numPr>
        <w:spacing w:after="0" w:line="276" w:lineRule="auto"/>
        <w:jc w:val="both"/>
        <w:rPr>
          <w:rFonts w:cs="Arial"/>
          <w:szCs w:val="20"/>
        </w:rPr>
      </w:pPr>
      <w:r w:rsidRPr="00367FBF">
        <w:rPr>
          <w:rFonts w:cs="Arial"/>
          <w:szCs w:val="20"/>
        </w:rPr>
        <w:t xml:space="preserve">specifični cilj RSO 5.1, Spodbujanje celostnega in vključujočega socialnega, gospodarskega in </w:t>
      </w:r>
      <w:proofErr w:type="spellStart"/>
      <w:r w:rsidRPr="00367FBF">
        <w:rPr>
          <w:rFonts w:cs="Arial"/>
          <w:szCs w:val="20"/>
        </w:rPr>
        <w:t>okoljskega</w:t>
      </w:r>
      <w:proofErr w:type="spellEnd"/>
      <w:r w:rsidRPr="00367FBF">
        <w:rPr>
          <w:rFonts w:cs="Arial"/>
          <w:szCs w:val="20"/>
        </w:rPr>
        <w:t xml:space="preserve"> razvoja, kulture in naravne dediščine, trajnostnega turizma in varnosti na mestnih območjih –</w:t>
      </w:r>
      <w:r w:rsidRPr="00367FBF">
        <w:rPr>
          <w:rFonts w:cs="Arial"/>
          <w:b/>
          <w:bCs/>
          <w:szCs w:val="20"/>
        </w:rPr>
        <w:t xml:space="preserve"> </w:t>
      </w:r>
      <w:r w:rsidRPr="00367FBF">
        <w:rPr>
          <w:rFonts w:cs="Arial"/>
          <w:szCs w:val="20"/>
        </w:rPr>
        <w:t>prispevati k povečanju kakovosti, raznolikosti in dostopnosti urbanih vsebin, krepitvi kakovosti življenja v mestu z oživljanjem razvrednotenih in premalo izkoriščenih območij v mestih in aktivaciji občanov ter druge zainteresirane javnosti.</w:t>
      </w:r>
    </w:p>
    <w:p w14:paraId="6CD0B79A" w14:textId="77777777" w:rsidR="000E7A5A" w:rsidRPr="00BE73DC" w:rsidRDefault="000E7A5A" w:rsidP="00BE73DC">
      <w:pPr>
        <w:spacing w:after="0" w:line="276" w:lineRule="auto"/>
        <w:jc w:val="both"/>
        <w:rPr>
          <w:rFonts w:eastAsia="Calibri" w:cs="Arial"/>
          <w:szCs w:val="20"/>
        </w:rPr>
      </w:pPr>
    </w:p>
    <w:p w14:paraId="1E208D80" w14:textId="262D4455" w:rsidR="000E7A5A" w:rsidRPr="00367FBF" w:rsidRDefault="00306071" w:rsidP="00367FBF">
      <w:pPr>
        <w:overflowPunct w:val="0"/>
        <w:autoSpaceDE w:val="0"/>
        <w:spacing w:after="0" w:line="276" w:lineRule="auto"/>
        <w:jc w:val="both"/>
        <w:textAlignment w:val="baseline"/>
        <w:rPr>
          <w:rFonts w:cs="Arial"/>
          <w:szCs w:val="20"/>
        </w:rPr>
      </w:pPr>
      <w:r w:rsidRPr="00367FBF">
        <w:rPr>
          <w:rFonts w:eastAsia="Calibri" w:cs="Arial"/>
          <w:szCs w:val="20"/>
        </w:rPr>
        <w:t>MKRR v vlogi OU bo v programskem obdobju 2021</w:t>
      </w:r>
      <w:r w:rsidRPr="00367FBF">
        <w:rPr>
          <w:rFonts w:cs="Arial"/>
          <w:szCs w:val="20"/>
        </w:rPr>
        <w:t>–</w:t>
      </w:r>
      <w:r w:rsidRPr="00367FBF">
        <w:rPr>
          <w:rFonts w:eastAsia="Calibri" w:cs="Arial"/>
          <w:szCs w:val="20"/>
        </w:rPr>
        <w:t xml:space="preserve">2027 na nacionalni ravni izvajal FI s podelitvijo nalog v izvajanje. </w:t>
      </w:r>
      <w:r w:rsidRPr="00367FBF">
        <w:rPr>
          <w:rFonts w:cs="Arial"/>
          <w:szCs w:val="20"/>
        </w:rPr>
        <w:t xml:space="preserve">PT pristojno za izvajanje FI je </w:t>
      </w:r>
      <w:r w:rsidR="00B90D60">
        <w:rPr>
          <w:rFonts w:cs="Arial"/>
          <w:szCs w:val="20"/>
        </w:rPr>
        <w:t>m</w:t>
      </w:r>
      <w:r w:rsidRPr="00367FBF">
        <w:rPr>
          <w:rFonts w:cs="Arial"/>
          <w:szCs w:val="20"/>
        </w:rPr>
        <w:t xml:space="preserve">inistrstvo pristojno za gospodarstvo, turizem in šport (MGTŠ). PT pristojno za izvajanje FI pri načrtovanju in izvajanju FI sodeluje pri načrtovanju, izvajanju in spremljanju FI z sodelujočimi ministrstvi MOPE, MNVP in ZMOS, opredeljenimi v skladu z drugim odstavkom 27. členom Uredbe EKP. </w:t>
      </w:r>
    </w:p>
    <w:p w14:paraId="61E13965" w14:textId="77777777" w:rsidR="000E7A5A" w:rsidRPr="00367FBF" w:rsidRDefault="000E7A5A" w:rsidP="00367FBF">
      <w:pPr>
        <w:overflowPunct w:val="0"/>
        <w:autoSpaceDE w:val="0"/>
        <w:spacing w:after="0" w:line="276" w:lineRule="auto"/>
        <w:jc w:val="both"/>
        <w:textAlignment w:val="baseline"/>
        <w:rPr>
          <w:rFonts w:cs="Arial"/>
          <w:szCs w:val="20"/>
        </w:rPr>
      </w:pPr>
    </w:p>
    <w:p w14:paraId="1863C5FD" w14:textId="7AEFFEB9" w:rsidR="000E7A5A" w:rsidRPr="00367FBF" w:rsidRDefault="00306071" w:rsidP="00367FBF">
      <w:pPr>
        <w:pStyle w:val="Odstavekseznama"/>
        <w:spacing w:after="0" w:line="276" w:lineRule="auto"/>
        <w:ind w:left="0"/>
        <w:jc w:val="both"/>
        <w:rPr>
          <w:rFonts w:cs="Arial"/>
          <w:szCs w:val="20"/>
        </w:rPr>
      </w:pPr>
      <w:r w:rsidRPr="00367FBF">
        <w:rPr>
          <w:rFonts w:cs="Arial"/>
          <w:szCs w:val="20"/>
        </w:rPr>
        <w:t xml:space="preserve">V izvedeni Predhodni oceni je bila izmed treh možnih glavnih načinov izvajanja (struktura holdinškega sklada, struktura posebnega sklada in neposredno izvajanje s strani OU) predlagana struktura izvajanja FI preko holdinškega sklada. </w:t>
      </w:r>
      <w:r w:rsidRPr="00367FBF">
        <w:rPr>
          <w:rFonts w:eastAsia="Calibri" w:cs="Arial"/>
          <w:szCs w:val="20"/>
        </w:rPr>
        <w:t>Dne 26. 6. 2024 je bilo sprejeto vladno gradivo Informacija o predlogu strukture izvajanja finančnih instrumentov 2021</w:t>
      </w:r>
      <w:r w:rsidR="003037F8" w:rsidRPr="003037F8">
        <w:rPr>
          <w:rFonts w:eastAsia="Calibri" w:cs="Arial"/>
          <w:szCs w:val="20"/>
        </w:rPr>
        <w:t>–</w:t>
      </w:r>
      <w:r w:rsidRPr="00367FBF">
        <w:rPr>
          <w:rFonts w:eastAsia="Calibri" w:cs="Arial"/>
          <w:szCs w:val="20"/>
        </w:rPr>
        <w:t xml:space="preserve">2027 preko enega holdinškega sklada. V skladu s četrtim odstavkom člena 59 Uredbe (EU) 2021/1060, ko telo ki ga izbere OU, izvaja holdinški sklad, lahko nadalje izbere druga telesa za izvajanje posebnih skladov. </w:t>
      </w:r>
    </w:p>
    <w:p w14:paraId="46AF3CC6" w14:textId="77777777" w:rsidR="000E7A5A" w:rsidRPr="00367FBF" w:rsidRDefault="000E7A5A" w:rsidP="00367FBF">
      <w:pPr>
        <w:pStyle w:val="Odstavekseznama"/>
        <w:spacing w:after="0" w:line="276" w:lineRule="auto"/>
        <w:ind w:left="0"/>
        <w:jc w:val="both"/>
        <w:rPr>
          <w:rFonts w:eastAsia="Calibri" w:cs="Arial"/>
          <w:szCs w:val="20"/>
        </w:rPr>
      </w:pPr>
    </w:p>
    <w:p w14:paraId="4BBB44CE" w14:textId="0952286B" w:rsidR="000E7A5A" w:rsidRPr="00367FBF" w:rsidRDefault="00306071" w:rsidP="00367FBF">
      <w:pPr>
        <w:pStyle w:val="Odstavekseznama"/>
        <w:spacing w:after="0" w:line="276" w:lineRule="auto"/>
        <w:ind w:left="0"/>
        <w:jc w:val="both"/>
        <w:rPr>
          <w:rFonts w:eastAsia="Calibri" w:cs="Arial"/>
          <w:szCs w:val="20"/>
        </w:rPr>
      </w:pPr>
      <w:r w:rsidRPr="00367FBF">
        <w:rPr>
          <w:rFonts w:eastAsia="Calibri" w:cs="Arial"/>
          <w:szCs w:val="20"/>
        </w:rPr>
        <w:t>Dne 12. 9. 2024 je bil na vladi sprejet dokument Ključni elementi finančnih instrumentov za obdobje 2021</w:t>
      </w:r>
      <w:r w:rsidR="003037F8" w:rsidRPr="003037F8">
        <w:rPr>
          <w:rFonts w:eastAsia="Calibri" w:cs="Arial"/>
          <w:szCs w:val="20"/>
        </w:rPr>
        <w:t>–</w:t>
      </w:r>
      <w:r w:rsidRPr="00367FBF">
        <w:rPr>
          <w:rFonts w:eastAsia="Calibri" w:cs="Arial"/>
          <w:szCs w:val="20"/>
        </w:rPr>
        <w:t xml:space="preserve">2027 (KEFI verzija 1.0), ki predstavlja osnovo za postopke izbora upravljavca </w:t>
      </w:r>
      <w:r w:rsidR="005F66E4" w:rsidRPr="00367FBF">
        <w:rPr>
          <w:rFonts w:eastAsia="Calibri" w:cs="Arial"/>
          <w:szCs w:val="20"/>
        </w:rPr>
        <w:t>holdinškega</w:t>
      </w:r>
      <w:r w:rsidRPr="00367FBF">
        <w:rPr>
          <w:rFonts w:eastAsia="Calibri" w:cs="Arial"/>
          <w:szCs w:val="20"/>
        </w:rPr>
        <w:t xml:space="preserve"> sklada in podlago ter usmeritev za oblikovanje in izvajanje FI v Sloveniji. Dne 12. 9. 2024 je bil na vladi tudi sprejet dokument Načrt izvajanja finančnih instrumentov v letih 2025 in 2026, ki predvideva dinamiko izplačil v teh dveh letih in je obvezna priloga proračuna RS. Dne 21</w:t>
      </w:r>
      <w:r w:rsidR="00B90D60">
        <w:rPr>
          <w:rFonts w:eastAsia="Calibri" w:cs="Arial"/>
          <w:szCs w:val="20"/>
        </w:rPr>
        <w:t>.</w:t>
      </w:r>
      <w:r w:rsidRPr="00367FBF">
        <w:rPr>
          <w:rFonts w:eastAsia="Calibri" w:cs="Arial"/>
          <w:szCs w:val="20"/>
        </w:rPr>
        <w:t xml:space="preserve"> 11</w:t>
      </w:r>
      <w:r w:rsidR="00B90D60">
        <w:rPr>
          <w:rFonts w:eastAsia="Calibri" w:cs="Arial"/>
          <w:szCs w:val="20"/>
        </w:rPr>
        <w:t xml:space="preserve">. </w:t>
      </w:r>
      <w:r w:rsidRPr="00367FBF">
        <w:rPr>
          <w:rFonts w:eastAsia="Calibri" w:cs="Arial"/>
          <w:szCs w:val="20"/>
        </w:rPr>
        <w:t>2024 je bil na vladi sprejeti KEFI verzija 1.1, ki je vseboval spremembe v višini finančnih vzvodov, razširitev ciljne skupine in postopnost celovitih obnov na področju energetske učinkovitosti, prenos sredstev namenjenih za lastniško financiranje na garancije za MSP in prilagoditev vrednosti kazalnikov.</w:t>
      </w:r>
    </w:p>
    <w:p w14:paraId="6A4B7A9C" w14:textId="77777777" w:rsidR="000E7A5A" w:rsidRPr="00367FBF" w:rsidRDefault="000E7A5A" w:rsidP="00367FBF">
      <w:pPr>
        <w:pStyle w:val="Odstavekseznama"/>
        <w:spacing w:after="0" w:line="276" w:lineRule="auto"/>
        <w:ind w:left="0"/>
        <w:jc w:val="both"/>
        <w:rPr>
          <w:rFonts w:eastAsia="Calibri" w:cs="Arial"/>
          <w:szCs w:val="20"/>
        </w:rPr>
      </w:pPr>
    </w:p>
    <w:p w14:paraId="6CABA276" w14:textId="77777777" w:rsidR="000E7A5A" w:rsidRPr="00367FBF" w:rsidRDefault="00306071" w:rsidP="00E247FF">
      <w:pPr>
        <w:autoSpaceDE w:val="0"/>
        <w:spacing w:after="0" w:line="276" w:lineRule="auto"/>
        <w:jc w:val="both"/>
        <w:rPr>
          <w:rFonts w:cs="Arial"/>
          <w:sz w:val="18"/>
          <w:szCs w:val="20"/>
        </w:rPr>
      </w:pPr>
      <w:r w:rsidRPr="00367FBF">
        <w:rPr>
          <w:rFonts w:eastAsia="Calibri" w:cs="Arial"/>
          <w:szCs w:val="20"/>
        </w:rPr>
        <w:lastRenderedPageBreak/>
        <w:t xml:space="preserve">V oktobru je bila predvidenemu upravljavcu holdinškega sklada – SID banki posredovan dopis s </w:t>
      </w:r>
      <w:r w:rsidRPr="00367FBF">
        <w:rPr>
          <w:rFonts w:eastAsia="Arial" w:cs="Arial"/>
          <w:szCs w:val="20"/>
        </w:rPr>
        <w:t>pozivom za predložitev gradiva za izbor upravljavca holdinškega sklada in pripravljen osnutek Sporazuma o financiranju. MGTŠ je skupaj s sodelujočima ministrstvoma pripravilo naložbeno strategijo, ki bo natančneje opredelila minimalne pogoje in določila cilje, ki jih bo moral holdinški sklad zasledovati. SID banka je posredovala vlogo za izbor upravljavca holdinškega sklada v decembru, na katero pa je MGTŠ odgovoril s pozivom na dopolnitev (predvsem v delu poslovno finančnega načrta in naložbene strategije).</w:t>
      </w:r>
    </w:p>
    <w:p w14:paraId="4E47F97E" w14:textId="14706FE5" w:rsidR="00AC51AC" w:rsidRPr="00367FBF" w:rsidRDefault="00306071" w:rsidP="00E247FF">
      <w:pPr>
        <w:autoSpaceDE w:val="0"/>
        <w:spacing w:after="0" w:line="276" w:lineRule="auto"/>
        <w:jc w:val="both"/>
        <w:rPr>
          <w:rFonts w:eastAsia="Calibri" w:cs="Arial"/>
          <w:szCs w:val="20"/>
        </w:rPr>
      </w:pPr>
      <w:r w:rsidRPr="00367FBF">
        <w:rPr>
          <w:rFonts w:eastAsia="Calibri" w:cs="Arial"/>
          <w:szCs w:val="20"/>
        </w:rPr>
        <w:t>Predvideva se oblikovanje finančnih produktov:</w:t>
      </w:r>
    </w:p>
    <w:p w14:paraId="35A0FD71" w14:textId="77777777" w:rsidR="000E7A5A" w:rsidRPr="00367FBF" w:rsidRDefault="00306071" w:rsidP="00E247FF">
      <w:pPr>
        <w:numPr>
          <w:ilvl w:val="0"/>
          <w:numId w:val="34"/>
        </w:numPr>
        <w:autoSpaceDE w:val="0"/>
        <w:spacing w:after="17" w:line="276" w:lineRule="auto"/>
        <w:jc w:val="both"/>
        <w:rPr>
          <w:rFonts w:cs="Arial"/>
          <w:sz w:val="18"/>
          <w:szCs w:val="20"/>
        </w:rPr>
      </w:pPr>
      <w:r w:rsidRPr="00367FBF">
        <w:rPr>
          <w:rFonts w:cs="Arial"/>
          <w:color w:val="000000"/>
          <w:szCs w:val="20"/>
        </w:rPr>
        <w:t xml:space="preserve">Finančni instrument </w:t>
      </w:r>
      <w:r w:rsidRPr="00367FBF">
        <w:rPr>
          <w:rFonts w:cs="Arial"/>
          <w:b/>
          <w:bCs/>
          <w:color w:val="000000"/>
          <w:szCs w:val="20"/>
        </w:rPr>
        <w:t xml:space="preserve">za RRI </w:t>
      </w:r>
      <w:r w:rsidRPr="00367FBF">
        <w:rPr>
          <w:rFonts w:cs="Arial"/>
          <w:color w:val="000000"/>
          <w:szCs w:val="20"/>
        </w:rPr>
        <w:t xml:space="preserve">iz SC 1.1 vključujejo: posojila za RRI podjetjem vseh velikosti. </w:t>
      </w:r>
    </w:p>
    <w:p w14:paraId="7C27A3A6" w14:textId="77777777" w:rsidR="000E7A5A" w:rsidRPr="00367FBF" w:rsidRDefault="00306071" w:rsidP="00E247FF">
      <w:pPr>
        <w:numPr>
          <w:ilvl w:val="0"/>
          <w:numId w:val="35"/>
        </w:numPr>
        <w:autoSpaceDE w:val="0"/>
        <w:spacing w:after="0" w:line="276" w:lineRule="auto"/>
        <w:jc w:val="both"/>
        <w:rPr>
          <w:rFonts w:cs="Arial"/>
          <w:sz w:val="18"/>
          <w:szCs w:val="20"/>
        </w:rPr>
      </w:pPr>
      <w:r w:rsidRPr="00367FBF">
        <w:rPr>
          <w:rFonts w:cs="Arial"/>
          <w:color w:val="000000"/>
          <w:szCs w:val="20"/>
        </w:rPr>
        <w:t xml:space="preserve">Finančni instrumenti </w:t>
      </w:r>
      <w:r w:rsidRPr="00367FBF">
        <w:rPr>
          <w:rFonts w:cs="Arial"/>
          <w:b/>
          <w:bCs/>
          <w:color w:val="000000"/>
          <w:szCs w:val="20"/>
        </w:rPr>
        <w:t xml:space="preserve">za MSP </w:t>
      </w:r>
      <w:r w:rsidRPr="00367FBF">
        <w:rPr>
          <w:rFonts w:cs="Arial"/>
          <w:color w:val="000000"/>
          <w:szCs w:val="20"/>
        </w:rPr>
        <w:t xml:space="preserve">iz SC 1.3 vključujejo: garancije za bančne kredite s subvencijo obrestne mere za financiranje MSP. </w:t>
      </w:r>
    </w:p>
    <w:p w14:paraId="17BE2213" w14:textId="77777777" w:rsidR="000E7A5A" w:rsidRPr="00367FBF" w:rsidRDefault="00306071" w:rsidP="00E247FF">
      <w:pPr>
        <w:numPr>
          <w:ilvl w:val="0"/>
          <w:numId w:val="35"/>
        </w:numPr>
        <w:spacing w:after="0" w:line="276" w:lineRule="auto"/>
        <w:jc w:val="both"/>
        <w:rPr>
          <w:rFonts w:cs="Arial"/>
          <w:sz w:val="18"/>
          <w:szCs w:val="20"/>
        </w:rPr>
      </w:pPr>
      <w:r w:rsidRPr="00367FBF">
        <w:rPr>
          <w:rFonts w:cs="Arial"/>
          <w:color w:val="000000"/>
          <w:szCs w:val="20"/>
        </w:rPr>
        <w:t xml:space="preserve">Finančni instrumenti </w:t>
      </w:r>
      <w:r w:rsidRPr="00367FBF">
        <w:rPr>
          <w:rFonts w:cs="Arial"/>
          <w:b/>
          <w:bCs/>
          <w:color w:val="000000"/>
          <w:szCs w:val="20"/>
        </w:rPr>
        <w:t xml:space="preserve">za energetsko učinkovitost </w:t>
      </w:r>
      <w:r w:rsidRPr="00367FBF">
        <w:rPr>
          <w:rFonts w:cs="Arial"/>
          <w:color w:val="000000"/>
          <w:szCs w:val="20"/>
        </w:rPr>
        <w:t>iz SC 2.1 vključujejo: Posojila za energetsko učinkovitost s kombinacijo nepovratnih sredstev za poslovne subjekte,</w:t>
      </w:r>
    </w:p>
    <w:p w14:paraId="742DF5A9" w14:textId="77777777" w:rsidR="000E7A5A" w:rsidRPr="00367FBF" w:rsidRDefault="00306071" w:rsidP="00E247FF">
      <w:pPr>
        <w:numPr>
          <w:ilvl w:val="0"/>
          <w:numId w:val="35"/>
        </w:numPr>
        <w:autoSpaceDE w:val="0"/>
        <w:spacing w:after="0" w:line="276" w:lineRule="auto"/>
        <w:jc w:val="both"/>
        <w:rPr>
          <w:rFonts w:cs="Arial"/>
          <w:sz w:val="18"/>
          <w:szCs w:val="20"/>
        </w:rPr>
      </w:pPr>
      <w:r w:rsidRPr="00367FBF">
        <w:rPr>
          <w:rFonts w:cs="Arial"/>
          <w:color w:val="000000"/>
          <w:szCs w:val="20"/>
        </w:rPr>
        <w:t xml:space="preserve">Finančni instrumenti za </w:t>
      </w:r>
      <w:r w:rsidRPr="00367FBF">
        <w:rPr>
          <w:rFonts w:cs="Arial"/>
          <w:b/>
          <w:bCs/>
          <w:color w:val="000000"/>
          <w:szCs w:val="20"/>
        </w:rPr>
        <w:t xml:space="preserve">krožno gospodarstvo </w:t>
      </w:r>
      <w:r w:rsidRPr="00367FBF">
        <w:rPr>
          <w:rFonts w:cs="Arial"/>
          <w:color w:val="000000"/>
          <w:szCs w:val="20"/>
        </w:rPr>
        <w:t xml:space="preserve">iz SC 2.6 vključujejo: Posojila za prehod v krožno gospodarstvo s kombinacijo nepovratnih sredstev za podjetja. </w:t>
      </w:r>
    </w:p>
    <w:p w14:paraId="326B892E" w14:textId="77777777" w:rsidR="000A39E5" w:rsidRPr="00C57B56" w:rsidRDefault="00306071" w:rsidP="00E247FF">
      <w:pPr>
        <w:numPr>
          <w:ilvl w:val="0"/>
          <w:numId w:val="35"/>
        </w:numPr>
        <w:autoSpaceDE w:val="0"/>
        <w:spacing w:after="0" w:line="276" w:lineRule="auto"/>
        <w:jc w:val="both"/>
        <w:rPr>
          <w:rFonts w:cs="Arial"/>
          <w:sz w:val="18"/>
          <w:szCs w:val="20"/>
        </w:rPr>
      </w:pPr>
      <w:r w:rsidRPr="00367FBF">
        <w:rPr>
          <w:rFonts w:cs="Arial"/>
          <w:color w:val="000000"/>
          <w:szCs w:val="20"/>
        </w:rPr>
        <w:t xml:space="preserve">Finančni instrumenti za </w:t>
      </w:r>
      <w:r w:rsidRPr="00367FBF">
        <w:rPr>
          <w:rFonts w:cs="Arial"/>
          <w:b/>
          <w:bCs/>
          <w:color w:val="000000"/>
          <w:szCs w:val="20"/>
        </w:rPr>
        <w:t>urbani razvoj</w:t>
      </w:r>
      <w:r w:rsidRPr="00367FBF">
        <w:rPr>
          <w:rFonts w:cs="Arial"/>
          <w:color w:val="000000"/>
          <w:szCs w:val="20"/>
        </w:rPr>
        <w:t>, za SC 5.1 vključujejo: Posojila za urbani razvoj</w:t>
      </w:r>
    </w:p>
    <w:p w14:paraId="36F6D008" w14:textId="77777777" w:rsidR="000A39E5" w:rsidRDefault="000A39E5" w:rsidP="000A39E5">
      <w:pPr>
        <w:autoSpaceDE w:val="0"/>
        <w:spacing w:after="0" w:line="276" w:lineRule="auto"/>
        <w:jc w:val="both"/>
        <w:rPr>
          <w:rFonts w:cs="Arial"/>
          <w:color w:val="000000"/>
          <w:szCs w:val="20"/>
        </w:rPr>
      </w:pPr>
    </w:p>
    <w:p w14:paraId="0BE9F4B2" w14:textId="3438F09D" w:rsidR="000A39E5" w:rsidRDefault="000A39E5" w:rsidP="000A39E5">
      <w:pPr>
        <w:autoSpaceDE w:val="0"/>
        <w:spacing w:after="0" w:line="276" w:lineRule="auto"/>
        <w:jc w:val="both"/>
        <w:rPr>
          <w:rFonts w:cs="Arial"/>
          <w:color w:val="000000"/>
          <w:szCs w:val="20"/>
        </w:rPr>
      </w:pPr>
      <w:r w:rsidRPr="000A39E5">
        <w:rPr>
          <w:rFonts w:cs="Arial"/>
          <w:color w:val="000000"/>
          <w:szCs w:val="20"/>
        </w:rPr>
        <w:t>V okviru Predhodne ocene potreb trga in vrzeli financiranja na trgu za izvajanje finančnih instrumentov v programskem obdobju 2021-2027 iz leta 2022 na strani relevant</w:t>
      </w:r>
      <w:r>
        <w:rPr>
          <w:rFonts w:cs="Arial"/>
          <w:color w:val="000000"/>
          <w:szCs w:val="20"/>
        </w:rPr>
        <w:t>n</w:t>
      </w:r>
      <w:r w:rsidRPr="000A39E5">
        <w:rPr>
          <w:rFonts w:cs="Arial"/>
          <w:color w:val="000000"/>
          <w:szCs w:val="20"/>
        </w:rPr>
        <w:t>ih deležnikov ni bilo izkazanega interesa na področju uporabe finančnih instrumentov v okviru sklada ESS+. Zaradi objektivnih in subjektivnih dejavnikov na trgu ter tudi predvidene spremembe zakonodajnega področja (zakon ESOP) se je izkazala potreba po vpeljavi FI tudi v okviru ESS. Izkazan je interes na področju WBO (</w:t>
      </w:r>
      <w:proofErr w:type="spellStart"/>
      <w:r w:rsidRPr="000A39E5">
        <w:rPr>
          <w:rFonts w:cs="Arial"/>
          <w:color w:val="000000"/>
          <w:szCs w:val="20"/>
        </w:rPr>
        <w:t>workers</w:t>
      </w:r>
      <w:proofErr w:type="spellEnd"/>
      <w:r w:rsidRPr="000A39E5">
        <w:rPr>
          <w:rFonts w:cs="Arial"/>
          <w:color w:val="000000"/>
          <w:szCs w:val="20"/>
        </w:rPr>
        <w:t xml:space="preserve"> </w:t>
      </w:r>
      <w:proofErr w:type="spellStart"/>
      <w:r w:rsidRPr="000A39E5">
        <w:rPr>
          <w:rFonts w:cs="Arial"/>
          <w:color w:val="000000"/>
          <w:szCs w:val="20"/>
        </w:rPr>
        <w:t>buyout</w:t>
      </w:r>
      <w:proofErr w:type="spellEnd"/>
      <w:r w:rsidRPr="000A39E5">
        <w:rPr>
          <w:rFonts w:cs="Arial"/>
          <w:color w:val="000000"/>
          <w:szCs w:val="20"/>
        </w:rPr>
        <w:t>) oz. odkupa podjetij iz strani delavcev, z vpeljavo pilotnega finančnega instrumenta WBO v kombinaciji tudi z nepovratnimi sredstvi. Iz strani MDDSZ je predlagan prenos sredstev v višini 10 mio. Umestitev v SC v okviru prenosa sredstev bo sporočena naknadno v dogovoru z MDDSZ</w:t>
      </w:r>
      <w:r>
        <w:rPr>
          <w:rFonts w:cs="Arial"/>
          <w:color w:val="000000"/>
          <w:szCs w:val="20"/>
        </w:rPr>
        <w:t>.</w:t>
      </w:r>
    </w:p>
    <w:p w14:paraId="780D57FD" w14:textId="77777777" w:rsidR="000A39E5" w:rsidRDefault="000A39E5" w:rsidP="000A39E5">
      <w:pPr>
        <w:autoSpaceDE w:val="0"/>
        <w:spacing w:after="0" w:line="276" w:lineRule="auto"/>
        <w:jc w:val="both"/>
        <w:rPr>
          <w:rFonts w:cs="Arial"/>
          <w:color w:val="000000"/>
          <w:szCs w:val="20"/>
        </w:rPr>
      </w:pPr>
    </w:p>
    <w:p w14:paraId="100D6A21" w14:textId="02CABE65" w:rsidR="000E7A5A" w:rsidRPr="00367FBF" w:rsidRDefault="00306071" w:rsidP="00C57B56">
      <w:pPr>
        <w:autoSpaceDE w:val="0"/>
        <w:spacing w:after="0" w:line="276" w:lineRule="auto"/>
        <w:jc w:val="both"/>
        <w:rPr>
          <w:rFonts w:cs="Arial"/>
          <w:sz w:val="18"/>
          <w:szCs w:val="20"/>
        </w:rPr>
      </w:pPr>
      <w:r w:rsidRPr="00367FBF">
        <w:rPr>
          <w:rFonts w:cs="Arial"/>
          <w:color w:val="000000"/>
          <w:szCs w:val="20"/>
        </w:rPr>
        <w:t xml:space="preserve"> </w:t>
      </w:r>
      <w:bookmarkStart w:id="1670" w:name="_Toc580763187"/>
      <w:bookmarkStart w:id="1671" w:name="_Toc834433351"/>
      <w:bookmarkStart w:id="1672" w:name="_Toc617097225"/>
      <w:bookmarkStart w:id="1673" w:name="_Toc1004179587"/>
      <w:bookmarkStart w:id="1674" w:name="_Toc1132597317"/>
      <w:bookmarkStart w:id="1675" w:name="_Toc632074499"/>
      <w:bookmarkStart w:id="1676" w:name="_Toc1974990730"/>
      <w:bookmarkStart w:id="1677" w:name="_Toc72646584"/>
      <w:bookmarkStart w:id="1678" w:name="_Toc1906112658"/>
      <w:bookmarkStart w:id="1679" w:name="_Toc69449550"/>
      <w:bookmarkStart w:id="1680" w:name="_Toc1791860198"/>
      <w:bookmarkStart w:id="1681" w:name="_Toc1886724565"/>
      <w:bookmarkStart w:id="1682" w:name="_Toc153154670"/>
      <w:bookmarkStart w:id="1683" w:name="_Toc762635482"/>
      <w:bookmarkStart w:id="1684" w:name="_Toc1459141385"/>
      <w:bookmarkStart w:id="1685" w:name="_Toc1287260944"/>
      <w:bookmarkStart w:id="1686" w:name="_Toc205448023"/>
      <w:bookmarkStart w:id="1687" w:name="_Toc1440657982"/>
      <w:bookmarkStart w:id="1688" w:name="_Toc1738255217"/>
      <w:bookmarkStart w:id="1689" w:name="_Toc864810696"/>
      <w:bookmarkStart w:id="1690" w:name="_Toc1448675008"/>
      <w:bookmarkStart w:id="1691" w:name="_Toc1346700003"/>
      <w:bookmarkStart w:id="1692" w:name="_Toc1349939160"/>
      <w:bookmarkStart w:id="1693" w:name="_Toc631800321"/>
      <w:bookmarkStart w:id="1694" w:name="_Toc132377186"/>
      <w:bookmarkStart w:id="1695" w:name="_Toc1538818697"/>
      <w:bookmarkStart w:id="1696" w:name="_Toc1237851318"/>
      <w:bookmarkStart w:id="1697" w:name="_Toc1031922211"/>
      <w:bookmarkStart w:id="1698" w:name="_Toc2128656096"/>
      <w:bookmarkStart w:id="1699" w:name="_Toc1604092465"/>
      <w:bookmarkStart w:id="1700" w:name="_Toc1407597833"/>
      <w:bookmarkStart w:id="1701" w:name="_Toc1259056416"/>
      <w:bookmarkStart w:id="1702" w:name="_Toc568907757"/>
      <w:bookmarkStart w:id="1703" w:name="_Toc1631906277"/>
      <w:bookmarkStart w:id="1704" w:name="_Toc2122062691"/>
      <w:bookmarkStart w:id="1705" w:name="_Toc1410563152"/>
      <w:bookmarkStart w:id="1706" w:name="_Toc1875359901"/>
      <w:bookmarkStart w:id="1707" w:name="_Toc785044909"/>
      <w:bookmarkStart w:id="1708" w:name="_Toc1772075848"/>
      <w:bookmarkStart w:id="1709" w:name="_Toc1449408645"/>
      <w:bookmarkStart w:id="1710" w:name="_Toc80737710"/>
      <w:bookmarkStart w:id="1711" w:name="_Toc1523213872"/>
      <w:bookmarkStart w:id="1712" w:name="_Toc1123356028"/>
      <w:bookmarkStart w:id="1713" w:name="_Toc443270138"/>
      <w:bookmarkStart w:id="1714" w:name="_Toc1208355155"/>
      <w:bookmarkStart w:id="1715" w:name="_Toc922731919"/>
      <w:bookmarkStart w:id="1716" w:name="_Toc211749599"/>
      <w:bookmarkStart w:id="1717" w:name="_Toc381668040"/>
      <w:bookmarkStart w:id="1718" w:name="_Toc1225160568"/>
      <w:bookmarkStart w:id="1719" w:name="_Toc1294737329"/>
      <w:bookmarkStart w:id="1720" w:name="_Toc556167784"/>
      <w:bookmarkStart w:id="1721" w:name="_Toc1796151007"/>
      <w:bookmarkStart w:id="1722" w:name="_Toc587890258"/>
      <w:bookmarkStart w:id="1723" w:name="_Toc1813213779"/>
      <w:bookmarkStart w:id="1724" w:name="_Toc1119552026"/>
      <w:bookmarkStart w:id="1725" w:name="_Toc1050103326"/>
      <w:bookmarkStart w:id="1726" w:name="_Toc82665695"/>
      <w:bookmarkStart w:id="1727" w:name="_Toc869956436"/>
      <w:bookmarkStart w:id="1728" w:name="_Toc1683929190"/>
      <w:bookmarkStart w:id="1729" w:name="_Toc244825690"/>
      <w:bookmarkStart w:id="1730" w:name="_Toc970583786"/>
      <w:bookmarkStart w:id="1731" w:name="_Toc674784872"/>
      <w:bookmarkStart w:id="1732" w:name="_Toc1343825050"/>
      <w:bookmarkStart w:id="1733" w:name="_Toc1664791052"/>
      <w:bookmarkStart w:id="1734" w:name="_Toc640157113"/>
      <w:bookmarkStart w:id="1735" w:name="_Toc74307431"/>
      <w:bookmarkStart w:id="1736" w:name="_Toc1340888352"/>
      <w:bookmarkStart w:id="1737" w:name="_Toc491519857"/>
      <w:bookmarkStart w:id="1738" w:name="_Toc1252199544"/>
      <w:bookmarkStart w:id="1739" w:name="_Toc1092203843"/>
      <w:bookmarkStart w:id="1740" w:name="_Toc835525503"/>
      <w:bookmarkStart w:id="1741" w:name="_Toc221892000"/>
      <w:bookmarkStart w:id="1742" w:name="_Toc1465346337"/>
      <w:bookmarkStart w:id="1743" w:name="_Toc809572948"/>
      <w:bookmarkStart w:id="1744" w:name="_Toc1439055991"/>
      <w:bookmarkStart w:id="1745" w:name="_Toc676746136"/>
      <w:bookmarkStart w:id="1746" w:name="_Toc1687948362"/>
      <w:bookmarkStart w:id="1747" w:name="_Toc1686547758"/>
      <w:bookmarkStart w:id="1748" w:name="_Toc362777712"/>
      <w:bookmarkStart w:id="1749" w:name="_Toc233129740"/>
      <w:bookmarkStart w:id="1750" w:name="_Toc1975134368"/>
      <w:bookmarkStart w:id="1751" w:name="_Toc1140466957"/>
      <w:bookmarkStart w:id="1752" w:name="_Toc2097990126"/>
      <w:bookmarkStart w:id="1753" w:name="_Toc756265528"/>
    </w:p>
    <w:p w14:paraId="6DAD25F7" w14:textId="03B8773F" w:rsidR="000E7A5A" w:rsidRPr="00F425EA" w:rsidRDefault="00306071" w:rsidP="000B2C28">
      <w:pPr>
        <w:pStyle w:val="Naslov2"/>
      </w:pPr>
      <w:bookmarkStart w:id="1754" w:name="_Toc187739342"/>
      <w:bookmarkStart w:id="1755" w:name="_Toc187740089"/>
      <w:bookmarkStart w:id="1756" w:name="_Toc192681997"/>
      <w:r w:rsidRPr="00F425EA">
        <w:rPr>
          <w:rStyle w:val="Neenpoudarek"/>
          <w:rFonts w:cs="Arial"/>
          <w:i w:val="0"/>
          <w:iCs w:val="0"/>
          <w:color w:val="2E74B5"/>
        </w:rPr>
        <w:t>2.3</w:t>
      </w:r>
      <w:r w:rsidRPr="00F425EA">
        <w:tab/>
      </w:r>
      <w:r w:rsidR="005A12CC" w:rsidRPr="00F425EA">
        <w:rPr>
          <w:rStyle w:val="Naslov2Znak"/>
          <w:rFonts w:ascii="Arial" w:hAnsi="Arial" w:cs="Arial"/>
        </w:rPr>
        <w:t>VKLJUČEVANJE HORIZONTALNIH NAČEL</w:t>
      </w:r>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r w:rsidR="005A12CC" w:rsidRPr="00F425EA">
        <w:rPr>
          <w:rStyle w:val="Naslov2Znak"/>
          <w:rFonts w:ascii="Arial" w:hAnsi="Arial" w:cs="Arial"/>
        </w:rPr>
        <w:t xml:space="preserve"> </w:t>
      </w:r>
    </w:p>
    <w:p w14:paraId="2696547E" w14:textId="77777777" w:rsidR="000E7A5A" w:rsidRPr="00F425EA" w:rsidRDefault="000E7A5A" w:rsidP="005A12CC">
      <w:pPr>
        <w:spacing w:after="0" w:line="276" w:lineRule="auto"/>
        <w:jc w:val="both"/>
        <w:rPr>
          <w:rFonts w:cs="Arial"/>
        </w:rPr>
      </w:pPr>
    </w:p>
    <w:p w14:paraId="70341EA4" w14:textId="77777777" w:rsidR="000E7A5A" w:rsidRPr="00F425EA" w:rsidRDefault="00306071" w:rsidP="00E76A87">
      <w:pPr>
        <w:pStyle w:val="Naslov3"/>
      </w:pPr>
      <w:bookmarkStart w:id="1757" w:name="_Toc558113318"/>
      <w:bookmarkStart w:id="1758" w:name="_Toc156099269"/>
      <w:bookmarkStart w:id="1759" w:name="_Toc1979696261"/>
      <w:bookmarkStart w:id="1760" w:name="_Toc774545641"/>
      <w:bookmarkStart w:id="1761" w:name="_Toc999874074"/>
      <w:bookmarkStart w:id="1762" w:name="_Toc1542857343"/>
      <w:bookmarkStart w:id="1763" w:name="_Toc1147673920"/>
      <w:bookmarkStart w:id="1764" w:name="_Toc1215196151"/>
      <w:bookmarkStart w:id="1765" w:name="_Toc1581500773"/>
      <w:bookmarkStart w:id="1766" w:name="_Toc1953293120"/>
      <w:bookmarkStart w:id="1767" w:name="_Toc1220971562"/>
      <w:bookmarkStart w:id="1768" w:name="_Toc428643884"/>
      <w:bookmarkStart w:id="1769" w:name="_Toc1508938676"/>
      <w:bookmarkStart w:id="1770" w:name="_Toc145435112"/>
      <w:bookmarkStart w:id="1771" w:name="_Toc242006100"/>
      <w:bookmarkStart w:id="1772" w:name="_Toc1825137599"/>
      <w:bookmarkStart w:id="1773" w:name="_Toc1006353153"/>
      <w:bookmarkStart w:id="1774" w:name="_Toc1975543678"/>
      <w:bookmarkStart w:id="1775" w:name="_Toc997070078"/>
      <w:bookmarkStart w:id="1776" w:name="_Toc1036283233"/>
      <w:bookmarkStart w:id="1777" w:name="_Toc1499311519"/>
      <w:bookmarkStart w:id="1778" w:name="_Toc1142476605"/>
      <w:bookmarkStart w:id="1779" w:name="_Toc1898105823"/>
      <w:bookmarkStart w:id="1780" w:name="_Toc1991763782"/>
      <w:bookmarkStart w:id="1781" w:name="_Toc1846341431"/>
      <w:bookmarkStart w:id="1782" w:name="_Toc2034679929"/>
      <w:bookmarkStart w:id="1783" w:name="_Toc1928693984"/>
      <w:bookmarkStart w:id="1784" w:name="_Toc2110792669"/>
      <w:bookmarkStart w:id="1785" w:name="_Toc1650773869"/>
      <w:bookmarkStart w:id="1786" w:name="_Toc273871806"/>
      <w:bookmarkStart w:id="1787" w:name="_Toc1515715706"/>
      <w:bookmarkStart w:id="1788" w:name="_Toc1716068411"/>
      <w:bookmarkStart w:id="1789" w:name="_Toc831537231"/>
      <w:bookmarkStart w:id="1790" w:name="_Toc144302643"/>
      <w:bookmarkStart w:id="1791" w:name="_Toc1548654596"/>
      <w:bookmarkStart w:id="1792" w:name="_Toc1779238022"/>
      <w:bookmarkStart w:id="1793" w:name="_Toc1226723979"/>
      <w:bookmarkStart w:id="1794" w:name="_Toc1018963691"/>
      <w:bookmarkStart w:id="1795" w:name="_Toc1326641291"/>
      <w:bookmarkStart w:id="1796" w:name="_Toc1542758259"/>
      <w:bookmarkStart w:id="1797" w:name="_Toc1303312501"/>
      <w:bookmarkStart w:id="1798" w:name="_Toc414895430"/>
      <w:bookmarkStart w:id="1799" w:name="_Toc427851118"/>
      <w:bookmarkStart w:id="1800" w:name="_Toc1336737786"/>
      <w:bookmarkStart w:id="1801" w:name="_Toc1848669795"/>
      <w:bookmarkStart w:id="1802" w:name="_Toc1893457693"/>
      <w:bookmarkStart w:id="1803" w:name="_Toc2065895112"/>
      <w:bookmarkStart w:id="1804" w:name="_Toc2139960269"/>
      <w:bookmarkStart w:id="1805" w:name="_Toc131819938"/>
      <w:bookmarkStart w:id="1806" w:name="_Toc1018892801"/>
      <w:bookmarkStart w:id="1807" w:name="_Toc10357362"/>
      <w:bookmarkStart w:id="1808" w:name="_Toc333954729"/>
      <w:bookmarkStart w:id="1809" w:name="_Toc366005314"/>
      <w:bookmarkStart w:id="1810" w:name="_Toc1678017575"/>
      <w:bookmarkStart w:id="1811" w:name="_Toc1762413318"/>
      <w:bookmarkStart w:id="1812" w:name="_Toc413708196"/>
      <w:bookmarkStart w:id="1813" w:name="_Toc77555450"/>
      <w:bookmarkStart w:id="1814" w:name="_Toc1121514386"/>
      <w:bookmarkStart w:id="1815" w:name="_Toc232535479"/>
      <w:bookmarkStart w:id="1816" w:name="_Toc2091563131"/>
      <w:bookmarkStart w:id="1817" w:name="_Toc1354913028"/>
      <w:bookmarkStart w:id="1818" w:name="_Toc936553716"/>
      <w:bookmarkStart w:id="1819" w:name="_Toc691085642"/>
      <w:bookmarkStart w:id="1820" w:name="_Toc1759890926"/>
      <w:bookmarkStart w:id="1821" w:name="_Toc382952910"/>
      <w:bookmarkStart w:id="1822" w:name="_Toc660057890"/>
      <w:bookmarkStart w:id="1823" w:name="_Toc1141440361"/>
      <w:bookmarkStart w:id="1824" w:name="_Toc968517197"/>
      <w:bookmarkStart w:id="1825" w:name="_Toc752725378"/>
      <w:bookmarkStart w:id="1826" w:name="_Toc2038971493"/>
      <w:bookmarkStart w:id="1827" w:name="_Toc227989032"/>
      <w:bookmarkStart w:id="1828" w:name="_Toc251670046"/>
      <w:bookmarkStart w:id="1829" w:name="_Toc1948729278"/>
      <w:bookmarkStart w:id="1830" w:name="_Toc2136343496"/>
      <w:bookmarkStart w:id="1831" w:name="_Toc1609750013"/>
      <w:bookmarkStart w:id="1832" w:name="_Toc715748171"/>
      <w:bookmarkStart w:id="1833" w:name="_Toc134870302"/>
      <w:bookmarkStart w:id="1834" w:name="_Toc910021105"/>
      <w:bookmarkStart w:id="1835" w:name="_Toc1549108405"/>
      <w:bookmarkStart w:id="1836" w:name="_Toc291299978"/>
      <w:bookmarkStart w:id="1837" w:name="_Toc347535641"/>
      <w:bookmarkStart w:id="1838" w:name="_Toc1471570846"/>
      <w:bookmarkStart w:id="1839" w:name="_Toc186764607"/>
      <w:bookmarkStart w:id="1840" w:name="_Toc1496993877"/>
      <w:bookmarkStart w:id="1841" w:name="_Toc187739343"/>
      <w:bookmarkStart w:id="1842" w:name="_Toc187740090"/>
      <w:bookmarkStart w:id="1843" w:name="_Toc192681998"/>
      <w:r w:rsidRPr="00F425EA">
        <w:t>2.3.1</w:t>
      </w:r>
      <w:r w:rsidRPr="00F425EA">
        <w:tab/>
        <w:t>Izvajanje Listine Evropske unije o temeljnih pravic</w:t>
      </w:r>
      <w:r w:rsidRPr="00744524">
        <w:t>ah</w:t>
      </w:r>
      <w:r w:rsidRPr="00F425EA">
        <w:t xml:space="preserve"> in načela nediskriminacije</w:t>
      </w:r>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p>
    <w:p w14:paraId="1A88749D" w14:textId="77777777" w:rsidR="000E7A5A" w:rsidRPr="00F425EA" w:rsidRDefault="000E7A5A" w:rsidP="00367FBF">
      <w:pPr>
        <w:spacing w:after="0" w:line="276" w:lineRule="auto"/>
        <w:jc w:val="both"/>
        <w:rPr>
          <w:rFonts w:cs="Arial"/>
          <w:sz w:val="22"/>
          <w:szCs w:val="22"/>
        </w:rPr>
      </w:pPr>
    </w:p>
    <w:p w14:paraId="7FEE6866" w14:textId="77777777" w:rsidR="000E7A5A" w:rsidRPr="00367FBF" w:rsidRDefault="00306071" w:rsidP="00367FBF">
      <w:pPr>
        <w:tabs>
          <w:tab w:val="left" w:pos="-720"/>
          <w:tab w:val="left" w:pos="0"/>
          <w:tab w:val="left" w:pos="720"/>
          <w:tab w:val="left" w:pos="1440"/>
          <w:tab w:val="left" w:pos="2160"/>
          <w:tab w:val="left" w:pos="2880"/>
          <w:tab w:val="left" w:pos="3600"/>
          <w:tab w:val="left" w:pos="4320"/>
        </w:tabs>
        <w:autoSpaceDE w:val="0"/>
        <w:spacing w:after="0" w:line="276" w:lineRule="auto"/>
        <w:ind w:right="-2"/>
        <w:jc w:val="both"/>
        <w:rPr>
          <w:rFonts w:cs="Arial"/>
        </w:rPr>
      </w:pPr>
      <w:r w:rsidRPr="00367FBF">
        <w:rPr>
          <w:rFonts w:cs="Arial"/>
          <w:szCs w:val="20"/>
          <w:shd w:val="clear" w:color="auto" w:fill="FFFFFF"/>
        </w:rPr>
        <w:t xml:space="preserve">Države članice in Evropska komisija morajo pri izvajanju skladov zagotoviti spoštovanje temeljnih pravic in skladnost z Listino Evropske unije o temeljnih pravicah in </w:t>
      </w:r>
      <w:r w:rsidRPr="00367FBF">
        <w:rPr>
          <w:rFonts w:cs="Arial"/>
          <w:szCs w:val="20"/>
        </w:rPr>
        <w:t>Konvencijo Združenih narodov o pravicah invalidov</w:t>
      </w:r>
      <w:r w:rsidRPr="00367FBF">
        <w:rPr>
          <w:rFonts w:cs="Arial"/>
          <w:szCs w:val="20"/>
          <w:shd w:val="clear" w:color="auto" w:fill="FFFFFF"/>
        </w:rPr>
        <w:t xml:space="preserve">, zato smo na OU ta dva dokumenta vključevali </w:t>
      </w:r>
      <w:r w:rsidRPr="00367FBF">
        <w:rPr>
          <w:rFonts w:cs="Arial"/>
          <w:szCs w:val="20"/>
        </w:rPr>
        <w:t xml:space="preserve">tako v programske dokumente (Sporazum o partnerstvu in Program) kot v sistem izvajanja (del navodil, pogodbe o sofinanciranju, kontrolne liste itd.). </w:t>
      </w:r>
    </w:p>
    <w:p w14:paraId="78280830" w14:textId="77777777" w:rsidR="000E7A5A" w:rsidRPr="00367FBF" w:rsidRDefault="000E7A5A" w:rsidP="00367FBF">
      <w:pPr>
        <w:tabs>
          <w:tab w:val="left" w:pos="-720"/>
          <w:tab w:val="left" w:pos="0"/>
          <w:tab w:val="left" w:pos="720"/>
          <w:tab w:val="left" w:pos="1440"/>
          <w:tab w:val="left" w:pos="2160"/>
          <w:tab w:val="left" w:pos="2880"/>
          <w:tab w:val="left" w:pos="3600"/>
          <w:tab w:val="left" w:pos="4320"/>
        </w:tabs>
        <w:autoSpaceDE w:val="0"/>
        <w:spacing w:after="0" w:line="276" w:lineRule="auto"/>
        <w:ind w:right="-575"/>
        <w:jc w:val="both"/>
        <w:rPr>
          <w:rFonts w:cs="Arial"/>
          <w:szCs w:val="20"/>
          <w:shd w:val="clear" w:color="auto" w:fill="FFFFFF"/>
        </w:rPr>
      </w:pPr>
    </w:p>
    <w:p w14:paraId="32CF1273" w14:textId="77777777" w:rsidR="000E7A5A" w:rsidRPr="00367FBF" w:rsidRDefault="00306071" w:rsidP="00367FBF">
      <w:pPr>
        <w:spacing w:after="0" w:line="276" w:lineRule="auto"/>
        <w:ind w:right="-2"/>
        <w:jc w:val="both"/>
        <w:rPr>
          <w:rFonts w:cs="Arial"/>
        </w:rPr>
      </w:pPr>
      <w:r w:rsidRPr="00367FBF">
        <w:rPr>
          <w:rFonts w:cs="Arial"/>
          <w:szCs w:val="20"/>
          <w:shd w:val="clear" w:color="auto" w:fill="FFFFFF"/>
        </w:rPr>
        <w:t xml:space="preserve">Gre za t. i. horizontalna </w:t>
      </w:r>
      <w:proofErr w:type="spellStart"/>
      <w:r w:rsidRPr="00367FBF">
        <w:rPr>
          <w:rFonts w:cs="Arial"/>
          <w:szCs w:val="20"/>
          <w:shd w:val="clear" w:color="auto" w:fill="FFFFFF"/>
        </w:rPr>
        <w:t>omogočitvena</w:t>
      </w:r>
      <w:proofErr w:type="spellEnd"/>
      <w:r w:rsidRPr="00367FBF">
        <w:rPr>
          <w:rFonts w:cs="Arial"/>
          <w:szCs w:val="20"/>
          <w:shd w:val="clear" w:color="auto" w:fill="FFFFFF"/>
        </w:rPr>
        <w:t xml:space="preserve"> pogoja. Njuno izpolnjevanje smo v prvi fazi zagotovili s pripravo Postopkovnika za izvajanje Listine EU o temeljnih pravicah in Konvencije ZN o pravicah invalidov v skladu s Sklepom Sveta 2010/48/ES, ki določa, na kakšen način mora biti urejeno izvajanje in spremljanje teh dveh </w:t>
      </w:r>
      <w:proofErr w:type="spellStart"/>
      <w:r w:rsidRPr="00367FBF">
        <w:rPr>
          <w:rFonts w:cs="Arial"/>
          <w:szCs w:val="20"/>
          <w:shd w:val="clear" w:color="auto" w:fill="FFFFFF"/>
        </w:rPr>
        <w:t>omogočitvenih</w:t>
      </w:r>
      <w:proofErr w:type="spellEnd"/>
      <w:r w:rsidRPr="00367FBF">
        <w:rPr>
          <w:rFonts w:cs="Arial"/>
          <w:szCs w:val="20"/>
          <w:shd w:val="clear" w:color="auto" w:fill="FFFFFF"/>
        </w:rPr>
        <w:t xml:space="preserve"> pogojev ter poročanje v okviru Programa EKP. Ob tem smo objavili tudi Smernice za uporabo načel Listine EU o temeljnih pravicah in Konvencije ZN o pravicah invalidov v okviru kohe</w:t>
      </w:r>
      <w:r w:rsidRPr="00367FBF">
        <w:rPr>
          <w:rFonts w:cs="Arial"/>
        </w:rPr>
        <w:t>z</w:t>
      </w:r>
      <w:r w:rsidRPr="00367FBF">
        <w:rPr>
          <w:rFonts w:cs="Arial"/>
          <w:szCs w:val="20"/>
          <w:shd w:val="clear" w:color="auto" w:fill="FFFFFF"/>
        </w:rPr>
        <w:t xml:space="preserve">ijske politike, ki so namenjene kot pomoč deležnikom pri zastavljanju projektov in lažjem izvajanju in zagotavljanju omenjenih dveh projektov. </w:t>
      </w:r>
    </w:p>
    <w:p w14:paraId="4D0386BD" w14:textId="77777777" w:rsidR="000E7A5A" w:rsidRPr="00367FBF" w:rsidRDefault="000E7A5A" w:rsidP="00367FBF">
      <w:pPr>
        <w:spacing w:after="0" w:line="276" w:lineRule="auto"/>
        <w:ind w:right="-573"/>
        <w:jc w:val="both"/>
        <w:rPr>
          <w:rFonts w:cs="Arial"/>
          <w:szCs w:val="20"/>
          <w:shd w:val="clear" w:color="auto" w:fill="FFFFFF"/>
        </w:rPr>
      </w:pPr>
    </w:p>
    <w:p w14:paraId="1B54ED02" w14:textId="77777777" w:rsidR="000E7A5A" w:rsidRPr="00367FBF" w:rsidRDefault="00306071" w:rsidP="00367FBF">
      <w:pPr>
        <w:spacing w:after="0" w:line="276" w:lineRule="auto"/>
        <w:ind w:right="-2"/>
        <w:jc w:val="both"/>
        <w:rPr>
          <w:rFonts w:cs="Arial"/>
          <w:szCs w:val="20"/>
          <w:shd w:val="clear" w:color="auto" w:fill="FFFFFF"/>
        </w:rPr>
      </w:pPr>
      <w:r w:rsidRPr="00367FBF">
        <w:rPr>
          <w:rFonts w:cs="Arial"/>
          <w:szCs w:val="20"/>
          <w:shd w:val="clear" w:color="auto" w:fill="FFFFFF"/>
        </w:rPr>
        <w:t xml:space="preserve">OU je za zaposlene na OU in posredniških telesih pripravil dve izobraževanji, eno na temo človekovih pravic v kohezijski politiki in drugo s poudarkom na pravicah invalidov. Usposabljanji sta bili pripravljeni predvsem z vidika, kaj vse posamezno področje zajema in na kaj morajo biti udeleženci pozorni. </w:t>
      </w:r>
    </w:p>
    <w:p w14:paraId="2415323B" w14:textId="77777777" w:rsidR="000E7A5A" w:rsidRPr="00367FBF" w:rsidRDefault="000E7A5A" w:rsidP="00367FBF">
      <w:pPr>
        <w:tabs>
          <w:tab w:val="left" w:pos="-720"/>
          <w:tab w:val="left" w:pos="0"/>
          <w:tab w:val="left" w:pos="720"/>
          <w:tab w:val="left" w:pos="1440"/>
          <w:tab w:val="left" w:pos="2160"/>
          <w:tab w:val="left" w:pos="2880"/>
          <w:tab w:val="left" w:pos="3600"/>
          <w:tab w:val="left" w:pos="4320"/>
        </w:tabs>
        <w:autoSpaceDE w:val="0"/>
        <w:spacing w:after="0" w:line="276" w:lineRule="auto"/>
        <w:ind w:right="-575"/>
        <w:jc w:val="both"/>
        <w:rPr>
          <w:rFonts w:cs="Arial"/>
          <w:szCs w:val="20"/>
          <w:shd w:val="clear" w:color="auto" w:fill="FFFFFF"/>
        </w:rPr>
      </w:pPr>
    </w:p>
    <w:p w14:paraId="5C34C65E" w14:textId="77777777" w:rsidR="000E7A5A" w:rsidRPr="00367FBF" w:rsidRDefault="00306071" w:rsidP="00367FBF">
      <w:pPr>
        <w:tabs>
          <w:tab w:val="left" w:pos="-720"/>
          <w:tab w:val="left" w:pos="0"/>
          <w:tab w:val="left" w:pos="720"/>
          <w:tab w:val="left" w:pos="1440"/>
          <w:tab w:val="left" w:pos="2160"/>
          <w:tab w:val="left" w:pos="2880"/>
          <w:tab w:val="left" w:pos="3600"/>
          <w:tab w:val="left" w:pos="4320"/>
        </w:tabs>
        <w:autoSpaceDE w:val="0"/>
        <w:spacing w:after="0" w:line="276" w:lineRule="auto"/>
        <w:ind w:right="-2"/>
        <w:jc w:val="both"/>
        <w:rPr>
          <w:rFonts w:cs="Arial"/>
        </w:rPr>
      </w:pPr>
      <w:r w:rsidRPr="00367FBF">
        <w:rPr>
          <w:rFonts w:cs="Arial"/>
          <w:bCs/>
          <w:szCs w:val="20"/>
          <w:shd w:val="clear" w:color="auto" w:fill="FFFFFF"/>
        </w:rPr>
        <w:t xml:space="preserve">Na spletni strani </w:t>
      </w:r>
      <w:hyperlink r:id="rId34" w:history="1">
        <w:r w:rsidRPr="00367FBF">
          <w:rPr>
            <w:rStyle w:val="Hiperpovezava"/>
            <w:rFonts w:cs="Arial"/>
            <w:szCs w:val="20"/>
            <w:shd w:val="clear" w:color="auto" w:fill="FFFFFF"/>
          </w:rPr>
          <w:t>www.evropskasredstva.si</w:t>
        </w:r>
      </w:hyperlink>
      <w:r w:rsidRPr="00367FBF">
        <w:rPr>
          <w:rStyle w:val="Hiperpovezava"/>
          <w:rFonts w:cs="Arial"/>
          <w:color w:val="000000"/>
          <w:szCs w:val="20"/>
          <w:u w:val="none"/>
          <w:shd w:val="clear" w:color="auto" w:fill="FFFFFF"/>
        </w:rPr>
        <w:t xml:space="preserve"> imamo poseben zavihek, kjer so poleg postopkovnika na kratek in pregleden način predstavljeni tudi drugi dokumenti vezani na človekove pravice in pravice invalidov. Na spletni strani je tudi možnost pritožbe kršitev. Organ upravljanja morebitne prijave kršitev </w:t>
      </w:r>
      <w:r w:rsidRPr="00367FBF">
        <w:rPr>
          <w:rStyle w:val="Hiperpovezava"/>
          <w:rFonts w:cs="Arial"/>
          <w:color w:val="000000"/>
          <w:szCs w:val="20"/>
          <w:u w:val="none"/>
          <w:shd w:val="clear" w:color="auto" w:fill="FFFFFF"/>
        </w:rPr>
        <w:lastRenderedPageBreak/>
        <w:t xml:space="preserve">obravnava bodisi v okviru Medresorske delovne skupine za koordinacijo izvajanja Listine o temeljnih pravicah in Konvencije Združenih narodov o pravicah invalidov v okviru evropske kohezijske politike, ki je strokovna pomoč OU na teh dveh področjih, </w:t>
      </w:r>
      <w:r w:rsidRPr="00367FBF">
        <w:rPr>
          <w:rFonts w:cs="Arial"/>
        </w:rPr>
        <w:t>a</w:t>
      </w:r>
      <w:r w:rsidRPr="00367FBF">
        <w:rPr>
          <w:rStyle w:val="Hiperpovezava"/>
          <w:rFonts w:cs="Arial"/>
          <w:color w:val="000000"/>
          <w:szCs w:val="20"/>
          <w:u w:val="none"/>
          <w:shd w:val="clear" w:color="auto" w:fill="FFFFFF"/>
        </w:rPr>
        <w:t xml:space="preserve">li pa jih posreduje oz. odstopi pristojnim institucijam. Tako postopkovnik kot obrazec za oddajo pritožbe skupaj z navodili sta objavljena tudi v obliki za lahko branje. </w:t>
      </w:r>
    </w:p>
    <w:p w14:paraId="6FAAE22E" w14:textId="77777777" w:rsidR="000E7A5A" w:rsidRPr="00F425EA" w:rsidRDefault="000E7A5A" w:rsidP="00367FBF">
      <w:pPr>
        <w:spacing w:after="0" w:line="276" w:lineRule="auto"/>
        <w:jc w:val="both"/>
        <w:rPr>
          <w:rFonts w:cs="Arial"/>
          <w:sz w:val="22"/>
          <w:szCs w:val="22"/>
        </w:rPr>
      </w:pPr>
    </w:p>
    <w:p w14:paraId="09B3FD58" w14:textId="77777777" w:rsidR="000E7A5A" w:rsidRPr="00F425EA" w:rsidRDefault="00306071" w:rsidP="00E76A87">
      <w:pPr>
        <w:pStyle w:val="Naslov3"/>
      </w:pPr>
      <w:bookmarkStart w:id="1844" w:name="_Toc1651147493"/>
      <w:bookmarkStart w:id="1845" w:name="_Toc2091120901"/>
      <w:bookmarkStart w:id="1846" w:name="_Toc802132315"/>
      <w:bookmarkStart w:id="1847" w:name="_Toc235619285"/>
      <w:bookmarkStart w:id="1848" w:name="_Toc225241018"/>
      <w:bookmarkStart w:id="1849" w:name="_Toc2021803669"/>
      <w:bookmarkStart w:id="1850" w:name="_Toc631551266"/>
      <w:bookmarkStart w:id="1851" w:name="_Toc2092857339"/>
      <w:bookmarkStart w:id="1852" w:name="_Toc1528916562"/>
      <w:bookmarkStart w:id="1853" w:name="_Toc678852714"/>
      <w:bookmarkStart w:id="1854" w:name="_Toc1031591815"/>
      <w:bookmarkStart w:id="1855" w:name="_Toc963680580"/>
      <w:bookmarkStart w:id="1856" w:name="_Toc722798881"/>
      <w:bookmarkStart w:id="1857" w:name="_Toc697899191"/>
      <w:bookmarkStart w:id="1858" w:name="_Toc872901846"/>
      <w:bookmarkStart w:id="1859" w:name="_Toc299704709"/>
      <w:bookmarkStart w:id="1860" w:name="_Toc129032368"/>
      <w:bookmarkStart w:id="1861" w:name="_Toc864821982"/>
      <w:bookmarkStart w:id="1862" w:name="_Toc1298294836"/>
      <w:bookmarkStart w:id="1863" w:name="_Toc1873601412"/>
      <w:bookmarkStart w:id="1864" w:name="_Toc1757409617"/>
      <w:bookmarkStart w:id="1865" w:name="_Toc244742102"/>
      <w:bookmarkStart w:id="1866" w:name="_Toc1287861978"/>
      <w:bookmarkStart w:id="1867" w:name="_Toc552551040"/>
      <w:bookmarkStart w:id="1868" w:name="_Toc1905858911"/>
      <w:bookmarkStart w:id="1869" w:name="_Toc1326185145"/>
      <w:bookmarkStart w:id="1870" w:name="_Toc773588613"/>
      <w:bookmarkStart w:id="1871" w:name="_Toc1707105898"/>
      <w:bookmarkStart w:id="1872" w:name="_Toc1534842091"/>
      <w:bookmarkStart w:id="1873" w:name="_Toc2007412874"/>
      <w:bookmarkStart w:id="1874" w:name="_Toc1601144741"/>
      <w:bookmarkStart w:id="1875" w:name="_Toc422686193"/>
      <w:bookmarkStart w:id="1876" w:name="_Toc1618304619"/>
      <w:bookmarkStart w:id="1877" w:name="_Toc1951131136"/>
      <w:bookmarkStart w:id="1878" w:name="_Toc1016781405"/>
      <w:bookmarkStart w:id="1879" w:name="_Toc2000629439"/>
      <w:bookmarkStart w:id="1880" w:name="_Toc791982770"/>
      <w:bookmarkStart w:id="1881" w:name="_Toc491119030"/>
      <w:bookmarkStart w:id="1882" w:name="_Toc908707234"/>
      <w:bookmarkStart w:id="1883" w:name="_Toc2013671085"/>
      <w:bookmarkStart w:id="1884" w:name="_Toc484994910"/>
      <w:bookmarkStart w:id="1885" w:name="_Toc1961082820"/>
      <w:bookmarkStart w:id="1886" w:name="_Toc1861321059"/>
      <w:bookmarkStart w:id="1887" w:name="_Toc434732137"/>
      <w:bookmarkStart w:id="1888" w:name="_Toc971661691"/>
      <w:bookmarkStart w:id="1889" w:name="_Toc760129723"/>
      <w:bookmarkStart w:id="1890" w:name="_Toc2003084490"/>
      <w:bookmarkStart w:id="1891" w:name="_Toc1661512893"/>
      <w:bookmarkStart w:id="1892" w:name="_Toc1287270340"/>
      <w:bookmarkStart w:id="1893" w:name="_Toc1088664251"/>
      <w:bookmarkStart w:id="1894" w:name="_Toc826406087"/>
      <w:bookmarkStart w:id="1895" w:name="_Toc2089043047"/>
      <w:bookmarkStart w:id="1896" w:name="_Toc569528372"/>
      <w:bookmarkStart w:id="1897" w:name="_Toc639942409"/>
      <w:bookmarkStart w:id="1898" w:name="_Toc623103193"/>
      <w:bookmarkStart w:id="1899" w:name="_Toc1663806999"/>
      <w:bookmarkStart w:id="1900" w:name="_Toc1494745922"/>
      <w:bookmarkStart w:id="1901" w:name="_Toc1924388302"/>
      <w:bookmarkStart w:id="1902" w:name="_Toc768974562"/>
      <w:bookmarkStart w:id="1903" w:name="_Toc1124831005"/>
      <w:bookmarkStart w:id="1904" w:name="_Toc938968156"/>
      <w:bookmarkStart w:id="1905" w:name="_Toc712144893"/>
      <w:bookmarkStart w:id="1906" w:name="_Toc1226004061"/>
      <w:bookmarkStart w:id="1907" w:name="_Toc695210307"/>
      <w:bookmarkStart w:id="1908" w:name="_Toc908583106"/>
      <w:bookmarkStart w:id="1909" w:name="_Toc291592014"/>
      <w:bookmarkStart w:id="1910" w:name="_Toc623176895"/>
      <w:bookmarkStart w:id="1911" w:name="_Toc1369906898"/>
      <w:bookmarkStart w:id="1912" w:name="_Toc2113247519"/>
      <w:bookmarkStart w:id="1913" w:name="_Toc2060223784"/>
      <w:bookmarkStart w:id="1914" w:name="_Toc1282320838"/>
      <w:bookmarkStart w:id="1915" w:name="_Toc588841321"/>
      <w:bookmarkStart w:id="1916" w:name="_Toc1442043457"/>
      <w:bookmarkStart w:id="1917" w:name="_Toc1576738142"/>
      <w:bookmarkStart w:id="1918" w:name="_Toc411030241"/>
      <w:bookmarkStart w:id="1919" w:name="_Toc2017479465"/>
      <w:bookmarkStart w:id="1920" w:name="_Toc884829694"/>
      <w:bookmarkStart w:id="1921" w:name="_Toc1815190027"/>
      <w:bookmarkStart w:id="1922" w:name="_Toc883005032"/>
      <w:bookmarkStart w:id="1923" w:name="_Toc1889671197"/>
      <w:bookmarkStart w:id="1924" w:name="_Toc6266220"/>
      <w:bookmarkStart w:id="1925" w:name="_Toc1516769482"/>
      <w:bookmarkStart w:id="1926" w:name="_Toc2035395244"/>
      <w:bookmarkStart w:id="1927" w:name="_Toc1455590870"/>
      <w:bookmarkStart w:id="1928" w:name="_Toc187739344"/>
      <w:bookmarkStart w:id="1929" w:name="_Toc187740091"/>
      <w:bookmarkStart w:id="1930" w:name="_Hlk184107973"/>
      <w:bookmarkStart w:id="1931" w:name="_Toc192681999"/>
      <w:r w:rsidRPr="00F425EA">
        <w:t>2.3.2</w:t>
      </w:r>
      <w:r w:rsidRPr="00F425EA">
        <w:tab/>
        <w:t>Vključevanje načela enakosti spolov</w:t>
      </w:r>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1"/>
      <w:r w:rsidRPr="00F425EA">
        <w:t xml:space="preserve"> </w:t>
      </w:r>
    </w:p>
    <w:bookmarkEnd w:id="1930"/>
    <w:p w14:paraId="590ACB8B" w14:textId="77777777" w:rsidR="000E7A5A" w:rsidRPr="00F425EA" w:rsidRDefault="000E7A5A" w:rsidP="00367FBF">
      <w:pPr>
        <w:spacing w:after="0" w:line="276" w:lineRule="auto"/>
        <w:jc w:val="both"/>
        <w:rPr>
          <w:rFonts w:cs="Arial"/>
          <w:sz w:val="22"/>
          <w:szCs w:val="22"/>
        </w:rPr>
      </w:pPr>
    </w:p>
    <w:p w14:paraId="0E2F84A4" w14:textId="77777777" w:rsidR="000E7A5A" w:rsidRPr="00367FBF" w:rsidRDefault="00306071" w:rsidP="00367FBF">
      <w:pPr>
        <w:spacing w:after="0" w:line="276" w:lineRule="auto"/>
        <w:jc w:val="both"/>
        <w:rPr>
          <w:rFonts w:cs="Arial"/>
          <w:szCs w:val="20"/>
        </w:rPr>
      </w:pPr>
      <w:r w:rsidRPr="00367FBF">
        <w:rPr>
          <w:rFonts w:cs="Arial"/>
          <w:szCs w:val="20"/>
        </w:rPr>
        <w:t>Slovenija se na začetku pogajanj za EKP 2021–2027 ni odločila za implementacijo specifičnega cilja Enakost spolov v EKP 2021–2027.</w:t>
      </w:r>
    </w:p>
    <w:p w14:paraId="500045B1" w14:textId="77777777" w:rsidR="000E7A5A" w:rsidRPr="00367FBF" w:rsidRDefault="00306071" w:rsidP="00367FBF">
      <w:pPr>
        <w:spacing w:after="0" w:line="276" w:lineRule="auto"/>
        <w:jc w:val="both"/>
        <w:rPr>
          <w:rFonts w:cs="Arial"/>
          <w:sz w:val="18"/>
          <w:szCs w:val="20"/>
        </w:rPr>
      </w:pPr>
      <w:r w:rsidRPr="00367FBF">
        <w:rPr>
          <w:rFonts w:cs="Arial"/>
          <w:szCs w:val="20"/>
        </w:rPr>
        <w:t xml:space="preserve"> </w:t>
      </w:r>
    </w:p>
    <w:p w14:paraId="357E8765" w14:textId="1AF7AE0F" w:rsidR="000E7A5A" w:rsidRPr="00367FBF" w:rsidRDefault="00306071" w:rsidP="00367FBF">
      <w:pPr>
        <w:spacing w:after="0" w:line="276" w:lineRule="auto"/>
        <w:jc w:val="both"/>
        <w:rPr>
          <w:rFonts w:cs="Arial"/>
          <w:szCs w:val="20"/>
        </w:rPr>
      </w:pPr>
      <w:r w:rsidRPr="00367FBF">
        <w:rPr>
          <w:rFonts w:cs="Arial"/>
          <w:szCs w:val="20"/>
        </w:rPr>
        <w:t xml:space="preserve">Enakost spolov je ključni mehanizem za doseganje trajnostnega in vključujočega razvoja, zato poteka vključevanje enakosti spolov v vse faze načrtovanja in izvajanja EKP. Organ upravljanja spremlja v okviru ukrepov spoštovanje načela enakosti spolov, enakih možnosti in nediskriminacije. Skladno z 12. členom Zakona o enakih možnostih žensk in moških (Uradni list RS, št. 59/02, 61/07 – ZUNEO-A, 33/16 – </w:t>
      </w:r>
      <w:proofErr w:type="spellStart"/>
      <w:r w:rsidRPr="00367FBF">
        <w:rPr>
          <w:rFonts w:cs="Arial"/>
          <w:szCs w:val="20"/>
        </w:rPr>
        <w:t>ZVarD</w:t>
      </w:r>
      <w:proofErr w:type="spellEnd"/>
      <w:r w:rsidRPr="00367FBF">
        <w:rPr>
          <w:rFonts w:cs="Arial"/>
          <w:szCs w:val="20"/>
        </w:rPr>
        <w:t xml:space="preserve"> in 59/19) se na vseh predvidenih področjih zagotavlja enako obravnavanje obeh spolov, prejeta je Resolucija o nacionalnem programu za enake možnosti žensk in moških 2023–2030. Pri oblikovanju in izvedbi razpisov in javnega naročanja se z uporabo objektivnih in </w:t>
      </w:r>
      <w:proofErr w:type="spellStart"/>
      <w:r w:rsidRPr="00367FBF">
        <w:rPr>
          <w:rFonts w:cs="Arial"/>
          <w:szCs w:val="20"/>
        </w:rPr>
        <w:t>nediskriminatornih</w:t>
      </w:r>
      <w:proofErr w:type="spellEnd"/>
      <w:r w:rsidRPr="00367FBF">
        <w:rPr>
          <w:rFonts w:cs="Arial"/>
          <w:szCs w:val="20"/>
        </w:rPr>
        <w:t xml:space="preserve"> pogojev in meril za izbor vlog v celoti zagotavlja transparentnost in spoštovanje pravnega reda EU in RS. </w:t>
      </w:r>
    </w:p>
    <w:p w14:paraId="521CFD57" w14:textId="15DC07EB" w:rsidR="000E7A5A" w:rsidRPr="00367FBF" w:rsidRDefault="000E7A5A" w:rsidP="00367FBF">
      <w:pPr>
        <w:spacing w:after="0" w:line="276" w:lineRule="auto"/>
        <w:jc w:val="both"/>
        <w:rPr>
          <w:rFonts w:cs="Arial"/>
          <w:szCs w:val="20"/>
        </w:rPr>
      </w:pPr>
    </w:p>
    <w:p w14:paraId="6E3E9D86" w14:textId="73DD9F15" w:rsidR="000E7A5A" w:rsidRDefault="00306071" w:rsidP="00332FE8">
      <w:pPr>
        <w:spacing w:after="0" w:line="276" w:lineRule="auto"/>
        <w:jc w:val="both"/>
        <w:rPr>
          <w:rFonts w:cs="Arial"/>
          <w:szCs w:val="20"/>
        </w:rPr>
      </w:pPr>
      <w:r w:rsidRPr="00367FBF">
        <w:rPr>
          <w:rFonts w:cs="Arial"/>
          <w:szCs w:val="20"/>
        </w:rPr>
        <w:t xml:space="preserve">Upošteva se tudi Postopkovnik za zagotavljanje horizontalnega </w:t>
      </w:r>
      <w:proofErr w:type="spellStart"/>
      <w:r w:rsidRPr="00367FBF">
        <w:rPr>
          <w:rFonts w:cs="Arial"/>
          <w:szCs w:val="20"/>
        </w:rPr>
        <w:t>omogočitvenega</w:t>
      </w:r>
      <w:proofErr w:type="spellEnd"/>
      <w:r w:rsidRPr="00367FBF">
        <w:rPr>
          <w:rFonts w:cs="Arial"/>
          <w:szCs w:val="20"/>
        </w:rPr>
        <w:t xml:space="preserve"> pogoja »Učinkovita uporaba in izvajanje Listine o temeljnih pravicah</w:t>
      </w:r>
      <w:r w:rsidR="00520EA5">
        <w:rPr>
          <w:rFonts w:cs="Arial"/>
          <w:szCs w:val="20"/>
        </w:rPr>
        <w:t>«</w:t>
      </w:r>
      <w:r w:rsidRPr="00367FBF">
        <w:rPr>
          <w:rFonts w:cs="Arial"/>
          <w:szCs w:val="20"/>
        </w:rPr>
        <w:t xml:space="preserve"> in drugi relevantni dokumenti, ki nastajajo v okviru izvajanja. </w:t>
      </w:r>
    </w:p>
    <w:p w14:paraId="23E1508D" w14:textId="77777777" w:rsidR="00332FE8" w:rsidRPr="00367FBF" w:rsidRDefault="00332FE8" w:rsidP="00332FE8">
      <w:pPr>
        <w:spacing w:after="0" w:line="276" w:lineRule="auto"/>
        <w:jc w:val="both"/>
        <w:rPr>
          <w:rFonts w:cs="Arial"/>
          <w:szCs w:val="20"/>
        </w:rPr>
      </w:pPr>
    </w:p>
    <w:p w14:paraId="732E05AD" w14:textId="024E8550" w:rsidR="000E7A5A" w:rsidRPr="00367FBF" w:rsidRDefault="00306071" w:rsidP="00332FE8">
      <w:pPr>
        <w:spacing w:after="0" w:line="276" w:lineRule="auto"/>
        <w:jc w:val="both"/>
        <w:rPr>
          <w:rFonts w:cs="Arial"/>
          <w:szCs w:val="20"/>
        </w:rPr>
      </w:pPr>
      <w:r w:rsidRPr="00367FBF">
        <w:rPr>
          <w:rFonts w:cs="Arial"/>
          <w:szCs w:val="20"/>
        </w:rPr>
        <w:t xml:space="preserve">Podatki iz Indeksa enakosti spolov 2024, ki ga je pripravil Evropski inštitut za enakost spolov, kažejo, da se Slovenija se z oceno 70,1 od 100 uvršča na 12. mesto v EU, kar je malo pod povprečjem Evropske unije. Indeks enakosti spolov je orodje za spremljanje napredka na področju enakosti spolov v EU. Meri razlike med spoloma med ženskami in moškimi na šestih ključnih področjih – delo, denar, znanje, čas, moč in zdravje – in je sestavljen iz 31 kazalnikov. </w:t>
      </w:r>
    </w:p>
    <w:p w14:paraId="479CC28C" w14:textId="260229DF" w:rsidR="000E7A5A" w:rsidRPr="00367FBF" w:rsidRDefault="000E7A5A" w:rsidP="00367FBF">
      <w:pPr>
        <w:spacing w:after="0" w:line="276" w:lineRule="auto"/>
        <w:jc w:val="both"/>
        <w:rPr>
          <w:rFonts w:cs="Arial"/>
          <w:szCs w:val="20"/>
        </w:rPr>
      </w:pPr>
    </w:p>
    <w:p w14:paraId="63E042B5" w14:textId="2FEF7378" w:rsidR="000E7A5A" w:rsidRPr="00367FBF" w:rsidRDefault="00306071" w:rsidP="00367FBF">
      <w:pPr>
        <w:spacing w:after="0" w:line="276" w:lineRule="auto"/>
        <w:jc w:val="both"/>
        <w:rPr>
          <w:rFonts w:cs="Arial"/>
          <w:szCs w:val="20"/>
        </w:rPr>
      </w:pPr>
      <w:r w:rsidRPr="00367FBF">
        <w:rPr>
          <w:rFonts w:cs="Arial"/>
          <w:szCs w:val="20"/>
        </w:rPr>
        <w:t xml:space="preserve">Ti podatki po področjih kažejo, da se je Slovenija najvišje uvrstila na denarnem področju na 10. mestu z rezultatom 85 točk. Znotraj področja denarja Slovenija izstopa na domeni gospodarski položaj z oceno 97,9 točke. Slovenija je ena od 13 držav članic, ki presegajo prag 70 točk. Glavni dejavnik, ki je prispeval k izboljšanju ocene Slovenije, je povečanje za 2,9 točke na področju moči. Od leta 2010 je Slovenija na tem področju najbolj napredovala, in sicer za 17,9 točke, kar gre pripisati predvsem večji udeležbi žensk na položajih odločanja v politiki. </w:t>
      </w:r>
    </w:p>
    <w:p w14:paraId="2D6C0F65" w14:textId="3C0D16E5" w:rsidR="000E7A5A" w:rsidRPr="00367FBF" w:rsidRDefault="000E7A5A" w:rsidP="00367FBF">
      <w:pPr>
        <w:spacing w:after="0" w:line="276" w:lineRule="auto"/>
        <w:jc w:val="both"/>
        <w:rPr>
          <w:rFonts w:cs="Arial"/>
          <w:szCs w:val="20"/>
        </w:rPr>
      </w:pPr>
    </w:p>
    <w:p w14:paraId="25974FEA" w14:textId="77777777" w:rsidR="000E7A5A" w:rsidRPr="00367FBF" w:rsidRDefault="00306071" w:rsidP="00367FBF">
      <w:pPr>
        <w:spacing w:after="0" w:line="276" w:lineRule="auto"/>
        <w:jc w:val="both"/>
        <w:rPr>
          <w:rFonts w:cs="Arial"/>
          <w:szCs w:val="20"/>
        </w:rPr>
      </w:pPr>
      <w:r w:rsidRPr="00367FBF">
        <w:rPr>
          <w:rFonts w:cs="Arial"/>
          <w:szCs w:val="20"/>
        </w:rPr>
        <w:t>Največ prostora za napredek ima Slovenija na področju dela, kjer se je z oceno 76,1 točke uvrstila na 16. mesto v EU, pri tem je ključno izpostaviti segregacijo in kakovost dela. Po drugi strani se kaže upad na področju znanja, kar je predvsem posledica zmanjšanja števila točk na področju segregacije za 1 točko, kjer Slovenija s 46,1 točke zaseda 25. mesto. Podatki kažejo, da se je delež žensk, ki skrbijo gospodinjske dejavnosti zunaj plačanega dela, zmanjšal. Stopnja tveganja revščine pri ženskah in moških je največja v starostni skupini 65 let in več.</w:t>
      </w:r>
    </w:p>
    <w:p w14:paraId="38E17CA8" w14:textId="5D342296" w:rsidR="000E7A5A" w:rsidRPr="00367FBF" w:rsidRDefault="000E7A5A" w:rsidP="00367FBF">
      <w:pPr>
        <w:spacing w:after="0" w:line="276" w:lineRule="auto"/>
        <w:jc w:val="both"/>
        <w:rPr>
          <w:rFonts w:cs="Arial"/>
          <w:szCs w:val="20"/>
        </w:rPr>
      </w:pPr>
    </w:p>
    <w:p w14:paraId="3D77F8CC" w14:textId="77777777" w:rsidR="000E7A5A" w:rsidRPr="00367FBF" w:rsidRDefault="00306071" w:rsidP="00367FBF">
      <w:pPr>
        <w:spacing w:after="0" w:line="276" w:lineRule="auto"/>
        <w:jc w:val="both"/>
        <w:rPr>
          <w:rFonts w:cs="Arial"/>
          <w:szCs w:val="20"/>
        </w:rPr>
      </w:pPr>
      <w:r w:rsidRPr="00367FBF">
        <w:rPr>
          <w:rFonts w:cs="Arial"/>
          <w:szCs w:val="20"/>
        </w:rPr>
        <w:t>Vsako leto Ministrstvo za delo, družino, socialne zadeve in enake možnosti sofinancira projekte nevladnih organizacij, ki spodbujajo enake možnosti žensk in moških, ki ozaveščajo o pomembnosti reproduktivnega dela za družbo in ekonomijo, spodbujajo enake možnosti žensk in moških na trgu dela ter spodbujajo razbremenitev skrbstvenega in gospodinjskega dela v zasebni sferi. Ti sofinancirani projekti prispevajo tudi k prepoznavanju, odpravljanju in preprečevanju neenakosti spolov, odpravi globoko zakoreninjenih vedenjskih vzorcev in predsodkov glede stereotipnih vloge moških in žensk.</w:t>
      </w:r>
    </w:p>
    <w:p w14:paraId="3E9073B0" w14:textId="77777777" w:rsidR="000E7A5A" w:rsidRPr="00F425EA" w:rsidRDefault="000E7A5A" w:rsidP="00367FBF">
      <w:pPr>
        <w:spacing w:after="0" w:line="276" w:lineRule="auto"/>
        <w:jc w:val="both"/>
        <w:rPr>
          <w:rFonts w:cs="Arial"/>
          <w:sz w:val="22"/>
          <w:szCs w:val="22"/>
        </w:rPr>
      </w:pPr>
    </w:p>
    <w:p w14:paraId="46B30F03" w14:textId="77777777" w:rsidR="000E7A5A" w:rsidRPr="00F425EA" w:rsidRDefault="00306071" w:rsidP="00E76A87">
      <w:pPr>
        <w:pStyle w:val="Naslov3"/>
      </w:pPr>
      <w:bookmarkStart w:id="1932" w:name="_Toc353714532"/>
      <w:bookmarkStart w:id="1933" w:name="_Toc2006646303"/>
      <w:bookmarkStart w:id="1934" w:name="_Toc508457386"/>
      <w:bookmarkStart w:id="1935" w:name="_Toc96348646"/>
      <w:bookmarkStart w:id="1936" w:name="_Toc294388901"/>
      <w:bookmarkStart w:id="1937" w:name="_Toc2117087522"/>
      <w:bookmarkStart w:id="1938" w:name="_Toc43447430"/>
      <w:bookmarkStart w:id="1939" w:name="_Toc771822675"/>
      <w:bookmarkStart w:id="1940" w:name="_Toc1667634983"/>
      <w:bookmarkStart w:id="1941" w:name="_Toc1576724376"/>
      <w:bookmarkStart w:id="1942" w:name="_Toc115534738"/>
      <w:bookmarkStart w:id="1943" w:name="_Toc1350790790"/>
      <w:bookmarkStart w:id="1944" w:name="_Toc578785321"/>
      <w:bookmarkStart w:id="1945" w:name="_Toc1280433000"/>
      <w:bookmarkStart w:id="1946" w:name="_Toc307911624"/>
      <w:bookmarkStart w:id="1947" w:name="_Toc353757478"/>
      <w:bookmarkStart w:id="1948" w:name="_Toc926235434"/>
      <w:bookmarkStart w:id="1949" w:name="_Toc1431476430"/>
      <w:bookmarkStart w:id="1950" w:name="_Toc969164638"/>
      <w:bookmarkStart w:id="1951" w:name="_Toc1646589079"/>
      <w:bookmarkStart w:id="1952" w:name="_Toc891943600"/>
      <w:bookmarkStart w:id="1953" w:name="_Toc1707596652"/>
      <w:bookmarkStart w:id="1954" w:name="_Toc1148535909"/>
      <w:bookmarkStart w:id="1955" w:name="_Toc1775207254"/>
      <w:bookmarkStart w:id="1956" w:name="_Toc213686"/>
      <w:bookmarkStart w:id="1957" w:name="_Toc39848925"/>
      <w:bookmarkStart w:id="1958" w:name="_Toc1033943877"/>
      <w:bookmarkStart w:id="1959" w:name="_Toc137954304"/>
      <w:bookmarkStart w:id="1960" w:name="_Toc1292940948"/>
      <w:bookmarkStart w:id="1961" w:name="_Toc423611359"/>
      <w:bookmarkStart w:id="1962" w:name="_Toc504658993"/>
      <w:bookmarkStart w:id="1963" w:name="_Toc575845747"/>
      <w:bookmarkStart w:id="1964" w:name="_Toc1178242817"/>
      <w:bookmarkStart w:id="1965" w:name="_Toc597452150"/>
      <w:bookmarkStart w:id="1966" w:name="_Toc199402665"/>
      <w:bookmarkStart w:id="1967" w:name="_Toc809369819"/>
      <w:bookmarkStart w:id="1968" w:name="_Toc1094984747"/>
      <w:bookmarkStart w:id="1969" w:name="_Toc1260444208"/>
      <w:bookmarkStart w:id="1970" w:name="_Toc933701782"/>
      <w:bookmarkStart w:id="1971" w:name="_Toc80457492"/>
      <w:bookmarkStart w:id="1972" w:name="_Toc219532905"/>
      <w:bookmarkStart w:id="1973" w:name="_Toc1948555278"/>
      <w:bookmarkStart w:id="1974" w:name="_Toc1919305288"/>
      <w:bookmarkStart w:id="1975" w:name="_Toc108309765"/>
      <w:bookmarkStart w:id="1976" w:name="_Toc39042294"/>
      <w:bookmarkStart w:id="1977" w:name="_Toc2104348692"/>
      <w:bookmarkStart w:id="1978" w:name="_Toc1871892125"/>
      <w:bookmarkStart w:id="1979" w:name="_Toc926231725"/>
      <w:bookmarkStart w:id="1980" w:name="_Toc1805093013"/>
      <w:bookmarkStart w:id="1981" w:name="_Toc1568386532"/>
      <w:bookmarkStart w:id="1982" w:name="_Toc438795786"/>
      <w:bookmarkStart w:id="1983" w:name="_Toc944407772"/>
      <w:bookmarkStart w:id="1984" w:name="_Toc1778821385"/>
      <w:bookmarkStart w:id="1985" w:name="_Toc1209688669"/>
      <w:bookmarkStart w:id="1986" w:name="_Toc708314644"/>
      <w:bookmarkStart w:id="1987" w:name="_Toc262588473"/>
      <w:bookmarkStart w:id="1988" w:name="_Toc1467267809"/>
      <w:bookmarkStart w:id="1989" w:name="_Toc1358531522"/>
      <w:bookmarkStart w:id="1990" w:name="_Toc319817471"/>
      <w:bookmarkStart w:id="1991" w:name="_Toc1533179988"/>
      <w:bookmarkStart w:id="1992" w:name="_Toc1733928137"/>
      <w:bookmarkStart w:id="1993" w:name="_Toc69564242"/>
      <w:bookmarkStart w:id="1994" w:name="_Toc2032395820"/>
      <w:bookmarkStart w:id="1995" w:name="_Toc1471179456"/>
      <w:bookmarkStart w:id="1996" w:name="_Toc60952850"/>
      <w:bookmarkStart w:id="1997" w:name="_Toc379449158"/>
      <w:bookmarkStart w:id="1998" w:name="_Toc650868648"/>
      <w:bookmarkStart w:id="1999" w:name="_Toc533882479"/>
      <w:bookmarkStart w:id="2000" w:name="_Toc1477575894"/>
      <w:bookmarkStart w:id="2001" w:name="_Toc2119996549"/>
      <w:bookmarkStart w:id="2002" w:name="_Toc1137293109"/>
      <w:bookmarkStart w:id="2003" w:name="_Toc1216782170"/>
      <w:bookmarkStart w:id="2004" w:name="_Toc1460168662"/>
      <w:bookmarkStart w:id="2005" w:name="_Toc1884529734"/>
      <w:bookmarkStart w:id="2006" w:name="_Toc1363229014"/>
      <w:bookmarkStart w:id="2007" w:name="_Toc1322635248"/>
      <w:bookmarkStart w:id="2008" w:name="_Toc662721412"/>
      <w:bookmarkStart w:id="2009" w:name="_Toc1894530216"/>
      <w:bookmarkStart w:id="2010" w:name="_Toc773611401"/>
      <w:bookmarkStart w:id="2011" w:name="_Toc1874874940"/>
      <w:bookmarkStart w:id="2012" w:name="_Toc1819583399"/>
      <w:bookmarkStart w:id="2013" w:name="_Toc2031241890"/>
      <w:bookmarkStart w:id="2014" w:name="_Toc1924669457"/>
      <w:bookmarkStart w:id="2015" w:name="_Toc1594248287"/>
      <w:bookmarkStart w:id="2016" w:name="_Toc187739345"/>
      <w:bookmarkStart w:id="2017" w:name="_Toc187740092"/>
      <w:bookmarkStart w:id="2018" w:name="_Toc192682000"/>
      <w:r w:rsidRPr="00F425EA">
        <w:lastRenderedPageBreak/>
        <w:t>2.3.3</w:t>
      </w:r>
      <w:r w:rsidRPr="00F425EA">
        <w:tab/>
        <w:t>Vključevanje načela, da se ne škoduje bistveno</w:t>
      </w:r>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p>
    <w:p w14:paraId="5E53CB64" w14:textId="77777777" w:rsidR="000E7A5A" w:rsidRPr="0047107C" w:rsidRDefault="000E7A5A" w:rsidP="00367FBF">
      <w:pPr>
        <w:spacing w:after="0" w:line="276" w:lineRule="auto"/>
        <w:jc w:val="both"/>
        <w:rPr>
          <w:rFonts w:cs="Arial"/>
          <w:szCs w:val="20"/>
        </w:rPr>
      </w:pPr>
    </w:p>
    <w:p w14:paraId="4FAEAB58" w14:textId="09FCD3E8" w:rsidR="000E7A5A" w:rsidRDefault="00306071" w:rsidP="00367FBF">
      <w:pPr>
        <w:spacing w:after="0" w:line="276" w:lineRule="auto"/>
        <w:jc w:val="both"/>
        <w:rPr>
          <w:rFonts w:cs="Arial"/>
          <w:szCs w:val="20"/>
        </w:rPr>
      </w:pPr>
      <w:r w:rsidRPr="00367FBF">
        <w:rPr>
          <w:rFonts w:cs="Arial"/>
          <w:szCs w:val="20"/>
        </w:rPr>
        <w:t>V skladu z merili za izbor operacij v okviru PEKP 21</w:t>
      </w:r>
      <w:r w:rsidR="003037F8" w:rsidRPr="003037F8">
        <w:rPr>
          <w:rFonts w:cs="Arial"/>
          <w:szCs w:val="20"/>
        </w:rPr>
        <w:t>–</w:t>
      </w:r>
      <w:r w:rsidRPr="00367FBF">
        <w:rPr>
          <w:rFonts w:cs="Arial"/>
          <w:szCs w:val="20"/>
        </w:rPr>
        <w:t>27 in navodili organa upravljanja za načrtovanje, odločanje o podpori, spremljanje in poročanje o izvajanju evropske kohezijske politike v programskem obdobju 2021–2027 se načelo DNSH upošteva horizontalno tako pri načrtovanju kot tudi pri izvajanju operacij.</w:t>
      </w:r>
    </w:p>
    <w:p w14:paraId="47E7EB82" w14:textId="77777777" w:rsidR="00367FBF" w:rsidRPr="00367FBF" w:rsidRDefault="00367FBF" w:rsidP="00367FBF">
      <w:pPr>
        <w:spacing w:after="0" w:line="276" w:lineRule="auto"/>
        <w:jc w:val="both"/>
        <w:rPr>
          <w:rFonts w:cs="Arial"/>
          <w:szCs w:val="20"/>
        </w:rPr>
      </w:pPr>
    </w:p>
    <w:p w14:paraId="7AF03E02" w14:textId="34D99FAF" w:rsidR="000E7A5A" w:rsidRDefault="00306071" w:rsidP="00367FBF">
      <w:pPr>
        <w:spacing w:after="0" w:line="276" w:lineRule="auto"/>
        <w:jc w:val="both"/>
        <w:rPr>
          <w:rFonts w:cs="Arial"/>
          <w:szCs w:val="20"/>
        </w:rPr>
      </w:pPr>
      <w:r w:rsidRPr="00367FBF">
        <w:rPr>
          <w:rFonts w:cs="Arial"/>
          <w:szCs w:val="20"/>
        </w:rPr>
        <w:t>Za zagotovitev usklajenega pristopa med različnimi deležniki so v letu 2023 izdane smernice organa upravljanja za uporabo načela, da se ne škoduje bistveno pri izvajanju PEKP 21</w:t>
      </w:r>
      <w:r w:rsidR="003037F8" w:rsidRPr="003037F8">
        <w:rPr>
          <w:rFonts w:cs="Arial"/>
          <w:szCs w:val="20"/>
        </w:rPr>
        <w:t>–</w:t>
      </w:r>
      <w:r w:rsidRPr="00367FBF">
        <w:rPr>
          <w:rFonts w:cs="Arial"/>
          <w:szCs w:val="20"/>
        </w:rPr>
        <w:t>27.</w:t>
      </w:r>
    </w:p>
    <w:p w14:paraId="45DA5826" w14:textId="77777777" w:rsidR="00367FBF" w:rsidRPr="00367FBF" w:rsidRDefault="00367FBF" w:rsidP="00367FBF">
      <w:pPr>
        <w:spacing w:after="0" w:line="276" w:lineRule="auto"/>
        <w:jc w:val="both"/>
        <w:rPr>
          <w:rFonts w:cs="Arial"/>
          <w:szCs w:val="20"/>
        </w:rPr>
      </w:pPr>
    </w:p>
    <w:p w14:paraId="6D87DA45" w14:textId="2BC69624" w:rsidR="000E7A5A" w:rsidRPr="00367FBF" w:rsidRDefault="00306071" w:rsidP="00367FBF">
      <w:pPr>
        <w:spacing w:after="0" w:line="276" w:lineRule="auto"/>
        <w:jc w:val="both"/>
        <w:rPr>
          <w:rFonts w:cs="Arial"/>
          <w:szCs w:val="20"/>
        </w:rPr>
      </w:pPr>
      <w:r w:rsidRPr="00367FBF">
        <w:rPr>
          <w:rFonts w:cs="Arial"/>
          <w:szCs w:val="20"/>
        </w:rPr>
        <w:t>Za namen vključevanja načela DNSH v izvajanje evropske kohezijske politike in krepitve zmogljivosti</w:t>
      </w:r>
      <w:r w:rsidR="00912709">
        <w:rPr>
          <w:rFonts w:cs="Arial"/>
          <w:szCs w:val="20"/>
        </w:rPr>
        <w:t xml:space="preserve"> </w:t>
      </w:r>
      <w:r w:rsidRPr="00367FBF">
        <w:rPr>
          <w:rFonts w:cs="Arial"/>
          <w:szCs w:val="20"/>
        </w:rPr>
        <w:t>je bilo v letih 2023 in 2024 izvedenih pet delavnic za vse deležnike, vključene v izvajanje evropske kohezijske politike. Nadaljnje aktivnosti za krepitev zmogljivosti deležnikov se na tem področju načrtujejo tudi v letu 2025 v okviru projekta tehnične podpore, ki ga izvaja Generalni direktorat za podporo strukturnim reformam (DG REFORM) na Evropski komisiji.</w:t>
      </w:r>
    </w:p>
    <w:p w14:paraId="0FCD7989" w14:textId="77777777" w:rsidR="000E7A5A" w:rsidRPr="00F425EA" w:rsidRDefault="000E7A5A" w:rsidP="00367FBF">
      <w:pPr>
        <w:spacing w:after="0" w:line="276" w:lineRule="auto"/>
        <w:jc w:val="both"/>
        <w:rPr>
          <w:rFonts w:cs="Arial"/>
          <w:sz w:val="22"/>
          <w:szCs w:val="22"/>
        </w:rPr>
      </w:pPr>
    </w:p>
    <w:p w14:paraId="58BC48F8" w14:textId="46C5A15C" w:rsidR="000E7A5A" w:rsidRPr="00F425EA" w:rsidRDefault="00306071" w:rsidP="000B2C28">
      <w:pPr>
        <w:pStyle w:val="Naslov2"/>
      </w:pPr>
      <w:bookmarkStart w:id="2019" w:name="_Toc374049710"/>
      <w:bookmarkStart w:id="2020" w:name="_Toc1072157932"/>
      <w:bookmarkStart w:id="2021" w:name="_Toc1913597360"/>
      <w:bookmarkStart w:id="2022" w:name="_Toc1120131966"/>
      <w:bookmarkStart w:id="2023" w:name="_Toc675710131"/>
      <w:bookmarkStart w:id="2024" w:name="_Toc1738688145"/>
      <w:bookmarkStart w:id="2025" w:name="_Toc523006292"/>
      <w:bookmarkStart w:id="2026" w:name="_Toc1492042424"/>
      <w:bookmarkStart w:id="2027" w:name="_Toc706563572"/>
      <w:bookmarkStart w:id="2028" w:name="_Toc1830723587"/>
      <w:bookmarkStart w:id="2029" w:name="_Toc402111820"/>
      <w:bookmarkStart w:id="2030" w:name="_Toc536340849"/>
      <w:bookmarkStart w:id="2031" w:name="_Toc1803961821"/>
      <w:bookmarkStart w:id="2032" w:name="_Toc804585137"/>
      <w:bookmarkStart w:id="2033" w:name="_Toc2138199573"/>
      <w:bookmarkStart w:id="2034" w:name="_Toc550185205"/>
      <w:bookmarkStart w:id="2035" w:name="_Toc1496619789"/>
      <w:bookmarkStart w:id="2036" w:name="_Toc567151099"/>
      <w:bookmarkStart w:id="2037" w:name="_Toc1977135723"/>
      <w:bookmarkStart w:id="2038" w:name="_Toc983711801"/>
      <w:bookmarkStart w:id="2039" w:name="_Toc238518734"/>
      <w:bookmarkStart w:id="2040" w:name="_Toc1827384229"/>
      <w:bookmarkStart w:id="2041" w:name="_Toc1468945079"/>
      <w:bookmarkStart w:id="2042" w:name="_Toc116608594"/>
      <w:bookmarkStart w:id="2043" w:name="_Toc979966380"/>
      <w:bookmarkStart w:id="2044" w:name="_Toc1263944853"/>
      <w:bookmarkStart w:id="2045" w:name="_Toc1373662771"/>
      <w:bookmarkStart w:id="2046" w:name="_Toc1076954056"/>
      <w:bookmarkStart w:id="2047" w:name="_Toc381199841"/>
      <w:bookmarkStart w:id="2048" w:name="_Toc1080402460"/>
      <w:bookmarkStart w:id="2049" w:name="_Toc339943215"/>
      <w:bookmarkStart w:id="2050" w:name="_Toc301035440"/>
      <w:bookmarkStart w:id="2051" w:name="_Toc1712406738"/>
      <w:bookmarkStart w:id="2052" w:name="_Toc1872033602"/>
      <w:bookmarkStart w:id="2053" w:name="_Toc181556097"/>
      <w:bookmarkStart w:id="2054" w:name="_Toc1911029638"/>
      <w:bookmarkStart w:id="2055" w:name="_Toc1598905976"/>
      <w:bookmarkStart w:id="2056" w:name="_Toc1956294297"/>
      <w:bookmarkStart w:id="2057" w:name="_Toc1480496404"/>
      <w:bookmarkStart w:id="2058" w:name="_Toc1628133483"/>
      <w:bookmarkStart w:id="2059" w:name="_Toc574910718"/>
      <w:bookmarkStart w:id="2060" w:name="_Toc511592080"/>
      <w:bookmarkStart w:id="2061" w:name="_Toc635013768"/>
      <w:bookmarkStart w:id="2062" w:name="_Toc1088190000"/>
      <w:bookmarkStart w:id="2063" w:name="_Toc295335426"/>
      <w:bookmarkStart w:id="2064" w:name="_Toc681255251"/>
      <w:bookmarkStart w:id="2065" w:name="_Toc489104364"/>
      <w:bookmarkStart w:id="2066" w:name="_Toc1103851892"/>
      <w:bookmarkStart w:id="2067" w:name="_Toc1343266761"/>
      <w:bookmarkStart w:id="2068" w:name="_Toc1389181289"/>
      <w:bookmarkStart w:id="2069" w:name="_Toc1535315884"/>
      <w:bookmarkStart w:id="2070" w:name="_Toc517761696"/>
      <w:bookmarkStart w:id="2071" w:name="_Toc1965950585"/>
      <w:bookmarkStart w:id="2072" w:name="_Toc1765707014"/>
      <w:bookmarkStart w:id="2073" w:name="_Toc1769736696"/>
      <w:bookmarkStart w:id="2074" w:name="_Toc1990264357"/>
      <w:bookmarkStart w:id="2075" w:name="_Toc1320097957"/>
      <w:bookmarkStart w:id="2076" w:name="_Toc460088073"/>
      <w:bookmarkStart w:id="2077" w:name="_Toc1181313816"/>
      <w:bookmarkStart w:id="2078" w:name="_Toc361854807"/>
      <w:bookmarkStart w:id="2079" w:name="_Toc563770975"/>
      <w:bookmarkStart w:id="2080" w:name="_Toc879328046"/>
      <w:bookmarkStart w:id="2081" w:name="_Toc1014881024"/>
      <w:bookmarkStart w:id="2082" w:name="_Toc1450886198"/>
      <w:bookmarkStart w:id="2083" w:name="_Toc860583010"/>
      <w:bookmarkStart w:id="2084" w:name="_Toc626654080"/>
      <w:bookmarkStart w:id="2085" w:name="_Toc1863777896"/>
      <w:bookmarkStart w:id="2086" w:name="_Toc1139238"/>
      <w:bookmarkStart w:id="2087" w:name="_Toc355136326"/>
      <w:bookmarkStart w:id="2088" w:name="_Toc1891903760"/>
      <w:bookmarkStart w:id="2089" w:name="_Toc690225595"/>
      <w:bookmarkStart w:id="2090" w:name="_Toc1333027591"/>
      <w:bookmarkStart w:id="2091" w:name="_Toc993565087"/>
      <w:bookmarkStart w:id="2092" w:name="_Toc16265340"/>
      <w:bookmarkStart w:id="2093" w:name="_Toc1753578764"/>
      <w:bookmarkStart w:id="2094" w:name="_Toc594762091"/>
      <w:bookmarkStart w:id="2095" w:name="_Toc878951518"/>
      <w:bookmarkStart w:id="2096" w:name="_Toc2109161087"/>
      <w:bookmarkStart w:id="2097" w:name="_Toc77357236"/>
      <w:bookmarkStart w:id="2098" w:name="_Toc968350732"/>
      <w:bookmarkStart w:id="2099" w:name="_Toc661688407"/>
      <w:bookmarkStart w:id="2100" w:name="_Toc1256862581"/>
      <w:bookmarkStart w:id="2101" w:name="_Toc1197051221"/>
      <w:bookmarkStart w:id="2102" w:name="_Toc1606844745"/>
      <w:bookmarkStart w:id="2103" w:name="_Toc187739346"/>
      <w:bookmarkStart w:id="2104" w:name="_Toc187740093"/>
      <w:bookmarkStart w:id="2105" w:name="_Toc192682001"/>
      <w:r w:rsidRPr="00F425EA">
        <w:t>2.4</w:t>
      </w:r>
      <w:r w:rsidRPr="00F425EA">
        <w:tab/>
      </w:r>
      <w:r w:rsidR="005A12CC" w:rsidRPr="00F425EA">
        <w:t>ZAGOTAVLJANJE KREPITVE PODNEBNE ODPORNOSTI PODPRTIH NALOŽB V INFRASTRUKTURO</w:t>
      </w:r>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p>
    <w:p w14:paraId="4A4847E1" w14:textId="77777777" w:rsidR="000E7A5A" w:rsidRPr="00F425EA" w:rsidRDefault="000E7A5A" w:rsidP="00367FBF">
      <w:pPr>
        <w:spacing w:after="0" w:line="276" w:lineRule="auto"/>
        <w:jc w:val="both"/>
        <w:rPr>
          <w:rFonts w:cs="Arial"/>
          <w:sz w:val="22"/>
          <w:szCs w:val="22"/>
        </w:rPr>
      </w:pPr>
    </w:p>
    <w:p w14:paraId="51FA7142" w14:textId="29DD9A8F" w:rsidR="000E7A5A" w:rsidRDefault="00306071" w:rsidP="00367FBF">
      <w:pPr>
        <w:spacing w:after="0" w:line="276" w:lineRule="auto"/>
        <w:jc w:val="both"/>
        <w:rPr>
          <w:rFonts w:cs="Arial"/>
          <w:szCs w:val="20"/>
        </w:rPr>
      </w:pPr>
      <w:r w:rsidRPr="00367FBF">
        <w:rPr>
          <w:rFonts w:cs="Arial"/>
          <w:szCs w:val="20"/>
        </w:rPr>
        <w:t>V skladu z merili za izbor operacij v okviru PEKP 21</w:t>
      </w:r>
      <w:r w:rsidR="003037F8" w:rsidRPr="003037F8">
        <w:rPr>
          <w:rFonts w:cs="Arial"/>
          <w:szCs w:val="20"/>
        </w:rPr>
        <w:t>–</w:t>
      </w:r>
      <w:r w:rsidRPr="00367FBF">
        <w:rPr>
          <w:rFonts w:cs="Arial"/>
          <w:szCs w:val="20"/>
        </w:rPr>
        <w:t xml:space="preserve">27 in navodili organa upravljanja za načrtovanje, odločanje o podpori, spremljanje in poročanje o izvajanju evropske kohezijske politike v programskem obdobju 2021–2027 se pri izboru operacij zagotavlja podnebna odpornost vseh infrastrukturnih projektov z </w:t>
      </w:r>
      <w:r w:rsidR="00AC51AC" w:rsidRPr="00367FBF">
        <w:rPr>
          <w:rFonts w:cs="Arial"/>
          <w:szCs w:val="20"/>
        </w:rPr>
        <w:t>življenjsko</w:t>
      </w:r>
      <w:r w:rsidRPr="00367FBF">
        <w:rPr>
          <w:rFonts w:cs="Arial"/>
          <w:szCs w:val="20"/>
        </w:rPr>
        <w:t xml:space="preserve"> dobo najmanj pet let.</w:t>
      </w:r>
    </w:p>
    <w:p w14:paraId="2737B64D" w14:textId="77777777" w:rsidR="00AC51AC" w:rsidRPr="00367FBF" w:rsidRDefault="00AC51AC" w:rsidP="00367FBF">
      <w:pPr>
        <w:spacing w:after="0" w:line="276" w:lineRule="auto"/>
        <w:jc w:val="both"/>
        <w:rPr>
          <w:rFonts w:cs="Arial"/>
          <w:szCs w:val="20"/>
        </w:rPr>
      </w:pPr>
    </w:p>
    <w:p w14:paraId="0FD7C7BF" w14:textId="77777777" w:rsidR="000E7A5A" w:rsidRDefault="00306071" w:rsidP="00367FBF">
      <w:pPr>
        <w:spacing w:after="0" w:line="276" w:lineRule="auto"/>
        <w:jc w:val="both"/>
        <w:rPr>
          <w:rFonts w:cs="Arial"/>
          <w:szCs w:val="20"/>
        </w:rPr>
      </w:pPr>
      <w:r w:rsidRPr="00367FBF">
        <w:rPr>
          <w:rFonts w:cs="Arial"/>
          <w:szCs w:val="20"/>
        </w:rPr>
        <w:t>Za zagotovitev usklajenega pristopa med različnimi deležniki so bile v letu 2023 izdane smernice organa upravljanja za krepitev podnebne odpornosti infrastrukture v obdobju 2021–2027.</w:t>
      </w:r>
    </w:p>
    <w:p w14:paraId="00BC8E09" w14:textId="77777777" w:rsidR="00367FBF" w:rsidRPr="00367FBF" w:rsidRDefault="00367FBF" w:rsidP="00367FBF">
      <w:pPr>
        <w:spacing w:after="0" w:line="276" w:lineRule="auto"/>
        <w:jc w:val="both"/>
        <w:rPr>
          <w:rFonts w:cs="Arial"/>
          <w:szCs w:val="20"/>
        </w:rPr>
      </w:pPr>
    </w:p>
    <w:p w14:paraId="4F1ADB83" w14:textId="681602E3" w:rsidR="003E6133" w:rsidRDefault="00306071" w:rsidP="00367FBF">
      <w:pPr>
        <w:spacing w:after="0" w:line="276" w:lineRule="auto"/>
        <w:jc w:val="both"/>
        <w:rPr>
          <w:rFonts w:cs="Arial"/>
          <w:szCs w:val="20"/>
        </w:rPr>
      </w:pPr>
      <w:r w:rsidRPr="00367FBF">
        <w:rPr>
          <w:rFonts w:cs="Arial"/>
          <w:szCs w:val="20"/>
        </w:rPr>
        <w:t>Za namen krepitve odpornosti infrastrukture pri izvajanju PEKP 21</w:t>
      </w:r>
      <w:r w:rsidR="003037F8" w:rsidRPr="00F425EA">
        <w:rPr>
          <w:rFonts w:cs="Arial"/>
          <w:szCs w:val="20"/>
        </w:rPr>
        <w:t>–</w:t>
      </w:r>
      <w:r w:rsidRPr="00367FBF">
        <w:rPr>
          <w:rFonts w:cs="Arial"/>
          <w:szCs w:val="20"/>
        </w:rPr>
        <w:t>27 in krepitve zmogljivosti so bile v letih 2023 in 2024 izvedene štiri delavnice za vse deležnike, vključene v izvajanje evropske kohezijske politike. Omenjene delavnice so bile načrtovane in izvedene v sodelovanju s strokovnjaki Evropske pobude JASPERS. Nadaljnje aktivnosti za krepitev zmogljivosti deležnikov na tem področju se načrtujejo tudi v letu 2025.</w:t>
      </w:r>
      <w:bookmarkStart w:id="2106" w:name="_Toc1112554824"/>
      <w:bookmarkStart w:id="2107" w:name="_Toc1066390514"/>
      <w:bookmarkStart w:id="2108" w:name="_Toc1818674526"/>
      <w:bookmarkStart w:id="2109" w:name="_Toc1083929855"/>
      <w:bookmarkStart w:id="2110" w:name="_Toc379075122"/>
      <w:bookmarkStart w:id="2111" w:name="_Toc876894518"/>
      <w:bookmarkStart w:id="2112" w:name="_Toc560783677"/>
      <w:bookmarkStart w:id="2113" w:name="_Toc265132518"/>
      <w:bookmarkStart w:id="2114" w:name="_Toc1082320529"/>
      <w:bookmarkStart w:id="2115" w:name="_Toc868754638"/>
      <w:bookmarkStart w:id="2116" w:name="_Toc326353312"/>
      <w:bookmarkStart w:id="2117" w:name="_Toc683219629"/>
      <w:bookmarkStart w:id="2118" w:name="_Toc1137784402"/>
      <w:bookmarkStart w:id="2119" w:name="_Toc2095487554"/>
      <w:bookmarkStart w:id="2120" w:name="_Toc907802379"/>
      <w:bookmarkStart w:id="2121" w:name="_Toc2141423027"/>
      <w:bookmarkStart w:id="2122" w:name="_Toc483768996"/>
      <w:bookmarkStart w:id="2123" w:name="_Toc1894969059"/>
      <w:bookmarkStart w:id="2124" w:name="_Toc1913814281"/>
      <w:bookmarkStart w:id="2125" w:name="_Toc1836593616"/>
      <w:bookmarkStart w:id="2126" w:name="_Toc1383374355"/>
      <w:bookmarkStart w:id="2127" w:name="_Toc1476410702"/>
      <w:bookmarkStart w:id="2128" w:name="_Toc1529482220"/>
      <w:bookmarkStart w:id="2129" w:name="_Toc558701335"/>
      <w:bookmarkStart w:id="2130" w:name="_Toc985709985"/>
      <w:bookmarkStart w:id="2131" w:name="_Toc98640053"/>
      <w:bookmarkStart w:id="2132" w:name="_Toc90969120"/>
      <w:bookmarkStart w:id="2133" w:name="_Toc1768244555"/>
      <w:bookmarkStart w:id="2134" w:name="_Toc857528825"/>
      <w:bookmarkStart w:id="2135" w:name="_Toc282207237"/>
      <w:bookmarkStart w:id="2136" w:name="_Toc2046495452"/>
      <w:bookmarkStart w:id="2137" w:name="_Toc117074270"/>
      <w:bookmarkStart w:id="2138" w:name="_Toc72002521"/>
      <w:bookmarkStart w:id="2139" w:name="_Toc1231576907"/>
      <w:bookmarkStart w:id="2140" w:name="_Toc77607182"/>
      <w:bookmarkStart w:id="2141" w:name="_Toc1861104317"/>
      <w:bookmarkStart w:id="2142" w:name="_Toc1202340439"/>
      <w:bookmarkStart w:id="2143" w:name="_Toc1422432346"/>
      <w:bookmarkStart w:id="2144" w:name="_Toc1481798768"/>
      <w:bookmarkStart w:id="2145" w:name="_Toc1411907814"/>
      <w:bookmarkStart w:id="2146" w:name="_Toc187533358"/>
      <w:bookmarkStart w:id="2147" w:name="_Toc1604317318"/>
      <w:bookmarkStart w:id="2148" w:name="_Toc1854719280"/>
      <w:bookmarkStart w:id="2149" w:name="_Toc1097920285"/>
      <w:bookmarkStart w:id="2150" w:name="_Toc295839802"/>
      <w:bookmarkStart w:id="2151" w:name="_Toc1549952027"/>
      <w:bookmarkStart w:id="2152" w:name="_Toc1120513471"/>
      <w:bookmarkStart w:id="2153" w:name="_Toc1588787753"/>
      <w:bookmarkStart w:id="2154" w:name="_Toc1269691725"/>
      <w:bookmarkStart w:id="2155" w:name="_Toc1047235341"/>
      <w:bookmarkStart w:id="2156" w:name="_Toc254273350"/>
      <w:bookmarkStart w:id="2157" w:name="_Toc636231870"/>
      <w:bookmarkStart w:id="2158" w:name="_Toc514918063"/>
      <w:bookmarkStart w:id="2159" w:name="_Toc595385967"/>
      <w:bookmarkStart w:id="2160" w:name="_Toc743185810"/>
      <w:bookmarkStart w:id="2161" w:name="_Toc1458650391"/>
      <w:bookmarkStart w:id="2162" w:name="_Toc1446081337"/>
      <w:bookmarkStart w:id="2163" w:name="_Toc903772475"/>
      <w:bookmarkStart w:id="2164" w:name="_Toc929820636"/>
      <w:bookmarkStart w:id="2165" w:name="_Toc908155820"/>
      <w:bookmarkStart w:id="2166" w:name="_Toc992351448"/>
      <w:bookmarkStart w:id="2167" w:name="_Toc1014936521"/>
      <w:bookmarkStart w:id="2168" w:name="_Toc1531610728"/>
      <w:bookmarkStart w:id="2169" w:name="_Toc1012624521"/>
      <w:bookmarkStart w:id="2170" w:name="_Toc1212369932"/>
      <w:bookmarkStart w:id="2171" w:name="_Toc1384261900"/>
      <w:bookmarkStart w:id="2172" w:name="_Toc46966453"/>
      <w:bookmarkStart w:id="2173" w:name="_Toc794713771"/>
      <w:bookmarkStart w:id="2174" w:name="_Toc1968956717"/>
      <w:bookmarkStart w:id="2175" w:name="_Toc854127497"/>
      <w:bookmarkStart w:id="2176" w:name="_Toc1716778761"/>
      <w:bookmarkStart w:id="2177" w:name="_Toc1571798597"/>
      <w:bookmarkStart w:id="2178" w:name="_Toc1642659294"/>
      <w:bookmarkStart w:id="2179" w:name="_Toc1172670303"/>
      <w:bookmarkStart w:id="2180" w:name="_Toc2037152297"/>
      <w:bookmarkStart w:id="2181" w:name="_Toc1080575332"/>
      <w:bookmarkStart w:id="2182" w:name="_Toc1922979596"/>
      <w:bookmarkStart w:id="2183" w:name="_Toc231392435"/>
      <w:bookmarkStart w:id="2184" w:name="_Toc1560848444"/>
      <w:bookmarkStart w:id="2185" w:name="_Toc1419672398"/>
      <w:bookmarkStart w:id="2186" w:name="_Toc2065090735"/>
      <w:bookmarkStart w:id="2187" w:name="_Toc862330362"/>
      <w:bookmarkStart w:id="2188" w:name="_Toc1834511896"/>
      <w:bookmarkStart w:id="2189" w:name="_Toc1459383351"/>
    </w:p>
    <w:p w14:paraId="37632B4E" w14:textId="77777777" w:rsidR="00EE04C9" w:rsidRDefault="00EE04C9" w:rsidP="00367FBF">
      <w:pPr>
        <w:spacing w:after="0" w:line="276" w:lineRule="auto"/>
        <w:jc w:val="both"/>
        <w:rPr>
          <w:rFonts w:cs="Arial"/>
          <w:szCs w:val="20"/>
        </w:rPr>
      </w:pPr>
    </w:p>
    <w:p w14:paraId="64B83CF5" w14:textId="77777777" w:rsidR="00EE04C9" w:rsidRPr="00EE04C9" w:rsidRDefault="00EE04C9" w:rsidP="000B2C28">
      <w:pPr>
        <w:pStyle w:val="Naslov2"/>
      </w:pPr>
      <w:bookmarkStart w:id="2190" w:name="_Toc192682002"/>
      <w:r w:rsidRPr="00EE04C9">
        <w:t>2.5</w:t>
      </w:r>
      <w:r w:rsidRPr="00EE04C9">
        <w:tab/>
        <w:t>KOMUNICIRANJE IN PREPOZNAVNOST</w:t>
      </w:r>
      <w:bookmarkEnd w:id="2190"/>
      <w:r w:rsidRPr="00EE04C9">
        <w:t xml:space="preserve"> </w:t>
      </w:r>
    </w:p>
    <w:p w14:paraId="0B077B1E" w14:textId="77777777" w:rsidR="00EE04C9" w:rsidRPr="00EE04C9" w:rsidRDefault="00EE04C9" w:rsidP="00EE04C9">
      <w:pPr>
        <w:spacing w:after="0" w:line="276" w:lineRule="auto"/>
        <w:jc w:val="both"/>
        <w:rPr>
          <w:rFonts w:cs="Arial"/>
          <w:szCs w:val="20"/>
        </w:rPr>
      </w:pPr>
    </w:p>
    <w:p w14:paraId="390AE7E5" w14:textId="77777777" w:rsidR="00EE04C9" w:rsidRPr="00EE04C9" w:rsidRDefault="00EE04C9" w:rsidP="00EE04C9">
      <w:pPr>
        <w:spacing w:after="0" w:line="276" w:lineRule="auto"/>
        <w:jc w:val="both"/>
        <w:rPr>
          <w:rFonts w:cs="Arial"/>
          <w:szCs w:val="20"/>
        </w:rPr>
      </w:pPr>
      <w:r w:rsidRPr="00EE04C9">
        <w:rPr>
          <w:rFonts w:cs="Arial"/>
          <w:szCs w:val="20"/>
        </w:rPr>
        <w:t xml:space="preserve">Osrednji namen komunikacijske strategije evropske kohezijske politike je zagotavljati obveščenost javnosti o izvajanju EKP v Sloveniji. </w:t>
      </w:r>
    </w:p>
    <w:p w14:paraId="726F064B" w14:textId="77777777" w:rsidR="00EE04C9" w:rsidRPr="00EE04C9" w:rsidRDefault="00EE04C9" w:rsidP="00EE04C9">
      <w:pPr>
        <w:spacing w:after="0" w:line="276" w:lineRule="auto"/>
        <w:jc w:val="both"/>
        <w:rPr>
          <w:rFonts w:cs="Arial"/>
          <w:szCs w:val="20"/>
        </w:rPr>
      </w:pPr>
    </w:p>
    <w:p w14:paraId="5485E41D" w14:textId="388166BA" w:rsidR="00EE04C9" w:rsidRPr="00EE04C9" w:rsidRDefault="00EE04C9" w:rsidP="00EE04C9">
      <w:pPr>
        <w:spacing w:after="0" w:line="276" w:lineRule="auto"/>
        <w:jc w:val="both"/>
        <w:rPr>
          <w:rFonts w:cs="Arial"/>
          <w:szCs w:val="20"/>
        </w:rPr>
      </w:pPr>
      <w:r w:rsidRPr="00EE04C9">
        <w:rPr>
          <w:rFonts w:cs="Arial"/>
          <w:szCs w:val="20"/>
        </w:rPr>
        <w:t>Glavna komunikacijska orodja so:</w:t>
      </w:r>
    </w:p>
    <w:p w14:paraId="2F8D1F2D" w14:textId="77777777" w:rsidR="00EE04C9" w:rsidRPr="00EE04C9" w:rsidRDefault="00EE04C9" w:rsidP="00EE04C9">
      <w:pPr>
        <w:numPr>
          <w:ilvl w:val="0"/>
          <w:numId w:val="31"/>
        </w:numPr>
        <w:spacing w:after="0" w:line="276" w:lineRule="auto"/>
        <w:jc w:val="both"/>
        <w:rPr>
          <w:rFonts w:cs="Arial"/>
          <w:szCs w:val="20"/>
        </w:rPr>
      </w:pPr>
      <w:r w:rsidRPr="00EE04C9">
        <w:rPr>
          <w:rFonts w:cs="Arial"/>
          <w:szCs w:val="20"/>
        </w:rPr>
        <w:t xml:space="preserve">spletni portal www.evropskasredstva.si; </w:t>
      </w:r>
    </w:p>
    <w:p w14:paraId="53F1D7BD" w14:textId="77777777" w:rsidR="00EE04C9" w:rsidRPr="00EE04C9" w:rsidRDefault="00EE04C9" w:rsidP="00EE04C9">
      <w:pPr>
        <w:numPr>
          <w:ilvl w:val="0"/>
          <w:numId w:val="31"/>
        </w:numPr>
        <w:spacing w:after="0" w:line="276" w:lineRule="auto"/>
        <w:jc w:val="both"/>
        <w:rPr>
          <w:rFonts w:cs="Arial"/>
          <w:szCs w:val="20"/>
        </w:rPr>
      </w:pPr>
      <w:r w:rsidRPr="00EE04C9">
        <w:rPr>
          <w:rFonts w:cs="Arial"/>
          <w:szCs w:val="20"/>
        </w:rPr>
        <w:t xml:space="preserve">družbena omrežja (Facebook, </w:t>
      </w:r>
      <w:proofErr w:type="spellStart"/>
      <w:r w:rsidRPr="00EE04C9">
        <w:rPr>
          <w:rFonts w:cs="Arial"/>
          <w:szCs w:val="20"/>
        </w:rPr>
        <w:t>Instagram</w:t>
      </w:r>
      <w:proofErr w:type="spellEnd"/>
      <w:r w:rsidRPr="00EE04C9">
        <w:rPr>
          <w:rFonts w:cs="Arial"/>
          <w:szCs w:val="20"/>
        </w:rPr>
        <w:t xml:space="preserve">, </w:t>
      </w:r>
      <w:proofErr w:type="spellStart"/>
      <w:r w:rsidRPr="00EE04C9">
        <w:rPr>
          <w:rFonts w:cs="Arial"/>
          <w:szCs w:val="20"/>
        </w:rPr>
        <w:t>LinkedIn</w:t>
      </w:r>
      <w:proofErr w:type="spellEnd"/>
      <w:r w:rsidRPr="00EE04C9">
        <w:rPr>
          <w:rFonts w:cs="Arial"/>
          <w:szCs w:val="20"/>
        </w:rPr>
        <w:t xml:space="preserve"> in YouTube).</w:t>
      </w:r>
    </w:p>
    <w:p w14:paraId="7FEE580E" w14:textId="77777777" w:rsidR="00EE04C9" w:rsidRPr="00EE04C9" w:rsidRDefault="00EE04C9" w:rsidP="00EE04C9">
      <w:pPr>
        <w:spacing w:after="0" w:line="276" w:lineRule="auto"/>
        <w:jc w:val="both"/>
        <w:rPr>
          <w:rFonts w:cs="Arial"/>
          <w:szCs w:val="20"/>
        </w:rPr>
      </w:pPr>
      <w:r w:rsidRPr="00EE04C9">
        <w:rPr>
          <w:rFonts w:cs="Arial"/>
          <w:szCs w:val="20"/>
        </w:rPr>
        <w:t xml:space="preserve"> </w:t>
      </w:r>
    </w:p>
    <w:p w14:paraId="75B50E96" w14:textId="77777777" w:rsidR="00EE04C9" w:rsidRPr="00EE04C9" w:rsidRDefault="00EE04C9" w:rsidP="00EE04C9">
      <w:pPr>
        <w:spacing w:after="0" w:line="276" w:lineRule="auto"/>
        <w:jc w:val="both"/>
        <w:rPr>
          <w:rFonts w:cs="Arial"/>
          <w:szCs w:val="20"/>
        </w:rPr>
      </w:pPr>
      <w:r w:rsidRPr="00EE04C9">
        <w:rPr>
          <w:rFonts w:cs="Arial"/>
          <w:szCs w:val="20"/>
        </w:rPr>
        <w:t>V letu 2024 so bile izvedene številne komunikacijske aktivnosti:</w:t>
      </w:r>
    </w:p>
    <w:p w14:paraId="3DFD9A49" w14:textId="77777777" w:rsidR="00EE04C9" w:rsidRPr="00EE04C9" w:rsidRDefault="00EE04C9" w:rsidP="00EE04C9">
      <w:pPr>
        <w:spacing w:after="0" w:line="276" w:lineRule="auto"/>
        <w:jc w:val="both"/>
        <w:rPr>
          <w:rFonts w:cs="Arial"/>
          <w:szCs w:val="20"/>
        </w:rPr>
      </w:pPr>
    </w:p>
    <w:p w14:paraId="4514BDDB" w14:textId="553B5CF0" w:rsidR="00EE04C9" w:rsidRPr="00EE04C9" w:rsidRDefault="00EE04C9" w:rsidP="00EE04C9">
      <w:pPr>
        <w:spacing w:after="0" w:line="276" w:lineRule="auto"/>
        <w:jc w:val="both"/>
        <w:rPr>
          <w:rFonts w:cs="Arial"/>
          <w:szCs w:val="20"/>
        </w:rPr>
      </w:pPr>
      <w:r w:rsidRPr="00EE04C9">
        <w:rPr>
          <w:rFonts w:cs="Arial"/>
          <w:szCs w:val="20"/>
        </w:rPr>
        <w:t xml:space="preserve">1. Zaključek izvajanja EKP 2014-2020: 23. maja 2024 smo organizirali zaključno slovesnost v Ljubljani. Zbrane so nagovorili minister dr. Aleksander Jevšek in visoka predstavnika Evropske komisije Sofija </w:t>
      </w:r>
      <w:proofErr w:type="spellStart"/>
      <w:r w:rsidRPr="00EE04C9">
        <w:rPr>
          <w:rFonts w:cs="Arial"/>
          <w:szCs w:val="20"/>
        </w:rPr>
        <w:t>Alves</w:t>
      </w:r>
      <w:proofErr w:type="spellEnd"/>
      <w:r w:rsidRPr="00EE04C9">
        <w:rPr>
          <w:rFonts w:cs="Arial"/>
          <w:szCs w:val="20"/>
        </w:rPr>
        <w:t xml:space="preserve">, direktorica na DR </w:t>
      </w:r>
      <w:proofErr w:type="spellStart"/>
      <w:r w:rsidRPr="00EE04C9">
        <w:rPr>
          <w:rFonts w:cs="Arial"/>
          <w:szCs w:val="20"/>
        </w:rPr>
        <w:t>Regio</w:t>
      </w:r>
      <w:proofErr w:type="spellEnd"/>
      <w:r w:rsidRPr="00EE04C9">
        <w:rPr>
          <w:rFonts w:cs="Arial"/>
          <w:szCs w:val="20"/>
        </w:rPr>
        <w:t xml:space="preserve">, in Michael </w:t>
      </w:r>
      <w:proofErr w:type="spellStart"/>
      <w:r w:rsidRPr="00EE04C9">
        <w:rPr>
          <w:rFonts w:cs="Arial"/>
          <w:szCs w:val="20"/>
        </w:rPr>
        <w:t>Morass</w:t>
      </w:r>
      <w:proofErr w:type="spellEnd"/>
      <w:r w:rsidRPr="00EE04C9">
        <w:rPr>
          <w:rFonts w:cs="Arial"/>
          <w:szCs w:val="20"/>
        </w:rPr>
        <w:t>, namestnik vodje enote za Slovenijo, Hrvaško, Avstrijo in Nemčijo iz Generalnega direktorata za zaposlovanje, socialne zadeve in vključevanje. Ob tej priložnosti smo izdelali video</w:t>
      </w:r>
      <w:r w:rsidR="00580BA0">
        <w:rPr>
          <w:rStyle w:val="Sprotnaopomba-sklic"/>
          <w:rFonts w:cs="Arial"/>
          <w:szCs w:val="20"/>
        </w:rPr>
        <w:footnoteReference w:id="2"/>
      </w:r>
      <w:r w:rsidRPr="00EE04C9">
        <w:rPr>
          <w:rFonts w:cs="Arial"/>
          <w:szCs w:val="20"/>
        </w:rPr>
        <w:t xml:space="preserve"> z dosežki v številkah in izbranimi primeri dobrih praks ter izdali publikacijo </w:t>
      </w:r>
      <w:r w:rsidRPr="00EE04C9">
        <w:rPr>
          <w:rFonts w:cs="Arial"/>
          <w:szCs w:val="20"/>
        </w:rPr>
        <w:lastRenderedPageBreak/>
        <w:t>»Evropska kohezijska politika v Sloveniji v obdobju 2014-2020«</w:t>
      </w:r>
      <w:r w:rsidR="00174FBD">
        <w:rPr>
          <w:rStyle w:val="Sprotnaopomba-sklic"/>
          <w:rFonts w:cs="Arial"/>
          <w:szCs w:val="20"/>
        </w:rPr>
        <w:footnoteReference w:id="3"/>
      </w:r>
      <w:r w:rsidRPr="00EE04C9">
        <w:rPr>
          <w:rFonts w:cs="Arial"/>
          <w:szCs w:val="20"/>
        </w:rPr>
        <w:t xml:space="preserve"> v nakladi 1000 izvodov, ki je dostopna tudi na spletu</w:t>
      </w:r>
      <w:r w:rsidR="00580BA0">
        <w:rPr>
          <w:rFonts w:cs="Arial"/>
          <w:szCs w:val="20"/>
        </w:rPr>
        <w:t>.</w:t>
      </w:r>
      <w:r w:rsidRPr="00EE04C9">
        <w:rPr>
          <w:rFonts w:cs="Arial"/>
          <w:szCs w:val="20"/>
        </w:rPr>
        <w:t xml:space="preserve"> </w:t>
      </w:r>
    </w:p>
    <w:p w14:paraId="47C46482" w14:textId="77777777" w:rsidR="00EE04C9" w:rsidRPr="00EE04C9" w:rsidRDefault="00EE04C9" w:rsidP="00EE04C9">
      <w:pPr>
        <w:spacing w:after="0" w:line="276" w:lineRule="auto"/>
        <w:jc w:val="both"/>
        <w:rPr>
          <w:rFonts w:cs="Arial"/>
          <w:szCs w:val="20"/>
        </w:rPr>
      </w:pPr>
    </w:p>
    <w:p w14:paraId="5450A2EC" w14:textId="77777777" w:rsidR="00EE04C9" w:rsidRPr="00EE04C9" w:rsidRDefault="00EE04C9" w:rsidP="00EE04C9">
      <w:pPr>
        <w:spacing w:after="0" w:line="276" w:lineRule="auto"/>
        <w:jc w:val="both"/>
        <w:rPr>
          <w:rFonts w:cs="Arial"/>
          <w:szCs w:val="20"/>
        </w:rPr>
      </w:pPr>
      <w:r w:rsidRPr="00EE04C9">
        <w:rPr>
          <w:rFonts w:cs="Arial"/>
          <w:szCs w:val="20"/>
        </w:rPr>
        <w:t xml:space="preserve">2. Dobre zgodbe: Nadaljevali smo s snemanjem video vsebin v lastni produkciji, s katerimi smo predstavili dobre zgodbe, spisane z evropskimi sredstvi v Sloveniji. Vsebine smo objavljali na družbenih omrežjih Facebook, </w:t>
      </w:r>
      <w:proofErr w:type="spellStart"/>
      <w:r w:rsidRPr="00EE04C9">
        <w:rPr>
          <w:rFonts w:cs="Arial"/>
          <w:szCs w:val="20"/>
        </w:rPr>
        <w:t>Instagram</w:t>
      </w:r>
      <w:proofErr w:type="spellEnd"/>
      <w:r w:rsidRPr="00EE04C9">
        <w:rPr>
          <w:rFonts w:cs="Arial"/>
          <w:szCs w:val="20"/>
        </w:rPr>
        <w:t xml:space="preserve"> in </w:t>
      </w:r>
      <w:proofErr w:type="spellStart"/>
      <w:r w:rsidRPr="00EE04C9">
        <w:rPr>
          <w:rFonts w:cs="Arial"/>
          <w:szCs w:val="20"/>
        </w:rPr>
        <w:t>Youtube</w:t>
      </w:r>
      <w:proofErr w:type="spellEnd"/>
      <w:r w:rsidRPr="00EE04C9">
        <w:rPr>
          <w:rFonts w:cs="Arial"/>
          <w:szCs w:val="20"/>
        </w:rPr>
        <w:t xml:space="preserve">. S strani DG </w:t>
      </w:r>
      <w:proofErr w:type="spellStart"/>
      <w:r w:rsidRPr="00EE04C9">
        <w:rPr>
          <w:rFonts w:cs="Arial"/>
          <w:szCs w:val="20"/>
        </w:rPr>
        <w:t>Regio</w:t>
      </w:r>
      <w:proofErr w:type="spellEnd"/>
      <w:r w:rsidRPr="00EE04C9">
        <w:rPr>
          <w:rFonts w:cs="Arial"/>
          <w:szCs w:val="20"/>
        </w:rPr>
        <w:t xml:space="preserve"> smo pridobili tudi finančna sredstva za promocijo objav video vsebin na družbenih omrežjih Evropska sredstva. Posneli, uredili in objavili smo 30 prispevkov. Predstavili smo 6 projektov sofinanciranih iz ES, in 24 projektov sofinanciranih iz ESRR. Med drugim smo izvedli skupno poletno promocijsko kampanjo z Ministrstvom za gospodarstvo, turizem in šport, v kateri smo predstavili učinke vlaganj v preoblikovanje zimskih centrov v celoletna gorska središča.</w:t>
      </w:r>
    </w:p>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p w14:paraId="69D627BB" w14:textId="77777777" w:rsidR="000E7A5A" w:rsidRPr="003E6133" w:rsidRDefault="000E7A5A" w:rsidP="00E247FF">
      <w:pPr>
        <w:spacing w:after="0" w:line="276" w:lineRule="auto"/>
        <w:jc w:val="both"/>
        <w:rPr>
          <w:rFonts w:cs="Arial"/>
          <w:szCs w:val="20"/>
        </w:rPr>
      </w:pPr>
    </w:p>
    <w:p w14:paraId="57BF1902" w14:textId="77777777" w:rsidR="000E7A5A" w:rsidRPr="003E6133" w:rsidRDefault="00306071" w:rsidP="00E247FF">
      <w:pPr>
        <w:spacing w:after="0" w:line="276" w:lineRule="auto"/>
        <w:jc w:val="both"/>
        <w:rPr>
          <w:rFonts w:cs="Arial"/>
          <w:szCs w:val="20"/>
        </w:rPr>
      </w:pPr>
      <w:r w:rsidRPr="003E6133">
        <w:rPr>
          <w:rFonts w:cs="Arial"/>
          <w:szCs w:val="20"/>
        </w:rPr>
        <w:t xml:space="preserve">3. Oglaševanje: Izvedli smo oglaševanje dobrih zgodb evropske kohezijske politike v različnih slovenskih medijih. 1) Tiskani mediji: Evropsko kohezijsko politiko smo oglaševali v posebni reviji, ki je izšla na območju Slovenije in Hrvaške, LIKE SLOVENIJA – HRVAŠKA in z njo povezanimi mediji Delom, </w:t>
      </w:r>
      <w:proofErr w:type="spellStart"/>
      <w:r w:rsidRPr="003E6133">
        <w:rPr>
          <w:rFonts w:cs="Arial"/>
          <w:szCs w:val="20"/>
        </w:rPr>
        <w:t>Jutarnjim</w:t>
      </w:r>
      <w:proofErr w:type="spellEnd"/>
      <w:r w:rsidRPr="003E6133">
        <w:rPr>
          <w:rFonts w:cs="Arial"/>
          <w:szCs w:val="20"/>
        </w:rPr>
        <w:t xml:space="preserve"> listom in </w:t>
      </w:r>
      <w:proofErr w:type="spellStart"/>
      <w:r w:rsidRPr="003E6133">
        <w:rPr>
          <w:rFonts w:cs="Arial"/>
          <w:szCs w:val="20"/>
        </w:rPr>
        <w:t>Slobodno</w:t>
      </w:r>
      <w:proofErr w:type="spellEnd"/>
      <w:r w:rsidRPr="003E6133">
        <w:rPr>
          <w:rFonts w:cs="Arial"/>
          <w:szCs w:val="20"/>
        </w:rPr>
        <w:t xml:space="preserve"> Dalmacijo, ter v posebni reviji SLOVENIJA 20 LET V EU, ki se je poklonila 20. obletnici vstopa Slovenije v Evropsko unijo. V Dnevniku in Nedeljskem dnevniku smo nadaljevali z grajenjem lastne znamke skozi članke »Z evropskimi sredstvi pišemo dobre zgodbe« oz. »Dobre zgodbe Evrope«. 2) Televizija: V prvi polovici letošnjega leta smo dosežke evropske kohezijske politike predstavljali v več oddajah Podjetno naprej na TV Slovenija, evropska sredstva pa smo približevali ljudem tudi preko lokalnih oz. regionalnih televizij, in sicer TV </w:t>
      </w:r>
      <w:proofErr w:type="spellStart"/>
      <w:r w:rsidRPr="003E6133">
        <w:rPr>
          <w:rFonts w:cs="Arial"/>
          <w:szCs w:val="20"/>
        </w:rPr>
        <w:t>Idea</w:t>
      </w:r>
      <w:proofErr w:type="spellEnd"/>
      <w:r w:rsidRPr="003E6133">
        <w:rPr>
          <w:rFonts w:cs="Arial"/>
          <w:szCs w:val="20"/>
        </w:rPr>
        <w:t xml:space="preserve"> s sedežem v Murski Soboti (tema: Dan kohezije 2024), TV Vaš kanal s sedežem v Novem mestu (tema: reportaže iz razvojne regije Jugovzhodna Slovenija) in KICTV s sedežem v Rakeku (tema: Dnevi medgeneracijskega sožitja 2024).</w:t>
      </w:r>
    </w:p>
    <w:p w14:paraId="592F4707" w14:textId="77777777" w:rsidR="000E7A5A" w:rsidRPr="003E6133" w:rsidRDefault="000E7A5A" w:rsidP="00E247FF">
      <w:pPr>
        <w:spacing w:after="0" w:line="276" w:lineRule="auto"/>
        <w:jc w:val="both"/>
        <w:rPr>
          <w:rFonts w:cs="Arial"/>
          <w:szCs w:val="20"/>
        </w:rPr>
      </w:pPr>
    </w:p>
    <w:p w14:paraId="05C4C791" w14:textId="17EB1F01" w:rsidR="000E7A5A" w:rsidRPr="003E6133" w:rsidRDefault="00306071" w:rsidP="00E247FF">
      <w:pPr>
        <w:spacing w:after="0" w:line="276" w:lineRule="auto"/>
        <w:jc w:val="both"/>
        <w:rPr>
          <w:rFonts w:cs="Arial"/>
          <w:szCs w:val="20"/>
        </w:rPr>
      </w:pPr>
      <w:r w:rsidRPr="003E6133">
        <w:rPr>
          <w:rFonts w:cs="Arial"/>
          <w:szCs w:val="20"/>
        </w:rPr>
        <w:t>4. EU projekt, moj projekt 2024: V luči praznovanja 20. obletnice vstopa Slovenije v EU smo k sodelovanju povabili tudi druge programe, ki se financirajo z evropskimi sredstvi in skupaj izbrali 20 projektov za 20 let Slovenije v EU. Projekte smo predstavili na spletni podstrani</w:t>
      </w:r>
      <w:r w:rsidR="00ED4422">
        <w:rPr>
          <w:rStyle w:val="Sprotnaopomba-sklic"/>
          <w:rFonts w:cs="Arial"/>
          <w:szCs w:val="20"/>
        </w:rPr>
        <w:footnoteReference w:id="4"/>
      </w:r>
      <w:r w:rsidR="00ED4422">
        <w:rPr>
          <w:rFonts w:cs="Arial"/>
          <w:szCs w:val="20"/>
        </w:rPr>
        <w:t xml:space="preserve"> </w:t>
      </w:r>
      <w:r w:rsidRPr="003E6133">
        <w:rPr>
          <w:rFonts w:cs="Arial"/>
          <w:szCs w:val="20"/>
        </w:rPr>
        <w:t>in jih podvrgli glasovanju javnosti. Za naj EU projekt 2024 je bil izbran projekt Revitalizacija degradiranega območja Lent. V juniju, septembru in oktobru smo izvajali predstavitve projektov, ki so bile oglaševane v lokalnih, regionalnih in nacionalnih medijih. Izbrani projekti so izvedli enodnevni dogodek v svojem domačem kraju oz. svoji regiji v obliki okrogle mize, delavnice, dneva odprtih vrat, obiska podjetja, športnih ali kulturnih aktivnosti ipd.</w:t>
      </w:r>
      <w:r w:rsidR="00D67EDB">
        <w:rPr>
          <w:rFonts w:cs="Arial"/>
          <w:szCs w:val="20"/>
        </w:rPr>
        <w:t>.</w:t>
      </w:r>
    </w:p>
    <w:p w14:paraId="6928A7FE" w14:textId="77777777" w:rsidR="000E7A5A" w:rsidRPr="003E6133" w:rsidRDefault="000E7A5A" w:rsidP="00E247FF">
      <w:pPr>
        <w:spacing w:after="0" w:line="276" w:lineRule="auto"/>
        <w:jc w:val="both"/>
        <w:rPr>
          <w:rFonts w:cs="Arial"/>
          <w:szCs w:val="20"/>
        </w:rPr>
      </w:pPr>
    </w:p>
    <w:p w14:paraId="57C19C74" w14:textId="77777777" w:rsidR="000E7A5A" w:rsidRPr="003E6133" w:rsidRDefault="00306071" w:rsidP="00E247FF">
      <w:pPr>
        <w:spacing w:after="0" w:line="276" w:lineRule="auto"/>
        <w:jc w:val="both"/>
        <w:rPr>
          <w:rFonts w:cs="Arial"/>
          <w:szCs w:val="20"/>
        </w:rPr>
      </w:pPr>
      <w:r w:rsidRPr="003E6133">
        <w:rPr>
          <w:rFonts w:cs="Arial"/>
          <w:szCs w:val="20"/>
        </w:rPr>
        <w:t xml:space="preserve">5. Potujoča pisarna evropskih sredstev: V letošnjem letu smo v sodelovanju z upravičenci, ki sodelujejo v natečaju EU projekt, moj projekt 2024, in regionalnimi razvojnimi agencijami (RRA) izvedli pet potujočih pisarn po različnih regijah in sicer v Celju, Postojni, Vinici, Ljubljani in 17 Mariboru. Potujoče pisarne so bili dogodki za zainteresirano in splošno javnost v obliki pogovornega omizja. Predstavnik RRA je predstavil izzive in želje regije na področju investiranja evropskih sredstev. Sledil je odgovor na te izzive s strani predstavnikov programov, ki omogočajo sofinanciranje z evropskimi sredstvi (Evropska kohezijska politika, Skupna kmetijska politika, </w:t>
      </w:r>
      <w:proofErr w:type="spellStart"/>
      <w:r w:rsidRPr="003E6133">
        <w:rPr>
          <w:rFonts w:cs="Arial"/>
          <w:szCs w:val="20"/>
        </w:rPr>
        <w:t>Interreg</w:t>
      </w:r>
      <w:proofErr w:type="spellEnd"/>
      <w:r w:rsidRPr="003E6133">
        <w:rPr>
          <w:rFonts w:cs="Arial"/>
          <w:szCs w:val="20"/>
        </w:rPr>
        <w:t xml:space="preserve"> programi, notranje zadeve, ribištvo …). Na omizju se je predstavil tudi primer dobre prakse iz lokalnega okolja, ki se je uvrstil med TOP 20 projektov natečaja EU projekt, moj projekt.</w:t>
      </w:r>
    </w:p>
    <w:p w14:paraId="399BFE89" w14:textId="77777777" w:rsidR="000E7A5A" w:rsidRPr="003E6133" w:rsidRDefault="000E7A5A" w:rsidP="00E247FF">
      <w:pPr>
        <w:spacing w:after="0" w:line="276" w:lineRule="auto"/>
        <w:jc w:val="both"/>
        <w:rPr>
          <w:rFonts w:cs="Arial"/>
          <w:szCs w:val="20"/>
        </w:rPr>
      </w:pPr>
    </w:p>
    <w:p w14:paraId="308092EE" w14:textId="4F3CF59B" w:rsidR="000E7A5A" w:rsidRPr="003E6133" w:rsidRDefault="00306071" w:rsidP="00E247FF">
      <w:pPr>
        <w:spacing w:after="0" w:line="276" w:lineRule="auto"/>
        <w:jc w:val="both"/>
        <w:rPr>
          <w:rFonts w:cs="Arial"/>
          <w:szCs w:val="20"/>
        </w:rPr>
      </w:pPr>
      <w:r w:rsidRPr="003E6133">
        <w:rPr>
          <w:rFonts w:cs="Arial"/>
          <w:szCs w:val="20"/>
        </w:rPr>
        <w:t xml:space="preserve">6. ASOC – Šola odprte kohezije: V šolskem letu 2023/2024 smo pilotno izvedli Šolo kohezije. K sodelovanju smo povabili vse slovenske srednje šole, za sodelovanje se jih je odločilo osem. Dijaki so med drugim izdelali komunikacijski izdelek za ponazoritev rezultatov svojega dela in tekmovali s svojimi vrstniki na nacionalni ravni. Nagradni obisk Bruslja za najboljšo ekipo je prejela SIC Ljubljana. Zaključek smo obeležili s prireditvijo v Kopru. Po zaključku prvega šolskega leta smo že začeli s pripravami na </w:t>
      </w:r>
      <w:r w:rsidRPr="003E6133">
        <w:rPr>
          <w:rFonts w:cs="Arial"/>
          <w:szCs w:val="20"/>
        </w:rPr>
        <w:lastRenderedPageBreak/>
        <w:t>šolsko leto 2024/2025. Interes za sodelovanje je izrazilo kar 16 srednjih šol, ki so prijavile 19 ekip.</w:t>
      </w:r>
      <w:r w:rsidR="001C178F">
        <w:rPr>
          <w:rStyle w:val="Sprotnaopomba-sklic"/>
          <w:rFonts w:cs="Arial"/>
          <w:szCs w:val="20"/>
        </w:rPr>
        <w:footnoteReference w:id="5"/>
      </w:r>
      <w:r w:rsidRPr="003E6133">
        <w:rPr>
          <w:rFonts w:cs="Arial"/>
          <w:szCs w:val="20"/>
        </w:rPr>
        <w:t xml:space="preserve"> Spletna podstran projekta je na voljo tukaj: </w:t>
      </w:r>
      <w:hyperlink r:id="rId35" w:history="1">
        <w:r w:rsidR="001C178F" w:rsidRPr="00622489">
          <w:rPr>
            <w:rStyle w:val="Hiperpovezava"/>
            <w:rFonts w:cs="Arial"/>
            <w:szCs w:val="20"/>
          </w:rPr>
          <w:t>https://evropskasredstva.si/asoc/</w:t>
        </w:r>
      </w:hyperlink>
      <w:r w:rsidR="001C178F">
        <w:rPr>
          <w:rFonts w:cs="Arial"/>
          <w:szCs w:val="20"/>
        </w:rPr>
        <w:t xml:space="preserve"> </w:t>
      </w:r>
      <w:r w:rsidRPr="003E6133">
        <w:rPr>
          <w:rFonts w:cs="Arial"/>
          <w:szCs w:val="20"/>
        </w:rPr>
        <w:t>.</w:t>
      </w:r>
    </w:p>
    <w:p w14:paraId="4F918109" w14:textId="77777777" w:rsidR="000E7A5A" w:rsidRPr="003E6133" w:rsidRDefault="000E7A5A" w:rsidP="00E247FF">
      <w:pPr>
        <w:spacing w:after="0" w:line="276" w:lineRule="auto"/>
        <w:jc w:val="both"/>
        <w:rPr>
          <w:rFonts w:cs="Arial"/>
          <w:szCs w:val="20"/>
        </w:rPr>
      </w:pPr>
    </w:p>
    <w:p w14:paraId="1C10288A" w14:textId="77777777" w:rsidR="000E7A5A" w:rsidRPr="003E6133" w:rsidRDefault="00306071" w:rsidP="00E247FF">
      <w:pPr>
        <w:spacing w:after="0" w:line="276" w:lineRule="auto"/>
        <w:jc w:val="both"/>
        <w:rPr>
          <w:rFonts w:cs="Arial"/>
          <w:szCs w:val="20"/>
        </w:rPr>
      </w:pPr>
      <w:r w:rsidRPr="003E6133">
        <w:rPr>
          <w:rFonts w:cs="Arial"/>
          <w:szCs w:val="20"/>
        </w:rPr>
        <w:t xml:space="preserve">7. Kolesarska dirka po Sloveniji od 12. do 16. junija: V sodelovanju z organizatorjem smo izvajali aktivnosti za promocijo EKP in dobrih zgodb ob trasi dirke. Komunikacijske aktivnosti so obsegale: predstavitev treh projektov sofinanciranih z EU sredstvi v prenosu v živo 10-15 sekund na </w:t>
      </w:r>
      <w:proofErr w:type="spellStart"/>
      <w:r w:rsidRPr="003E6133">
        <w:rPr>
          <w:rFonts w:cs="Arial"/>
          <w:szCs w:val="20"/>
        </w:rPr>
        <w:t>Eurosportu</w:t>
      </w:r>
      <w:proofErr w:type="spellEnd"/>
      <w:r w:rsidRPr="003E6133">
        <w:rPr>
          <w:rFonts w:cs="Arial"/>
          <w:szCs w:val="20"/>
        </w:rPr>
        <w:t xml:space="preserve"> in RTV SLO, predstavitev EU projektov v biltenu prireditve, predstavitev programa EKP in EU projektov na spletni strani dogodka in socialnih omrežjih (spletna stran: 3 članki, </w:t>
      </w:r>
      <w:proofErr w:type="spellStart"/>
      <w:r w:rsidRPr="003E6133">
        <w:rPr>
          <w:rFonts w:cs="Arial"/>
          <w:szCs w:val="20"/>
        </w:rPr>
        <w:t>Instagram</w:t>
      </w:r>
      <w:proofErr w:type="spellEnd"/>
      <w:r w:rsidRPr="003E6133">
        <w:rPr>
          <w:rFonts w:cs="Arial"/>
          <w:szCs w:val="20"/>
        </w:rPr>
        <w:t xml:space="preserve">: 3 objave, Facebook: 3 objave, </w:t>
      </w:r>
      <w:proofErr w:type="spellStart"/>
      <w:r w:rsidRPr="003E6133">
        <w:rPr>
          <w:rFonts w:cs="Arial"/>
          <w:szCs w:val="20"/>
        </w:rPr>
        <w:t>Twitter</w:t>
      </w:r>
      <w:proofErr w:type="spellEnd"/>
      <w:r w:rsidRPr="003E6133">
        <w:rPr>
          <w:rFonts w:cs="Arial"/>
          <w:szCs w:val="20"/>
        </w:rPr>
        <w:t>: 3 objave).</w:t>
      </w:r>
    </w:p>
    <w:p w14:paraId="32EFE9AF" w14:textId="77777777" w:rsidR="000E7A5A" w:rsidRPr="003E6133" w:rsidRDefault="000E7A5A" w:rsidP="00E247FF">
      <w:pPr>
        <w:spacing w:after="0" w:line="276" w:lineRule="auto"/>
        <w:jc w:val="both"/>
        <w:rPr>
          <w:rFonts w:cs="Arial"/>
          <w:szCs w:val="20"/>
        </w:rPr>
      </w:pPr>
    </w:p>
    <w:p w14:paraId="38E4B737" w14:textId="77777777" w:rsidR="000E7A5A" w:rsidRPr="003E6133" w:rsidRDefault="00306071" w:rsidP="00E247FF">
      <w:pPr>
        <w:spacing w:after="0" w:line="276" w:lineRule="auto"/>
        <w:jc w:val="both"/>
        <w:rPr>
          <w:rFonts w:cs="Arial"/>
          <w:szCs w:val="20"/>
        </w:rPr>
      </w:pPr>
      <w:r w:rsidRPr="003E6133">
        <w:rPr>
          <w:rFonts w:cs="Arial"/>
          <w:szCs w:val="20"/>
        </w:rPr>
        <w:t>8. Video o EPK: V sodelovanju z zunanjim izvajalcem izdelujemo animiran video, s katerim bomo širši javnosti predstavili cilje politik EKP.</w:t>
      </w:r>
    </w:p>
    <w:p w14:paraId="39558E40" w14:textId="77777777" w:rsidR="000E7A5A" w:rsidRPr="003E6133" w:rsidRDefault="000E7A5A" w:rsidP="00E247FF">
      <w:pPr>
        <w:spacing w:after="0" w:line="276" w:lineRule="auto"/>
        <w:jc w:val="both"/>
        <w:rPr>
          <w:rFonts w:cs="Arial"/>
          <w:szCs w:val="20"/>
        </w:rPr>
      </w:pPr>
    </w:p>
    <w:p w14:paraId="223EFBDA" w14:textId="77777777" w:rsidR="000E7A5A" w:rsidRPr="003E6133" w:rsidRDefault="00306071" w:rsidP="00E247FF">
      <w:pPr>
        <w:spacing w:after="0" w:line="276" w:lineRule="auto"/>
        <w:jc w:val="both"/>
        <w:rPr>
          <w:rFonts w:cs="Arial"/>
          <w:szCs w:val="20"/>
        </w:rPr>
      </w:pPr>
      <w:r w:rsidRPr="003E6133">
        <w:rPr>
          <w:rFonts w:cs="Arial"/>
          <w:szCs w:val="20"/>
        </w:rPr>
        <w:t xml:space="preserve">9. Sejemska dejavnost: Udeleževali smo se sejmov in drugih večjih tematskih prireditev. Med drugim smo se januarja udeležili sejma </w:t>
      </w:r>
      <w:proofErr w:type="spellStart"/>
      <w:r w:rsidRPr="003E6133">
        <w:rPr>
          <w:rFonts w:cs="Arial"/>
          <w:szCs w:val="20"/>
        </w:rPr>
        <w:t>Informativa</w:t>
      </w:r>
      <w:proofErr w:type="spellEnd"/>
      <w:r w:rsidRPr="003E6133">
        <w:rPr>
          <w:rFonts w:cs="Arial"/>
          <w:szCs w:val="20"/>
        </w:rPr>
        <w:t>, kjer smo priložnosti evropske kohezijske politike predstavili mladim in k sodelovanju v šoli odprte kohezije povabili učitelje ter ravnatelje. Nato smo junija sodelovali tudi na dnevih medgeneracijskega sožitja, kjer smo udeležence o pomenu evropskih sredstev ozaveščali z nagradnim kvizom. Konec septembra smo sodelovali na Festivalu za tretje življenjsko obdobje, kjer smo EKP predstavljali starejšim.</w:t>
      </w:r>
    </w:p>
    <w:p w14:paraId="6550A26D" w14:textId="77777777" w:rsidR="000E7A5A" w:rsidRPr="003E6133" w:rsidRDefault="000E7A5A" w:rsidP="00E247FF">
      <w:pPr>
        <w:spacing w:after="0" w:line="276" w:lineRule="auto"/>
        <w:jc w:val="both"/>
        <w:rPr>
          <w:rFonts w:cs="Arial"/>
          <w:szCs w:val="20"/>
        </w:rPr>
      </w:pPr>
    </w:p>
    <w:p w14:paraId="61740D55" w14:textId="0CC1465B" w:rsidR="000E7A5A" w:rsidRPr="003E6133" w:rsidRDefault="00306071" w:rsidP="00E247FF">
      <w:pPr>
        <w:spacing w:after="0" w:line="276" w:lineRule="auto"/>
        <w:jc w:val="both"/>
        <w:rPr>
          <w:rFonts w:cs="Arial"/>
          <w:szCs w:val="20"/>
        </w:rPr>
      </w:pPr>
      <w:r w:rsidRPr="003E6133">
        <w:rPr>
          <w:rFonts w:cs="Arial"/>
          <w:szCs w:val="20"/>
        </w:rPr>
        <w:t xml:space="preserve">10. Spletni mediji: Na družbenih omrežjih Evropska sredstva in spletnem portalu evropskasredstva.si se vsebine pripravljajo in objavljajo redno, ažurno in po vnaprej pripravljenem medijskem planu (razen aktualnih objav) po temah, npr. grafike, dobre zgodbe, video idr. Ob izdaji odločitve o podpori za posamezno operacijo se komunicira s sporočili za javnost in objavami </w:t>
      </w:r>
      <w:proofErr w:type="spellStart"/>
      <w:r w:rsidRPr="003E6133">
        <w:rPr>
          <w:rFonts w:cs="Arial"/>
          <w:szCs w:val="20"/>
        </w:rPr>
        <w:t>infografik</w:t>
      </w:r>
      <w:r w:rsidR="001C178F">
        <w:rPr>
          <w:rFonts w:cs="Arial"/>
          <w:szCs w:val="20"/>
        </w:rPr>
        <w:t>ami</w:t>
      </w:r>
      <w:proofErr w:type="spellEnd"/>
      <w:r w:rsidRPr="003E6133">
        <w:rPr>
          <w:rFonts w:cs="Arial"/>
          <w:szCs w:val="20"/>
        </w:rPr>
        <w:t>.</w:t>
      </w:r>
    </w:p>
    <w:p w14:paraId="3C3058A3" w14:textId="77777777" w:rsidR="000E7A5A" w:rsidRPr="003E6133" w:rsidRDefault="000E7A5A" w:rsidP="00E247FF">
      <w:pPr>
        <w:spacing w:after="0" w:line="276" w:lineRule="auto"/>
        <w:jc w:val="both"/>
        <w:rPr>
          <w:rFonts w:cs="Arial"/>
          <w:szCs w:val="20"/>
        </w:rPr>
      </w:pPr>
    </w:p>
    <w:p w14:paraId="25C52821" w14:textId="3477B9B3" w:rsidR="000E7A5A" w:rsidRPr="003E6133" w:rsidRDefault="00306071" w:rsidP="00E247FF">
      <w:pPr>
        <w:spacing w:after="0" w:line="276" w:lineRule="auto"/>
        <w:jc w:val="both"/>
        <w:rPr>
          <w:rFonts w:cs="Arial"/>
          <w:szCs w:val="20"/>
        </w:rPr>
      </w:pPr>
      <w:r w:rsidRPr="003E6133">
        <w:rPr>
          <w:rFonts w:cs="Arial"/>
          <w:szCs w:val="20"/>
        </w:rPr>
        <w:t xml:space="preserve">11. Vizija kohezija: Nadaljujemo z mesečnim izdajanjem spletne publikacije Vizija kohezija, ki jo sproti vsebinsko nadgrajujemo. V njej objavljamo aktualne razpise, primere dobrih praks, napovedi dogodkov in druge zanimivosti. Vsi izvodi so dosegljivi na povezavi: </w:t>
      </w:r>
      <w:hyperlink r:id="rId36" w:history="1">
        <w:r w:rsidR="001F5D8B" w:rsidRPr="00D91318">
          <w:rPr>
            <w:rStyle w:val="Hiperpovezava"/>
            <w:rFonts w:cs="Arial"/>
            <w:szCs w:val="20"/>
          </w:rPr>
          <w:t>https://evropskasredstva.si/e-novice-vizija-kohezija/</w:t>
        </w:r>
      </w:hyperlink>
      <w:r w:rsidRPr="003E6133">
        <w:rPr>
          <w:rFonts w:cs="Arial"/>
          <w:szCs w:val="20"/>
        </w:rPr>
        <w:t>.</w:t>
      </w:r>
      <w:r w:rsidR="00685C07">
        <w:rPr>
          <w:rStyle w:val="Sprotnaopomba-sklic"/>
          <w:rFonts w:cs="Arial"/>
          <w:szCs w:val="20"/>
        </w:rPr>
        <w:footnoteReference w:id="6"/>
      </w:r>
    </w:p>
    <w:p w14:paraId="17A13556" w14:textId="77777777" w:rsidR="000E7A5A" w:rsidRPr="003E6133" w:rsidRDefault="000E7A5A" w:rsidP="00E247FF">
      <w:pPr>
        <w:spacing w:after="0" w:line="276" w:lineRule="auto"/>
        <w:jc w:val="both"/>
        <w:rPr>
          <w:rFonts w:cs="Arial"/>
          <w:szCs w:val="20"/>
        </w:rPr>
      </w:pPr>
    </w:p>
    <w:p w14:paraId="1E87D253" w14:textId="77777777" w:rsidR="000E7A5A" w:rsidRPr="003E6133" w:rsidRDefault="00306071" w:rsidP="00E247FF">
      <w:pPr>
        <w:spacing w:after="0" w:line="276" w:lineRule="auto"/>
        <w:jc w:val="both"/>
        <w:rPr>
          <w:rFonts w:cs="Arial"/>
          <w:szCs w:val="20"/>
        </w:rPr>
      </w:pPr>
      <w:r w:rsidRPr="003E6133">
        <w:rPr>
          <w:rFonts w:cs="Arial"/>
          <w:szCs w:val="20"/>
        </w:rPr>
        <w:t>12. Interaktivna svetovalka EMA: V sodelovanju s pristojnimi resorji je interaktivna Svetovalka Ema učinkovita enotna vstopna točka za vsa vprašanja glede evropskih sredstev. Potencialnim upravičencem nudimo informacijsko središče z brezplačno telefonsko številko, ki je dnevno na voljo od 9. do 12. ure, preko elektronskega naslova eutocka.mkrr@gov.si ali preko interaktivnega obrazca na spletnem portalu evropskasredstva.si.</w:t>
      </w:r>
    </w:p>
    <w:p w14:paraId="5B9C88D3" w14:textId="77777777" w:rsidR="000E7A5A" w:rsidRPr="003E6133" w:rsidRDefault="000E7A5A" w:rsidP="00E247FF">
      <w:pPr>
        <w:spacing w:after="0" w:line="276" w:lineRule="auto"/>
        <w:jc w:val="both"/>
        <w:rPr>
          <w:rFonts w:cs="Arial"/>
          <w:szCs w:val="20"/>
        </w:rPr>
      </w:pPr>
    </w:p>
    <w:p w14:paraId="1F39FC38" w14:textId="77777777" w:rsidR="000E7A5A" w:rsidRDefault="00306071" w:rsidP="00E247FF">
      <w:pPr>
        <w:spacing w:after="0" w:line="276" w:lineRule="auto"/>
        <w:jc w:val="both"/>
        <w:rPr>
          <w:rFonts w:cs="Arial"/>
          <w:szCs w:val="20"/>
        </w:rPr>
      </w:pPr>
      <w:r w:rsidRPr="003E6133">
        <w:rPr>
          <w:rFonts w:cs="Arial"/>
          <w:szCs w:val="20"/>
        </w:rPr>
        <w:t xml:space="preserve">13. Center za demonstracijo in usposabljanje na področju </w:t>
      </w:r>
      <w:proofErr w:type="spellStart"/>
      <w:r w:rsidRPr="003E6133">
        <w:rPr>
          <w:rFonts w:cs="Arial"/>
          <w:szCs w:val="20"/>
        </w:rPr>
        <w:t>brezogljičnih</w:t>
      </w:r>
      <w:proofErr w:type="spellEnd"/>
      <w:r w:rsidRPr="003E6133">
        <w:rPr>
          <w:rFonts w:cs="Arial"/>
          <w:szCs w:val="20"/>
        </w:rPr>
        <w:t xml:space="preserve"> tehnologij (Center DUBT): operacija je bila javno predstavljena 4. 10. 2023 v Zagorju ob Savi. Dogodek je organizirala Regionalna razvojna agencija Zasavje.</w:t>
      </w:r>
    </w:p>
    <w:p w14:paraId="14914FDA" w14:textId="77777777" w:rsidR="00B90C67" w:rsidRPr="003E6133" w:rsidRDefault="00B90C67" w:rsidP="00E247FF">
      <w:pPr>
        <w:spacing w:after="0" w:line="276" w:lineRule="auto"/>
        <w:jc w:val="both"/>
        <w:rPr>
          <w:rFonts w:cs="Arial"/>
          <w:szCs w:val="20"/>
        </w:rPr>
      </w:pPr>
    </w:p>
    <w:p w14:paraId="0E8DA399" w14:textId="74057CA1" w:rsidR="000E7A5A" w:rsidRDefault="00306071" w:rsidP="00E247FF">
      <w:pPr>
        <w:spacing w:after="0" w:line="276" w:lineRule="auto"/>
        <w:jc w:val="both"/>
        <w:rPr>
          <w:rFonts w:cs="Arial"/>
          <w:szCs w:val="20"/>
        </w:rPr>
      </w:pPr>
      <w:r w:rsidRPr="003E6133">
        <w:rPr>
          <w:rFonts w:cs="Arial"/>
          <w:szCs w:val="20"/>
        </w:rPr>
        <w:t>9. 11.</w:t>
      </w:r>
      <w:r w:rsidR="00064CDB">
        <w:rPr>
          <w:rFonts w:cs="Arial"/>
          <w:szCs w:val="20"/>
        </w:rPr>
        <w:t xml:space="preserve"> </w:t>
      </w:r>
      <w:r w:rsidRPr="003E6133">
        <w:rPr>
          <w:rFonts w:cs="Arial"/>
          <w:szCs w:val="20"/>
        </w:rPr>
        <w:t>2023</w:t>
      </w:r>
      <w:r w:rsidR="00064CDB">
        <w:rPr>
          <w:rFonts w:cs="Arial"/>
          <w:szCs w:val="20"/>
        </w:rPr>
        <w:t xml:space="preserve"> je</w:t>
      </w:r>
      <w:r w:rsidRPr="003E6133">
        <w:rPr>
          <w:rFonts w:cs="Arial"/>
          <w:szCs w:val="20"/>
        </w:rPr>
        <w:t xml:space="preserve"> v Lipici </w:t>
      </w:r>
      <w:r w:rsidR="00064CDB">
        <w:rPr>
          <w:rFonts w:cs="Arial"/>
          <w:szCs w:val="20"/>
        </w:rPr>
        <w:t xml:space="preserve">potekala </w:t>
      </w:r>
      <w:r w:rsidRPr="003E6133">
        <w:rPr>
          <w:rFonts w:cs="Arial"/>
          <w:szCs w:val="20"/>
        </w:rPr>
        <w:t>2.</w:t>
      </w:r>
      <w:r w:rsidR="00064CDB">
        <w:rPr>
          <w:rFonts w:cs="Arial"/>
          <w:szCs w:val="20"/>
        </w:rPr>
        <w:t xml:space="preserve"> </w:t>
      </w:r>
      <w:r w:rsidRPr="003E6133">
        <w:rPr>
          <w:rFonts w:cs="Arial"/>
          <w:szCs w:val="20"/>
        </w:rPr>
        <w:t xml:space="preserve">seja </w:t>
      </w:r>
      <w:proofErr w:type="spellStart"/>
      <w:r w:rsidRPr="003E6133">
        <w:rPr>
          <w:rFonts w:cs="Arial"/>
          <w:szCs w:val="20"/>
        </w:rPr>
        <w:t>OzS</w:t>
      </w:r>
      <w:proofErr w:type="spellEnd"/>
      <w:r w:rsidRPr="003E6133">
        <w:rPr>
          <w:rFonts w:cs="Arial"/>
          <w:szCs w:val="20"/>
        </w:rPr>
        <w:t xml:space="preserve"> – Predstavitev članom Odbora za spremljanja – organizator OU</w:t>
      </w:r>
      <w:r w:rsidR="00064CDB">
        <w:rPr>
          <w:rFonts w:cs="Arial"/>
          <w:szCs w:val="20"/>
        </w:rPr>
        <w:t>.</w:t>
      </w:r>
    </w:p>
    <w:p w14:paraId="1444ED91" w14:textId="77777777" w:rsidR="00B90C67" w:rsidRPr="003E6133" w:rsidRDefault="00B90C67" w:rsidP="00E247FF">
      <w:pPr>
        <w:spacing w:after="0" w:line="276" w:lineRule="auto"/>
        <w:jc w:val="both"/>
        <w:rPr>
          <w:rFonts w:cs="Arial"/>
          <w:szCs w:val="20"/>
        </w:rPr>
      </w:pPr>
    </w:p>
    <w:p w14:paraId="6AC9E159" w14:textId="74A5BDA9" w:rsidR="000E7A5A" w:rsidRDefault="00306071" w:rsidP="00E247FF">
      <w:pPr>
        <w:spacing w:after="0" w:line="276" w:lineRule="auto"/>
        <w:jc w:val="both"/>
        <w:rPr>
          <w:rFonts w:cs="Arial"/>
          <w:szCs w:val="20"/>
        </w:rPr>
      </w:pPr>
      <w:r w:rsidRPr="003E6133">
        <w:rPr>
          <w:rFonts w:cs="Arial"/>
          <w:szCs w:val="20"/>
        </w:rPr>
        <w:t>6.</w:t>
      </w:r>
      <w:r w:rsidR="00064CDB">
        <w:rPr>
          <w:rFonts w:cs="Arial"/>
          <w:szCs w:val="20"/>
        </w:rPr>
        <w:t xml:space="preserve"> </w:t>
      </w:r>
      <w:r w:rsidRPr="003E6133">
        <w:rPr>
          <w:rFonts w:cs="Arial"/>
          <w:szCs w:val="20"/>
        </w:rPr>
        <w:t>12.</w:t>
      </w:r>
      <w:r w:rsidR="00064CDB">
        <w:rPr>
          <w:rFonts w:cs="Arial"/>
          <w:szCs w:val="20"/>
        </w:rPr>
        <w:t xml:space="preserve"> </w:t>
      </w:r>
      <w:r w:rsidRPr="003E6133">
        <w:rPr>
          <w:rFonts w:cs="Arial"/>
          <w:szCs w:val="20"/>
        </w:rPr>
        <w:t xml:space="preserve">2023 </w:t>
      </w:r>
      <w:r w:rsidR="00064CDB">
        <w:rPr>
          <w:rFonts w:cs="Arial"/>
          <w:szCs w:val="20"/>
        </w:rPr>
        <w:t xml:space="preserve">se je </w:t>
      </w:r>
      <w:r w:rsidRPr="003E6133">
        <w:rPr>
          <w:rFonts w:cs="Arial"/>
          <w:szCs w:val="20"/>
        </w:rPr>
        <w:t>v Trbovljah</w:t>
      </w:r>
      <w:r w:rsidR="00064CDB">
        <w:rPr>
          <w:rFonts w:cs="Arial"/>
          <w:szCs w:val="20"/>
        </w:rPr>
        <w:t xml:space="preserve"> odvijala</w:t>
      </w:r>
      <w:r w:rsidR="004C6F15">
        <w:rPr>
          <w:rFonts w:cs="Arial"/>
          <w:szCs w:val="20"/>
        </w:rPr>
        <w:t xml:space="preserve"> </w:t>
      </w:r>
      <w:r w:rsidR="00064CDB">
        <w:rPr>
          <w:rFonts w:cs="Arial"/>
          <w:szCs w:val="20"/>
        </w:rPr>
        <w:t>p</w:t>
      </w:r>
      <w:r w:rsidRPr="003E6133">
        <w:rPr>
          <w:rFonts w:cs="Arial"/>
          <w:szCs w:val="20"/>
        </w:rPr>
        <w:t xml:space="preserve">redstavitev projekta in možnosti povezovanja na delavnici z vzgojno izobraževalnimi zavodi premogovne regije Zasavje; organizator </w:t>
      </w:r>
      <w:r w:rsidR="007D26FA">
        <w:rPr>
          <w:rFonts w:cs="Arial"/>
          <w:szCs w:val="20"/>
        </w:rPr>
        <w:t xml:space="preserve">je bilo </w:t>
      </w:r>
      <w:r w:rsidRPr="003E6133">
        <w:rPr>
          <w:rFonts w:cs="Arial"/>
          <w:szCs w:val="20"/>
        </w:rPr>
        <w:t>Ministrstvo za vzgojo in izobraževanje v sodelovanju z RRA Zasavje</w:t>
      </w:r>
      <w:r w:rsidR="00685C07">
        <w:rPr>
          <w:rFonts w:cs="Arial"/>
          <w:szCs w:val="20"/>
        </w:rPr>
        <w:t>.</w:t>
      </w:r>
    </w:p>
    <w:p w14:paraId="32D496C8" w14:textId="77777777" w:rsidR="00B90C67" w:rsidRPr="003E6133" w:rsidRDefault="00B90C67" w:rsidP="00E247FF">
      <w:pPr>
        <w:spacing w:after="0" w:line="276" w:lineRule="auto"/>
        <w:jc w:val="both"/>
        <w:rPr>
          <w:rFonts w:cs="Arial"/>
          <w:szCs w:val="20"/>
        </w:rPr>
      </w:pPr>
    </w:p>
    <w:p w14:paraId="5DD6F915" w14:textId="79924D1B" w:rsidR="000E7A5A" w:rsidRPr="003E6133" w:rsidRDefault="00306071" w:rsidP="00E247FF">
      <w:pPr>
        <w:spacing w:after="0" w:line="276" w:lineRule="auto"/>
        <w:jc w:val="both"/>
        <w:rPr>
          <w:rFonts w:cs="Arial"/>
          <w:szCs w:val="20"/>
        </w:rPr>
      </w:pPr>
      <w:r w:rsidRPr="003E6133">
        <w:rPr>
          <w:rFonts w:cs="Arial"/>
          <w:szCs w:val="20"/>
        </w:rPr>
        <w:t>22.</w:t>
      </w:r>
      <w:r w:rsidR="00064CDB">
        <w:rPr>
          <w:rFonts w:cs="Arial"/>
          <w:szCs w:val="20"/>
        </w:rPr>
        <w:t xml:space="preserve"> </w:t>
      </w:r>
      <w:r w:rsidRPr="003E6133">
        <w:rPr>
          <w:rFonts w:cs="Arial"/>
          <w:szCs w:val="20"/>
        </w:rPr>
        <w:t>5.</w:t>
      </w:r>
      <w:r w:rsidR="00064CDB">
        <w:rPr>
          <w:rFonts w:cs="Arial"/>
          <w:szCs w:val="20"/>
        </w:rPr>
        <w:t xml:space="preserve"> </w:t>
      </w:r>
      <w:r w:rsidRPr="003E6133">
        <w:rPr>
          <w:rFonts w:cs="Arial"/>
          <w:szCs w:val="20"/>
        </w:rPr>
        <w:t xml:space="preserve">2024 </w:t>
      </w:r>
      <w:r w:rsidR="007D26FA">
        <w:rPr>
          <w:rFonts w:cs="Arial"/>
          <w:szCs w:val="20"/>
        </w:rPr>
        <w:t>se je odvijal</w:t>
      </w:r>
      <w:r w:rsidRPr="003E6133">
        <w:rPr>
          <w:rFonts w:cs="Arial"/>
          <w:szCs w:val="20"/>
        </w:rPr>
        <w:t xml:space="preserve"> Obisk EK v Zasavju: P</w:t>
      </w:r>
      <w:r w:rsidR="007D26FA">
        <w:rPr>
          <w:rFonts w:cs="Arial"/>
          <w:szCs w:val="20"/>
        </w:rPr>
        <w:t>otekala je p</w:t>
      </w:r>
      <w:r w:rsidRPr="003E6133">
        <w:rPr>
          <w:rFonts w:cs="Arial"/>
          <w:szCs w:val="20"/>
        </w:rPr>
        <w:t xml:space="preserve">redstavitev in ogled projekta DUBT – Centra za razvoj, demonstracije in usposabljanje za </w:t>
      </w:r>
      <w:proofErr w:type="spellStart"/>
      <w:r w:rsidRPr="003E6133">
        <w:rPr>
          <w:rFonts w:cs="Arial"/>
          <w:szCs w:val="20"/>
        </w:rPr>
        <w:t>brezogljične</w:t>
      </w:r>
      <w:proofErr w:type="spellEnd"/>
      <w:r w:rsidRPr="003E6133">
        <w:rPr>
          <w:rFonts w:cs="Arial"/>
          <w:szCs w:val="20"/>
        </w:rPr>
        <w:t xml:space="preserve"> tehnologije ter simbolno odkritje table ob pričetku projekta. </w:t>
      </w:r>
      <w:r w:rsidR="007D26FA">
        <w:rPr>
          <w:rFonts w:cs="Arial"/>
          <w:szCs w:val="20"/>
        </w:rPr>
        <w:t>O</w:t>
      </w:r>
      <w:r w:rsidRPr="003E6133">
        <w:rPr>
          <w:rFonts w:cs="Arial"/>
          <w:szCs w:val="20"/>
        </w:rPr>
        <w:t xml:space="preserve">rganizator </w:t>
      </w:r>
      <w:r w:rsidR="007D26FA">
        <w:rPr>
          <w:rFonts w:cs="Arial"/>
          <w:szCs w:val="20"/>
        </w:rPr>
        <w:t xml:space="preserve">je bil </w:t>
      </w:r>
      <w:r w:rsidRPr="003E6133">
        <w:rPr>
          <w:rFonts w:cs="Arial"/>
          <w:szCs w:val="20"/>
        </w:rPr>
        <w:t>OU v sodelovanju z RRA.</w:t>
      </w:r>
    </w:p>
    <w:p w14:paraId="1B1E8E3F" w14:textId="77777777" w:rsidR="000E7A5A" w:rsidRPr="003E6133" w:rsidRDefault="000E7A5A" w:rsidP="00E247FF">
      <w:pPr>
        <w:spacing w:after="0" w:line="276" w:lineRule="auto"/>
        <w:jc w:val="both"/>
        <w:rPr>
          <w:rFonts w:cs="Arial"/>
          <w:szCs w:val="20"/>
        </w:rPr>
      </w:pPr>
    </w:p>
    <w:p w14:paraId="08E0E17C" w14:textId="77777777" w:rsidR="000E7A5A" w:rsidRPr="003E6133" w:rsidRDefault="00306071" w:rsidP="00E247FF">
      <w:pPr>
        <w:spacing w:after="0" w:line="276" w:lineRule="auto"/>
        <w:jc w:val="both"/>
        <w:rPr>
          <w:rFonts w:cs="Arial"/>
          <w:szCs w:val="20"/>
        </w:rPr>
      </w:pPr>
      <w:r w:rsidRPr="003E6133">
        <w:rPr>
          <w:rFonts w:cs="Arial"/>
          <w:szCs w:val="20"/>
        </w:rPr>
        <w:t xml:space="preserve">Delovna skupina INFORM-SI, v katero so imenovani programski komunikatorji, komunikatorji posredniških teles EKP in pridruženi komunikatorji kohezijskih regij se je aprila sestala na prvem letošnjem plenarnem zasedanju. Udeleženci so se med drugim seznanili z napredkom pri izvedbi skupnega letnega komunikacijskega dogodka za leto 2024 in pridobili nova znanja s področja oblikovanja v </w:t>
      </w:r>
      <w:proofErr w:type="spellStart"/>
      <w:r w:rsidRPr="003E6133">
        <w:rPr>
          <w:rFonts w:cs="Arial"/>
          <w:szCs w:val="20"/>
        </w:rPr>
        <w:t>Canvi</w:t>
      </w:r>
      <w:proofErr w:type="spellEnd"/>
      <w:r w:rsidRPr="003E6133">
        <w:rPr>
          <w:rFonts w:cs="Arial"/>
          <w:szCs w:val="20"/>
        </w:rPr>
        <w:t>. Drugo srečanje je načrtovano konec novembra in bo usmerjeno v načrtovanje skupnih aktivnosti v prihodnjem letu.</w:t>
      </w:r>
    </w:p>
    <w:p w14:paraId="363707C5" w14:textId="77777777" w:rsidR="000E7A5A" w:rsidRPr="00A11EF1" w:rsidRDefault="000E7A5A" w:rsidP="00E247FF">
      <w:pPr>
        <w:spacing w:after="0" w:line="276" w:lineRule="auto"/>
        <w:jc w:val="both"/>
        <w:rPr>
          <w:rFonts w:cs="Arial"/>
          <w:szCs w:val="20"/>
        </w:rPr>
      </w:pPr>
    </w:p>
    <w:p w14:paraId="7831F378" w14:textId="1ABD7FBF" w:rsidR="000E7A5A" w:rsidRPr="00F425EA" w:rsidRDefault="00306071" w:rsidP="000B2C28">
      <w:pPr>
        <w:pStyle w:val="Naslov2"/>
      </w:pPr>
      <w:bookmarkStart w:id="2191" w:name="_Toc1590476436"/>
      <w:bookmarkStart w:id="2192" w:name="_Toc2113924791"/>
      <w:bookmarkStart w:id="2193" w:name="_Toc789864453"/>
      <w:bookmarkStart w:id="2194" w:name="_Toc1598089222"/>
      <w:bookmarkStart w:id="2195" w:name="_Toc1153347920"/>
      <w:bookmarkStart w:id="2196" w:name="_Toc622322756"/>
      <w:bookmarkStart w:id="2197" w:name="_Toc1512578159"/>
      <w:bookmarkStart w:id="2198" w:name="_Toc778562405"/>
      <w:bookmarkStart w:id="2199" w:name="_Toc1937272086"/>
      <w:bookmarkStart w:id="2200" w:name="_Toc1733679169"/>
      <w:bookmarkStart w:id="2201" w:name="_Toc1418284326"/>
      <w:bookmarkStart w:id="2202" w:name="_Toc1273847565"/>
      <w:bookmarkStart w:id="2203" w:name="_Toc838431320"/>
      <w:bookmarkStart w:id="2204" w:name="_Toc1534142027"/>
      <w:bookmarkStart w:id="2205" w:name="_Toc590035870"/>
      <w:bookmarkStart w:id="2206" w:name="_Toc1561334749"/>
      <w:bookmarkStart w:id="2207" w:name="_Toc1844762336"/>
      <w:bookmarkStart w:id="2208" w:name="_Toc1574335839"/>
      <w:bookmarkStart w:id="2209" w:name="_Toc692896974"/>
      <w:bookmarkStart w:id="2210" w:name="_Toc1682023851"/>
      <w:bookmarkStart w:id="2211" w:name="_Toc1172103040"/>
      <w:bookmarkStart w:id="2212" w:name="_Toc2144865660"/>
      <w:bookmarkStart w:id="2213" w:name="_Toc827838237"/>
      <w:bookmarkStart w:id="2214" w:name="_Toc1545497601"/>
      <w:bookmarkStart w:id="2215" w:name="_Toc2090224881"/>
      <w:bookmarkStart w:id="2216" w:name="_Toc1003492805"/>
      <w:bookmarkStart w:id="2217" w:name="_Toc1270492684"/>
      <w:bookmarkStart w:id="2218" w:name="_Toc549149565"/>
      <w:bookmarkStart w:id="2219" w:name="_Toc364750952"/>
      <w:bookmarkStart w:id="2220" w:name="_Toc737791495"/>
      <w:bookmarkStart w:id="2221" w:name="_Toc111900846"/>
      <w:bookmarkStart w:id="2222" w:name="_Toc1291904233"/>
      <w:bookmarkStart w:id="2223" w:name="_Toc32664124"/>
      <w:bookmarkStart w:id="2224" w:name="_Toc1351733545"/>
      <w:bookmarkStart w:id="2225" w:name="_Toc740475282"/>
      <w:bookmarkStart w:id="2226" w:name="_Toc674009769"/>
      <w:bookmarkStart w:id="2227" w:name="_Toc1320098191"/>
      <w:bookmarkStart w:id="2228" w:name="_Toc901836935"/>
      <w:bookmarkStart w:id="2229" w:name="_Toc1275734687"/>
      <w:bookmarkStart w:id="2230" w:name="_Toc1899680788"/>
      <w:bookmarkStart w:id="2231" w:name="_Toc600135933"/>
      <w:bookmarkStart w:id="2232" w:name="_Toc431150613"/>
      <w:bookmarkStart w:id="2233" w:name="_Toc1364663001"/>
      <w:bookmarkStart w:id="2234" w:name="_Toc197448674"/>
      <w:bookmarkStart w:id="2235" w:name="_Toc990525313"/>
      <w:bookmarkStart w:id="2236" w:name="_Toc1918459163"/>
      <w:bookmarkStart w:id="2237" w:name="_Toc325520061"/>
      <w:bookmarkStart w:id="2238" w:name="_Toc1893570111"/>
      <w:bookmarkStart w:id="2239" w:name="_Toc161216933"/>
      <w:bookmarkStart w:id="2240" w:name="_Toc1308165174"/>
      <w:bookmarkStart w:id="2241" w:name="_Toc512331820"/>
      <w:bookmarkStart w:id="2242" w:name="_Toc1929966420"/>
      <w:bookmarkStart w:id="2243" w:name="_Toc548654142"/>
      <w:bookmarkStart w:id="2244" w:name="_Toc288375039"/>
      <w:bookmarkStart w:id="2245" w:name="_Toc2013028545"/>
      <w:bookmarkStart w:id="2246" w:name="_Toc1233691578"/>
      <w:bookmarkStart w:id="2247" w:name="_Toc780561872"/>
      <w:bookmarkStart w:id="2248" w:name="_Toc1704572904"/>
      <w:bookmarkStart w:id="2249" w:name="_Toc168907737"/>
      <w:bookmarkStart w:id="2250" w:name="_Toc1207477244"/>
      <w:bookmarkStart w:id="2251" w:name="_Toc1863326227"/>
      <w:bookmarkStart w:id="2252" w:name="_Toc895805259"/>
      <w:bookmarkStart w:id="2253" w:name="_Toc957824420"/>
      <w:bookmarkStart w:id="2254" w:name="_Toc711699494"/>
      <w:bookmarkStart w:id="2255" w:name="_Toc92468603"/>
      <w:bookmarkStart w:id="2256" w:name="_Toc520433004"/>
      <w:bookmarkStart w:id="2257" w:name="_Toc1416097660"/>
      <w:bookmarkStart w:id="2258" w:name="_Toc101427262"/>
      <w:bookmarkStart w:id="2259" w:name="_Toc809731717"/>
      <w:bookmarkStart w:id="2260" w:name="_Toc1695039152"/>
      <w:bookmarkStart w:id="2261" w:name="_Toc999866128"/>
      <w:bookmarkStart w:id="2262" w:name="_Toc99150044"/>
      <w:bookmarkStart w:id="2263" w:name="_Toc545867381"/>
      <w:bookmarkStart w:id="2264" w:name="_Toc131305254"/>
      <w:bookmarkStart w:id="2265" w:name="_Toc1759116624"/>
      <w:bookmarkStart w:id="2266" w:name="_Toc1975734585"/>
      <w:bookmarkStart w:id="2267" w:name="_Toc2127979249"/>
      <w:bookmarkStart w:id="2268" w:name="_Toc774668294"/>
      <w:bookmarkStart w:id="2269" w:name="_Toc1852676550"/>
      <w:bookmarkStart w:id="2270" w:name="_Toc1848975029"/>
      <w:bookmarkStart w:id="2271" w:name="_Toc1062840111"/>
      <w:bookmarkStart w:id="2272" w:name="_Toc1569624337"/>
      <w:bookmarkStart w:id="2273" w:name="_Toc930331732"/>
      <w:bookmarkStart w:id="2274" w:name="_Toc41885792"/>
      <w:bookmarkStart w:id="2275" w:name="_Toc187739348"/>
      <w:bookmarkStart w:id="2276" w:name="_Toc187740095"/>
      <w:bookmarkStart w:id="2277" w:name="_Toc192682003"/>
      <w:r w:rsidRPr="00F425EA">
        <w:t>2.6</w:t>
      </w:r>
      <w:r w:rsidRPr="00F425EA">
        <w:tab/>
        <w:t xml:space="preserve"> </w:t>
      </w:r>
      <w:r w:rsidR="005A12CC" w:rsidRPr="00F425EA">
        <w:t>IZVAJANJE OPERACIJ STRATEŠKEGA POMENA</w:t>
      </w:r>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p>
    <w:p w14:paraId="2F5639CE" w14:textId="77777777" w:rsidR="000E7A5A" w:rsidRPr="00F425EA" w:rsidRDefault="000E7A5A" w:rsidP="003E6133">
      <w:pPr>
        <w:spacing w:after="0" w:line="276" w:lineRule="auto"/>
        <w:jc w:val="both"/>
        <w:rPr>
          <w:rFonts w:cs="Arial"/>
        </w:rPr>
      </w:pPr>
    </w:p>
    <w:p w14:paraId="19F46D61" w14:textId="1516964B" w:rsidR="000E7A5A" w:rsidRPr="003E6133" w:rsidRDefault="4EE128E9" w:rsidP="2EA23F19">
      <w:pPr>
        <w:numPr>
          <w:ilvl w:val="0"/>
          <w:numId w:val="36"/>
        </w:numPr>
        <w:spacing w:after="0" w:line="276" w:lineRule="auto"/>
        <w:jc w:val="both"/>
        <w:rPr>
          <w:rFonts w:cs="Arial"/>
        </w:rPr>
      </w:pPr>
      <w:r w:rsidRPr="00F7FCEE">
        <w:rPr>
          <w:rFonts w:cs="Arial"/>
        </w:rPr>
        <w:t>V okviru PEKP 21</w:t>
      </w:r>
      <w:r w:rsidR="34E1A471" w:rsidRPr="00F7FCEE">
        <w:rPr>
          <w:rFonts w:cs="Arial"/>
        </w:rPr>
        <w:t>–</w:t>
      </w:r>
      <w:r w:rsidRPr="00F7FCEE">
        <w:rPr>
          <w:rFonts w:cs="Arial"/>
        </w:rPr>
        <w:t>27 se načrtuje izvedba operacij strateškega pomena na vseh šestih ciljih politike. V nadaljevanju podajamo kratek opis stanja na posamezni operacij.</w:t>
      </w:r>
      <w:r w:rsidR="07A947DB" w:rsidRPr="00F7FCEE">
        <w:rPr>
          <w:rFonts w:cs="Arial"/>
        </w:rPr>
        <w:t xml:space="preserve"> </w:t>
      </w:r>
      <w:r w:rsidRPr="00F7FCEE">
        <w:rPr>
          <w:rFonts w:cs="Arial"/>
        </w:rPr>
        <w:t xml:space="preserve">Nadgradnja ključnih raziskovalnih infrastruktur: operacija cilja politike 1, specifičnega cilja RSO4.2, vključuje pet vsebinskih sklopov na področju </w:t>
      </w:r>
      <w:r w:rsidR="07A947DB" w:rsidRPr="00F7FCEE">
        <w:rPr>
          <w:rFonts w:cs="Arial"/>
        </w:rPr>
        <w:t>raziskave</w:t>
      </w:r>
      <w:r w:rsidRPr="00F7FCEE">
        <w:rPr>
          <w:rFonts w:cs="Arial"/>
        </w:rPr>
        <w:t>, razvoj in inovacij, ki so v različnih fazah načrtovanja, in sicer: (i) Tehnološki inovacijski center Univerze v Mariboru INNOVUM, (ii) Novogradnja Univerze v Ljubljani - Fakulteta za strojništvo</w:t>
      </w:r>
      <w:r w:rsidR="07A947DB" w:rsidRPr="00F7FCEE">
        <w:rPr>
          <w:rFonts w:cs="Arial"/>
        </w:rPr>
        <w:t xml:space="preserve"> </w:t>
      </w:r>
      <w:r w:rsidRPr="00F7FCEE">
        <w:rPr>
          <w:rFonts w:cs="Arial"/>
        </w:rPr>
        <w:t>Fakulteta za strojništvo, (iii) Nadgradnja raziskovalne infrastrukture RIUM, (iv) Nadgradnja superračunalnika HPC zmogljivosti in (v) Nakup vrhunske raziskovalne opreme ESFRI. Organ upravljanja je v zvezi z operacijama INNOVUM in Fakulteta za strojništvo izvedel projekt ciljane tehnične pomoči (</w:t>
      </w:r>
      <w:proofErr w:type="spellStart"/>
      <w:r w:rsidRPr="00F7FCEE">
        <w:rPr>
          <w:rFonts w:cs="Arial"/>
        </w:rPr>
        <w:t>Targeted</w:t>
      </w:r>
      <w:proofErr w:type="spellEnd"/>
      <w:r w:rsidRPr="00F7FCEE">
        <w:rPr>
          <w:rFonts w:cs="Arial"/>
        </w:rPr>
        <w:t xml:space="preserve"> </w:t>
      </w:r>
      <w:proofErr w:type="spellStart"/>
      <w:r w:rsidRPr="00F7FCEE">
        <w:rPr>
          <w:rFonts w:cs="Arial"/>
        </w:rPr>
        <w:t>SUpport</w:t>
      </w:r>
      <w:proofErr w:type="spellEnd"/>
      <w:r w:rsidRPr="00F7FCEE">
        <w:rPr>
          <w:rFonts w:cs="Arial"/>
        </w:rPr>
        <w:t xml:space="preserve"> </w:t>
      </w:r>
      <w:proofErr w:type="spellStart"/>
      <w:r w:rsidRPr="00F7FCEE">
        <w:rPr>
          <w:rFonts w:cs="Arial"/>
        </w:rPr>
        <w:t>Action</w:t>
      </w:r>
      <w:proofErr w:type="spellEnd"/>
      <w:r w:rsidRPr="00F7FCEE">
        <w:rPr>
          <w:rFonts w:cs="Arial"/>
        </w:rPr>
        <w:t xml:space="preserve">) v okviru S3 </w:t>
      </w:r>
      <w:proofErr w:type="spellStart"/>
      <w:r w:rsidRPr="00F7FCEE">
        <w:rPr>
          <w:rFonts w:cs="Arial"/>
        </w:rPr>
        <w:t>Community</w:t>
      </w:r>
      <w:proofErr w:type="spellEnd"/>
      <w:r w:rsidRPr="00F7FCEE">
        <w:rPr>
          <w:rFonts w:cs="Arial"/>
        </w:rPr>
        <w:t xml:space="preserve"> </w:t>
      </w:r>
      <w:proofErr w:type="spellStart"/>
      <w:r w:rsidRPr="00F7FCEE">
        <w:rPr>
          <w:rFonts w:cs="Arial"/>
        </w:rPr>
        <w:t>of</w:t>
      </w:r>
      <w:proofErr w:type="spellEnd"/>
      <w:r w:rsidRPr="00F7FCEE">
        <w:rPr>
          <w:rFonts w:cs="Arial"/>
        </w:rPr>
        <w:t xml:space="preserve"> </w:t>
      </w:r>
      <w:proofErr w:type="spellStart"/>
      <w:r w:rsidRPr="00F7FCEE">
        <w:rPr>
          <w:rFonts w:cs="Arial"/>
        </w:rPr>
        <w:t>Practice</w:t>
      </w:r>
      <w:proofErr w:type="spellEnd"/>
      <w:r w:rsidRPr="00F7FCEE">
        <w:rPr>
          <w:rFonts w:cs="Arial"/>
        </w:rPr>
        <w:t xml:space="preserve"> aktivnosti DG REGI, ki se je zaključil s pozitivnim mnenjem izvajalca (</w:t>
      </w:r>
      <w:proofErr w:type="spellStart"/>
      <w:r w:rsidRPr="00F7FCEE">
        <w:rPr>
          <w:rFonts w:cs="Arial"/>
        </w:rPr>
        <w:t>Technopols</w:t>
      </w:r>
      <w:proofErr w:type="spellEnd"/>
      <w:r w:rsidRPr="00F7FCEE">
        <w:rPr>
          <w:rFonts w:cs="Arial"/>
        </w:rPr>
        <w:t xml:space="preserve"> </w:t>
      </w:r>
      <w:proofErr w:type="spellStart"/>
      <w:r w:rsidRPr="00F7FCEE">
        <w:rPr>
          <w:rFonts w:cs="Arial"/>
        </w:rPr>
        <w:t>group</w:t>
      </w:r>
      <w:proofErr w:type="spellEnd"/>
      <w:r w:rsidRPr="00F7FCEE">
        <w:rPr>
          <w:rFonts w:cs="Arial"/>
        </w:rPr>
        <w:t xml:space="preserve">) glede načrtovanih investicij in s priporočili za bolj </w:t>
      </w:r>
      <w:r w:rsidR="42C8FE22" w:rsidRPr="00F7FCEE">
        <w:rPr>
          <w:rFonts w:cs="Arial"/>
        </w:rPr>
        <w:t>intenzivno</w:t>
      </w:r>
      <w:r w:rsidRPr="00F7FCEE">
        <w:rPr>
          <w:rFonts w:cs="Arial"/>
        </w:rPr>
        <w:t xml:space="preserve"> odpiranje javne znanstveno raziskovalne infrastrukture za podjetja.</w:t>
      </w:r>
    </w:p>
    <w:p w14:paraId="5114D809" w14:textId="77777777" w:rsidR="000E7A5A" w:rsidRPr="003E6133" w:rsidRDefault="00306071" w:rsidP="00E247FF">
      <w:pPr>
        <w:numPr>
          <w:ilvl w:val="0"/>
          <w:numId w:val="36"/>
        </w:numPr>
        <w:spacing w:after="0" w:line="276" w:lineRule="auto"/>
        <w:jc w:val="both"/>
        <w:rPr>
          <w:rFonts w:cs="Arial"/>
          <w:szCs w:val="20"/>
        </w:rPr>
      </w:pPr>
      <w:r w:rsidRPr="003E6133">
        <w:rPr>
          <w:rFonts w:cs="Arial"/>
          <w:szCs w:val="20"/>
        </w:rPr>
        <w:t xml:space="preserve">Zagotovitev poplavne varnosti na porečju Savinje: operacija cilja politike 2, specifičnega cilja RSO2.4, je namenjena zagotovitvi poplavne varnosti na porečju Savinje kot eno najbolj poplavno ogroženih območij v Sloveniji. V zvezi s poplavnimi dogodki v letu 2023 je v izdelavi hidravlično-hidrološka študija, ki bo predvidoma zaključena v prvem četrtletju 2025 in bo opredelila protipoplavne ukrepe, ki so potrebni za zmanjšanje poplavne ogroženosti tega območja. Izvedba protipoplavnih ukrepov se bo predvidoma pričela v letu 2025. </w:t>
      </w:r>
    </w:p>
    <w:p w14:paraId="27B0BB25" w14:textId="3E70C25D" w:rsidR="000E7A5A" w:rsidRPr="003E6133" w:rsidRDefault="00306071" w:rsidP="00E247FF">
      <w:pPr>
        <w:numPr>
          <w:ilvl w:val="0"/>
          <w:numId w:val="36"/>
        </w:numPr>
        <w:spacing w:after="0" w:line="276" w:lineRule="auto"/>
        <w:jc w:val="both"/>
        <w:rPr>
          <w:rFonts w:cs="Arial"/>
          <w:szCs w:val="20"/>
        </w:rPr>
      </w:pPr>
      <w:r w:rsidRPr="003E6133">
        <w:rPr>
          <w:rFonts w:cs="Arial"/>
          <w:szCs w:val="20"/>
        </w:rPr>
        <w:t xml:space="preserve"> Nadgradnja železniške proge </w:t>
      </w:r>
      <w:proofErr w:type="spellStart"/>
      <w:r w:rsidRPr="003E6133">
        <w:rPr>
          <w:rFonts w:cs="Arial"/>
          <w:szCs w:val="20"/>
        </w:rPr>
        <w:t>d.m</w:t>
      </w:r>
      <w:proofErr w:type="spellEnd"/>
      <w:r w:rsidRPr="003E6133">
        <w:rPr>
          <w:rFonts w:cs="Arial"/>
          <w:szCs w:val="20"/>
        </w:rPr>
        <w:t xml:space="preserve">.-Dobova-Zidani Most: odsek </w:t>
      </w:r>
      <w:proofErr w:type="spellStart"/>
      <w:r w:rsidRPr="003E6133">
        <w:rPr>
          <w:rFonts w:cs="Arial"/>
          <w:szCs w:val="20"/>
        </w:rPr>
        <w:t>d.m</w:t>
      </w:r>
      <w:proofErr w:type="spellEnd"/>
      <w:r w:rsidRPr="003E6133">
        <w:rPr>
          <w:rFonts w:cs="Arial"/>
          <w:szCs w:val="20"/>
        </w:rPr>
        <w:t xml:space="preserve">.-Dobova-Sevnica: operacija cilja politike 3, specifičnega cilja RSO3.1, vključuje štiri etape naveden proge, kot del jedrnega omrežja TEN-T, ki so v različnih fazah načrtovanja, in sicer: (i) 1. etapa: območje Krško, (ii) 2. etapa: območje Sevnica, (iii) 3. etapa: nadgradnja odsekov Krško–Sevnica in (iv) 4. etapa: nadgradnja odsekov </w:t>
      </w:r>
      <w:proofErr w:type="spellStart"/>
      <w:r w:rsidRPr="003E6133">
        <w:rPr>
          <w:rFonts w:cs="Arial"/>
          <w:szCs w:val="20"/>
        </w:rPr>
        <w:t>d.m</w:t>
      </w:r>
      <w:proofErr w:type="spellEnd"/>
      <w:r w:rsidRPr="003E6133">
        <w:rPr>
          <w:rFonts w:cs="Arial"/>
          <w:szCs w:val="20"/>
        </w:rPr>
        <w:t>.–Dobova–Brežice. Izvedba investicije je predvidena v obdobju 10/2026 – 12/2028.</w:t>
      </w:r>
    </w:p>
    <w:p w14:paraId="4208472B" w14:textId="77777777" w:rsidR="000E7A5A" w:rsidRPr="003E6133" w:rsidRDefault="00306071" w:rsidP="00E247FF">
      <w:pPr>
        <w:numPr>
          <w:ilvl w:val="0"/>
          <w:numId w:val="36"/>
        </w:numPr>
        <w:spacing w:after="0" w:line="276" w:lineRule="auto"/>
        <w:jc w:val="both"/>
        <w:rPr>
          <w:rFonts w:cs="Arial"/>
          <w:szCs w:val="20"/>
        </w:rPr>
      </w:pPr>
      <w:r w:rsidRPr="003E6133">
        <w:rPr>
          <w:rFonts w:cs="Arial"/>
          <w:szCs w:val="20"/>
        </w:rPr>
        <w:t xml:space="preserve">Modernizacija storitev in povezovanje institucij trga dela: operacija cilja politike 4, specifičnega cilja ESO4.2, v izvajanju. V okviru operacije se v drugi polovici 2028 načrtuje vzpostavitev platforme trga dela. </w:t>
      </w:r>
    </w:p>
    <w:p w14:paraId="529F1676" w14:textId="220A5F69" w:rsidR="000E7A5A" w:rsidRPr="003E6133" w:rsidRDefault="1A327854" w:rsidP="2EA23F19">
      <w:pPr>
        <w:numPr>
          <w:ilvl w:val="0"/>
          <w:numId w:val="36"/>
        </w:numPr>
        <w:spacing w:after="0" w:line="276" w:lineRule="auto"/>
        <w:jc w:val="both"/>
        <w:rPr>
          <w:rFonts w:cs="Arial"/>
        </w:rPr>
      </w:pPr>
      <w:r w:rsidRPr="2EA23F19">
        <w:rPr>
          <w:rFonts w:cs="Arial"/>
        </w:rPr>
        <w:t>GO! 2025: operacija cilja politike 5, specifičnega cilja RSO5.1, predvideva sofinanciranje 3 projektov, in sicer: (i) Revitalizacija Trga Evrope, (ii) Super 8 in (iii) EPIC, vsi bodisi v izvajanju (T</w:t>
      </w:r>
      <w:r w:rsidR="40E2A0E7" w:rsidRPr="2EA23F19">
        <w:rPr>
          <w:rFonts w:cs="Arial"/>
        </w:rPr>
        <w:t>r</w:t>
      </w:r>
      <w:r w:rsidRPr="2EA23F19">
        <w:rPr>
          <w:rFonts w:cs="Arial"/>
        </w:rPr>
        <w:t xml:space="preserve">g Evrope) ali v fazi načrtovanja. Zaključek je predviden v letu 2025. </w:t>
      </w:r>
    </w:p>
    <w:p w14:paraId="3C2D7E8A" w14:textId="77777777" w:rsidR="000E7A5A" w:rsidRDefault="00306071" w:rsidP="00E247FF">
      <w:pPr>
        <w:numPr>
          <w:ilvl w:val="0"/>
          <w:numId w:val="36"/>
        </w:numPr>
        <w:spacing w:after="0" w:line="276" w:lineRule="auto"/>
        <w:jc w:val="both"/>
        <w:rPr>
          <w:rFonts w:cs="Arial"/>
          <w:szCs w:val="20"/>
        </w:rPr>
      </w:pPr>
      <w:r w:rsidRPr="003E6133">
        <w:rPr>
          <w:rFonts w:cs="Arial"/>
          <w:szCs w:val="20"/>
        </w:rPr>
        <w:t xml:space="preserve">Center za demonstracijo in usposabljanje na področju </w:t>
      </w:r>
      <w:proofErr w:type="spellStart"/>
      <w:r w:rsidRPr="003E6133">
        <w:rPr>
          <w:rFonts w:cs="Arial"/>
          <w:szCs w:val="20"/>
        </w:rPr>
        <w:t>brezogljičnih</w:t>
      </w:r>
      <w:proofErr w:type="spellEnd"/>
      <w:r w:rsidRPr="003E6133">
        <w:rPr>
          <w:rFonts w:cs="Arial"/>
          <w:szCs w:val="20"/>
        </w:rPr>
        <w:t xml:space="preserve"> tehnologij (Center DUBT): </w:t>
      </w:r>
      <w:proofErr w:type="spellStart"/>
      <w:r w:rsidRPr="003E6133">
        <w:rPr>
          <w:rFonts w:cs="Arial"/>
          <w:szCs w:val="20"/>
        </w:rPr>
        <w:t>operacia</w:t>
      </w:r>
      <w:proofErr w:type="spellEnd"/>
      <w:r w:rsidRPr="003E6133">
        <w:rPr>
          <w:rFonts w:cs="Arial"/>
          <w:szCs w:val="20"/>
        </w:rPr>
        <w:t xml:space="preserve"> cilja politike 6, specifičnega cilja JSO8.1, v izvajanju v okviru SPP.</w:t>
      </w:r>
    </w:p>
    <w:p w14:paraId="7B68CC0F" w14:textId="2B46DFA2" w:rsidR="002A1F43" w:rsidRDefault="002A1F43" w:rsidP="00E247FF">
      <w:pPr>
        <w:numPr>
          <w:ilvl w:val="0"/>
          <w:numId w:val="36"/>
        </w:numPr>
        <w:spacing w:after="0" w:line="276" w:lineRule="auto"/>
        <w:jc w:val="both"/>
        <w:rPr>
          <w:rFonts w:cs="Arial"/>
          <w:szCs w:val="20"/>
        </w:rPr>
      </w:pPr>
      <w:r>
        <w:rPr>
          <w:rFonts w:cs="Arial"/>
          <w:szCs w:val="20"/>
        </w:rPr>
        <w:t>P</w:t>
      </w:r>
      <w:r w:rsidRPr="002A1F43">
        <w:rPr>
          <w:rFonts w:cs="Arial"/>
          <w:szCs w:val="20"/>
        </w:rPr>
        <w:t>rehod na novo generacijo daljinskega ogrevanja: operacija cilja politike 6, specifičnega cil</w:t>
      </w:r>
      <w:r w:rsidR="001F5D8B">
        <w:rPr>
          <w:rFonts w:cs="Arial"/>
          <w:szCs w:val="20"/>
        </w:rPr>
        <w:t>j</w:t>
      </w:r>
      <w:r w:rsidRPr="002A1F43">
        <w:rPr>
          <w:rFonts w:cs="Arial"/>
          <w:szCs w:val="20"/>
        </w:rPr>
        <w:t xml:space="preserve">a </w:t>
      </w:r>
      <w:r w:rsidR="001F5D8B">
        <w:rPr>
          <w:rFonts w:cs="Arial"/>
          <w:szCs w:val="20"/>
        </w:rPr>
        <w:t>JSO</w:t>
      </w:r>
      <w:r w:rsidR="001F5D8B" w:rsidRPr="002A1F43">
        <w:rPr>
          <w:rFonts w:cs="Arial"/>
          <w:szCs w:val="20"/>
        </w:rPr>
        <w:t>8</w:t>
      </w:r>
      <w:r w:rsidRPr="002A1F43">
        <w:rPr>
          <w:rFonts w:cs="Arial"/>
          <w:szCs w:val="20"/>
        </w:rPr>
        <w:t xml:space="preserve">.1, v pripravi v okviru </w:t>
      </w:r>
      <w:r>
        <w:rPr>
          <w:rFonts w:cs="Arial"/>
          <w:szCs w:val="20"/>
        </w:rPr>
        <w:t>SPP</w:t>
      </w:r>
      <w:r w:rsidRPr="002A1F43">
        <w:rPr>
          <w:rFonts w:cs="Arial"/>
          <w:szCs w:val="20"/>
        </w:rPr>
        <w:t xml:space="preserve"> in v sodelovanju z evropsko pobudo </w:t>
      </w:r>
      <w:r>
        <w:rPr>
          <w:rFonts w:cs="Arial"/>
          <w:szCs w:val="20"/>
        </w:rPr>
        <w:t>JASPERS.</w:t>
      </w:r>
    </w:p>
    <w:p w14:paraId="6191C1A4" w14:textId="77777777" w:rsidR="002A1F43" w:rsidRDefault="002A1F43" w:rsidP="002A1F43">
      <w:pPr>
        <w:spacing w:after="0" w:line="276" w:lineRule="auto"/>
        <w:jc w:val="both"/>
        <w:rPr>
          <w:rFonts w:cs="Arial"/>
          <w:szCs w:val="20"/>
        </w:rPr>
      </w:pPr>
    </w:p>
    <w:p w14:paraId="4816DBE8" w14:textId="6E7D93D0" w:rsidR="000E7A5A" w:rsidRPr="00F425EA" w:rsidRDefault="00306071" w:rsidP="002E0407">
      <w:pPr>
        <w:pStyle w:val="Naslov10"/>
        <w:pageBreakBefore/>
        <w:spacing w:before="0" w:after="0" w:line="276" w:lineRule="auto"/>
        <w:ind w:left="426" w:hanging="426"/>
        <w:rPr>
          <w:rFonts w:cs="Arial"/>
        </w:rPr>
      </w:pPr>
      <w:bookmarkStart w:id="2278" w:name="_Toc1282760978"/>
      <w:bookmarkStart w:id="2279" w:name="_Toc282582033"/>
      <w:bookmarkStart w:id="2280" w:name="_Toc1985924643"/>
      <w:bookmarkStart w:id="2281" w:name="_Toc608544598"/>
      <w:bookmarkStart w:id="2282" w:name="_Toc1263794476"/>
      <w:bookmarkStart w:id="2283" w:name="_Toc1808336153"/>
      <w:bookmarkStart w:id="2284" w:name="_Toc344069871"/>
      <w:bookmarkStart w:id="2285" w:name="_Toc2125600491"/>
      <w:bookmarkStart w:id="2286" w:name="_Toc2107868084"/>
      <w:bookmarkStart w:id="2287" w:name="_Toc1514174063"/>
      <w:bookmarkStart w:id="2288" w:name="_Toc754886842"/>
      <w:bookmarkStart w:id="2289" w:name="_Toc1884213849"/>
      <w:bookmarkStart w:id="2290" w:name="_Toc1081085964"/>
      <w:bookmarkStart w:id="2291" w:name="_Toc1918024322"/>
      <w:bookmarkStart w:id="2292" w:name="_Toc961057096"/>
      <w:bookmarkStart w:id="2293" w:name="_Toc1694979891"/>
      <w:bookmarkStart w:id="2294" w:name="_Toc619711707"/>
      <w:bookmarkStart w:id="2295" w:name="_Toc1522488321"/>
      <w:bookmarkStart w:id="2296" w:name="_Toc1444944931"/>
      <w:bookmarkStart w:id="2297" w:name="_Toc1789360910"/>
      <w:bookmarkStart w:id="2298" w:name="_Toc1739422174"/>
      <w:bookmarkStart w:id="2299" w:name="_Toc1039875250"/>
      <w:bookmarkStart w:id="2300" w:name="_Toc172433727"/>
      <w:bookmarkStart w:id="2301" w:name="_Toc1564858823"/>
      <w:bookmarkStart w:id="2302" w:name="_Toc1494588623"/>
      <w:bookmarkStart w:id="2303" w:name="_Toc131398701"/>
      <w:bookmarkStart w:id="2304" w:name="_Toc1064950541"/>
      <w:bookmarkStart w:id="2305" w:name="_Toc1600618745"/>
      <w:bookmarkStart w:id="2306" w:name="_Toc1246117573"/>
      <w:bookmarkStart w:id="2307" w:name="_Toc1223896939"/>
      <w:bookmarkStart w:id="2308" w:name="_Toc991599827"/>
      <w:bookmarkStart w:id="2309" w:name="_Toc2103658426"/>
      <w:bookmarkStart w:id="2310" w:name="_Toc1058637307"/>
      <w:bookmarkStart w:id="2311" w:name="_Toc162755276"/>
      <w:bookmarkStart w:id="2312" w:name="_Toc1889078777"/>
      <w:bookmarkStart w:id="2313" w:name="_Toc648922841"/>
      <w:bookmarkStart w:id="2314" w:name="_Toc1897640738"/>
      <w:bookmarkStart w:id="2315" w:name="_Toc2055295109"/>
      <w:bookmarkStart w:id="2316" w:name="_Toc442417216"/>
      <w:bookmarkStart w:id="2317" w:name="_Toc784530806"/>
      <w:bookmarkStart w:id="2318" w:name="_Toc921108316"/>
      <w:bookmarkStart w:id="2319" w:name="_Toc1864356326"/>
      <w:bookmarkStart w:id="2320" w:name="_Toc224007089"/>
      <w:bookmarkStart w:id="2321" w:name="_Toc1818113261"/>
      <w:bookmarkStart w:id="2322" w:name="_Toc97906022"/>
      <w:bookmarkStart w:id="2323" w:name="_Toc817095290"/>
      <w:bookmarkStart w:id="2324" w:name="_Toc1604151967"/>
      <w:bookmarkStart w:id="2325" w:name="_Toc1755844815"/>
      <w:bookmarkStart w:id="2326" w:name="_Toc1085015616"/>
      <w:bookmarkStart w:id="2327" w:name="_Toc675574608"/>
      <w:bookmarkStart w:id="2328" w:name="_Toc1317888576"/>
      <w:bookmarkStart w:id="2329" w:name="_Toc69757212"/>
      <w:bookmarkStart w:id="2330" w:name="_Toc1615692825"/>
      <w:bookmarkStart w:id="2331" w:name="_Toc1434734463"/>
      <w:bookmarkStart w:id="2332" w:name="_Toc1136317789"/>
      <w:bookmarkStart w:id="2333" w:name="_Toc945023324"/>
      <w:bookmarkStart w:id="2334" w:name="_Toc608510468"/>
      <w:bookmarkStart w:id="2335" w:name="_Toc170462954"/>
      <w:bookmarkStart w:id="2336" w:name="_Toc432623000"/>
      <w:bookmarkStart w:id="2337" w:name="_Toc1824088663"/>
      <w:bookmarkStart w:id="2338" w:name="_Toc2067152098"/>
      <w:bookmarkStart w:id="2339" w:name="_Toc1528462512"/>
      <w:bookmarkStart w:id="2340" w:name="_Toc1197473476"/>
      <w:bookmarkStart w:id="2341" w:name="_Toc1114729802"/>
      <w:bookmarkStart w:id="2342" w:name="_Toc1497646292"/>
      <w:bookmarkStart w:id="2343" w:name="_Toc126574454"/>
      <w:bookmarkStart w:id="2344" w:name="_Toc1433157619"/>
      <w:bookmarkStart w:id="2345" w:name="_Toc824536853"/>
      <w:bookmarkStart w:id="2346" w:name="_Toc1605974010"/>
      <w:bookmarkStart w:id="2347" w:name="_Toc1633881524"/>
      <w:bookmarkStart w:id="2348" w:name="_Toc250477864"/>
      <w:bookmarkStart w:id="2349" w:name="_Toc1646176569"/>
      <w:bookmarkStart w:id="2350" w:name="_Toc555239696"/>
      <w:bookmarkStart w:id="2351" w:name="_Toc1712190956"/>
      <w:bookmarkStart w:id="2352" w:name="_Toc1101603727"/>
      <w:bookmarkStart w:id="2353" w:name="_Toc1100123790"/>
      <w:bookmarkStart w:id="2354" w:name="_Toc1351452368"/>
      <w:bookmarkStart w:id="2355" w:name="_Toc11211254"/>
      <w:bookmarkStart w:id="2356" w:name="_Toc1445553066"/>
      <w:bookmarkStart w:id="2357" w:name="_Toc7881710"/>
      <w:bookmarkStart w:id="2358" w:name="_Toc404612012"/>
      <w:bookmarkStart w:id="2359" w:name="_Toc1001476290"/>
      <w:bookmarkStart w:id="2360" w:name="_Toc852375965"/>
      <w:bookmarkStart w:id="2361" w:name="_Toc473160704"/>
      <w:bookmarkStart w:id="2362" w:name="_Toc187739350"/>
      <w:bookmarkStart w:id="2363" w:name="_Toc187740097"/>
      <w:bookmarkStart w:id="2364" w:name="_Toc192682004"/>
      <w:r w:rsidRPr="00F425EA">
        <w:rPr>
          <w:rFonts w:cs="Arial"/>
        </w:rPr>
        <w:lastRenderedPageBreak/>
        <w:t xml:space="preserve">3. </w:t>
      </w:r>
      <w:r w:rsidR="005A12CC" w:rsidRPr="00F425EA">
        <w:rPr>
          <w:rFonts w:cs="Arial"/>
          <w:caps w:val="0"/>
        </w:rPr>
        <w:t>IZZIVI, OPREDELJENI V PRIPOROČILU SVETA O EKONOMSKIH IN SOCIALNIH POLITIKAH, POLITIKAH ZAPOSLOVANJA IN SOCIALNO EKONOMSKIH POLITIKAH SLOVENIJE</w:t>
      </w:r>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4"/>
      <w:r w:rsidR="005A12CC" w:rsidRPr="00F425EA">
        <w:rPr>
          <w:rFonts w:cs="Arial"/>
          <w:caps w:val="0"/>
        </w:rPr>
        <w:t xml:space="preserve"> </w:t>
      </w:r>
      <w:bookmarkEnd w:id="2362"/>
      <w:bookmarkEnd w:id="2363"/>
    </w:p>
    <w:p w14:paraId="6956683F" w14:textId="77777777" w:rsidR="000E7A5A" w:rsidRPr="00F425EA" w:rsidRDefault="000E7A5A" w:rsidP="00827304">
      <w:pPr>
        <w:spacing w:after="0" w:line="276" w:lineRule="auto"/>
        <w:jc w:val="both"/>
        <w:rPr>
          <w:rFonts w:cs="Arial"/>
        </w:rPr>
      </w:pPr>
    </w:p>
    <w:p w14:paraId="32EA19C5" w14:textId="59754745" w:rsidR="000E7A5A" w:rsidRPr="00F425EA" w:rsidRDefault="00306071" w:rsidP="000B2C28">
      <w:pPr>
        <w:pStyle w:val="Naslov2"/>
      </w:pPr>
      <w:bookmarkStart w:id="2365" w:name="_Toc960932928"/>
      <w:bookmarkStart w:id="2366" w:name="_Toc2034518253"/>
      <w:bookmarkStart w:id="2367" w:name="_Toc1842722361"/>
      <w:bookmarkStart w:id="2368" w:name="_Toc952150767"/>
      <w:bookmarkStart w:id="2369" w:name="_Toc2106155008"/>
      <w:bookmarkStart w:id="2370" w:name="_Toc284868701"/>
      <w:bookmarkStart w:id="2371" w:name="_Toc984796930"/>
      <w:bookmarkStart w:id="2372" w:name="_Toc1228122646"/>
      <w:bookmarkStart w:id="2373" w:name="_Toc2098584455"/>
      <w:bookmarkStart w:id="2374" w:name="_Toc1879284578"/>
      <w:bookmarkStart w:id="2375" w:name="_Toc1031750659"/>
      <w:bookmarkStart w:id="2376" w:name="_Toc1150404134"/>
      <w:bookmarkStart w:id="2377" w:name="_Toc470421723"/>
      <w:bookmarkStart w:id="2378" w:name="_Toc111465690"/>
      <w:bookmarkStart w:id="2379" w:name="_Toc1475889525"/>
      <w:bookmarkStart w:id="2380" w:name="_Toc1772638380"/>
      <w:bookmarkStart w:id="2381" w:name="_Toc794942677"/>
      <w:bookmarkStart w:id="2382" w:name="_Toc1185391514"/>
      <w:bookmarkStart w:id="2383" w:name="_Toc499915710"/>
      <w:bookmarkStart w:id="2384" w:name="_Toc199117858"/>
      <w:bookmarkStart w:id="2385" w:name="_Toc112938961"/>
      <w:bookmarkStart w:id="2386" w:name="_Toc438919885"/>
      <w:bookmarkStart w:id="2387" w:name="_Toc1185133938"/>
      <w:bookmarkStart w:id="2388" w:name="_Toc2095674629"/>
      <w:bookmarkStart w:id="2389" w:name="_Toc1406702552"/>
      <w:bookmarkStart w:id="2390" w:name="_Toc1804998072"/>
      <w:bookmarkStart w:id="2391" w:name="_Toc1054325378"/>
      <w:bookmarkStart w:id="2392" w:name="_Toc525705614"/>
      <w:bookmarkStart w:id="2393" w:name="_Toc1347887024"/>
      <w:bookmarkStart w:id="2394" w:name="_Toc1044341526"/>
      <w:bookmarkStart w:id="2395" w:name="_Toc1811270158"/>
      <w:bookmarkStart w:id="2396" w:name="_Toc724236841"/>
      <w:bookmarkStart w:id="2397" w:name="_Toc579567263"/>
      <w:bookmarkStart w:id="2398" w:name="_Toc2076165353"/>
      <w:bookmarkStart w:id="2399" w:name="_Toc1503335425"/>
      <w:bookmarkStart w:id="2400" w:name="_Toc1789621532"/>
      <w:bookmarkStart w:id="2401" w:name="_Toc988286848"/>
      <w:bookmarkStart w:id="2402" w:name="_Toc1688894829"/>
      <w:bookmarkStart w:id="2403" w:name="_Toc1619053135"/>
      <w:bookmarkStart w:id="2404" w:name="_Toc937709805"/>
      <w:bookmarkStart w:id="2405" w:name="_Toc1277115025"/>
      <w:bookmarkStart w:id="2406" w:name="_Toc1876831726"/>
      <w:bookmarkStart w:id="2407" w:name="_Toc1036162660"/>
      <w:bookmarkStart w:id="2408" w:name="_Toc715019012"/>
      <w:bookmarkStart w:id="2409" w:name="_Toc1829217384"/>
      <w:bookmarkStart w:id="2410" w:name="_Toc1651279976"/>
      <w:bookmarkStart w:id="2411" w:name="_Toc1153161268"/>
      <w:bookmarkStart w:id="2412" w:name="_Toc709793135"/>
      <w:bookmarkStart w:id="2413" w:name="_Toc1968281309"/>
      <w:bookmarkStart w:id="2414" w:name="_Toc1148145349"/>
      <w:bookmarkStart w:id="2415" w:name="_Toc470974473"/>
      <w:bookmarkStart w:id="2416" w:name="_Toc261082004"/>
      <w:bookmarkStart w:id="2417" w:name="_Toc1321968958"/>
      <w:bookmarkStart w:id="2418" w:name="_Toc957880495"/>
      <w:bookmarkStart w:id="2419" w:name="_Toc454941494"/>
      <w:bookmarkStart w:id="2420" w:name="_Toc238119857"/>
      <w:bookmarkStart w:id="2421" w:name="_Toc891484666"/>
      <w:bookmarkStart w:id="2422" w:name="_Toc65635168"/>
      <w:bookmarkStart w:id="2423" w:name="_Toc701168745"/>
      <w:bookmarkStart w:id="2424" w:name="_Toc77822751"/>
      <w:bookmarkStart w:id="2425" w:name="_Toc635080481"/>
      <w:bookmarkStart w:id="2426" w:name="_Toc1685198130"/>
      <w:bookmarkStart w:id="2427" w:name="_Toc903901879"/>
      <w:bookmarkStart w:id="2428" w:name="_Toc1819131483"/>
      <w:bookmarkStart w:id="2429" w:name="_Toc1415077978"/>
      <w:bookmarkStart w:id="2430" w:name="_Toc940143607"/>
      <w:bookmarkStart w:id="2431" w:name="_Toc7887609"/>
      <w:bookmarkStart w:id="2432" w:name="_Toc1754575846"/>
      <w:bookmarkStart w:id="2433" w:name="_Toc255803403"/>
      <w:bookmarkStart w:id="2434" w:name="_Toc1986526967"/>
      <w:bookmarkStart w:id="2435" w:name="_Toc937314729"/>
      <w:bookmarkStart w:id="2436" w:name="_Toc642628772"/>
      <w:bookmarkStart w:id="2437" w:name="_Toc114220950"/>
      <w:bookmarkStart w:id="2438" w:name="_Toc1404674348"/>
      <w:bookmarkStart w:id="2439" w:name="_Toc1585485583"/>
      <w:bookmarkStart w:id="2440" w:name="_Toc617869433"/>
      <w:bookmarkStart w:id="2441" w:name="_Toc569818276"/>
      <w:bookmarkStart w:id="2442" w:name="_Toc639065186"/>
      <w:bookmarkStart w:id="2443" w:name="_Toc1163954597"/>
      <w:bookmarkStart w:id="2444" w:name="_Toc662168285"/>
      <w:bookmarkStart w:id="2445" w:name="_Toc275699336"/>
      <w:bookmarkStart w:id="2446" w:name="_Toc1975365534"/>
      <w:bookmarkStart w:id="2447" w:name="_Toc448954014"/>
      <w:bookmarkStart w:id="2448" w:name="_Toc129358385"/>
      <w:bookmarkStart w:id="2449" w:name="_Toc187739351"/>
      <w:bookmarkStart w:id="2450" w:name="_Toc187740098"/>
      <w:bookmarkStart w:id="2451" w:name="_Toc192682005"/>
      <w:r w:rsidRPr="00F425EA">
        <w:t>3.1</w:t>
      </w:r>
      <w:r w:rsidRPr="00F425EA">
        <w:tab/>
      </w:r>
      <w:r w:rsidR="005A12CC" w:rsidRPr="00F425EA">
        <w:t>ZAŠČITA PRED POPLAVAMI IN UKREPI ZA BLAŽITEV PODNEBNIH SPREMEMB, VKLJUČNO S SONARAVNIMI REŠITVAM (NATURE-BASED SOLUTIONS)</w:t>
      </w:r>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p>
    <w:p w14:paraId="59EB6F16" w14:textId="77777777" w:rsidR="000E7A5A" w:rsidRPr="00F425EA" w:rsidRDefault="000E7A5A" w:rsidP="00827304">
      <w:pPr>
        <w:spacing w:after="0" w:line="276" w:lineRule="auto"/>
        <w:jc w:val="both"/>
        <w:rPr>
          <w:rFonts w:cs="Arial"/>
        </w:rPr>
      </w:pPr>
    </w:p>
    <w:p w14:paraId="381174A3" w14:textId="77777777" w:rsidR="000E7A5A" w:rsidRPr="00F425EA" w:rsidRDefault="00306071" w:rsidP="00827304">
      <w:pPr>
        <w:spacing w:after="0" w:line="276" w:lineRule="auto"/>
        <w:jc w:val="both"/>
        <w:rPr>
          <w:rFonts w:cs="Arial"/>
        </w:rPr>
      </w:pPr>
      <w:r w:rsidRPr="00F425EA">
        <w:rPr>
          <w:rFonts w:cs="Arial"/>
        </w:rPr>
        <w:t xml:space="preserve">V zadnjem desetletju se zaradi podnebnih sprememb tako v celotni EU in na svetu nasploh soočamo z vedno bolj pogostimi in uničujočimi naravnimi nesrečami, med katere sodijo tudi poplave. Intenzivnost in pogostost nevarnostnega potenciala poplavnih dogodkov se bosta tudi v prihodnje verjetno povečevala, tako zaradi spreminjanja podnebnih razmer kot neustreznega upravljanja porečij in spreminjanja </w:t>
      </w:r>
      <w:proofErr w:type="spellStart"/>
      <w:r w:rsidRPr="00F425EA">
        <w:rPr>
          <w:rFonts w:cs="Arial"/>
        </w:rPr>
        <w:t>pokrovnosti</w:t>
      </w:r>
      <w:proofErr w:type="spellEnd"/>
      <w:r w:rsidRPr="00F425EA">
        <w:rPr>
          <w:rFonts w:cs="Arial"/>
        </w:rPr>
        <w:t xml:space="preserve"> tal. Pomembne so predvsem spremembe v pogostosti in intenziteti po posameznih letnih časih. Pogostejši vremenski ekstremni dogodki, kamor uvrščamo tudi obsežnejše in intenzivne poplavne dogodke, so posledica in ne razlog za nastanek podnebnih sprememb.</w:t>
      </w:r>
    </w:p>
    <w:p w14:paraId="10B45C4C" w14:textId="77777777" w:rsidR="000E7A5A" w:rsidRPr="00F425EA" w:rsidRDefault="000E7A5A" w:rsidP="00827304">
      <w:pPr>
        <w:spacing w:after="0" w:line="276" w:lineRule="auto"/>
        <w:jc w:val="both"/>
        <w:rPr>
          <w:rFonts w:cs="Arial"/>
        </w:rPr>
      </w:pPr>
    </w:p>
    <w:p w14:paraId="7245833B" w14:textId="33AE4C57" w:rsidR="000E7A5A" w:rsidRPr="00F425EA" w:rsidRDefault="00306071" w:rsidP="00827304">
      <w:pPr>
        <w:spacing w:after="0" w:line="276" w:lineRule="auto"/>
        <w:jc w:val="both"/>
        <w:rPr>
          <w:rFonts w:cs="Arial"/>
        </w:rPr>
      </w:pPr>
      <w:r w:rsidRPr="00F425EA">
        <w:rPr>
          <w:rFonts w:cs="Arial"/>
        </w:rPr>
        <w:t xml:space="preserve">Poplave v Republiki Sloveniji so pogoste in mnogokrat povzročajo veliko škodo. Še več, med vsemi naravnimi nesrečami, ki povzročajo večjo škodo, so poplave v Sloveniji verjetno najpogostejša nesreča. Skupna površina poplavnih območij v Sloveniji znaša več kot </w:t>
      </w:r>
      <w:r w:rsidR="00776359">
        <w:rPr>
          <w:rFonts w:cs="Arial"/>
        </w:rPr>
        <w:t>6 %</w:t>
      </w:r>
      <w:r w:rsidRPr="00F425EA">
        <w:rPr>
          <w:rFonts w:cs="Arial"/>
        </w:rPr>
        <w:t xml:space="preserve"> površine državnega ozemlja (1250 km</w:t>
      </w:r>
      <w:r w:rsidRPr="00234C38">
        <w:rPr>
          <w:rFonts w:cs="Arial"/>
          <w:vertAlign w:val="superscript"/>
        </w:rPr>
        <w:t>2</w:t>
      </w:r>
      <w:r w:rsidRPr="00F425EA">
        <w:rPr>
          <w:rFonts w:cs="Arial"/>
        </w:rPr>
        <w:t xml:space="preserve">), upoštevaje hudourniška (erozijska) območja pa tudi do 10 </w:t>
      </w:r>
      <w:r w:rsidR="00776359">
        <w:rPr>
          <w:rFonts w:cs="Arial"/>
        </w:rPr>
        <w:t>%</w:t>
      </w:r>
      <w:r w:rsidR="00251068">
        <w:rPr>
          <w:rFonts w:cs="Arial"/>
        </w:rPr>
        <w:t xml:space="preserve"> </w:t>
      </w:r>
      <w:r w:rsidRPr="00F425EA">
        <w:rPr>
          <w:rFonts w:cs="Arial"/>
        </w:rPr>
        <w:t>površine države (2000 km</w:t>
      </w:r>
      <w:r w:rsidRPr="00234C38">
        <w:rPr>
          <w:rFonts w:cs="Arial"/>
          <w:vertAlign w:val="superscript"/>
        </w:rPr>
        <w:t>2</w:t>
      </w:r>
      <w:r w:rsidRPr="00F425EA">
        <w:rPr>
          <w:rFonts w:cs="Arial"/>
        </w:rPr>
        <w:t xml:space="preserve">). Vpliv podnebnih sprememb na pojav poplavnih dogodkov je zaznaven. Hudourniške poplave so v zadnjih letih pogostejše, padavinski ekstremi so zaznavni v smislu večje količine padavin v kratkem času in s tem intenzivnejših hudourniških poplav. Vpliv podnebnih sprememb je zaznaven zlasti ob trendu povečevanja hidroloških ekstremov v smislu višjih visokovodnih konic. Ponekod so objekti vodne infrastrukture neustrezni za zadrževanje rekordnih visokovodnih konic. Poplave se lahko pojavljajo vse leto, najpogostejše pa so jeseni, ob obilnih in dolgotrajnih padavinah. Poleti so poplave povezane z neurji in so predvsem krajevne in hudourniške. Poplave povzročajo smrtne žrtve, gospodarske izgube, družbeno in </w:t>
      </w:r>
      <w:proofErr w:type="spellStart"/>
      <w:r w:rsidRPr="00F425EA">
        <w:rPr>
          <w:rFonts w:cs="Arial"/>
        </w:rPr>
        <w:t>okoljsko</w:t>
      </w:r>
      <w:proofErr w:type="spellEnd"/>
      <w:r w:rsidRPr="00F425EA">
        <w:rPr>
          <w:rFonts w:cs="Arial"/>
        </w:rPr>
        <w:t xml:space="preserve"> škodo. Škoda na območjih poplavljanja je navadno razmeroma velika in vključuje poškodbe stanovanjskih objektov, gospodarske javne infrastrukture, trgovskih in industrijskih podjetij, pridelkov na kmetijskih zemljiščih itn., pogosto so prekinjeni družbeni in gospodarski procesi. Okolje lahko ob poplavah ogrozijo škodljive oziroma nevarne snovi, ki vanj lahko preidejo ob poškodbi ali uničenju objektov, kjer se predelujejo ali hranijo.</w:t>
      </w:r>
    </w:p>
    <w:p w14:paraId="68BF3E79" w14:textId="77777777" w:rsidR="00827304" w:rsidRDefault="00827304" w:rsidP="00827304">
      <w:pPr>
        <w:spacing w:after="0" w:line="276" w:lineRule="auto"/>
        <w:jc w:val="both"/>
        <w:rPr>
          <w:rFonts w:cs="Arial"/>
        </w:rPr>
      </w:pPr>
    </w:p>
    <w:p w14:paraId="6FC87467" w14:textId="1B0496B2" w:rsidR="000E7A5A" w:rsidRPr="00F425EA" w:rsidRDefault="00306071" w:rsidP="00827304">
      <w:pPr>
        <w:spacing w:after="0" w:line="276" w:lineRule="auto"/>
        <w:jc w:val="both"/>
        <w:rPr>
          <w:rFonts w:cs="Arial"/>
        </w:rPr>
      </w:pPr>
      <w:r w:rsidRPr="00F425EA">
        <w:rPr>
          <w:rFonts w:cs="Arial"/>
        </w:rPr>
        <w:t xml:space="preserve">Skladno z implementacijo Direktive 2007/60/ES Evropskega parlamenta in Sveta z dne 23. oktobra 2007 o oceni in obvladovanju poplavne ogroženosti je predstavljala začetni korak za izdelavo predhodne ocene poplavne ogroženosti priprava opozorilnih poplavnih kart. Opozorilne karte poplav so se izdelale na podlagi analize historičnih in arhivskih podatkov o poplavnih in erozijskih dogodkih in na podlagi že izdelanih študij, raziskav, analiz ter drugih podatkov. Na podlagi tako določenih kart, je bilo možno določiti območja z nevarnostnim potencialom poplav ter bil izdelan prvi dokument, t. </w:t>
      </w:r>
      <w:r w:rsidR="007C3912">
        <w:rPr>
          <w:rFonts w:cs="Arial"/>
        </w:rPr>
        <w:t>i</w:t>
      </w:r>
      <w:r w:rsidRPr="00F425EA">
        <w:rPr>
          <w:rFonts w:cs="Arial"/>
        </w:rPr>
        <w:t xml:space="preserve">. Predhodna ocena poplavne ogroženosti 2011. Na podlagi predhodne ocene poplavne ogroženosti in na podlagi širše javne razprave ter strokovne presoje je bilo določeno 61 območij pomembnega vpliva poplav, za katera oziroma na katerih se </w:t>
      </w:r>
      <w:r w:rsidRPr="00536400">
        <w:rPr>
          <w:rFonts w:cs="Arial"/>
        </w:rPr>
        <w:t>upravičeno pričakuje, da tam v primeru poplav prihaja do največjih škod po kriterijih ogroženosti iz t. i. Ocene ogroženosti Republike Slovenije zaradi poplav, ki je bila prvič pripravljena v letu 2016</w:t>
      </w:r>
      <w:r w:rsidRPr="00536400">
        <w:rPr>
          <w:rStyle w:val="Sprotnaopomba-sklic"/>
          <w:rFonts w:cs="Arial"/>
        </w:rPr>
        <w:footnoteReference w:id="7"/>
      </w:r>
      <w:r w:rsidRPr="00536400">
        <w:rPr>
          <w:rFonts w:cs="Arial"/>
        </w:rPr>
        <w:t>. Vse predhodno naštete aktivnosti so podlaga za pripravo Načrta za zmanjševanje poplavne ogroženosti.</w:t>
      </w:r>
    </w:p>
    <w:p w14:paraId="78268AED" w14:textId="77777777" w:rsidR="000E7A5A" w:rsidRPr="00F425EA" w:rsidRDefault="000E7A5A" w:rsidP="00827304">
      <w:pPr>
        <w:spacing w:after="0" w:line="276" w:lineRule="auto"/>
        <w:jc w:val="both"/>
        <w:rPr>
          <w:rFonts w:cs="Arial"/>
        </w:rPr>
      </w:pPr>
    </w:p>
    <w:p w14:paraId="79AC9B82" w14:textId="70979ECA" w:rsidR="000E7A5A" w:rsidRPr="00F425EA" w:rsidRDefault="00306071" w:rsidP="00827304">
      <w:pPr>
        <w:spacing w:after="0" w:line="276" w:lineRule="auto"/>
        <w:jc w:val="both"/>
        <w:rPr>
          <w:rFonts w:cs="Arial"/>
        </w:rPr>
      </w:pPr>
      <w:r w:rsidRPr="00F425EA">
        <w:rPr>
          <w:rFonts w:cs="Arial"/>
        </w:rPr>
        <w:lastRenderedPageBreak/>
        <w:t>Načrt zmanjševanja poplavne ogroženosti 2017</w:t>
      </w:r>
      <w:r w:rsidR="007C3912" w:rsidRPr="00DC25D9">
        <w:rPr>
          <w:rFonts w:cs="Arial"/>
        </w:rPr>
        <w:t>–</w:t>
      </w:r>
      <w:r w:rsidRPr="00F425EA">
        <w:rPr>
          <w:rFonts w:cs="Arial"/>
        </w:rPr>
        <w:t>2021 (v nadaljevanju: NZPO)</w:t>
      </w:r>
      <w:r w:rsidRPr="00F425EA">
        <w:rPr>
          <w:rStyle w:val="Sprotnaopomba-sklic"/>
          <w:rFonts w:cs="Arial"/>
        </w:rPr>
        <w:footnoteReference w:id="8"/>
      </w:r>
      <w:r w:rsidRPr="00F425EA">
        <w:rPr>
          <w:rFonts w:cs="Arial"/>
        </w:rPr>
        <w:t xml:space="preserve"> temelji na dejstvu, da je treba v okviru porečij z ukrepanjem nasloviti poplavno ogroženost na identificiranih 61 območjih pomembnega vpliva poplav. V Sloveniji so bila tako območja pomembnega vpliva poplav logično in na podlagi upoštevanja predvsem različnih nivojev delitev Slovenije na (pod)porečja grupirana v 17 porečij, za katere se samostojno izdela 17 t. i. </w:t>
      </w:r>
      <w:proofErr w:type="spellStart"/>
      <w:r w:rsidRPr="00F425EA">
        <w:rPr>
          <w:rFonts w:cs="Arial"/>
        </w:rPr>
        <w:t>porečnih</w:t>
      </w:r>
      <w:proofErr w:type="spellEnd"/>
      <w:r w:rsidRPr="00F425EA">
        <w:rPr>
          <w:rFonts w:cs="Arial"/>
        </w:rPr>
        <w:t xml:space="preserve"> načrtov zmanjševanja poplavne ogroženosti. Načrt zmanjševanja poplavne ogroženosti predstavlja skupek 17 porečij NZPO z 61 identificiranih območij pomembnega vpliva poplav. V okviru Povodja Donave se tako nahajajo naslednjih 14 izmed 17 porečij, in sicer, Zgornja Sava, Sora, Ljubljanska Sava, Ljubljanica z Gradaščico, Kamniška Bistrica, Litijska Sava, Savinja, Krška Sava, Krka, Sotla, Mejna Drava z Mežo in Mislinjo, Ptujska Drava, Slovenska Mura in </w:t>
      </w:r>
      <w:proofErr w:type="spellStart"/>
      <w:r w:rsidRPr="00F425EA">
        <w:rPr>
          <w:rFonts w:cs="Arial"/>
        </w:rPr>
        <w:t>Ledava</w:t>
      </w:r>
      <w:proofErr w:type="spellEnd"/>
      <w:r w:rsidRPr="00F425EA">
        <w:rPr>
          <w:rFonts w:cs="Arial"/>
        </w:rPr>
        <w:t xml:space="preserve">. V okviru Povodja Jadranskih rek pa se nahaja 3 izmed 17 porečij, in sicer, porečja Idrijce, Vipave in Obale. Za NZPO je bilo izdelano </w:t>
      </w:r>
      <w:proofErr w:type="spellStart"/>
      <w:r w:rsidRPr="00F425EA">
        <w:rPr>
          <w:rFonts w:cs="Arial"/>
        </w:rPr>
        <w:t>Okoljsko</w:t>
      </w:r>
      <w:proofErr w:type="spellEnd"/>
      <w:r w:rsidRPr="00F425EA">
        <w:rPr>
          <w:rFonts w:cs="Arial"/>
        </w:rPr>
        <w:t xml:space="preserve"> poročilo, v katerem so opredeljeni vplivi NZPO, opredelitev do morebitnih obremenitev okolja ter ugotavljanja in ocenjevanja vplivov izvedbe NZPO na posamezne dele okolja (tla, kmetijske površine, gozd, ribe, površinske in podzemne vode, narava, kulturna dediščina,…) ter opredelitev omilitvenih ukrepov in spremljanje stanja okolja.</w:t>
      </w:r>
    </w:p>
    <w:p w14:paraId="6DD6BC57" w14:textId="77777777" w:rsidR="000E7A5A" w:rsidRPr="00F425EA" w:rsidRDefault="000E7A5A" w:rsidP="00827304">
      <w:pPr>
        <w:spacing w:after="0" w:line="276" w:lineRule="auto"/>
        <w:jc w:val="both"/>
        <w:rPr>
          <w:rFonts w:cs="Arial"/>
        </w:rPr>
      </w:pPr>
    </w:p>
    <w:p w14:paraId="62044805" w14:textId="58FE1561" w:rsidR="000E7A5A" w:rsidRPr="00F425EA" w:rsidRDefault="00306071" w:rsidP="00827304">
      <w:pPr>
        <w:spacing w:after="0" w:line="276" w:lineRule="auto"/>
        <w:jc w:val="both"/>
        <w:rPr>
          <w:rFonts w:cs="Arial"/>
        </w:rPr>
      </w:pPr>
      <w:r w:rsidRPr="00F425EA">
        <w:rPr>
          <w:rFonts w:cs="Arial"/>
        </w:rPr>
        <w:t>Ob zavedanju, da so podnebne spremembe nova realnost in se je potrebno nanje ustrezno odzvati, ter ob upoštevanju EU poplavne direktive je Republika Slovenija pristopila k pregledu in posodobitvi Predhodne ocene poplavne ogroženosti. Pri tem je bilo bistvenega pomena preveritev morebitnega vpliva podnebnih sprememb na poplavno ogroženost. Posodobljena Predhodna ocena poplavne ogroženosti za območje RS (2019)</w:t>
      </w:r>
      <w:r w:rsidRPr="00F425EA">
        <w:rPr>
          <w:rStyle w:val="Sprotnaopomba-sklic"/>
          <w:rFonts w:cs="Arial"/>
        </w:rPr>
        <w:footnoteReference w:id="9"/>
      </w:r>
      <w:r w:rsidRPr="00F425EA">
        <w:rPr>
          <w:rFonts w:cs="Arial"/>
        </w:rPr>
        <w:t xml:space="preserve"> je bila pripravljena skladno s 7., 8. in 9. členom Uredbe o vsebini in načinu priprave podrobnejšega načrta zmanjševanja ogroženosti pred poplavami (Uradni list RS, št. 7/10), ki izhajajo iz zahtev 4. in 5. člena EU poplavne direktive. Nadgrajena je bila predvsem z novimi in dodatnimi evidencami ter opisi poplavnih dogodkov (različnimi tipi škodnih posledic), nadgrajenimi analizami maksimalnih pretokov v RS, dodatnimi grafičnimi predstavitvami zabeleženih poplav v preteklosti, preveritvami vpliva podnebnih sprememb na karakteristike poplav oz. na poplavno ogroženost v Sloveniji. Pripravljen je bil posodobljen seznam 86 območij pomembnega vpliva poplav, za katera so bile pripravljene tudi nove karte poplavne nevarnosti in karte poplavne ogroženosti. To je bila osnova za sprejem in sprejela tudi drugi posodobljeni Načrt zmanjševanja poplavne ogroženosti 2023</w:t>
      </w:r>
      <w:r w:rsidR="007C3912" w:rsidRPr="00DC25D9">
        <w:rPr>
          <w:rFonts w:cs="Arial"/>
        </w:rPr>
        <w:t>–</w:t>
      </w:r>
      <w:r w:rsidRPr="00F425EA">
        <w:rPr>
          <w:rFonts w:cs="Arial"/>
        </w:rPr>
        <w:t>2027.</w:t>
      </w:r>
      <w:r w:rsidRPr="00F425EA">
        <w:rPr>
          <w:rStyle w:val="Sprotnaopomba-sklic"/>
          <w:rFonts w:cs="Arial"/>
        </w:rPr>
        <w:footnoteReference w:id="10"/>
      </w:r>
    </w:p>
    <w:p w14:paraId="594BCFBE" w14:textId="77777777" w:rsidR="000E7A5A" w:rsidRPr="00F425EA" w:rsidRDefault="000E7A5A" w:rsidP="00827304">
      <w:pPr>
        <w:spacing w:after="0" w:line="276" w:lineRule="auto"/>
        <w:jc w:val="both"/>
        <w:rPr>
          <w:rFonts w:cs="Arial"/>
        </w:rPr>
      </w:pPr>
    </w:p>
    <w:p w14:paraId="4C6D8364" w14:textId="77777777" w:rsidR="000E7A5A" w:rsidRPr="00F425EA" w:rsidRDefault="00306071" w:rsidP="00827304">
      <w:pPr>
        <w:spacing w:after="0" w:line="276" w:lineRule="auto"/>
        <w:jc w:val="both"/>
        <w:rPr>
          <w:rFonts w:cs="Arial"/>
        </w:rPr>
      </w:pPr>
      <w:r w:rsidRPr="00F425EA">
        <w:rPr>
          <w:rFonts w:cs="Arial"/>
        </w:rPr>
        <w:t>Osnovni namen priprave ukrepov v okviru NZPO je med drugim prilagoditev rabe prostora na poplavne dogodke ter bistveno prispevati k prilagajanju na podnebne spremembe z izvedbo:</w:t>
      </w:r>
    </w:p>
    <w:p w14:paraId="2056653A" w14:textId="77777777" w:rsidR="000E7A5A" w:rsidRPr="00F425EA" w:rsidRDefault="000E7A5A" w:rsidP="00827304">
      <w:pPr>
        <w:spacing w:after="0" w:line="276" w:lineRule="auto"/>
        <w:jc w:val="both"/>
        <w:rPr>
          <w:rFonts w:cs="Arial"/>
        </w:rPr>
      </w:pPr>
    </w:p>
    <w:p w14:paraId="2D762A01" w14:textId="268707AD" w:rsidR="000E7A5A" w:rsidRPr="00F425EA" w:rsidRDefault="00306071" w:rsidP="00E247FF">
      <w:pPr>
        <w:numPr>
          <w:ilvl w:val="0"/>
          <w:numId w:val="37"/>
        </w:numPr>
        <w:spacing w:after="0" w:line="276" w:lineRule="auto"/>
        <w:jc w:val="both"/>
        <w:rPr>
          <w:rFonts w:cs="Arial"/>
        </w:rPr>
      </w:pPr>
      <w:r w:rsidRPr="00F425EA">
        <w:rPr>
          <w:rFonts w:cs="Arial"/>
        </w:rPr>
        <w:t>gradbenih ukrepov, ki pomenijo neposredno zmanjšanje škodljivega delovanja poplavnih voda na okolje, zdravje ljudi, kulturno dediščino in materialne dobrine. Slednje se zagotavlja z rednim vzdrževanjem vodotokov ter na podlagi strokovnih podlag načrtovane gradnje protipoplavne zaščite (izdelava celovitih hidrološko-hidravličnih študij posameznih porečij ter prostorsko umeščanje objektov vodne infrastrukture v prostor), gradnjo protipoplavne zaščite na celotnem porečju z možnostjo zadrževanja vode na povirjih, upoštevanjem načela DNSH izvedbi gradnje, izbiro materialov gradnje glede na tip vodotoka (hudourniški vodotoki izkazujejo trajnejšo uporabo materialov). Tako je Slovenija že v obdobju izvajanja evropske kohezijske politike v obdobju 2007</w:t>
      </w:r>
      <w:r w:rsidR="007C3912" w:rsidRPr="00DC25D9">
        <w:rPr>
          <w:rFonts w:cs="Arial"/>
        </w:rPr>
        <w:t>–</w:t>
      </w:r>
      <w:r w:rsidRPr="00F425EA">
        <w:rPr>
          <w:rFonts w:cs="Arial"/>
        </w:rPr>
        <w:t>2013 (OP ROPI 2007</w:t>
      </w:r>
      <w:r w:rsidR="007C3912" w:rsidRPr="00DC25D9">
        <w:rPr>
          <w:rFonts w:cs="Arial"/>
        </w:rPr>
        <w:t>–</w:t>
      </w:r>
      <w:r w:rsidRPr="00F425EA">
        <w:rPr>
          <w:rFonts w:cs="Arial"/>
        </w:rPr>
        <w:t>2013) prioritetno pristopila k izvedbi protipoplavnih ukrepov na urbaniziranih območjih porečja Savinje ter Drave in v evropski kohezijski politiki v obdobju 2014</w:t>
      </w:r>
      <w:r w:rsidR="007C3912" w:rsidRPr="00DC25D9">
        <w:rPr>
          <w:rFonts w:cs="Arial"/>
        </w:rPr>
        <w:t>–</w:t>
      </w:r>
      <w:r w:rsidRPr="00F425EA">
        <w:rPr>
          <w:rFonts w:cs="Arial"/>
        </w:rPr>
        <w:t>2020 (OP 2014-2020) nadaljevala z ukrepi zmanjšanjem poplavne ogroženosti JZ dela Ljubljane, Železnikov, krajev ob Meži, Dravinji in Mislinji. Poplavni dogodek v avgustu 2023 je potrdil pravilnost v preteklosti izvedenih ukrepov na območju Celja, Vojnika ter Luč. V evropski kohezijski politiki v obdobju 2021</w:t>
      </w:r>
      <w:r w:rsidR="003037F8" w:rsidRPr="00F425EA">
        <w:rPr>
          <w:rFonts w:cs="Arial"/>
          <w:szCs w:val="20"/>
        </w:rPr>
        <w:t>–</w:t>
      </w:r>
      <w:r w:rsidRPr="00F425EA">
        <w:rPr>
          <w:rFonts w:cs="Arial"/>
        </w:rPr>
        <w:t xml:space="preserve">2027 se že izvajajo nadaljevanje protipoplavne zaščite na porečju Drave ter Vipave, načrtujejo pa se tudi ukrepi na porečju Savinje. V okviru </w:t>
      </w:r>
      <w:r w:rsidRPr="00F425EA">
        <w:rPr>
          <w:rFonts w:cs="Arial"/>
        </w:rPr>
        <w:lastRenderedPageBreak/>
        <w:t>ukrepa NOO pa se tarčno izvajajo investicije, ki so skladne z izdelanimi hidrološko-hidravličnimi študijami in ciljno pokrivajo manjša območja.</w:t>
      </w:r>
    </w:p>
    <w:p w14:paraId="29362A3A" w14:textId="77777777" w:rsidR="000E7A5A" w:rsidRPr="00F425EA" w:rsidRDefault="000E7A5A" w:rsidP="00E247FF">
      <w:pPr>
        <w:spacing w:after="0" w:line="276" w:lineRule="auto"/>
        <w:ind w:left="720"/>
        <w:jc w:val="both"/>
        <w:rPr>
          <w:rFonts w:cs="Arial"/>
        </w:rPr>
      </w:pPr>
    </w:p>
    <w:p w14:paraId="1DFEBFF3" w14:textId="1DC614DB" w:rsidR="000E7A5A" w:rsidRPr="00F425EA" w:rsidRDefault="00306071" w:rsidP="00E247FF">
      <w:pPr>
        <w:numPr>
          <w:ilvl w:val="0"/>
          <w:numId w:val="37"/>
        </w:numPr>
        <w:spacing w:after="0" w:line="276" w:lineRule="auto"/>
        <w:jc w:val="both"/>
        <w:rPr>
          <w:rFonts w:cs="Arial"/>
        </w:rPr>
      </w:pPr>
      <w:r w:rsidRPr="00F425EA">
        <w:rPr>
          <w:rFonts w:cs="Arial"/>
        </w:rPr>
        <w:t xml:space="preserve"> prepoznavanja učinkovitosti </w:t>
      </w:r>
      <w:proofErr w:type="spellStart"/>
      <w:r w:rsidRPr="00F425EA">
        <w:rPr>
          <w:rFonts w:cs="Arial"/>
        </w:rPr>
        <w:t>negradbenih</w:t>
      </w:r>
      <w:proofErr w:type="spellEnd"/>
      <w:r w:rsidRPr="00F425EA">
        <w:rPr>
          <w:rFonts w:cs="Arial"/>
        </w:rPr>
        <w:t xml:space="preserve"> ukrepov pri zmanjševanju poplavne ogroženosti v daljšem časovnem obdobju ter blaženju podnebnih sprememb podprtih ukrepov. Izbira na naravi temelječih rešitev predvsem prednostno v območjih Nature 2000 (</w:t>
      </w:r>
      <w:proofErr w:type="spellStart"/>
      <w:r w:rsidRPr="00F425EA">
        <w:rPr>
          <w:rFonts w:cs="Arial"/>
        </w:rPr>
        <w:t>renaturacije</w:t>
      </w:r>
      <w:proofErr w:type="spellEnd"/>
      <w:r w:rsidRPr="00F425EA">
        <w:rPr>
          <w:rFonts w:cs="Arial"/>
        </w:rPr>
        <w:t xml:space="preserve"> vodotokov, zaščita </w:t>
      </w:r>
      <w:proofErr w:type="spellStart"/>
      <w:r w:rsidRPr="00F425EA">
        <w:rPr>
          <w:rFonts w:cs="Arial"/>
        </w:rPr>
        <w:t>razlivnih</w:t>
      </w:r>
      <w:proofErr w:type="spellEnd"/>
      <w:r w:rsidRPr="00F425EA">
        <w:rPr>
          <w:rFonts w:cs="Arial"/>
        </w:rPr>
        <w:t xml:space="preserve"> površin s prilagajanjem rabe tal, zaščita in ohranjanje obstoječih zelenih površin ter načrtovanje novih območij za kompenzacijo izgubljenega habitata (slednji so bili upoštevani že pri izvedbi protipoplavne zaščite na porečju Savinje v obdobju OP ROPI 2007</w:t>
      </w:r>
      <w:r w:rsidR="007C3912" w:rsidRPr="00DC25D9">
        <w:rPr>
          <w:rFonts w:cs="Arial"/>
        </w:rPr>
        <w:t>–</w:t>
      </w:r>
      <w:r w:rsidRPr="00F425EA">
        <w:rPr>
          <w:rFonts w:cs="Arial"/>
        </w:rPr>
        <w:t>2013), uporaba okolju prijaznih materialov, preventivno varovanje vodnih virov,…), blaženje učinkov podnebnih sprememb z ohranjanjem ali vzpostavljanjem ponorov toplogrednih plinov – mokrišč in gozdov. Pri načrtovanju se že na nivoju hidrološko-hidravličnih študij in analiz, kasneje pa pri pripravi projektne dokumentacije v območju Natura 2000 upošteva cilje Programa upravljanja območij Natura 2000 za obdobje 2023</w:t>
      </w:r>
      <w:r w:rsidR="007C3912" w:rsidRPr="00DC25D9">
        <w:rPr>
          <w:rFonts w:cs="Arial"/>
        </w:rPr>
        <w:t>–</w:t>
      </w:r>
      <w:r w:rsidRPr="00F425EA">
        <w:rPr>
          <w:rFonts w:cs="Arial"/>
        </w:rPr>
        <w:t>2028</w:t>
      </w:r>
      <w:r w:rsidRPr="00F425EA">
        <w:rPr>
          <w:rStyle w:val="Sprotnaopomba-sklic"/>
          <w:rFonts w:cs="Arial"/>
        </w:rPr>
        <w:footnoteReference w:id="11"/>
      </w:r>
      <w:r w:rsidRPr="00F425EA">
        <w:rPr>
          <w:rFonts w:cs="Arial"/>
        </w:rPr>
        <w:t xml:space="preserve"> in določila, ki izhajajo iz načrtov upravljanja zavarovanih območij oz. določila iz aktov njihovega zavarovanja. Že pri samem načrtovanju NZPO je bila v okviru Celovite presoje vplivov na okolje izdelan Dodatek za presojo sprejemljivosti vplivov izvedbe ukrepov na varovanih območjih</w:t>
      </w:r>
      <w:r w:rsidRPr="00F425EA">
        <w:rPr>
          <w:rStyle w:val="Sprotnaopomba-sklic"/>
          <w:rFonts w:cs="Arial"/>
        </w:rPr>
        <w:footnoteReference w:id="12"/>
      </w:r>
      <w:r w:rsidRPr="00F425EA">
        <w:rPr>
          <w:rFonts w:cs="Arial"/>
        </w:rPr>
        <w:t xml:space="preserve">. V okviru izvajanja projektov zaščite pred poplavami so bili upoštevani sonaravni pristopi in materiali, kjer je bilo to mogoče nadomestni habitati, mrtvi rokavi, </w:t>
      </w:r>
      <w:proofErr w:type="spellStart"/>
      <w:r w:rsidRPr="00F425EA">
        <w:rPr>
          <w:rFonts w:cs="Arial"/>
        </w:rPr>
        <w:t>jezbice</w:t>
      </w:r>
      <w:proofErr w:type="spellEnd"/>
      <w:r w:rsidRPr="00F425EA">
        <w:rPr>
          <w:rFonts w:cs="Arial"/>
        </w:rPr>
        <w:t>, leseni materiali, lokalna varovanja,</w:t>
      </w:r>
    </w:p>
    <w:p w14:paraId="51168EB0" w14:textId="77777777" w:rsidR="000E7A5A" w:rsidRPr="00F425EA" w:rsidRDefault="000E7A5A" w:rsidP="00E247FF">
      <w:pPr>
        <w:spacing w:after="0" w:line="276" w:lineRule="auto"/>
        <w:ind w:left="720"/>
        <w:jc w:val="both"/>
        <w:rPr>
          <w:rFonts w:cs="Arial"/>
        </w:rPr>
      </w:pPr>
    </w:p>
    <w:p w14:paraId="696CE5BA" w14:textId="77777777" w:rsidR="000E7A5A" w:rsidRPr="00F425EA" w:rsidRDefault="00306071" w:rsidP="00E247FF">
      <w:pPr>
        <w:numPr>
          <w:ilvl w:val="0"/>
          <w:numId w:val="37"/>
        </w:numPr>
        <w:spacing w:after="0" w:line="276" w:lineRule="auto"/>
        <w:jc w:val="both"/>
        <w:rPr>
          <w:rFonts w:cs="Arial"/>
        </w:rPr>
      </w:pPr>
      <w:r w:rsidRPr="00F425EA">
        <w:rPr>
          <w:rFonts w:cs="Arial"/>
        </w:rPr>
        <w:t>ob upoštevanju analize poplavnega dogodka 2023, kateri so sledile analize novih maksimalnih pretokov Republiki Sloveniji ter novih preveritev vpliva podnebnih sprememb na karakteristike poplav oz. poplavno ogroženost, preveritev in nadgradnje območij pomembnega vpliva poplav (razširitev obstoječega nabora območij pomembnega vpliva poplav) je bila konec leta 2023 pripravljena nova Ocena tveganja za poplave</w:t>
      </w:r>
      <w:r w:rsidRPr="00F425EA">
        <w:rPr>
          <w:rStyle w:val="Sprotnaopomba-sklic"/>
          <w:rFonts w:cs="Arial"/>
        </w:rPr>
        <w:footnoteReference w:id="13"/>
      </w:r>
      <w:r w:rsidRPr="00F425EA">
        <w:rPr>
          <w:rFonts w:cs="Arial"/>
        </w:rPr>
        <w:t xml:space="preserve"> in noveliran predlog </w:t>
      </w:r>
      <w:bookmarkStart w:id="2456" w:name="_Hlk187823644"/>
      <w:r w:rsidRPr="00F425EA">
        <w:rPr>
          <w:rFonts w:cs="Arial"/>
        </w:rPr>
        <w:t>Predhodne ocene poplavne ogroženosti Republike Slovenije 2024</w:t>
      </w:r>
      <w:bookmarkEnd w:id="2456"/>
      <w:r w:rsidRPr="00F425EA">
        <w:rPr>
          <w:rStyle w:val="Sprotnaopomba-sklic"/>
          <w:rFonts w:cs="Arial"/>
        </w:rPr>
        <w:footnoteReference w:id="14"/>
      </w:r>
      <w:r w:rsidRPr="00F425EA">
        <w:rPr>
          <w:rFonts w:cs="Arial"/>
        </w:rPr>
        <w:t>.</w:t>
      </w:r>
    </w:p>
    <w:p w14:paraId="11B61113" w14:textId="77777777" w:rsidR="000E7A5A" w:rsidRPr="00F425EA" w:rsidRDefault="000E7A5A" w:rsidP="00134FCE">
      <w:pPr>
        <w:spacing w:after="0" w:line="276" w:lineRule="auto"/>
        <w:jc w:val="both"/>
        <w:rPr>
          <w:rFonts w:cs="Arial"/>
        </w:rPr>
      </w:pPr>
    </w:p>
    <w:p w14:paraId="10B9CD16" w14:textId="0ECA6A38" w:rsidR="000E7A5A" w:rsidRPr="00F425EA" w:rsidRDefault="00306071" w:rsidP="00827304">
      <w:pPr>
        <w:spacing w:after="0" w:line="276" w:lineRule="auto"/>
        <w:jc w:val="both"/>
        <w:rPr>
          <w:rFonts w:cs="Arial"/>
        </w:rPr>
      </w:pPr>
      <w:r w:rsidRPr="00F425EA">
        <w:rPr>
          <w:rFonts w:cs="Arial"/>
        </w:rPr>
        <w:t>Poleg načrtovanja in izvedbe zaščite pred poplavami Republika Slovenija izvaja ostale ukrepe odzivanja na vremensko pogojene nesreče. V preteklosti je bil tudi s sredstvi EKP 2007</w:t>
      </w:r>
      <w:r w:rsidR="007C3912" w:rsidRPr="00DC25D9">
        <w:rPr>
          <w:rFonts w:cs="Arial"/>
        </w:rPr>
        <w:t>–</w:t>
      </w:r>
      <w:r w:rsidRPr="00F425EA">
        <w:rPr>
          <w:rFonts w:cs="Arial"/>
        </w:rPr>
        <w:t>2013 nadgrajena hidrološko-meteorološka merilna mreža, ki omogoča pravočasno opozarjanja na vremensko pogojene nesreče. Za primere pravočasnega odziva na tovrstne dogodke je Republika Slovenija na podlagi Uredbe o izvajanju Sklepa o mehanizmu Unije na področju civilne zaščite (Uradni list RS, št. 62/14 in 13/17) konec leta 2023 sprejela Državno oceno zmožnosti obvladovanja tveganj za nesreče</w:t>
      </w:r>
      <w:r w:rsidRPr="00F425EA">
        <w:rPr>
          <w:rStyle w:val="Sprotnaopomba-sklic"/>
          <w:rFonts w:cs="Arial"/>
        </w:rPr>
        <w:footnoteReference w:id="15"/>
      </w:r>
      <w:r w:rsidRPr="00F425EA">
        <w:rPr>
          <w:rFonts w:cs="Arial"/>
        </w:rPr>
        <w:t xml:space="preserve">. Podnebne spremembe in z njimi povezani dogodki vplivajo na rast števila vremenskih nesreč, njihovo intenzivnost, trajanje, pogostost pojavljanja in obseg. Obsežni požari v naravnem okolju, suša, ujme z močnim vetrom in točo, poplave in plazovi, ki so se v zadnjem času zgodili v Republiki Sloveniji, še posebej katastrofalne poplave in plazovi leta 2023 to potrjujejo. </w:t>
      </w:r>
    </w:p>
    <w:p w14:paraId="42FD8DE6" w14:textId="77777777" w:rsidR="000E7A5A" w:rsidRPr="00F425EA" w:rsidRDefault="000E7A5A" w:rsidP="00134FCE">
      <w:pPr>
        <w:spacing w:after="0" w:line="276" w:lineRule="auto"/>
        <w:jc w:val="both"/>
        <w:rPr>
          <w:rFonts w:cs="Arial"/>
        </w:rPr>
      </w:pPr>
    </w:p>
    <w:p w14:paraId="14398048" w14:textId="7F846FB6" w:rsidR="000E7A5A" w:rsidRPr="00F425EA" w:rsidRDefault="00306071" w:rsidP="00827304">
      <w:pPr>
        <w:spacing w:after="0" w:line="276" w:lineRule="auto"/>
        <w:jc w:val="both"/>
        <w:rPr>
          <w:rFonts w:cs="Arial"/>
        </w:rPr>
      </w:pPr>
      <w:r w:rsidRPr="00F425EA">
        <w:rPr>
          <w:rFonts w:cs="Arial"/>
        </w:rPr>
        <w:t>V okviru Načrta za okrevanje in odpornost je bila pripravljena reforma pripravljenosti in odziva na podnebne nesreče, ki vključuje vzpostavitev modularnih enot za odziv na podnebne nesreče (poplave, požari v naravnem okolju, žled idr.), nakup opreme, okrepitev infrastrukturnih, programskih in drugih pogojev za pripravljenost, usposobljenost in odzivnost sil za ZRP. Načrtovanje odzivanja na vremensko pogojene naravne nesreče so določene v Resolucija o nacionalnem programu varstva pred naravnimi in drugimi nesrečami v letih od 2024 do 2030</w:t>
      </w:r>
      <w:r w:rsidRPr="00F425EA">
        <w:rPr>
          <w:rStyle w:val="Sprotnaopomba-sklic"/>
          <w:rFonts w:cs="Arial"/>
        </w:rPr>
        <w:footnoteReference w:id="16"/>
      </w:r>
      <w:r w:rsidRPr="00F425EA">
        <w:rPr>
          <w:rFonts w:cs="Arial"/>
        </w:rPr>
        <w:t xml:space="preserve">. Republika Slovenija je okviru izvajanja evropske </w:t>
      </w:r>
      <w:r w:rsidRPr="00F425EA">
        <w:rPr>
          <w:rFonts w:cs="Arial"/>
        </w:rPr>
        <w:lastRenderedPageBreak/>
        <w:t>kohezijske politike v obdobju 2014</w:t>
      </w:r>
      <w:r w:rsidR="00DC25D9" w:rsidRPr="00DC25D9">
        <w:rPr>
          <w:rFonts w:cs="Arial"/>
        </w:rPr>
        <w:t>–</w:t>
      </w:r>
      <w:r w:rsidRPr="00F425EA">
        <w:rPr>
          <w:rFonts w:cs="Arial"/>
        </w:rPr>
        <w:t>2020 (OP 2014</w:t>
      </w:r>
      <w:r w:rsidR="00DC25D9" w:rsidRPr="00DC25D9">
        <w:rPr>
          <w:rFonts w:cs="Arial"/>
        </w:rPr>
        <w:t>–</w:t>
      </w:r>
      <w:r w:rsidRPr="00F425EA">
        <w:rPr>
          <w:rFonts w:cs="Arial"/>
        </w:rPr>
        <w:t xml:space="preserve">2020) ciljno pristopila k posodobitvi sistema informiranja ter alarmiranja prebivalcev v primeru poplav ter drugih vremensko pogojenih nesreč. </w:t>
      </w:r>
    </w:p>
    <w:p w14:paraId="7CFB07D2" w14:textId="77777777" w:rsidR="000E7A5A" w:rsidRPr="00F425EA" w:rsidRDefault="000E7A5A" w:rsidP="00134FCE">
      <w:pPr>
        <w:spacing w:after="0" w:line="276" w:lineRule="auto"/>
        <w:jc w:val="both"/>
        <w:rPr>
          <w:rFonts w:cs="Arial"/>
        </w:rPr>
      </w:pPr>
    </w:p>
    <w:p w14:paraId="4567EFEF" w14:textId="6E6289D0" w:rsidR="000E7A5A" w:rsidRPr="00F425EA" w:rsidRDefault="00306071" w:rsidP="00827304">
      <w:pPr>
        <w:spacing w:after="0" w:line="276" w:lineRule="auto"/>
        <w:jc w:val="both"/>
        <w:rPr>
          <w:rFonts w:cs="Arial"/>
        </w:rPr>
      </w:pPr>
      <w:r w:rsidRPr="00F425EA">
        <w:rPr>
          <w:rFonts w:cs="Arial"/>
        </w:rPr>
        <w:t>Prav tako je bil za primere strukturne reforme odziva na podnebno pogojene naravne nesreče (tudi v okviru regionalnega ukrepanja na ravni EU) izveden nakup ustrezne specialne opreme, ki bo omogočala intervencijskim enotam civilne zaščite izvajanje nalog na področju zaščite, reševanja in pomoči ob poplavah na državni, regionalni in lokalni ravni hiter, varen, učinkovit in koordiniran odziv na pojav poplav na celotnem ozemlju RS in preprečevanje večjih škod na premoženju ljudi ter reševanju življenj ob poplavah. S tem se bodo zmanjšale negativne posledice poplav za zdravje ali celo življenje ljudi in živali, zmanjšala se bo ogroženost premoženja, kulturne dediščine in okolja. Pozitivni učinki tega ukrepa so bili zaznani v poplavah leta 2023. V PEKP 21</w:t>
      </w:r>
      <w:r w:rsidR="003037F8" w:rsidRPr="003037F8">
        <w:rPr>
          <w:rFonts w:cs="Arial"/>
        </w:rPr>
        <w:t>–</w:t>
      </w:r>
      <w:r w:rsidRPr="00F425EA">
        <w:rPr>
          <w:rFonts w:cs="Arial"/>
        </w:rPr>
        <w:t>27 se je izvedel nakup 4 manjših letal za gašenje iz zraka, ki so prvenstveno namenjeni kot dodatna pomoč za gašenje na večjih ter težko dostopnih mestih. Njihov pozitivni učinek je bil evidentiran pri večjih požarih v naravnem okolju v letu 2024. Načrtuje se še nakup dodatne opreme za odziv na žledolome, požare in poplave. Načrtovana je tudi izgradnja učnih centrov, v katerih se bodo pripadniki civilne zaščite in drugih pripadnikov izvajanja zaščite ter reševanja usposabljali za čimbolj učinkovit odziv na vremensko pogojene nesreče.</w:t>
      </w:r>
    </w:p>
    <w:p w14:paraId="3F6C8C59" w14:textId="77777777" w:rsidR="000E7A5A" w:rsidRPr="00F425EA" w:rsidRDefault="000E7A5A" w:rsidP="00134FCE">
      <w:pPr>
        <w:spacing w:after="0" w:line="276" w:lineRule="auto"/>
        <w:jc w:val="both"/>
        <w:rPr>
          <w:rFonts w:cs="Arial"/>
        </w:rPr>
      </w:pPr>
    </w:p>
    <w:p w14:paraId="42511B15" w14:textId="77777777" w:rsidR="000E7A5A" w:rsidRPr="00F425EA" w:rsidRDefault="00306071" w:rsidP="00827304">
      <w:pPr>
        <w:spacing w:after="0" w:line="276" w:lineRule="auto"/>
        <w:jc w:val="both"/>
        <w:rPr>
          <w:rFonts w:cs="Arial"/>
        </w:rPr>
      </w:pPr>
      <w:r w:rsidRPr="00F425EA">
        <w:rPr>
          <w:rFonts w:cs="Arial"/>
        </w:rPr>
        <w:t>Pri odzivu na posledice podnebnih sprememb se povečuje tudi pomen zelenih površin in dreves v mestih. Zelene površine prispevajo k zdravju in dobremu počutju ljudi, krepijo povezanost skupnosti, uravnavajo lokalno klimo in mikroklimo, zadržujejo padavinske vode in preprečujejo urbane poplave, uravnavajo kakovost zraka, zadržujejo hrup, so ponor ogljika in oživljajo tudi zapuščena in degradirana območja ter ustvarjajo podobo in vrednost prostora.</w:t>
      </w:r>
    </w:p>
    <w:p w14:paraId="3C88CBEC" w14:textId="77777777" w:rsidR="000E7A5A" w:rsidRPr="00F425EA" w:rsidRDefault="000E7A5A" w:rsidP="00134FCE">
      <w:pPr>
        <w:spacing w:after="0" w:line="276" w:lineRule="auto"/>
        <w:jc w:val="both"/>
        <w:rPr>
          <w:rFonts w:cs="Arial"/>
        </w:rPr>
      </w:pPr>
    </w:p>
    <w:p w14:paraId="6703E7A9" w14:textId="50386DF6" w:rsidR="000E7A5A" w:rsidRPr="00F425EA" w:rsidRDefault="00306071" w:rsidP="00827304">
      <w:pPr>
        <w:spacing w:after="0" w:line="276" w:lineRule="auto"/>
        <w:jc w:val="both"/>
        <w:rPr>
          <w:rFonts w:cs="Arial"/>
        </w:rPr>
      </w:pPr>
      <w:r w:rsidRPr="00F425EA">
        <w:rPr>
          <w:rFonts w:cs="Arial"/>
        </w:rPr>
        <w:t>Resolucija o Strategiji prostorskega razvoja Slovenije 2050 (ReSPR50)</w:t>
      </w:r>
      <w:r w:rsidR="007852F0">
        <w:rPr>
          <w:rFonts w:cs="Arial"/>
        </w:rPr>
        <w:t xml:space="preserve"> </w:t>
      </w:r>
      <w:r w:rsidRPr="00F425EA">
        <w:rPr>
          <w:rFonts w:cs="Arial"/>
        </w:rPr>
        <w:t xml:space="preserve">11 podpira uresničevanje podnebnih ciljev skladno s Pariškim sporazumom o podnebnih spremembah (Paris </w:t>
      </w:r>
      <w:proofErr w:type="spellStart"/>
      <w:r w:rsidRPr="00F425EA">
        <w:rPr>
          <w:rFonts w:cs="Arial"/>
        </w:rPr>
        <w:t>Agreement</w:t>
      </w:r>
      <w:proofErr w:type="spellEnd"/>
      <w:r w:rsidRPr="00F425EA">
        <w:rPr>
          <w:rFonts w:cs="Arial"/>
        </w:rPr>
        <w:t xml:space="preserve">, Pariz 2015). Tako je njen sestavni del usmerjanje prostorskega razvoja za optimalno blaženje podnebnih sprememb in prilagajanje nanje. Zastavili smo si cilj za preprečevanje pretiranega zgoščanja urbane strukture z doseganjem ali ohranjanjem vsaj 40 </w:t>
      </w:r>
      <w:r w:rsidR="00776359">
        <w:rPr>
          <w:rFonts w:cs="Arial"/>
        </w:rPr>
        <w:t xml:space="preserve">% </w:t>
      </w:r>
      <w:r w:rsidRPr="00F425EA">
        <w:rPr>
          <w:rFonts w:cs="Arial"/>
        </w:rPr>
        <w:t>deleža javnih in odprtih zelenih površin v ureditvenem območju naselja.</w:t>
      </w:r>
    </w:p>
    <w:p w14:paraId="24F2B0A1" w14:textId="77777777" w:rsidR="00827304" w:rsidRDefault="00827304" w:rsidP="00827304">
      <w:pPr>
        <w:spacing w:after="0" w:line="276" w:lineRule="auto"/>
        <w:jc w:val="both"/>
        <w:rPr>
          <w:rFonts w:cs="Arial"/>
        </w:rPr>
      </w:pPr>
    </w:p>
    <w:p w14:paraId="04CB395F" w14:textId="18369962" w:rsidR="000E7A5A" w:rsidRDefault="00306071" w:rsidP="00827304">
      <w:pPr>
        <w:spacing w:after="0" w:line="276" w:lineRule="auto"/>
        <w:jc w:val="both"/>
        <w:rPr>
          <w:rFonts w:cs="Arial"/>
        </w:rPr>
      </w:pPr>
      <w:r w:rsidRPr="00F425EA">
        <w:rPr>
          <w:rFonts w:cs="Arial"/>
        </w:rPr>
        <w:t>Republika Slovenija si je v okviru izvajanja PEKP 21</w:t>
      </w:r>
      <w:r w:rsidR="003037F8" w:rsidRPr="003037F8">
        <w:rPr>
          <w:rFonts w:cs="Arial"/>
        </w:rPr>
        <w:t>–</w:t>
      </w:r>
      <w:r w:rsidRPr="00F425EA">
        <w:rPr>
          <w:rFonts w:cs="Arial"/>
        </w:rPr>
        <w:t>27 prvič zagotovila sredstva, ki so namenjena ukrepom za ozelenjevanje mest, s ciljem izboljšanja kakovosti in uporabnosti obstoječe ter vzpostavitve nove zelene infrastrukture.</w:t>
      </w:r>
      <w:bookmarkStart w:id="2458" w:name="_Toc86889696"/>
      <w:bookmarkStart w:id="2459" w:name="_Toc167834696"/>
      <w:bookmarkStart w:id="2460" w:name="_Toc539133068"/>
      <w:bookmarkStart w:id="2461" w:name="_Toc277571011"/>
      <w:bookmarkStart w:id="2462" w:name="_Toc850457713"/>
      <w:bookmarkStart w:id="2463" w:name="_Toc439355754"/>
      <w:bookmarkStart w:id="2464" w:name="_Toc137852715"/>
      <w:bookmarkStart w:id="2465" w:name="_Toc505217618"/>
      <w:bookmarkStart w:id="2466" w:name="_Toc404040915"/>
      <w:bookmarkStart w:id="2467" w:name="_Toc2140991912"/>
      <w:bookmarkStart w:id="2468" w:name="_Toc1281016633"/>
      <w:bookmarkStart w:id="2469" w:name="_Toc1079950357"/>
      <w:bookmarkStart w:id="2470" w:name="_Toc1647735235"/>
      <w:bookmarkStart w:id="2471" w:name="_Toc1029149214"/>
      <w:bookmarkStart w:id="2472" w:name="_Toc581880071"/>
      <w:bookmarkStart w:id="2473" w:name="_Toc1602669822"/>
      <w:bookmarkStart w:id="2474" w:name="_Toc394143920"/>
      <w:bookmarkStart w:id="2475" w:name="_Toc1780501500"/>
      <w:bookmarkStart w:id="2476" w:name="_Toc103306164"/>
      <w:bookmarkStart w:id="2477" w:name="_Toc311307074"/>
      <w:bookmarkStart w:id="2478" w:name="_Toc1654039294"/>
      <w:bookmarkStart w:id="2479" w:name="_Toc1822584572"/>
      <w:bookmarkStart w:id="2480" w:name="_Toc715800647"/>
      <w:bookmarkStart w:id="2481" w:name="_Toc1884812272"/>
      <w:bookmarkStart w:id="2482" w:name="_Toc1985870031"/>
      <w:bookmarkStart w:id="2483" w:name="_Toc815558260"/>
      <w:bookmarkStart w:id="2484" w:name="_Toc97502342"/>
      <w:bookmarkStart w:id="2485" w:name="_Toc1249061342"/>
      <w:bookmarkStart w:id="2486" w:name="_Toc749525374"/>
      <w:bookmarkStart w:id="2487" w:name="_Toc1090890788"/>
      <w:bookmarkStart w:id="2488" w:name="_Toc4629811"/>
      <w:bookmarkStart w:id="2489" w:name="_Toc921705705"/>
      <w:bookmarkStart w:id="2490" w:name="_Toc1680304678"/>
      <w:bookmarkStart w:id="2491" w:name="_Toc980344434"/>
      <w:bookmarkStart w:id="2492" w:name="_Toc1750619716"/>
      <w:bookmarkStart w:id="2493" w:name="_Toc896444552"/>
      <w:bookmarkStart w:id="2494" w:name="_Toc1578995900"/>
      <w:bookmarkStart w:id="2495" w:name="_Toc1695836756"/>
      <w:bookmarkStart w:id="2496" w:name="_Toc162645246"/>
      <w:bookmarkStart w:id="2497" w:name="_Toc1655116689"/>
      <w:bookmarkStart w:id="2498" w:name="_Toc1942200523"/>
      <w:bookmarkStart w:id="2499" w:name="_Toc47871031"/>
      <w:bookmarkStart w:id="2500" w:name="_Toc1426557732"/>
      <w:bookmarkStart w:id="2501" w:name="_Toc1990583859"/>
      <w:bookmarkStart w:id="2502" w:name="_Toc1121710067"/>
      <w:bookmarkStart w:id="2503" w:name="_Toc616788164"/>
      <w:bookmarkStart w:id="2504" w:name="_Toc1900021734"/>
      <w:bookmarkStart w:id="2505" w:name="_Toc1381313296"/>
      <w:bookmarkStart w:id="2506" w:name="_Toc1142418446"/>
      <w:bookmarkStart w:id="2507" w:name="_Toc613485629"/>
      <w:bookmarkStart w:id="2508" w:name="_Toc161754707"/>
      <w:bookmarkStart w:id="2509" w:name="_Toc1464582538"/>
      <w:bookmarkStart w:id="2510" w:name="_Toc697193915"/>
      <w:bookmarkStart w:id="2511" w:name="_Toc466717674"/>
      <w:bookmarkStart w:id="2512" w:name="_Toc1003886013"/>
      <w:bookmarkStart w:id="2513" w:name="_Toc1616024193"/>
      <w:bookmarkStart w:id="2514" w:name="_Toc565114799"/>
      <w:bookmarkStart w:id="2515" w:name="_Toc1361724324"/>
      <w:bookmarkStart w:id="2516" w:name="_Toc1174175816"/>
      <w:bookmarkStart w:id="2517" w:name="_Toc1350319136"/>
      <w:bookmarkStart w:id="2518" w:name="_Toc1646577058"/>
      <w:bookmarkStart w:id="2519" w:name="_Toc661048846"/>
      <w:bookmarkStart w:id="2520" w:name="_Toc486698063"/>
      <w:bookmarkStart w:id="2521" w:name="_Toc1590687352"/>
      <w:bookmarkStart w:id="2522" w:name="_Toc1230066727"/>
      <w:bookmarkStart w:id="2523" w:name="_Toc962737137"/>
      <w:bookmarkStart w:id="2524" w:name="_Toc451375181"/>
      <w:bookmarkStart w:id="2525" w:name="_Toc1054269130"/>
      <w:bookmarkStart w:id="2526" w:name="_Toc2103435318"/>
      <w:bookmarkStart w:id="2527" w:name="_Toc1486852704"/>
      <w:bookmarkStart w:id="2528" w:name="_Toc636120228"/>
      <w:bookmarkStart w:id="2529" w:name="_Toc260570788"/>
      <w:bookmarkStart w:id="2530" w:name="_Toc665703355"/>
      <w:bookmarkStart w:id="2531" w:name="_Toc1291089781"/>
      <w:bookmarkStart w:id="2532" w:name="_Toc1438361697"/>
      <w:bookmarkStart w:id="2533" w:name="_Toc1687385350"/>
      <w:bookmarkStart w:id="2534" w:name="_Toc703007020"/>
      <w:bookmarkStart w:id="2535" w:name="_Toc1172475529"/>
      <w:bookmarkStart w:id="2536" w:name="_Toc57337536"/>
      <w:bookmarkStart w:id="2537" w:name="_Toc1756934525"/>
      <w:bookmarkStart w:id="2538" w:name="_Toc14911765"/>
      <w:bookmarkStart w:id="2539" w:name="_Toc32708825"/>
      <w:bookmarkStart w:id="2540" w:name="_Toc521147382"/>
      <w:bookmarkStart w:id="2541" w:name="_Toc31043641"/>
    </w:p>
    <w:p w14:paraId="0FB78F86" w14:textId="77777777" w:rsidR="00134FCE" w:rsidRPr="00F425EA" w:rsidRDefault="00134FCE" w:rsidP="00827304">
      <w:pPr>
        <w:spacing w:after="0" w:line="276" w:lineRule="auto"/>
        <w:jc w:val="both"/>
        <w:rPr>
          <w:rFonts w:cs="Arial"/>
        </w:rPr>
      </w:pPr>
    </w:p>
    <w:p w14:paraId="036494E2" w14:textId="03E919B7" w:rsidR="000E7A5A" w:rsidRPr="00F425EA" w:rsidRDefault="00306071" w:rsidP="000B2C28">
      <w:pPr>
        <w:pStyle w:val="Naslov2"/>
      </w:pPr>
      <w:bookmarkStart w:id="2542" w:name="_Toc187739352"/>
      <w:bookmarkStart w:id="2543" w:name="_Toc187740099"/>
      <w:bookmarkStart w:id="2544" w:name="_Toc192682006"/>
      <w:r w:rsidRPr="00F425EA">
        <w:rPr>
          <w:rStyle w:val="Neenpoudarek"/>
          <w:rFonts w:cs="Arial"/>
          <w:i w:val="0"/>
          <w:iCs w:val="0"/>
          <w:color w:val="2E74B5"/>
        </w:rPr>
        <w:t>3.2</w:t>
      </w:r>
      <w:r w:rsidRPr="00F425EA">
        <w:tab/>
      </w:r>
      <w:r w:rsidR="005A12CC" w:rsidRPr="00F425EA">
        <w:t>TRAJNOSTNA MOBILNOST S POUDARKOM NA ZMANJŠANJU PROMETA Z OSEBNIMI AVTOMOBILI PRI PREVOZU NA DELO</w:t>
      </w:r>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p>
    <w:p w14:paraId="44B04B63" w14:textId="77777777" w:rsidR="000E7A5A" w:rsidRPr="00F425EA" w:rsidRDefault="000E7A5A" w:rsidP="00E247FF">
      <w:pPr>
        <w:autoSpaceDE w:val="0"/>
        <w:spacing w:after="0" w:line="276" w:lineRule="auto"/>
        <w:ind w:left="360"/>
        <w:jc w:val="both"/>
        <w:rPr>
          <w:rFonts w:cs="Arial"/>
        </w:rPr>
      </w:pPr>
    </w:p>
    <w:p w14:paraId="3A48F207" w14:textId="77777777" w:rsidR="000E7A5A" w:rsidRPr="00F425EA" w:rsidRDefault="00306071" w:rsidP="00E76A87">
      <w:pPr>
        <w:pStyle w:val="Naslov3"/>
      </w:pPr>
      <w:bookmarkStart w:id="2545" w:name="_Toc343292576"/>
      <w:bookmarkStart w:id="2546" w:name="_Toc129095384"/>
      <w:bookmarkStart w:id="2547" w:name="_Toc1346632232"/>
      <w:bookmarkStart w:id="2548" w:name="_Toc2126480728"/>
      <w:bookmarkStart w:id="2549" w:name="_Toc1511188979"/>
      <w:bookmarkStart w:id="2550" w:name="_Toc421632181"/>
      <w:bookmarkStart w:id="2551" w:name="_Toc278237826"/>
      <w:bookmarkStart w:id="2552" w:name="_Toc788449702"/>
      <w:bookmarkStart w:id="2553" w:name="_Toc664923226"/>
      <w:bookmarkStart w:id="2554" w:name="_Toc122708102"/>
      <w:bookmarkStart w:id="2555" w:name="_Toc1751888947"/>
      <w:bookmarkStart w:id="2556" w:name="_Toc1103702790"/>
      <w:bookmarkStart w:id="2557" w:name="_Toc1336429258"/>
      <w:bookmarkStart w:id="2558" w:name="_Toc1127269172"/>
      <w:bookmarkStart w:id="2559" w:name="_Toc187575741"/>
      <w:bookmarkStart w:id="2560" w:name="_Toc2033194216"/>
      <w:bookmarkStart w:id="2561" w:name="_Toc1605941297"/>
      <w:bookmarkStart w:id="2562" w:name="_Toc1613334909"/>
      <w:bookmarkStart w:id="2563" w:name="_Toc2087694192"/>
      <w:bookmarkStart w:id="2564" w:name="_Toc361256879"/>
      <w:bookmarkStart w:id="2565" w:name="_Toc705184248"/>
      <w:bookmarkStart w:id="2566" w:name="_Toc623839189"/>
      <w:bookmarkStart w:id="2567" w:name="_Toc209856165"/>
      <w:bookmarkStart w:id="2568" w:name="_Toc1281860722"/>
      <w:bookmarkStart w:id="2569" w:name="_Toc1730911692"/>
      <w:bookmarkStart w:id="2570" w:name="_Toc328402873"/>
      <w:bookmarkStart w:id="2571" w:name="_Toc1894472802"/>
      <w:bookmarkStart w:id="2572" w:name="_Toc1880224421"/>
      <w:bookmarkStart w:id="2573" w:name="_Toc1009698856"/>
      <w:bookmarkStart w:id="2574" w:name="_Toc771389605"/>
      <w:bookmarkStart w:id="2575" w:name="_Toc379384112"/>
      <w:bookmarkStart w:id="2576" w:name="_Toc1415988617"/>
      <w:bookmarkStart w:id="2577" w:name="_Toc1612606529"/>
      <w:bookmarkStart w:id="2578" w:name="_Toc259408545"/>
      <w:bookmarkStart w:id="2579" w:name="_Toc429755011"/>
      <w:bookmarkStart w:id="2580" w:name="_Toc268593973"/>
      <w:bookmarkStart w:id="2581" w:name="_Toc1107035923"/>
      <w:bookmarkStart w:id="2582" w:name="_Toc791007531"/>
      <w:bookmarkStart w:id="2583" w:name="_Toc78780070"/>
      <w:bookmarkStart w:id="2584" w:name="_Toc1411445952"/>
      <w:bookmarkStart w:id="2585" w:name="_Toc398672967"/>
      <w:bookmarkStart w:id="2586" w:name="_Toc1775000354"/>
      <w:bookmarkStart w:id="2587" w:name="_Toc1733408810"/>
      <w:bookmarkStart w:id="2588" w:name="_Toc27346609"/>
      <w:bookmarkStart w:id="2589" w:name="_Toc1760029926"/>
      <w:bookmarkStart w:id="2590" w:name="_Toc1374760142"/>
      <w:bookmarkStart w:id="2591" w:name="_Toc810526523"/>
      <w:bookmarkStart w:id="2592" w:name="_Toc1804682280"/>
      <w:bookmarkStart w:id="2593" w:name="_Toc1509080556"/>
      <w:bookmarkStart w:id="2594" w:name="_Toc1627251268"/>
      <w:bookmarkStart w:id="2595" w:name="_Toc582539710"/>
      <w:bookmarkStart w:id="2596" w:name="_Toc1940427951"/>
      <w:bookmarkStart w:id="2597" w:name="_Toc1215211400"/>
      <w:bookmarkStart w:id="2598" w:name="_Toc1183499785"/>
      <w:bookmarkStart w:id="2599" w:name="_Toc533957964"/>
      <w:bookmarkStart w:id="2600" w:name="_Toc1394471146"/>
      <w:bookmarkStart w:id="2601" w:name="_Toc784971032"/>
      <w:bookmarkStart w:id="2602" w:name="_Toc1346131896"/>
      <w:bookmarkStart w:id="2603" w:name="_Toc1043986941"/>
      <w:bookmarkStart w:id="2604" w:name="_Toc154686702"/>
      <w:bookmarkStart w:id="2605" w:name="_Toc998600070"/>
      <w:bookmarkStart w:id="2606" w:name="_Toc474464751"/>
      <w:bookmarkStart w:id="2607" w:name="_Toc1143928864"/>
      <w:bookmarkStart w:id="2608" w:name="_Toc1058992012"/>
      <w:bookmarkStart w:id="2609" w:name="_Toc1341611450"/>
      <w:bookmarkStart w:id="2610" w:name="_Toc862735247"/>
      <w:bookmarkStart w:id="2611" w:name="_Toc640354392"/>
      <w:bookmarkStart w:id="2612" w:name="_Toc95974889"/>
      <w:bookmarkStart w:id="2613" w:name="_Toc1303093003"/>
      <w:bookmarkStart w:id="2614" w:name="_Toc1532795468"/>
      <w:bookmarkStart w:id="2615" w:name="_Toc1030630677"/>
      <w:bookmarkStart w:id="2616" w:name="_Toc1785531492"/>
      <w:bookmarkStart w:id="2617" w:name="_Toc1493641322"/>
      <w:bookmarkStart w:id="2618" w:name="_Toc816825528"/>
      <w:bookmarkStart w:id="2619" w:name="_Toc512198678"/>
      <w:bookmarkStart w:id="2620" w:name="_Toc2104492847"/>
      <w:bookmarkStart w:id="2621" w:name="_Toc1634387974"/>
      <w:bookmarkStart w:id="2622" w:name="_Toc964047740"/>
      <w:bookmarkStart w:id="2623" w:name="_Toc543918278"/>
      <w:bookmarkStart w:id="2624" w:name="_Toc1923558889"/>
      <w:bookmarkStart w:id="2625" w:name="_Toc795324540"/>
      <w:bookmarkStart w:id="2626" w:name="_Toc118144182"/>
      <w:bookmarkStart w:id="2627" w:name="_Toc423367566"/>
      <w:bookmarkStart w:id="2628" w:name="_Toc1921395216"/>
      <w:bookmarkStart w:id="2629" w:name="_Toc187739353"/>
      <w:bookmarkStart w:id="2630" w:name="_Toc187740100"/>
      <w:bookmarkStart w:id="2631" w:name="_Toc192682007"/>
      <w:r w:rsidRPr="00F425EA">
        <w:t>3.2.1</w:t>
      </w:r>
      <w:r w:rsidRPr="00F425EA">
        <w:tab/>
        <w:t>Aktivnosti za povečanje uporabe javnega prevoza z opiranjem na ukrepe, kot sta izdajanje enotnih vozovnic in usklajevanje voznih redov</w:t>
      </w:r>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p>
    <w:p w14:paraId="28EBEBEB" w14:textId="77777777" w:rsidR="000E7A5A" w:rsidRPr="00134FCE" w:rsidRDefault="000E7A5A" w:rsidP="00E247FF">
      <w:pPr>
        <w:spacing w:after="0" w:line="276" w:lineRule="auto"/>
        <w:jc w:val="both"/>
        <w:rPr>
          <w:rFonts w:cs="Arial"/>
        </w:rPr>
      </w:pPr>
    </w:p>
    <w:p w14:paraId="7DC64E57" w14:textId="77777777" w:rsidR="000E7A5A" w:rsidRPr="00F425EA" w:rsidRDefault="00306071" w:rsidP="00E247FF">
      <w:pPr>
        <w:pStyle w:val="Odstavekseznama"/>
        <w:numPr>
          <w:ilvl w:val="0"/>
          <w:numId w:val="38"/>
        </w:numPr>
        <w:spacing w:after="0" w:line="276" w:lineRule="auto"/>
        <w:jc w:val="both"/>
        <w:rPr>
          <w:rFonts w:cs="Arial"/>
          <w:b/>
          <w:bCs/>
        </w:rPr>
      </w:pPr>
      <w:r w:rsidRPr="00F425EA">
        <w:rPr>
          <w:rFonts w:cs="Arial"/>
          <w:b/>
          <w:bCs/>
        </w:rPr>
        <w:t>JPP v Sloveniji</w:t>
      </w:r>
    </w:p>
    <w:p w14:paraId="3BB853BF" w14:textId="77777777" w:rsidR="000E7A5A" w:rsidRPr="00F425EA" w:rsidRDefault="000E7A5A" w:rsidP="00E247FF">
      <w:pPr>
        <w:spacing w:after="0" w:line="276" w:lineRule="auto"/>
        <w:jc w:val="both"/>
        <w:rPr>
          <w:rFonts w:cs="Arial"/>
        </w:rPr>
      </w:pPr>
    </w:p>
    <w:p w14:paraId="0481C0C0" w14:textId="13BB2B36" w:rsidR="000E7A5A" w:rsidRPr="00F425EA" w:rsidRDefault="00306071" w:rsidP="00E247FF">
      <w:pPr>
        <w:spacing w:after="0" w:line="276" w:lineRule="auto"/>
        <w:jc w:val="both"/>
        <w:rPr>
          <w:rFonts w:cs="Arial"/>
        </w:rPr>
      </w:pPr>
      <w:r w:rsidRPr="00F425EA">
        <w:rPr>
          <w:rFonts w:cs="Arial"/>
        </w:rPr>
        <w:t xml:space="preserve">Slovenija v zadnjih desetletjih beleži rast prometa z osebnimi vozili, saj je ta način prevoza z razvojem avtocestnega križa, stagnacijo železniškega sistema in upadanjem javnega potniškega prometa postal najprivlačnejši način prevoza. Trend upadanja JPP se je prvič zaustavil v letu 2011 z uvedbo subvencioniranja vozovnic za dijake in študente. V letu 2016 je bila za študente in dijake uvedena še </w:t>
      </w:r>
      <w:r w:rsidRPr="00F425EA">
        <w:rPr>
          <w:rFonts w:cs="Arial"/>
          <w:b/>
          <w:bCs/>
        </w:rPr>
        <w:t xml:space="preserve">enotna vozovnica, </w:t>
      </w:r>
      <w:r w:rsidRPr="00F425EA">
        <w:rPr>
          <w:rFonts w:cs="Arial"/>
        </w:rPr>
        <w:t xml:space="preserve">ki je bila v letu 2019 razširjena na vse ostale uporabnike JPP. S 1. 7. 2020 pa je bila za upokojence, starejše od 65 let, imetnike evropske kartice ugodnosti invalida in vojne veterane uvedena </w:t>
      </w:r>
      <w:r w:rsidRPr="00F425EA">
        <w:rPr>
          <w:rFonts w:cs="Arial"/>
          <w:b/>
          <w:bCs/>
        </w:rPr>
        <w:t>brezplačna vozovnica »Slovenija«</w:t>
      </w:r>
      <w:r w:rsidRPr="00F425EA">
        <w:rPr>
          <w:rFonts w:cs="Arial"/>
        </w:rPr>
        <w:t xml:space="preserve">. </w:t>
      </w:r>
    </w:p>
    <w:p w14:paraId="00CC35C9" w14:textId="77777777" w:rsidR="000E7A5A" w:rsidRPr="00F425EA" w:rsidRDefault="000E7A5A" w:rsidP="00E247FF">
      <w:pPr>
        <w:spacing w:after="0" w:line="276" w:lineRule="auto"/>
        <w:jc w:val="both"/>
        <w:rPr>
          <w:rFonts w:cs="Arial"/>
        </w:rPr>
      </w:pPr>
    </w:p>
    <w:p w14:paraId="3537FDB1" w14:textId="77777777" w:rsidR="000E7A5A" w:rsidRPr="00F425EA" w:rsidRDefault="00306071" w:rsidP="00E247FF">
      <w:pPr>
        <w:spacing w:after="0" w:line="276" w:lineRule="auto"/>
        <w:jc w:val="both"/>
        <w:rPr>
          <w:rFonts w:cs="Arial"/>
        </w:rPr>
      </w:pPr>
      <w:r w:rsidRPr="00F425EA">
        <w:rPr>
          <w:rFonts w:cs="Arial"/>
        </w:rPr>
        <w:t>Pandemija COVID-19 je ponovno povzročila upad števila potnikov v JPP (število potnikov se je v letu 2020 zmanjšalo za 57 %), ki smo jih od leta 2021 poskušali vrniti nazaj z naslednjimi ukrepi:</w:t>
      </w:r>
    </w:p>
    <w:p w14:paraId="400C4672" w14:textId="0CF2A39A" w:rsidR="000E7A5A" w:rsidRPr="00F425EA" w:rsidRDefault="00306071" w:rsidP="00E247FF">
      <w:pPr>
        <w:numPr>
          <w:ilvl w:val="0"/>
          <w:numId w:val="39"/>
        </w:numPr>
        <w:spacing w:after="0" w:line="276" w:lineRule="auto"/>
        <w:ind w:left="284" w:hanging="284"/>
        <w:jc w:val="both"/>
        <w:rPr>
          <w:rFonts w:cs="Arial"/>
        </w:rPr>
      </w:pPr>
      <w:r w:rsidRPr="00F425EA">
        <w:rPr>
          <w:rFonts w:cs="Arial"/>
          <w:b/>
          <w:bCs/>
        </w:rPr>
        <w:lastRenderedPageBreak/>
        <w:t>vikend popusti</w:t>
      </w:r>
      <w:r w:rsidRPr="00F425EA">
        <w:rPr>
          <w:rFonts w:cs="Arial"/>
        </w:rPr>
        <w:t xml:space="preserve"> (v višini 75</w:t>
      </w:r>
      <w:r w:rsidR="00234C38">
        <w:rPr>
          <w:rFonts w:cs="Arial"/>
        </w:rPr>
        <w:t xml:space="preserve"> </w:t>
      </w:r>
      <w:r w:rsidRPr="00F425EA">
        <w:rPr>
          <w:rFonts w:cs="Arial"/>
        </w:rPr>
        <w:t xml:space="preserve">% cene enkratne vozovnice) na določeni relaciji in cenovno ugodne </w:t>
      </w:r>
      <w:r w:rsidRPr="00F425EA">
        <w:rPr>
          <w:rFonts w:cs="Arial"/>
          <w:b/>
          <w:bCs/>
        </w:rPr>
        <w:t>družinske vozovnice</w:t>
      </w:r>
      <w:r w:rsidRPr="00F425EA">
        <w:rPr>
          <w:rFonts w:cs="Arial"/>
        </w:rPr>
        <w:t xml:space="preserve"> za družine do 5 oseb oz. do 10 oseb za 15 EUR oz. 30 EUR. </w:t>
      </w:r>
    </w:p>
    <w:p w14:paraId="31F74BE9" w14:textId="77777777" w:rsidR="000E7A5A" w:rsidRPr="00F425EA" w:rsidRDefault="00306071" w:rsidP="00E247FF">
      <w:pPr>
        <w:numPr>
          <w:ilvl w:val="0"/>
          <w:numId w:val="39"/>
        </w:numPr>
        <w:spacing w:after="0" w:line="276" w:lineRule="auto"/>
        <w:ind w:left="284" w:hanging="284"/>
        <w:jc w:val="both"/>
        <w:rPr>
          <w:rFonts w:cs="Arial"/>
        </w:rPr>
      </w:pPr>
      <w:r w:rsidRPr="00F425EA">
        <w:rPr>
          <w:rFonts w:cs="Arial"/>
          <w:b/>
          <w:bCs/>
        </w:rPr>
        <w:t>subvencionirana enotna (mesečna ali letna) vozovnica »Slovenija«</w:t>
      </w:r>
      <w:r w:rsidRPr="00F425EA">
        <w:rPr>
          <w:rFonts w:cs="Arial"/>
        </w:rPr>
        <w:t xml:space="preserve"> za dijake in študente za 25 EUR/mesec oz. 200 EUR/leto. Z doplačilom 10 EUR pa lahko dijaki oz. študenti pridobijo tudi vozovnico za mestne promete tako, da je ta vozovnica lahko veljavna tudi v mestnih prometih.</w:t>
      </w:r>
    </w:p>
    <w:p w14:paraId="7727E62F" w14:textId="11466002" w:rsidR="000E7A5A" w:rsidRPr="00F425EA" w:rsidRDefault="00306071" w:rsidP="00E247FF">
      <w:pPr>
        <w:numPr>
          <w:ilvl w:val="0"/>
          <w:numId w:val="39"/>
        </w:numPr>
        <w:spacing w:after="0" w:line="276" w:lineRule="auto"/>
        <w:ind w:left="284" w:hanging="284"/>
        <w:jc w:val="both"/>
        <w:rPr>
          <w:rFonts w:cs="Arial"/>
        </w:rPr>
      </w:pPr>
      <w:r w:rsidRPr="00F425EA">
        <w:rPr>
          <w:rFonts w:cs="Arial"/>
        </w:rPr>
        <w:t xml:space="preserve">V letu 2023 je bila uvedena </w:t>
      </w:r>
      <w:r w:rsidRPr="00F425EA">
        <w:rPr>
          <w:rFonts w:cs="Arial"/>
          <w:b/>
          <w:bCs/>
        </w:rPr>
        <w:t>vozovnica »Slovenija«</w:t>
      </w:r>
      <w:r w:rsidRPr="00F425EA">
        <w:rPr>
          <w:rFonts w:cs="Arial"/>
        </w:rPr>
        <w:t xml:space="preserve"> tudi za vse ostale uporabnike JPP za 70 EUR/mesec oz. 560 EUR/leto. S 1.</w:t>
      </w:r>
      <w:r w:rsidR="007C3912">
        <w:rPr>
          <w:rFonts w:cs="Arial"/>
        </w:rPr>
        <w:t xml:space="preserve"> </w:t>
      </w:r>
      <w:r w:rsidRPr="00F425EA">
        <w:rPr>
          <w:rFonts w:cs="Arial"/>
        </w:rPr>
        <w:t>10.</w:t>
      </w:r>
      <w:r w:rsidR="007C3912">
        <w:rPr>
          <w:rFonts w:cs="Arial"/>
        </w:rPr>
        <w:t xml:space="preserve"> </w:t>
      </w:r>
      <w:r w:rsidRPr="00F425EA">
        <w:rPr>
          <w:rFonts w:cs="Arial"/>
        </w:rPr>
        <w:t xml:space="preserve">2024 pa velja tudi v mestnem prometu Ljubljane (brez doplačila). </w:t>
      </w:r>
    </w:p>
    <w:p w14:paraId="50B69049" w14:textId="77777777" w:rsidR="000E7A5A" w:rsidRPr="00F425EA" w:rsidRDefault="000E7A5A" w:rsidP="00E247FF">
      <w:pPr>
        <w:spacing w:after="0" w:line="276" w:lineRule="auto"/>
        <w:jc w:val="both"/>
        <w:rPr>
          <w:rFonts w:cs="Arial"/>
        </w:rPr>
      </w:pPr>
    </w:p>
    <w:p w14:paraId="06CA1A10" w14:textId="02DF6B3E" w:rsidR="000E7A5A" w:rsidRPr="00F425EA" w:rsidRDefault="00306071" w:rsidP="00E247FF">
      <w:pPr>
        <w:spacing w:after="0" w:line="276" w:lineRule="auto"/>
        <w:jc w:val="both"/>
        <w:rPr>
          <w:rFonts w:cs="Arial"/>
        </w:rPr>
      </w:pPr>
      <w:r w:rsidRPr="00F425EA">
        <w:rPr>
          <w:rFonts w:cs="Arial"/>
        </w:rPr>
        <w:t xml:space="preserve">V letu 2023 so bile </w:t>
      </w:r>
      <w:r w:rsidRPr="00F425EA">
        <w:rPr>
          <w:rFonts w:cs="Arial"/>
          <w:b/>
          <w:bCs/>
        </w:rPr>
        <w:t>podeljene nove koncesije</w:t>
      </w:r>
      <w:r w:rsidRPr="00F425EA">
        <w:rPr>
          <w:rFonts w:cs="Arial"/>
        </w:rPr>
        <w:t xml:space="preserve"> za medkrajevni linijski avtobusni potniški promet za obdobje 5 let z možnostjo podaljšanja še za 3 leta, ki so se začele izvajati s 1.</w:t>
      </w:r>
      <w:r w:rsidR="004E6158">
        <w:rPr>
          <w:rFonts w:cs="Arial"/>
        </w:rPr>
        <w:t xml:space="preserve"> </w:t>
      </w:r>
      <w:r w:rsidRPr="00F425EA">
        <w:rPr>
          <w:rFonts w:cs="Arial"/>
        </w:rPr>
        <w:t>7.</w:t>
      </w:r>
      <w:r w:rsidR="004E6158">
        <w:rPr>
          <w:rFonts w:cs="Arial"/>
        </w:rPr>
        <w:t xml:space="preserve"> </w:t>
      </w:r>
      <w:r w:rsidRPr="00F425EA">
        <w:rPr>
          <w:rFonts w:cs="Arial"/>
        </w:rPr>
        <w:t>2024. Obseg storitev smo povečali za 20</w:t>
      </w:r>
      <w:r w:rsidR="00234C38">
        <w:rPr>
          <w:rFonts w:cs="Arial"/>
        </w:rPr>
        <w:t xml:space="preserve"> </w:t>
      </w:r>
      <w:r w:rsidRPr="00F425EA">
        <w:rPr>
          <w:rFonts w:cs="Arial"/>
        </w:rPr>
        <w:t xml:space="preserve">% na račun dnevnih konic, prevoza zaposlenih in osnovnošolskih otrok, zagotavljanja JPP v oddaljenih krajih in za potrebe turizma. Skupno gre za povečanje iz ca 50 na ca 60 mio avtobusnih kilometrov letno. Pri izboru so imeli prednost izvajalci, ki so ponudili kakovostnejša prevozna sredstva, ki manj onesnažujejo okolje (EURO 5 in 6) in ki zagotavljajo večje udobje potnikov (npr. </w:t>
      </w:r>
      <w:proofErr w:type="spellStart"/>
      <w:r w:rsidR="00DB00C3">
        <w:rPr>
          <w:rFonts w:cs="Arial"/>
        </w:rPr>
        <w:t>W</w:t>
      </w:r>
      <w:r w:rsidRPr="00F425EA">
        <w:rPr>
          <w:rFonts w:cs="Arial"/>
        </w:rPr>
        <w:t>i</w:t>
      </w:r>
      <w:proofErr w:type="spellEnd"/>
      <w:r w:rsidRPr="00F425EA">
        <w:rPr>
          <w:rFonts w:cs="Arial"/>
        </w:rPr>
        <w:t>-</w:t>
      </w:r>
      <w:r w:rsidR="00DB00C3">
        <w:rPr>
          <w:rFonts w:cs="Arial"/>
        </w:rPr>
        <w:t>F</w:t>
      </w:r>
      <w:r w:rsidRPr="00F425EA">
        <w:rPr>
          <w:rFonts w:cs="Arial"/>
        </w:rPr>
        <w:t xml:space="preserve">i). </w:t>
      </w:r>
    </w:p>
    <w:p w14:paraId="12568D9D" w14:textId="77777777" w:rsidR="000E7A5A" w:rsidRPr="00F425EA" w:rsidRDefault="000E7A5A" w:rsidP="00E247FF">
      <w:pPr>
        <w:spacing w:after="0" w:line="276" w:lineRule="auto"/>
        <w:jc w:val="both"/>
        <w:rPr>
          <w:rFonts w:cs="Arial"/>
        </w:rPr>
      </w:pPr>
    </w:p>
    <w:p w14:paraId="1D83838C" w14:textId="77777777" w:rsidR="000E7A5A" w:rsidRPr="00F425EA" w:rsidRDefault="00306071" w:rsidP="00E247FF">
      <w:pPr>
        <w:spacing w:after="0" w:line="276" w:lineRule="auto"/>
        <w:jc w:val="both"/>
        <w:rPr>
          <w:rFonts w:cs="Arial"/>
        </w:rPr>
      </w:pPr>
      <w:r w:rsidRPr="00F425EA">
        <w:rPr>
          <w:rFonts w:cs="Arial"/>
        </w:rPr>
        <w:t xml:space="preserve">V okviru Nacionalnega centra za upravljanje prometa so bili vzpostavljeni tudi </w:t>
      </w:r>
      <w:r w:rsidRPr="00F425EA">
        <w:rPr>
          <w:rFonts w:cs="Arial"/>
          <w:b/>
          <w:bCs/>
        </w:rPr>
        <w:t>skupni vozni redi medkrajevnega avtobusnega in železniškega prometa Slovenije ter mestnih prometov Ljubljane in Maribora. Poleg tega je bil vzpostavljen tudi voznoredni iskalnik in spletni načrtovalec poti z imenom »SIMO«</w:t>
      </w:r>
      <w:r w:rsidRPr="00F425EA">
        <w:rPr>
          <w:rFonts w:cs="Arial"/>
        </w:rPr>
        <w:t>.</w:t>
      </w:r>
    </w:p>
    <w:p w14:paraId="595A5E96" w14:textId="77777777" w:rsidR="000E7A5A" w:rsidRPr="00F425EA" w:rsidRDefault="000E7A5A" w:rsidP="00827304">
      <w:pPr>
        <w:spacing w:after="0" w:line="276" w:lineRule="auto"/>
        <w:rPr>
          <w:rFonts w:cs="Arial"/>
        </w:rPr>
      </w:pPr>
    </w:p>
    <w:p w14:paraId="7AEB7A54" w14:textId="77777777" w:rsidR="000E7A5A" w:rsidRPr="00F425EA" w:rsidRDefault="00306071" w:rsidP="00E247FF">
      <w:pPr>
        <w:pStyle w:val="Odstavekseznama"/>
        <w:numPr>
          <w:ilvl w:val="0"/>
          <w:numId w:val="38"/>
        </w:numPr>
        <w:spacing w:after="0" w:line="276" w:lineRule="auto"/>
        <w:jc w:val="both"/>
        <w:rPr>
          <w:rFonts w:cs="Arial"/>
          <w:b/>
          <w:bCs/>
        </w:rPr>
      </w:pPr>
      <w:bookmarkStart w:id="2632" w:name="_Toc175235278"/>
      <w:r w:rsidRPr="00F425EA">
        <w:rPr>
          <w:rFonts w:cs="Arial"/>
          <w:b/>
          <w:bCs/>
        </w:rPr>
        <w:t>Število potnikov v JPP</w:t>
      </w:r>
      <w:bookmarkEnd w:id="2632"/>
    </w:p>
    <w:p w14:paraId="36C0E08D" w14:textId="77777777" w:rsidR="000E7A5A" w:rsidRPr="00F425EA" w:rsidRDefault="000E7A5A" w:rsidP="00E247FF">
      <w:pPr>
        <w:spacing w:after="0" w:line="276" w:lineRule="auto"/>
        <w:jc w:val="both"/>
        <w:rPr>
          <w:rFonts w:cs="Arial"/>
        </w:rPr>
      </w:pPr>
    </w:p>
    <w:p w14:paraId="20735AC4" w14:textId="77777777" w:rsidR="000E7A5A" w:rsidRPr="00F425EA" w:rsidRDefault="00306071" w:rsidP="00E247FF">
      <w:pPr>
        <w:spacing w:after="0" w:line="276" w:lineRule="auto"/>
        <w:jc w:val="both"/>
        <w:rPr>
          <w:rFonts w:cs="Arial"/>
        </w:rPr>
      </w:pPr>
      <w:r w:rsidRPr="00F425EA">
        <w:rPr>
          <w:rFonts w:cs="Arial"/>
        </w:rPr>
        <w:t xml:space="preserve">Od leta 2019 dalje je predvsem spričo ugodne </w:t>
      </w:r>
      <w:proofErr w:type="spellStart"/>
      <w:r w:rsidRPr="00F425EA">
        <w:rPr>
          <w:rFonts w:cs="Arial"/>
        </w:rPr>
        <w:t>vozovnične</w:t>
      </w:r>
      <w:proofErr w:type="spellEnd"/>
      <w:r w:rsidRPr="00F425EA">
        <w:rPr>
          <w:rFonts w:cs="Arial"/>
        </w:rPr>
        <w:t xml:space="preserve"> politike število potnikov postopoma raslo, razen v letih s COVID-om. V spodnji tabeli je prikazano število potnikov v medkrajevnem linijskem avtobusnem potniškem prometu, brez imetnikov brezplačnih vozovnic:</w:t>
      </w:r>
    </w:p>
    <w:p w14:paraId="046DC701" w14:textId="77777777" w:rsidR="000E7A5A" w:rsidRPr="00F425EA" w:rsidRDefault="000E7A5A" w:rsidP="00E247FF">
      <w:pPr>
        <w:spacing w:after="0" w:line="276" w:lineRule="auto"/>
        <w:jc w:val="both"/>
        <w:rPr>
          <w:rFonts w:cs="Arial"/>
        </w:rPr>
      </w:pPr>
    </w:p>
    <w:p w14:paraId="6F7F6367" w14:textId="52D58834" w:rsidR="00D74C24" w:rsidRDefault="00D74C24" w:rsidP="00D74C24">
      <w:pPr>
        <w:pStyle w:val="Napis"/>
        <w:keepNext/>
        <w:spacing w:after="0"/>
        <w:rPr>
          <w:rFonts w:cs="Arial"/>
          <w:b w:val="0"/>
          <w:bCs w:val="0"/>
          <w:color w:val="auto"/>
          <w:sz w:val="18"/>
          <w:szCs w:val="18"/>
        </w:rPr>
      </w:pPr>
      <w:bookmarkStart w:id="2633" w:name="_Toc191379192"/>
      <w:r w:rsidRPr="00D74C24">
        <w:rPr>
          <w:rFonts w:cs="Arial"/>
          <w:b w:val="0"/>
          <w:bCs w:val="0"/>
          <w:color w:val="auto"/>
          <w:sz w:val="18"/>
          <w:szCs w:val="18"/>
        </w:rPr>
        <w:t xml:space="preserve">Tabela </w:t>
      </w:r>
      <w:r w:rsidRPr="00D74C24">
        <w:rPr>
          <w:rFonts w:cs="Arial"/>
          <w:b w:val="0"/>
          <w:bCs w:val="0"/>
          <w:color w:val="auto"/>
          <w:sz w:val="18"/>
          <w:szCs w:val="18"/>
        </w:rPr>
        <w:fldChar w:fldCharType="begin"/>
      </w:r>
      <w:r w:rsidRPr="00D74C24">
        <w:rPr>
          <w:rFonts w:cs="Arial"/>
          <w:b w:val="0"/>
          <w:bCs w:val="0"/>
          <w:color w:val="auto"/>
          <w:sz w:val="18"/>
          <w:szCs w:val="18"/>
        </w:rPr>
        <w:instrText xml:space="preserve"> SEQ Tabela \* ARABIC </w:instrText>
      </w:r>
      <w:r w:rsidRPr="00D74C24">
        <w:rPr>
          <w:rFonts w:cs="Arial"/>
          <w:b w:val="0"/>
          <w:bCs w:val="0"/>
          <w:color w:val="auto"/>
          <w:sz w:val="18"/>
          <w:szCs w:val="18"/>
        </w:rPr>
        <w:fldChar w:fldCharType="separate"/>
      </w:r>
      <w:r w:rsidR="00064E01">
        <w:rPr>
          <w:rFonts w:cs="Arial"/>
          <w:b w:val="0"/>
          <w:bCs w:val="0"/>
          <w:noProof/>
          <w:color w:val="auto"/>
          <w:sz w:val="18"/>
          <w:szCs w:val="18"/>
        </w:rPr>
        <w:t>3</w:t>
      </w:r>
      <w:r w:rsidRPr="00D74C24">
        <w:rPr>
          <w:rFonts w:cs="Arial"/>
          <w:b w:val="0"/>
          <w:bCs w:val="0"/>
          <w:color w:val="auto"/>
          <w:sz w:val="18"/>
          <w:szCs w:val="18"/>
        </w:rPr>
        <w:fldChar w:fldCharType="end"/>
      </w:r>
      <w:r w:rsidRPr="00D74C24">
        <w:rPr>
          <w:rFonts w:cs="Arial"/>
          <w:b w:val="0"/>
          <w:bCs w:val="0"/>
          <w:color w:val="auto"/>
          <w:sz w:val="18"/>
          <w:szCs w:val="18"/>
        </w:rPr>
        <w:t>: Število potnikov v medkrajevnem linijskem avtobusnem potniškem prometu, brez imetnikov brezplačnih vozovnic</w:t>
      </w:r>
      <w:bookmarkEnd w:id="2633"/>
    </w:p>
    <w:p w14:paraId="37AB70F0" w14:textId="77777777" w:rsidR="00B53785" w:rsidRPr="00B53785" w:rsidRDefault="00B53785" w:rsidP="00B53785">
      <w:pPr>
        <w:spacing w:after="0"/>
      </w:pPr>
    </w:p>
    <w:tbl>
      <w:tblPr>
        <w:tblW w:w="9062" w:type="dxa"/>
        <w:tblCellMar>
          <w:left w:w="10" w:type="dxa"/>
          <w:right w:w="10" w:type="dxa"/>
        </w:tblCellMar>
        <w:tblLook w:val="04A0" w:firstRow="1" w:lastRow="0" w:firstColumn="1" w:lastColumn="0" w:noHBand="0" w:noVBand="1"/>
      </w:tblPr>
      <w:tblGrid>
        <w:gridCol w:w="1755"/>
        <w:gridCol w:w="1217"/>
        <w:gridCol w:w="1559"/>
        <w:gridCol w:w="1560"/>
        <w:gridCol w:w="1560"/>
        <w:gridCol w:w="1411"/>
      </w:tblGrid>
      <w:tr w:rsidR="000E7A5A" w:rsidRPr="00F425EA" w14:paraId="62B8ACA6" w14:textId="77777777" w:rsidTr="007C3912">
        <w:trPr>
          <w:trHeight w:val="510"/>
        </w:trPr>
        <w:tc>
          <w:tcPr>
            <w:tcW w:w="183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027834E1" w14:textId="77777777" w:rsidR="000E7A5A" w:rsidRPr="006E7385" w:rsidRDefault="00306071" w:rsidP="00E247FF">
            <w:pPr>
              <w:spacing w:line="276" w:lineRule="auto"/>
              <w:jc w:val="both"/>
              <w:rPr>
                <w:rFonts w:cs="Arial"/>
                <w:b/>
                <w:bCs/>
              </w:rPr>
            </w:pPr>
            <w:r w:rsidRPr="006E7385">
              <w:rPr>
                <w:rFonts w:cs="Arial"/>
                <w:b/>
                <w:bCs/>
              </w:rPr>
              <w:t>Leto</w:t>
            </w:r>
          </w:p>
        </w:tc>
        <w:tc>
          <w:tcPr>
            <w:tcW w:w="113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noWrap/>
            <w:tcMar>
              <w:top w:w="0" w:type="dxa"/>
              <w:left w:w="108" w:type="dxa"/>
              <w:bottom w:w="0" w:type="dxa"/>
              <w:right w:w="108" w:type="dxa"/>
            </w:tcMar>
          </w:tcPr>
          <w:p w14:paraId="5891421A" w14:textId="77777777" w:rsidR="000E7A5A" w:rsidRPr="006E7385" w:rsidRDefault="00306071" w:rsidP="00E247FF">
            <w:pPr>
              <w:spacing w:line="276" w:lineRule="auto"/>
              <w:jc w:val="both"/>
              <w:rPr>
                <w:rFonts w:cs="Arial"/>
                <w:b/>
                <w:bCs/>
              </w:rPr>
            </w:pPr>
            <w:r w:rsidRPr="006E7385">
              <w:rPr>
                <w:rFonts w:cs="Arial"/>
                <w:b/>
                <w:bCs/>
              </w:rPr>
              <w:t>2019</w:t>
            </w:r>
          </w:p>
        </w:tc>
        <w:tc>
          <w:tcPr>
            <w:tcW w:w="155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noWrap/>
            <w:tcMar>
              <w:top w:w="0" w:type="dxa"/>
              <w:left w:w="108" w:type="dxa"/>
              <w:bottom w:w="0" w:type="dxa"/>
              <w:right w:w="108" w:type="dxa"/>
            </w:tcMar>
          </w:tcPr>
          <w:p w14:paraId="57A1B949" w14:textId="77777777" w:rsidR="000E7A5A" w:rsidRPr="006E7385" w:rsidRDefault="00306071" w:rsidP="00E247FF">
            <w:pPr>
              <w:spacing w:line="276" w:lineRule="auto"/>
              <w:jc w:val="both"/>
              <w:rPr>
                <w:rFonts w:cs="Arial"/>
                <w:b/>
                <w:bCs/>
              </w:rPr>
            </w:pPr>
            <w:r w:rsidRPr="006E7385">
              <w:rPr>
                <w:rFonts w:cs="Arial"/>
                <w:b/>
                <w:bCs/>
              </w:rPr>
              <w:t>2020 (COVID)</w:t>
            </w:r>
          </w:p>
        </w:tc>
        <w:tc>
          <w:tcPr>
            <w:tcW w:w="156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noWrap/>
            <w:tcMar>
              <w:top w:w="0" w:type="dxa"/>
              <w:left w:w="108" w:type="dxa"/>
              <w:bottom w:w="0" w:type="dxa"/>
              <w:right w:w="108" w:type="dxa"/>
            </w:tcMar>
          </w:tcPr>
          <w:p w14:paraId="3783647D" w14:textId="0DDE3C86" w:rsidR="000E7A5A" w:rsidRPr="006E7385" w:rsidRDefault="00306071" w:rsidP="00234C38">
            <w:pPr>
              <w:spacing w:line="276" w:lineRule="auto"/>
              <w:jc w:val="both"/>
              <w:rPr>
                <w:rFonts w:cs="Arial"/>
                <w:b/>
                <w:bCs/>
              </w:rPr>
            </w:pPr>
            <w:r w:rsidRPr="006E7385">
              <w:rPr>
                <w:rFonts w:cs="Arial"/>
                <w:b/>
                <w:bCs/>
              </w:rPr>
              <w:t>2021</w:t>
            </w:r>
            <w:r w:rsidR="00234C38" w:rsidRPr="006E7385">
              <w:rPr>
                <w:rFonts w:cs="Arial"/>
                <w:b/>
                <w:bCs/>
              </w:rPr>
              <w:t xml:space="preserve"> </w:t>
            </w:r>
            <w:r w:rsidRPr="006E7385">
              <w:rPr>
                <w:rFonts w:cs="Arial"/>
                <w:b/>
                <w:bCs/>
              </w:rPr>
              <w:t>(COVID)</w:t>
            </w:r>
          </w:p>
        </w:tc>
        <w:tc>
          <w:tcPr>
            <w:tcW w:w="156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noWrap/>
            <w:tcMar>
              <w:top w:w="0" w:type="dxa"/>
              <w:left w:w="108" w:type="dxa"/>
              <w:bottom w:w="0" w:type="dxa"/>
              <w:right w:w="108" w:type="dxa"/>
            </w:tcMar>
          </w:tcPr>
          <w:p w14:paraId="46B2DE76" w14:textId="77777777" w:rsidR="000E7A5A" w:rsidRPr="006E7385" w:rsidRDefault="00306071" w:rsidP="00E247FF">
            <w:pPr>
              <w:spacing w:line="276" w:lineRule="auto"/>
              <w:jc w:val="both"/>
              <w:rPr>
                <w:rFonts w:cs="Arial"/>
                <w:b/>
                <w:bCs/>
              </w:rPr>
            </w:pPr>
            <w:r w:rsidRPr="006E7385">
              <w:rPr>
                <w:rFonts w:cs="Arial"/>
                <w:b/>
                <w:bCs/>
              </w:rPr>
              <w:t>2022</w:t>
            </w:r>
          </w:p>
          <w:p w14:paraId="570D208B" w14:textId="77777777" w:rsidR="000E7A5A" w:rsidRPr="006E7385" w:rsidRDefault="000E7A5A" w:rsidP="00E247FF">
            <w:pPr>
              <w:spacing w:line="276" w:lineRule="auto"/>
              <w:jc w:val="both"/>
              <w:rPr>
                <w:rFonts w:cs="Arial"/>
                <w:b/>
                <w:bCs/>
              </w:rPr>
            </w:pPr>
          </w:p>
        </w:tc>
        <w:tc>
          <w:tcPr>
            <w:tcW w:w="141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noWrap/>
            <w:tcMar>
              <w:top w:w="0" w:type="dxa"/>
              <w:left w:w="108" w:type="dxa"/>
              <w:bottom w:w="0" w:type="dxa"/>
              <w:right w:w="108" w:type="dxa"/>
            </w:tcMar>
          </w:tcPr>
          <w:p w14:paraId="2DA65FDF" w14:textId="77777777" w:rsidR="000E7A5A" w:rsidRPr="006E7385" w:rsidRDefault="00306071" w:rsidP="00E247FF">
            <w:pPr>
              <w:spacing w:line="276" w:lineRule="auto"/>
              <w:jc w:val="both"/>
              <w:rPr>
                <w:rFonts w:cs="Arial"/>
                <w:b/>
                <w:bCs/>
              </w:rPr>
            </w:pPr>
            <w:r w:rsidRPr="006E7385">
              <w:rPr>
                <w:rFonts w:cs="Arial"/>
                <w:b/>
                <w:bCs/>
              </w:rPr>
              <w:t>2023</w:t>
            </w:r>
          </w:p>
        </w:tc>
      </w:tr>
      <w:tr w:rsidR="000E7A5A" w:rsidRPr="00F425EA" w14:paraId="608AA55A" w14:textId="77777777" w:rsidTr="007C3912">
        <w:trPr>
          <w:trHeight w:val="424"/>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456D0" w14:textId="77777777" w:rsidR="000E7A5A" w:rsidRPr="00F425EA" w:rsidRDefault="00306071" w:rsidP="00E247FF">
            <w:pPr>
              <w:spacing w:line="276" w:lineRule="auto"/>
              <w:jc w:val="both"/>
              <w:rPr>
                <w:rFonts w:cs="Arial"/>
              </w:rPr>
            </w:pPr>
            <w:r w:rsidRPr="00F425EA">
              <w:rPr>
                <w:rFonts w:cs="Arial"/>
                <w:b/>
                <w:bCs/>
              </w:rPr>
              <w:t xml:space="preserve">Št. potnikov bus </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44342BA" w14:textId="77777777" w:rsidR="000E7A5A" w:rsidRPr="00F425EA" w:rsidRDefault="00306071" w:rsidP="00E247FF">
            <w:pPr>
              <w:spacing w:line="276" w:lineRule="auto"/>
              <w:jc w:val="both"/>
              <w:rPr>
                <w:rFonts w:cs="Arial"/>
              </w:rPr>
            </w:pPr>
            <w:r w:rsidRPr="00F425EA">
              <w:rPr>
                <w:rFonts w:cs="Arial"/>
              </w:rPr>
              <w:t>31.007.060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363B940" w14:textId="77777777" w:rsidR="000E7A5A" w:rsidRPr="00F425EA" w:rsidRDefault="00306071" w:rsidP="00E247FF">
            <w:pPr>
              <w:spacing w:line="276" w:lineRule="auto"/>
              <w:jc w:val="both"/>
              <w:rPr>
                <w:rFonts w:cs="Arial"/>
              </w:rPr>
            </w:pPr>
            <w:r w:rsidRPr="00F425EA">
              <w:rPr>
                <w:rFonts w:cs="Arial"/>
              </w:rPr>
              <w:t>21.331.574</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3C6CABC" w14:textId="77777777" w:rsidR="000E7A5A" w:rsidRPr="00F425EA" w:rsidRDefault="00306071" w:rsidP="00E247FF">
            <w:pPr>
              <w:spacing w:line="276" w:lineRule="auto"/>
              <w:jc w:val="both"/>
              <w:rPr>
                <w:rFonts w:cs="Arial"/>
              </w:rPr>
            </w:pPr>
            <w:r w:rsidRPr="00F425EA">
              <w:rPr>
                <w:rFonts w:cs="Arial"/>
              </w:rPr>
              <w:t>21.835.220</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C5C32C9" w14:textId="77777777" w:rsidR="000E7A5A" w:rsidRPr="00F425EA" w:rsidRDefault="00306071" w:rsidP="00E247FF">
            <w:pPr>
              <w:spacing w:line="276" w:lineRule="auto"/>
              <w:jc w:val="both"/>
              <w:rPr>
                <w:rFonts w:cs="Arial"/>
              </w:rPr>
            </w:pPr>
            <w:r w:rsidRPr="00F425EA">
              <w:rPr>
                <w:rFonts w:cs="Arial"/>
              </w:rPr>
              <w:t>30.123.940</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8153477" w14:textId="77777777" w:rsidR="000E7A5A" w:rsidRPr="00F425EA" w:rsidRDefault="00306071" w:rsidP="007664ED">
            <w:pPr>
              <w:keepNext/>
              <w:spacing w:line="276" w:lineRule="auto"/>
              <w:jc w:val="both"/>
              <w:rPr>
                <w:rFonts w:cs="Arial"/>
              </w:rPr>
            </w:pPr>
            <w:r w:rsidRPr="00F425EA">
              <w:rPr>
                <w:rFonts w:cs="Arial"/>
              </w:rPr>
              <w:t>34.117.410</w:t>
            </w:r>
          </w:p>
        </w:tc>
      </w:tr>
    </w:tbl>
    <w:p w14:paraId="5F53A250" w14:textId="614E6C02" w:rsidR="00D74C24" w:rsidRPr="007C3912" w:rsidRDefault="007664ED" w:rsidP="007664ED">
      <w:pPr>
        <w:pStyle w:val="Napis"/>
        <w:spacing w:after="0"/>
        <w:rPr>
          <w:rFonts w:cs="Arial"/>
          <w:b w:val="0"/>
          <w:bCs w:val="0"/>
          <w:color w:val="auto"/>
          <w:sz w:val="18"/>
          <w:szCs w:val="18"/>
        </w:rPr>
      </w:pPr>
      <w:r w:rsidRPr="007C3912">
        <w:rPr>
          <w:rFonts w:cs="Arial"/>
          <w:b w:val="0"/>
          <w:bCs w:val="0"/>
          <w:color w:val="auto"/>
          <w:sz w:val="18"/>
          <w:szCs w:val="18"/>
        </w:rPr>
        <w:t>Vir: Podatki iz sistema IJPP</w:t>
      </w:r>
    </w:p>
    <w:p w14:paraId="74B7C4D3" w14:textId="77777777" w:rsidR="007664ED" w:rsidRPr="007664ED" w:rsidRDefault="007664ED" w:rsidP="0047107C">
      <w:pPr>
        <w:spacing w:after="0"/>
      </w:pPr>
    </w:p>
    <w:p w14:paraId="1EA10652" w14:textId="77777777" w:rsidR="000E7A5A" w:rsidRDefault="00306071" w:rsidP="00E247FF">
      <w:pPr>
        <w:spacing w:after="0" w:line="276" w:lineRule="auto"/>
        <w:jc w:val="both"/>
        <w:rPr>
          <w:rFonts w:cs="Arial"/>
        </w:rPr>
      </w:pPr>
      <w:r w:rsidRPr="00F425EA">
        <w:rPr>
          <w:rFonts w:cs="Arial"/>
        </w:rPr>
        <w:t>Povečevalo se je tudi število potnikov na železnici, in sicer:</w:t>
      </w:r>
    </w:p>
    <w:p w14:paraId="5B35AC62" w14:textId="77777777" w:rsidR="00D74C24" w:rsidRPr="00F425EA" w:rsidRDefault="00D74C24" w:rsidP="00E247FF">
      <w:pPr>
        <w:spacing w:after="0" w:line="276" w:lineRule="auto"/>
        <w:jc w:val="both"/>
        <w:rPr>
          <w:rFonts w:cs="Arial"/>
        </w:rPr>
      </w:pPr>
    </w:p>
    <w:p w14:paraId="04ACAE37" w14:textId="71A3C005" w:rsidR="00D74C24" w:rsidRPr="007C3912" w:rsidRDefault="00D74C24" w:rsidP="00D74C24">
      <w:pPr>
        <w:pStyle w:val="Napis"/>
        <w:keepNext/>
        <w:spacing w:after="0"/>
        <w:rPr>
          <w:rFonts w:cs="Arial"/>
          <w:b w:val="0"/>
          <w:bCs w:val="0"/>
          <w:color w:val="auto"/>
          <w:sz w:val="18"/>
          <w:szCs w:val="18"/>
        </w:rPr>
      </w:pPr>
      <w:bookmarkStart w:id="2634" w:name="_Toc191379193"/>
      <w:r w:rsidRPr="007C3912">
        <w:rPr>
          <w:rFonts w:cs="Arial"/>
          <w:b w:val="0"/>
          <w:bCs w:val="0"/>
          <w:color w:val="auto"/>
          <w:sz w:val="18"/>
          <w:szCs w:val="18"/>
        </w:rPr>
        <w:t xml:space="preserve">Tabela </w:t>
      </w:r>
      <w:r w:rsidRPr="007C3912">
        <w:rPr>
          <w:rFonts w:cs="Arial"/>
          <w:b w:val="0"/>
          <w:bCs w:val="0"/>
          <w:color w:val="auto"/>
          <w:sz w:val="18"/>
          <w:szCs w:val="18"/>
        </w:rPr>
        <w:fldChar w:fldCharType="begin"/>
      </w:r>
      <w:r w:rsidRPr="007C3912">
        <w:rPr>
          <w:rFonts w:cs="Arial"/>
          <w:b w:val="0"/>
          <w:bCs w:val="0"/>
          <w:color w:val="auto"/>
          <w:sz w:val="18"/>
          <w:szCs w:val="18"/>
        </w:rPr>
        <w:instrText xml:space="preserve"> SEQ Tabela \* ARABIC </w:instrText>
      </w:r>
      <w:r w:rsidRPr="007C3912">
        <w:rPr>
          <w:rFonts w:cs="Arial"/>
          <w:b w:val="0"/>
          <w:bCs w:val="0"/>
          <w:color w:val="auto"/>
          <w:sz w:val="18"/>
          <w:szCs w:val="18"/>
        </w:rPr>
        <w:fldChar w:fldCharType="separate"/>
      </w:r>
      <w:r w:rsidR="00064E01">
        <w:rPr>
          <w:rFonts w:cs="Arial"/>
          <w:b w:val="0"/>
          <w:bCs w:val="0"/>
          <w:noProof/>
          <w:color w:val="auto"/>
          <w:sz w:val="18"/>
          <w:szCs w:val="18"/>
        </w:rPr>
        <w:t>4</w:t>
      </w:r>
      <w:r w:rsidRPr="007C3912">
        <w:rPr>
          <w:rFonts w:cs="Arial"/>
          <w:b w:val="0"/>
          <w:bCs w:val="0"/>
          <w:color w:val="auto"/>
          <w:sz w:val="18"/>
          <w:szCs w:val="18"/>
        </w:rPr>
        <w:fldChar w:fldCharType="end"/>
      </w:r>
      <w:r w:rsidRPr="007C3912">
        <w:rPr>
          <w:rFonts w:cs="Arial"/>
          <w:b w:val="0"/>
          <w:bCs w:val="0"/>
          <w:color w:val="auto"/>
          <w:sz w:val="18"/>
          <w:szCs w:val="18"/>
        </w:rPr>
        <w:t>: Število potnikov na železnici</w:t>
      </w:r>
      <w:bookmarkEnd w:id="2634"/>
    </w:p>
    <w:p w14:paraId="3FBCFE11" w14:textId="77777777" w:rsidR="00B53785" w:rsidRPr="00B53785" w:rsidRDefault="00B53785" w:rsidP="00B53785">
      <w:pPr>
        <w:spacing w:after="0"/>
      </w:pPr>
    </w:p>
    <w:tbl>
      <w:tblPr>
        <w:tblW w:w="9062" w:type="dxa"/>
        <w:tblCellMar>
          <w:left w:w="10" w:type="dxa"/>
          <w:right w:w="10" w:type="dxa"/>
        </w:tblCellMar>
        <w:tblLook w:val="04A0" w:firstRow="1" w:lastRow="0" w:firstColumn="1" w:lastColumn="0" w:noHBand="0" w:noVBand="1"/>
      </w:tblPr>
      <w:tblGrid>
        <w:gridCol w:w="1825"/>
        <w:gridCol w:w="1217"/>
        <w:gridCol w:w="1503"/>
        <w:gridCol w:w="1505"/>
        <w:gridCol w:w="1600"/>
        <w:gridCol w:w="1412"/>
      </w:tblGrid>
      <w:tr w:rsidR="000E7A5A" w:rsidRPr="00F425EA" w14:paraId="30905532" w14:textId="77777777" w:rsidTr="007C3912">
        <w:tc>
          <w:tcPr>
            <w:tcW w:w="182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227C34A2" w14:textId="77777777" w:rsidR="000E7A5A" w:rsidRPr="00F425EA" w:rsidRDefault="00306071" w:rsidP="00E247FF">
            <w:pPr>
              <w:spacing w:line="276" w:lineRule="auto"/>
              <w:jc w:val="both"/>
              <w:rPr>
                <w:rFonts w:cs="Arial"/>
                <w:b/>
                <w:bCs/>
              </w:rPr>
            </w:pPr>
            <w:r w:rsidRPr="00F425EA">
              <w:rPr>
                <w:rFonts w:cs="Arial"/>
                <w:b/>
                <w:bCs/>
              </w:rPr>
              <w:t>Leto</w:t>
            </w:r>
          </w:p>
        </w:tc>
        <w:tc>
          <w:tcPr>
            <w:tcW w:w="121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11FBF136" w14:textId="77777777" w:rsidR="000E7A5A" w:rsidRPr="00F425EA" w:rsidRDefault="00306071" w:rsidP="00E247FF">
            <w:pPr>
              <w:spacing w:line="276" w:lineRule="auto"/>
              <w:jc w:val="both"/>
              <w:rPr>
                <w:rFonts w:cs="Arial"/>
                <w:b/>
                <w:bCs/>
              </w:rPr>
            </w:pPr>
            <w:r w:rsidRPr="00F425EA">
              <w:rPr>
                <w:rFonts w:cs="Arial"/>
                <w:b/>
                <w:bCs/>
              </w:rPr>
              <w:t>2019</w:t>
            </w:r>
          </w:p>
        </w:tc>
        <w:tc>
          <w:tcPr>
            <w:tcW w:w="150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09616D9A" w14:textId="77777777" w:rsidR="000E7A5A" w:rsidRPr="00F425EA" w:rsidRDefault="00306071" w:rsidP="00E247FF">
            <w:pPr>
              <w:spacing w:line="276" w:lineRule="auto"/>
              <w:jc w:val="both"/>
              <w:rPr>
                <w:rFonts w:cs="Arial"/>
                <w:b/>
                <w:bCs/>
              </w:rPr>
            </w:pPr>
            <w:r w:rsidRPr="00F425EA">
              <w:rPr>
                <w:rFonts w:cs="Arial"/>
                <w:b/>
                <w:bCs/>
              </w:rPr>
              <w:t>2020 -COVID</w:t>
            </w:r>
          </w:p>
        </w:tc>
        <w:tc>
          <w:tcPr>
            <w:tcW w:w="150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9B65D45" w14:textId="77777777" w:rsidR="000E7A5A" w:rsidRPr="00F425EA" w:rsidRDefault="00306071" w:rsidP="00E247FF">
            <w:pPr>
              <w:spacing w:line="276" w:lineRule="auto"/>
              <w:jc w:val="both"/>
              <w:rPr>
                <w:rFonts w:cs="Arial"/>
                <w:b/>
                <w:bCs/>
              </w:rPr>
            </w:pPr>
            <w:r w:rsidRPr="00F425EA">
              <w:rPr>
                <w:rFonts w:cs="Arial"/>
                <w:b/>
                <w:bCs/>
              </w:rPr>
              <w:t>2021 - COVID</w:t>
            </w:r>
          </w:p>
        </w:tc>
        <w:tc>
          <w:tcPr>
            <w:tcW w:w="160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64252656" w14:textId="77777777" w:rsidR="000E7A5A" w:rsidRPr="00F425EA" w:rsidRDefault="00306071" w:rsidP="00E247FF">
            <w:pPr>
              <w:spacing w:line="276" w:lineRule="auto"/>
              <w:jc w:val="both"/>
              <w:rPr>
                <w:rFonts w:cs="Arial"/>
                <w:b/>
                <w:bCs/>
              </w:rPr>
            </w:pPr>
            <w:r w:rsidRPr="00F425EA">
              <w:rPr>
                <w:rFonts w:cs="Arial"/>
                <w:b/>
                <w:bCs/>
              </w:rPr>
              <w:t>2022</w:t>
            </w:r>
          </w:p>
        </w:tc>
        <w:tc>
          <w:tcPr>
            <w:tcW w:w="141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003C9E44" w14:textId="77777777" w:rsidR="000E7A5A" w:rsidRPr="00F425EA" w:rsidRDefault="00306071" w:rsidP="00E247FF">
            <w:pPr>
              <w:spacing w:line="276" w:lineRule="auto"/>
              <w:jc w:val="both"/>
              <w:rPr>
                <w:rFonts w:cs="Arial"/>
                <w:b/>
                <w:bCs/>
              </w:rPr>
            </w:pPr>
            <w:r w:rsidRPr="00F425EA">
              <w:rPr>
                <w:rFonts w:cs="Arial"/>
                <w:b/>
                <w:bCs/>
              </w:rPr>
              <w:t>2023</w:t>
            </w:r>
          </w:p>
        </w:tc>
      </w:tr>
      <w:tr w:rsidR="000E7A5A" w:rsidRPr="00F425EA" w14:paraId="385CEEEA" w14:textId="77777777" w:rsidTr="007C3912">
        <w:trPr>
          <w:trHeight w:val="527"/>
        </w:trPr>
        <w:tc>
          <w:tcPr>
            <w:tcW w:w="1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12560" w14:textId="77777777" w:rsidR="000E7A5A" w:rsidRPr="00F425EA" w:rsidRDefault="00306071" w:rsidP="00E247FF">
            <w:pPr>
              <w:spacing w:line="276" w:lineRule="auto"/>
              <w:jc w:val="both"/>
              <w:rPr>
                <w:rFonts w:cs="Arial"/>
              </w:rPr>
            </w:pPr>
            <w:r w:rsidRPr="00F425EA">
              <w:rPr>
                <w:rFonts w:cs="Arial"/>
                <w:b/>
                <w:bCs/>
              </w:rPr>
              <w:t>Št. potnikov na železnici</w:t>
            </w:r>
          </w:p>
        </w:tc>
        <w:tc>
          <w:tcPr>
            <w:tcW w:w="1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39D4F" w14:textId="77777777" w:rsidR="000E7A5A" w:rsidRPr="00F425EA" w:rsidRDefault="00306071" w:rsidP="00E247FF">
            <w:pPr>
              <w:spacing w:line="276" w:lineRule="auto"/>
              <w:jc w:val="both"/>
              <w:rPr>
                <w:rFonts w:cs="Arial"/>
              </w:rPr>
            </w:pPr>
            <w:r w:rsidRPr="00F425EA">
              <w:rPr>
                <w:rFonts w:cs="Arial"/>
              </w:rPr>
              <w:t>13.907.000</w:t>
            </w: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6937A" w14:textId="77777777" w:rsidR="000E7A5A" w:rsidRPr="00F425EA" w:rsidRDefault="00306071" w:rsidP="00E247FF">
            <w:pPr>
              <w:spacing w:line="276" w:lineRule="auto"/>
              <w:jc w:val="both"/>
              <w:rPr>
                <w:rFonts w:cs="Arial"/>
              </w:rPr>
            </w:pPr>
            <w:r w:rsidRPr="00F425EA">
              <w:rPr>
                <w:rFonts w:cs="Arial"/>
              </w:rPr>
              <w:t>8.151.000</w:t>
            </w:r>
          </w:p>
        </w:tc>
        <w:tc>
          <w:tcPr>
            <w:tcW w:w="1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47682" w14:textId="77777777" w:rsidR="000E7A5A" w:rsidRPr="00F425EA" w:rsidRDefault="00306071" w:rsidP="00E247FF">
            <w:pPr>
              <w:spacing w:line="276" w:lineRule="auto"/>
              <w:jc w:val="both"/>
              <w:rPr>
                <w:rFonts w:cs="Arial"/>
              </w:rPr>
            </w:pPr>
            <w:r w:rsidRPr="00F425EA">
              <w:rPr>
                <w:rFonts w:cs="Arial"/>
              </w:rPr>
              <w:t>11.860.000</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2FBC4" w14:textId="77777777" w:rsidR="000E7A5A" w:rsidRPr="00F425EA" w:rsidRDefault="00306071" w:rsidP="00E247FF">
            <w:pPr>
              <w:spacing w:line="276" w:lineRule="auto"/>
              <w:jc w:val="both"/>
              <w:rPr>
                <w:rFonts w:cs="Arial"/>
              </w:rPr>
            </w:pPr>
            <w:r w:rsidRPr="00F425EA">
              <w:rPr>
                <w:rFonts w:cs="Arial"/>
              </w:rPr>
              <w:t>14.898.000</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18449" w14:textId="77777777" w:rsidR="000E7A5A" w:rsidRPr="00F425EA" w:rsidRDefault="00306071" w:rsidP="007664ED">
            <w:pPr>
              <w:keepNext/>
              <w:spacing w:line="276" w:lineRule="auto"/>
              <w:jc w:val="both"/>
              <w:rPr>
                <w:rFonts w:cs="Arial"/>
              </w:rPr>
            </w:pPr>
            <w:r w:rsidRPr="00F425EA">
              <w:rPr>
                <w:rFonts w:cs="Arial"/>
              </w:rPr>
              <w:t>15.749.000</w:t>
            </w:r>
          </w:p>
        </w:tc>
      </w:tr>
    </w:tbl>
    <w:p w14:paraId="60464D5D" w14:textId="3DEDB7E6" w:rsidR="000E7A5A" w:rsidRPr="007C3912" w:rsidRDefault="007664ED" w:rsidP="007664ED">
      <w:pPr>
        <w:pStyle w:val="Napis"/>
        <w:spacing w:after="0"/>
        <w:rPr>
          <w:rFonts w:cs="Arial"/>
          <w:b w:val="0"/>
          <w:bCs w:val="0"/>
          <w:color w:val="auto"/>
          <w:sz w:val="18"/>
          <w:szCs w:val="18"/>
        </w:rPr>
      </w:pPr>
      <w:r w:rsidRPr="007C3912">
        <w:rPr>
          <w:rFonts w:cs="Arial"/>
          <w:b w:val="0"/>
          <w:bCs w:val="0"/>
          <w:color w:val="auto"/>
          <w:sz w:val="18"/>
          <w:szCs w:val="18"/>
        </w:rPr>
        <w:t>Vir: Podatki iz sistema IJPP</w:t>
      </w:r>
    </w:p>
    <w:p w14:paraId="23334B92" w14:textId="77777777" w:rsidR="007664ED" w:rsidRPr="007664ED" w:rsidRDefault="007664ED" w:rsidP="007C3912">
      <w:pPr>
        <w:spacing w:after="0"/>
      </w:pPr>
    </w:p>
    <w:p w14:paraId="0412D822" w14:textId="77777777" w:rsidR="000E7A5A" w:rsidRPr="00F425EA" w:rsidRDefault="00306071" w:rsidP="00E247FF">
      <w:pPr>
        <w:spacing w:after="0" w:line="276" w:lineRule="auto"/>
        <w:jc w:val="both"/>
        <w:rPr>
          <w:rFonts w:cs="Arial"/>
        </w:rPr>
      </w:pPr>
      <w:r w:rsidRPr="00F425EA">
        <w:rPr>
          <w:rFonts w:cs="Arial"/>
        </w:rPr>
        <w:t>Od leta 2020 dalje je JPP koristilo tudi veliko število upravičencev do brezplačnih vozovnic (upokojenci, starejši od 65 let, vojni veterani, imetniki evropske kartice ugodnosti invalida):</w:t>
      </w:r>
    </w:p>
    <w:p w14:paraId="4848E053" w14:textId="77777777" w:rsidR="00D74C24" w:rsidRDefault="00D74C24" w:rsidP="00D74C24">
      <w:pPr>
        <w:pStyle w:val="Napis"/>
        <w:keepNext/>
        <w:spacing w:after="0"/>
        <w:rPr>
          <w:rFonts w:cs="Arial"/>
        </w:rPr>
      </w:pPr>
    </w:p>
    <w:p w14:paraId="619460F6" w14:textId="77777777" w:rsidR="007C3912" w:rsidRPr="007C3912" w:rsidRDefault="007C3912" w:rsidP="007C3912"/>
    <w:p w14:paraId="189CB965" w14:textId="536F5B05" w:rsidR="00D74C24" w:rsidRPr="007C3912" w:rsidRDefault="00D74C24" w:rsidP="00D74C24">
      <w:pPr>
        <w:pStyle w:val="Napis"/>
        <w:keepNext/>
        <w:spacing w:after="0"/>
        <w:jc w:val="both"/>
        <w:rPr>
          <w:rFonts w:cs="Arial"/>
          <w:b w:val="0"/>
          <w:bCs w:val="0"/>
          <w:color w:val="auto"/>
          <w:sz w:val="18"/>
          <w:szCs w:val="18"/>
        </w:rPr>
      </w:pPr>
      <w:bookmarkStart w:id="2635" w:name="_Toc191379194"/>
      <w:r w:rsidRPr="007C3912">
        <w:rPr>
          <w:rFonts w:cs="Arial"/>
          <w:b w:val="0"/>
          <w:bCs w:val="0"/>
          <w:color w:val="auto"/>
          <w:sz w:val="18"/>
          <w:szCs w:val="18"/>
        </w:rPr>
        <w:lastRenderedPageBreak/>
        <w:t xml:space="preserve">Tabela </w:t>
      </w:r>
      <w:r w:rsidRPr="007C3912">
        <w:rPr>
          <w:rFonts w:cs="Arial"/>
          <w:b w:val="0"/>
          <w:bCs w:val="0"/>
          <w:color w:val="auto"/>
          <w:sz w:val="18"/>
          <w:szCs w:val="18"/>
        </w:rPr>
        <w:fldChar w:fldCharType="begin"/>
      </w:r>
      <w:r w:rsidRPr="007C3912">
        <w:rPr>
          <w:rFonts w:cs="Arial"/>
          <w:b w:val="0"/>
          <w:bCs w:val="0"/>
          <w:color w:val="auto"/>
          <w:sz w:val="18"/>
          <w:szCs w:val="18"/>
        </w:rPr>
        <w:instrText xml:space="preserve"> SEQ Tabela \* ARABIC </w:instrText>
      </w:r>
      <w:r w:rsidRPr="007C3912">
        <w:rPr>
          <w:rFonts w:cs="Arial"/>
          <w:b w:val="0"/>
          <w:bCs w:val="0"/>
          <w:color w:val="auto"/>
          <w:sz w:val="18"/>
          <w:szCs w:val="18"/>
        </w:rPr>
        <w:fldChar w:fldCharType="separate"/>
      </w:r>
      <w:r w:rsidR="00064E01">
        <w:rPr>
          <w:rFonts w:cs="Arial"/>
          <w:b w:val="0"/>
          <w:bCs w:val="0"/>
          <w:noProof/>
          <w:color w:val="auto"/>
          <w:sz w:val="18"/>
          <w:szCs w:val="18"/>
        </w:rPr>
        <w:t>5</w:t>
      </w:r>
      <w:r w:rsidRPr="007C3912">
        <w:rPr>
          <w:rFonts w:cs="Arial"/>
          <w:b w:val="0"/>
          <w:bCs w:val="0"/>
          <w:color w:val="auto"/>
          <w:sz w:val="18"/>
          <w:szCs w:val="18"/>
        </w:rPr>
        <w:fldChar w:fldCharType="end"/>
      </w:r>
      <w:r w:rsidRPr="007C3912">
        <w:rPr>
          <w:rFonts w:cs="Arial"/>
          <w:b w:val="0"/>
          <w:bCs w:val="0"/>
          <w:color w:val="auto"/>
          <w:sz w:val="18"/>
          <w:szCs w:val="18"/>
        </w:rPr>
        <w:t>: Število upravičencev do brezplačnih vozovnic (upokojenci, starejši od 65 let, vojni veterani, imetniki evropske kartice ugodnosti invalida)</w:t>
      </w:r>
      <w:bookmarkEnd w:id="2635"/>
    </w:p>
    <w:p w14:paraId="4C2ED895" w14:textId="77777777" w:rsidR="00B53785" w:rsidRPr="00B53785" w:rsidRDefault="00B53785" w:rsidP="00B53785">
      <w:pPr>
        <w:spacing w:after="0"/>
      </w:pPr>
    </w:p>
    <w:tbl>
      <w:tblPr>
        <w:tblW w:w="9062" w:type="dxa"/>
        <w:tblCellMar>
          <w:left w:w="10" w:type="dxa"/>
          <w:right w:w="10" w:type="dxa"/>
        </w:tblCellMar>
        <w:tblLook w:val="04A0" w:firstRow="1" w:lastRow="0" w:firstColumn="1" w:lastColumn="0" w:noHBand="0" w:noVBand="1"/>
      </w:tblPr>
      <w:tblGrid>
        <w:gridCol w:w="1838"/>
        <w:gridCol w:w="1134"/>
        <w:gridCol w:w="1701"/>
        <w:gridCol w:w="1313"/>
        <w:gridCol w:w="1664"/>
        <w:gridCol w:w="1412"/>
      </w:tblGrid>
      <w:tr w:rsidR="000E7A5A" w:rsidRPr="00F425EA" w14:paraId="101C6177" w14:textId="77777777" w:rsidTr="005239F3">
        <w:trPr>
          <w:trHeight w:val="464"/>
        </w:trPr>
        <w:tc>
          <w:tcPr>
            <w:tcW w:w="183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61FA40AE" w14:textId="77777777" w:rsidR="000E7A5A" w:rsidRPr="00F425EA" w:rsidRDefault="00306071" w:rsidP="00E247FF">
            <w:pPr>
              <w:spacing w:line="276" w:lineRule="auto"/>
              <w:jc w:val="both"/>
              <w:rPr>
                <w:rFonts w:cs="Arial"/>
                <w:b/>
                <w:bCs/>
              </w:rPr>
            </w:pPr>
            <w:r w:rsidRPr="00F425EA">
              <w:rPr>
                <w:rFonts w:cs="Arial"/>
                <w:b/>
                <w:bCs/>
              </w:rPr>
              <w:t>Leto</w:t>
            </w:r>
          </w:p>
        </w:tc>
        <w:tc>
          <w:tcPr>
            <w:tcW w:w="113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noWrap/>
            <w:tcMar>
              <w:top w:w="0" w:type="dxa"/>
              <w:left w:w="108" w:type="dxa"/>
              <w:bottom w:w="0" w:type="dxa"/>
              <w:right w:w="108" w:type="dxa"/>
            </w:tcMar>
          </w:tcPr>
          <w:p w14:paraId="5890331E" w14:textId="77777777" w:rsidR="000E7A5A" w:rsidRPr="00F425EA" w:rsidRDefault="00306071" w:rsidP="00E247FF">
            <w:pPr>
              <w:spacing w:line="276" w:lineRule="auto"/>
              <w:jc w:val="both"/>
              <w:rPr>
                <w:rFonts w:cs="Arial"/>
                <w:b/>
                <w:bCs/>
              </w:rPr>
            </w:pPr>
            <w:r w:rsidRPr="00F425EA">
              <w:rPr>
                <w:rFonts w:cs="Arial"/>
                <w:b/>
                <w:bCs/>
              </w:rPr>
              <w:t>2019</w:t>
            </w:r>
          </w:p>
        </w:tc>
        <w:tc>
          <w:tcPr>
            <w:tcW w:w="170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noWrap/>
            <w:tcMar>
              <w:top w:w="0" w:type="dxa"/>
              <w:left w:w="108" w:type="dxa"/>
              <w:bottom w:w="0" w:type="dxa"/>
              <w:right w:w="108" w:type="dxa"/>
            </w:tcMar>
          </w:tcPr>
          <w:p w14:paraId="2F05F2EC" w14:textId="77777777" w:rsidR="000E7A5A" w:rsidRPr="00F425EA" w:rsidRDefault="00306071" w:rsidP="00E247FF">
            <w:pPr>
              <w:spacing w:line="276" w:lineRule="auto"/>
              <w:jc w:val="both"/>
              <w:rPr>
                <w:rFonts w:cs="Arial"/>
                <w:b/>
                <w:bCs/>
              </w:rPr>
            </w:pPr>
            <w:r w:rsidRPr="00F425EA">
              <w:rPr>
                <w:rFonts w:cs="Arial"/>
                <w:b/>
                <w:bCs/>
              </w:rPr>
              <w:t>2020</w:t>
            </w:r>
          </w:p>
        </w:tc>
        <w:tc>
          <w:tcPr>
            <w:tcW w:w="131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noWrap/>
            <w:tcMar>
              <w:top w:w="0" w:type="dxa"/>
              <w:left w:w="108" w:type="dxa"/>
              <w:bottom w:w="0" w:type="dxa"/>
              <w:right w:w="108" w:type="dxa"/>
            </w:tcMar>
          </w:tcPr>
          <w:p w14:paraId="1245063A" w14:textId="77777777" w:rsidR="000E7A5A" w:rsidRPr="00F425EA" w:rsidRDefault="00306071" w:rsidP="00E247FF">
            <w:pPr>
              <w:spacing w:line="276" w:lineRule="auto"/>
              <w:jc w:val="both"/>
              <w:rPr>
                <w:rFonts w:cs="Arial"/>
                <w:b/>
                <w:bCs/>
              </w:rPr>
            </w:pPr>
            <w:r w:rsidRPr="00F425EA">
              <w:rPr>
                <w:rFonts w:cs="Arial"/>
                <w:b/>
                <w:bCs/>
              </w:rPr>
              <w:t>2021</w:t>
            </w:r>
          </w:p>
        </w:tc>
        <w:tc>
          <w:tcPr>
            <w:tcW w:w="16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noWrap/>
            <w:tcMar>
              <w:top w:w="0" w:type="dxa"/>
              <w:left w:w="108" w:type="dxa"/>
              <w:bottom w:w="0" w:type="dxa"/>
              <w:right w:w="108" w:type="dxa"/>
            </w:tcMar>
          </w:tcPr>
          <w:p w14:paraId="7D0CA546" w14:textId="77777777" w:rsidR="000E7A5A" w:rsidRPr="00F425EA" w:rsidRDefault="00306071" w:rsidP="00E247FF">
            <w:pPr>
              <w:spacing w:line="276" w:lineRule="auto"/>
              <w:jc w:val="both"/>
              <w:rPr>
                <w:rFonts w:cs="Arial"/>
                <w:b/>
                <w:bCs/>
              </w:rPr>
            </w:pPr>
            <w:r w:rsidRPr="00F425EA">
              <w:rPr>
                <w:rFonts w:cs="Arial"/>
                <w:b/>
                <w:bCs/>
              </w:rPr>
              <w:t>2022</w:t>
            </w:r>
          </w:p>
        </w:tc>
        <w:tc>
          <w:tcPr>
            <w:tcW w:w="141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noWrap/>
            <w:tcMar>
              <w:top w:w="0" w:type="dxa"/>
              <w:left w:w="108" w:type="dxa"/>
              <w:bottom w:w="0" w:type="dxa"/>
              <w:right w:w="108" w:type="dxa"/>
            </w:tcMar>
          </w:tcPr>
          <w:p w14:paraId="692D7633" w14:textId="77777777" w:rsidR="000E7A5A" w:rsidRPr="00F425EA" w:rsidRDefault="00306071" w:rsidP="00E247FF">
            <w:pPr>
              <w:spacing w:line="276" w:lineRule="auto"/>
              <w:jc w:val="both"/>
              <w:rPr>
                <w:rFonts w:cs="Arial"/>
                <w:b/>
                <w:bCs/>
              </w:rPr>
            </w:pPr>
            <w:r w:rsidRPr="00F425EA">
              <w:rPr>
                <w:rFonts w:cs="Arial"/>
                <w:b/>
                <w:bCs/>
              </w:rPr>
              <w:t>2023</w:t>
            </w:r>
          </w:p>
        </w:tc>
      </w:tr>
      <w:tr w:rsidR="000E7A5A" w:rsidRPr="00F425EA" w14:paraId="19F471B5" w14:textId="77777777" w:rsidTr="005239F3">
        <w:trPr>
          <w:trHeight w:val="300"/>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3CB07" w14:textId="77777777" w:rsidR="000E7A5A" w:rsidRPr="00F425EA" w:rsidRDefault="00306071" w:rsidP="00E247FF">
            <w:pPr>
              <w:spacing w:line="276" w:lineRule="auto"/>
              <w:jc w:val="both"/>
              <w:rPr>
                <w:rFonts w:cs="Arial"/>
              </w:rPr>
            </w:pPr>
            <w:r w:rsidRPr="00F425EA">
              <w:rPr>
                <w:rFonts w:cs="Arial"/>
                <w:b/>
                <w:bCs/>
              </w:rPr>
              <w:t>Št. izdanih letnih vozovnic</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720993E" w14:textId="77777777" w:rsidR="000E7A5A" w:rsidRPr="00F425EA" w:rsidRDefault="00306071" w:rsidP="00E247FF">
            <w:pPr>
              <w:spacing w:line="276" w:lineRule="auto"/>
              <w:jc w:val="both"/>
              <w:rPr>
                <w:rFonts w:cs="Arial"/>
              </w:rPr>
            </w:pPr>
            <w:r w:rsidRPr="00F425EA">
              <w:rPr>
                <w:rFonts w:cs="Arial"/>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8A3C73A" w14:textId="77777777" w:rsidR="000E7A5A" w:rsidRPr="00F425EA" w:rsidRDefault="00306071" w:rsidP="00E247FF">
            <w:pPr>
              <w:spacing w:line="276" w:lineRule="auto"/>
              <w:jc w:val="both"/>
              <w:rPr>
                <w:rFonts w:cs="Arial"/>
              </w:rPr>
            </w:pPr>
            <w:r w:rsidRPr="00F425EA">
              <w:rPr>
                <w:rFonts w:cs="Arial"/>
              </w:rPr>
              <w:t>154.533</w:t>
            </w:r>
          </w:p>
        </w:tc>
        <w:tc>
          <w:tcPr>
            <w:tcW w:w="13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E1EBE87" w14:textId="77777777" w:rsidR="000E7A5A" w:rsidRPr="00F425EA" w:rsidRDefault="00306071" w:rsidP="00E247FF">
            <w:pPr>
              <w:spacing w:line="276" w:lineRule="auto"/>
              <w:jc w:val="both"/>
              <w:rPr>
                <w:rFonts w:cs="Arial"/>
              </w:rPr>
            </w:pPr>
            <w:r w:rsidRPr="00F425EA">
              <w:rPr>
                <w:rFonts w:cs="Arial"/>
              </w:rPr>
              <w:t>191.623</w:t>
            </w:r>
          </w:p>
        </w:tc>
        <w:tc>
          <w:tcPr>
            <w:tcW w:w="166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C8045AA" w14:textId="77777777" w:rsidR="000E7A5A" w:rsidRPr="00F425EA" w:rsidRDefault="00306071" w:rsidP="00E247FF">
            <w:pPr>
              <w:spacing w:line="276" w:lineRule="auto"/>
              <w:jc w:val="both"/>
              <w:rPr>
                <w:rFonts w:cs="Arial"/>
              </w:rPr>
            </w:pPr>
            <w:r w:rsidRPr="00F425EA">
              <w:rPr>
                <w:rFonts w:cs="Arial"/>
              </w:rPr>
              <w:t>205.753</w:t>
            </w:r>
          </w:p>
        </w:tc>
        <w:tc>
          <w:tcPr>
            <w:tcW w:w="141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FFD7814" w14:textId="77777777" w:rsidR="000E7A5A" w:rsidRPr="00F425EA" w:rsidRDefault="00306071" w:rsidP="007664ED">
            <w:pPr>
              <w:keepNext/>
              <w:spacing w:line="276" w:lineRule="auto"/>
              <w:jc w:val="both"/>
              <w:rPr>
                <w:rFonts w:cs="Arial"/>
              </w:rPr>
            </w:pPr>
            <w:r w:rsidRPr="00F425EA">
              <w:rPr>
                <w:rFonts w:cs="Arial"/>
              </w:rPr>
              <w:t>236.612</w:t>
            </w:r>
          </w:p>
        </w:tc>
      </w:tr>
    </w:tbl>
    <w:p w14:paraId="51BAE972" w14:textId="5DD92879" w:rsidR="000E7A5A" w:rsidRPr="007C3912" w:rsidRDefault="007664ED" w:rsidP="007664ED">
      <w:pPr>
        <w:pStyle w:val="Napis"/>
        <w:spacing w:after="0"/>
        <w:rPr>
          <w:rFonts w:cs="Arial"/>
          <w:b w:val="0"/>
          <w:bCs w:val="0"/>
          <w:color w:val="auto"/>
          <w:sz w:val="18"/>
          <w:szCs w:val="18"/>
        </w:rPr>
      </w:pPr>
      <w:r w:rsidRPr="007C3912">
        <w:rPr>
          <w:rFonts w:cs="Arial"/>
          <w:b w:val="0"/>
          <w:bCs w:val="0"/>
          <w:color w:val="auto"/>
          <w:sz w:val="18"/>
          <w:szCs w:val="18"/>
        </w:rPr>
        <w:t>Vir: Podatki iz sistema IJPP</w:t>
      </w:r>
    </w:p>
    <w:p w14:paraId="693854F6" w14:textId="77777777" w:rsidR="007664ED" w:rsidRPr="007664ED" w:rsidRDefault="007664ED" w:rsidP="00583216">
      <w:pPr>
        <w:spacing w:after="0"/>
      </w:pPr>
    </w:p>
    <w:p w14:paraId="0A9A9934" w14:textId="77777777" w:rsidR="000E7A5A" w:rsidRPr="00F425EA" w:rsidRDefault="00306071" w:rsidP="00827304">
      <w:pPr>
        <w:spacing w:after="0" w:line="276" w:lineRule="auto"/>
        <w:jc w:val="both"/>
        <w:rPr>
          <w:rFonts w:cs="Arial"/>
        </w:rPr>
      </w:pPr>
      <w:r w:rsidRPr="00F425EA">
        <w:rPr>
          <w:rFonts w:cs="Arial"/>
        </w:rPr>
        <w:t xml:space="preserve">Na železnici so v letu 2023 zabeležili 1,27 mio validacij brezplačnih vozovnic, v </w:t>
      </w:r>
      <w:r w:rsidRPr="00F425EA">
        <w:rPr>
          <w:rFonts w:cs="Arial"/>
          <w:b/>
          <w:bCs/>
        </w:rPr>
        <w:t>medkrajevnem</w:t>
      </w:r>
      <w:r w:rsidRPr="00F425EA">
        <w:rPr>
          <w:rFonts w:cs="Arial"/>
        </w:rPr>
        <w:t xml:space="preserve"> avtobusnem linijskem potniškem prometu 3,34 mio, </w:t>
      </w:r>
      <w:r w:rsidRPr="00F425EA">
        <w:rPr>
          <w:rFonts w:cs="Arial"/>
          <w:b/>
          <w:bCs/>
        </w:rPr>
        <w:t xml:space="preserve">v mestnem prometu </w:t>
      </w:r>
      <w:r w:rsidRPr="00F425EA">
        <w:rPr>
          <w:rFonts w:cs="Arial"/>
        </w:rPr>
        <w:t>pa 8,16 mio.</w:t>
      </w:r>
    </w:p>
    <w:p w14:paraId="67F40ABF" w14:textId="77777777" w:rsidR="000E7A5A" w:rsidRPr="00F425EA" w:rsidRDefault="000E7A5A" w:rsidP="00827304">
      <w:pPr>
        <w:spacing w:after="0" w:line="276" w:lineRule="auto"/>
        <w:jc w:val="both"/>
        <w:rPr>
          <w:rFonts w:cs="Arial"/>
        </w:rPr>
      </w:pPr>
    </w:p>
    <w:p w14:paraId="184D3DB2" w14:textId="77777777" w:rsidR="000E7A5A" w:rsidRDefault="00306071" w:rsidP="0052582A">
      <w:pPr>
        <w:spacing w:after="0" w:line="276" w:lineRule="auto"/>
        <w:jc w:val="both"/>
        <w:rPr>
          <w:rFonts w:cs="Arial"/>
        </w:rPr>
      </w:pPr>
      <w:r w:rsidRPr="00F425EA">
        <w:rPr>
          <w:rFonts w:cs="Arial"/>
        </w:rPr>
        <w:t xml:space="preserve">Z uvedbo vozovnic »Slovenija«, ki niso vezane na relacijo, je postalo problematično evidentiranje potniških kilometrov. Potnik namreč vozovnico </w:t>
      </w:r>
      <w:proofErr w:type="spellStart"/>
      <w:r w:rsidRPr="00F425EA">
        <w:rPr>
          <w:rFonts w:cs="Arial"/>
        </w:rPr>
        <w:t>validira</w:t>
      </w:r>
      <w:proofErr w:type="spellEnd"/>
      <w:r w:rsidRPr="00F425EA">
        <w:rPr>
          <w:rFonts w:cs="Arial"/>
        </w:rPr>
        <w:t xml:space="preserve"> le ob vstopu v vozilo, zato ne vemo, kako daleč se je peljal. V zalednem sistemu IJPP je bilo zato treba vzpostaviti poseben algoritem za »lovljenje parov« validacij v določenem časovnem obdobju, da bi dobili točne </w:t>
      </w:r>
      <w:r w:rsidRPr="00F425EA">
        <w:rPr>
          <w:rFonts w:cs="Arial"/>
          <w:b/>
          <w:bCs/>
        </w:rPr>
        <w:t>rezultate potniških kilometrov</w:t>
      </w:r>
      <w:r w:rsidRPr="00F425EA">
        <w:rPr>
          <w:rFonts w:cs="Arial"/>
        </w:rPr>
        <w:t xml:space="preserve">. Ta algoritem pa je bil vzpostavljen šele v drugi polovici letošnjega leta in je še vedno v testni fazi. Vendar rezultati izračunani na njegovi podlagi tudi </w:t>
      </w:r>
      <w:r w:rsidRPr="00F425EA">
        <w:rPr>
          <w:rFonts w:cs="Arial"/>
          <w:b/>
          <w:bCs/>
        </w:rPr>
        <w:t>kažejo na rast JPP</w:t>
      </w:r>
      <w:r w:rsidRPr="00F425EA">
        <w:rPr>
          <w:rFonts w:cs="Arial"/>
        </w:rPr>
        <w:t>, in sicer:</w:t>
      </w:r>
    </w:p>
    <w:p w14:paraId="5F890AB6" w14:textId="77777777" w:rsidR="0052582A" w:rsidRDefault="0052582A" w:rsidP="0052582A">
      <w:pPr>
        <w:spacing w:after="0" w:line="276" w:lineRule="auto"/>
        <w:jc w:val="both"/>
        <w:rPr>
          <w:rFonts w:cs="Arial"/>
        </w:rPr>
      </w:pPr>
    </w:p>
    <w:p w14:paraId="7F39F56B" w14:textId="53A069E4" w:rsidR="00CD42D9" w:rsidRPr="005239F3" w:rsidRDefault="00CD42D9" w:rsidP="00CD42D9">
      <w:pPr>
        <w:pStyle w:val="Napis"/>
        <w:keepNext/>
        <w:spacing w:after="0"/>
        <w:jc w:val="both"/>
        <w:rPr>
          <w:rFonts w:cs="Arial"/>
          <w:b w:val="0"/>
          <w:bCs w:val="0"/>
          <w:color w:val="auto"/>
          <w:sz w:val="18"/>
          <w:szCs w:val="18"/>
        </w:rPr>
      </w:pPr>
      <w:bookmarkStart w:id="2636" w:name="_Toc191379195"/>
      <w:r w:rsidRPr="005239F3">
        <w:rPr>
          <w:rFonts w:cs="Arial"/>
          <w:b w:val="0"/>
          <w:bCs w:val="0"/>
          <w:color w:val="auto"/>
          <w:sz w:val="18"/>
          <w:szCs w:val="18"/>
        </w:rPr>
        <w:t xml:space="preserve">Tabela </w:t>
      </w:r>
      <w:r w:rsidRPr="005239F3">
        <w:rPr>
          <w:rFonts w:cs="Arial"/>
          <w:b w:val="0"/>
          <w:bCs w:val="0"/>
          <w:color w:val="auto"/>
          <w:sz w:val="18"/>
          <w:szCs w:val="18"/>
        </w:rPr>
        <w:fldChar w:fldCharType="begin"/>
      </w:r>
      <w:r w:rsidRPr="005239F3">
        <w:rPr>
          <w:rFonts w:cs="Arial"/>
          <w:b w:val="0"/>
          <w:bCs w:val="0"/>
          <w:color w:val="auto"/>
          <w:sz w:val="18"/>
          <w:szCs w:val="18"/>
        </w:rPr>
        <w:instrText xml:space="preserve"> SEQ Tabela \* ARABIC </w:instrText>
      </w:r>
      <w:r w:rsidRPr="005239F3">
        <w:rPr>
          <w:rFonts w:cs="Arial"/>
          <w:b w:val="0"/>
          <w:bCs w:val="0"/>
          <w:color w:val="auto"/>
          <w:sz w:val="18"/>
          <w:szCs w:val="18"/>
        </w:rPr>
        <w:fldChar w:fldCharType="separate"/>
      </w:r>
      <w:r w:rsidR="00064E01">
        <w:rPr>
          <w:rFonts w:cs="Arial"/>
          <w:b w:val="0"/>
          <w:bCs w:val="0"/>
          <w:noProof/>
          <w:color w:val="auto"/>
          <w:sz w:val="18"/>
          <w:szCs w:val="18"/>
        </w:rPr>
        <w:t>6</w:t>
      </w:r>
      <w:r w:rsidRPr="005239F3">
        <w:rPr>
          <w:rFonts w:cs="Arial"/>
          <w:b w:val="0"/>
          <w:bCs w:val="0"/>
          <w:color w:val="auto"/>
          <w:sz w:val="18"/>
          <w:szCs w:val="18"/>
        </w:rPr>
        <w:fldChar w:fldCharType="end"/>
      </w:r>
      <w:r w:rsidRPr="005239F3">
        <w:rPr>
          <w:rFonts w:cs="Arial"/>
          <w:b w:val="0"/>
          <w:bCs w:val="0"/>
          <w:color w:val="auto"/>
          <w:sz w:val="18"/>
          <w:szCs w:val="18"/>
        </w:rPr>
        <w:t>: Prikaz rasti JPP</w:t>
      </w:r>
      <w:bookmarkEnd w:id="2636"/>
    </w:p>
    <w:p w14:paraId="5E5CA122" w14:textId="77777777" w:rsidR="00B53785" w:rsidRPr="00B53785" w:rsidRDefault="00B53785" w:rsidP="00B53785">
      <w:pPr>
        <w:spacing w:after="0"/>
      </w:pPr>
    </w:p>
    <w:tbl>
      <w:tblPr>
        <w:tblStyle w:val="Tabelamrea"/>
        <w:tblW w:w="0" w:type="auto"/>
        <w:tblLook w:val="04A0" w:firstRow="1" w:lastRow="0" w:firstColumn="1" w:lastColumn="0" w:noHBand="0" w:noVBand="1"/>
      </w:tblPr>
      <w:tblGrid>
        <w:gridCol w:w="1306"/>
        <w:gridCol w:w="1329"/>
        <w:gridCol w:w="1329"/>
        <w:gridCol w:w="1329"/>
      </w:tblGrid>
      <w:tr w:rsidR="00CD42D9" w:rsidRPr="00CD42D9" w14:paraId="01C1A79E" w14:textId="77777777" w:rsidTr="001126C1">
        <w:trPr>
          <w:trHeight w:val="300"/>
        </w:trPr>
        <w:tc>
          <w:tcPr>
            <w:tcW w:w="1239" w:type="dxa"/>
            <w:shd w:val="clear" w:color="auto" w:fill="D9E2F3" w:themeFill="accent1" w:themeFillTint="33"/>
            <w:noWrap/>
            <w:hideMark/>
          </w:tcPr>
          <w:p w14:paraId="62B08CC3" w14:textId="77777777" w:rsidR="00CD42D9" w:rsidRPr="001126C1" w:rsidRDefault="00CD42D9" w:rsidP="00CD42D9">
            <w:pPr>
              <w:spacing w:line="276" w:lineRule="auto"/>
              <w:jc w:val="both"/>
              <w:rPr>
                <w:rFonts w:cs="Arial"/>
                <w:b/>
                <w:bCs/>
              </w:rPr>
            </w:pPr>
            <w:r w:rsidRPr="001126C1">
              <w:rPr>
                <w:rFonts w:cs="Arial"/>
                <w:b/>
                <w:bCs/>
              </w:rPr>
              <w:t> </w:t>
            </w:r>
          </w:p>
        </w:tc>
        <w:tc>
          <w:tcPr>
            <w:tcW w:w="3987" w:type="dxa"/>
            <w:gridSpan w:val="3"/>
            <w:shd w:val="clear" w:color="auto" w:fill="D9E2F3" w:themeFill="accent1" w:themeFillTint="33"/>
            <w:noWrap/>
            <w:hideMark/>
          </w:tcPr>
          <w:p w14:paraId="2A14F9D8" w14:textId="77777777" w:rsidR="00CD42D9" w:rsidRPr="001126C1" w:rsidRDefault="00CD42D9" w:rsidP="00CD42D9">
            <w:pPr>
              <w:spacing w:line="276" w:lineRule="auto"/>
              <w:jc w:val="both"/>
              <w:rPr>
                <w:rFonts w:cs="Arial"/>
                <w:b/>
                <w:bCs/>
              </w:rPr>
            </w:pPr>
            <w:r w:rsidRPr="001126C1">
              <w:rPr>
                <w:rFonts w:cs="Arial"/>
                <w:b/>
                <w:bCs/>
              </w:rPr>
              <w:t>leto</w:t>
            </w:r>
          </w:p>
        </w:tc>
      </w:tr>
      <w:tr w:rsidR="00CD42D9" w:rsidRPr="00CD42D9" w14:paraId="53B68AAF" w14:textId="77777777" w:rsidTr="001126C1">
        <w:trPr>
          <w:trHeight w:val="300"/>
        </w:trPr>
        <w:tc>
          <w:tcPr>
            <w:tcW w:w="1239" w:type="dxa"/>
            <w:shd w:val="clear" w:color="auto" w:fill="D9E2F3" w:themeFill="accent1" w:themeFillTint="33"/>
            <w:noWrap/>
            <w:hideMark/>
          </w:tcPr>
          <w:p w14:paraId="7D480B32" w14:textId="77777777" w:rsidR="00CD42D9" w:rsidRPr="001126C1" w:rsidRDefault="00CD42D9" w:rsidP="00CD42D9">
            <w:pPr>
              <w:spacing w:line="276" w:lineRule="auto"/>
              <w:jc w:val="both"/>
              <w:rPr>
                <w:rFonts w:cs="Arial"/>
                <w:b/>
                <w:bCs/>
              </w:rPr>
            </w:pPr>
            <w:r w:rsidRPr="001126C1">
              <w:rPr>
                <w:rFonts w:cs="Arial"/>
                <w:b/>
                <w:bCs/>
              </w:rPr>
              <w:t>mesec/</w:t>
            </w:r>
            <w:proofErr w:type="spellStart"/>
            <w:r w:rsidRPr="001126C1">
              <w:rPr>
                <w:rFonts w:cs="Arial"/>
                <w:b/>
                <w:bCs/>
              </w:rPr>
              <w:t>pkm</w:t>
            </w:r>
            <w:proofErr w:type="spellEnd"/>
          </w:p>
        </w:tc>
        <w:tc>
          <w:tcPr>
            <w:tcW w:w="1329" w:type="dxa"/>
            <w:shd w:val="clear" w:color="auto" w:fill="D9E2F3" w:themeFill="accent1" w:themeFillTint="33"/>
            <w:noWrap/>
            <w:hideMark/>
          </w:tcPr>
          <w:p w14:paraId="4FE28336" w14:textId="77777777" w:rsidR="00CD42D9" w:rsidRPr="001126C1" w:rsidRDefault="00CD42D9" w:rsidP="00CD42D9">
            <w:pPr>
              <w:spacing w:line="276" w:lineRule="auto"/>
              <w:jc w:val="both"/>
              <w:rPr>
                <w:rFonts w:cs="Arial"/>
                <w:b/>
                <w:bCs/>
              </w:rPr>
            </w:pPr>
            <w:r w:rsidRPr="001126C1">
              <w:rPr>
                <w:rFonts w:cs="Arial"/>
                <w:b/>
                <w:bCs/>
              </w:rPr>
              <w:t>2022</w:t>
            </w:r>
          </w:p>
        </w:tc>
        <w:tc>
          <w:tcPr>
            <w:tcW w:w="1329" w:type="dxa"/>
            <w:shd w:val="clear" w:color="auto" w:fill="D9E2F3" w:themeFill="accent1" w:themeFillTint="33"/>
            <w:noWrap/>
            <w:hideMark/>
          </w:tcPr>
          <w:p w14:paraId="3FD09DBC" w14:textId="77777777" w:rsidR="00CD42D9" w:rsidRPr="001126C1" w:rsidRDefault="00CD42D9" w:rsidP="00CD42D9">
            <w:pPr>
              <w:spacing w:line="276" w:lineRule="auto"/>
              <w:jc w:val="both"/>
              <w:rPr>
                <w:rFonts w:cs="Arial"/>
                <w:b/>
                <w:bCs/>
              </w:rPr>
            </w:pPr>
            <w:r w:rsidRPr="001126C1">
              <w:rPr>
                <w:rFonts w:cs="Arial"/>
                <w:b/>
                <w:bCs/>
              </w:rPr>
              <w:t>2023</w:t>
            </w:r>
          </w:p>
        </w:tc>
        <w:tc>
          <w:tcPr>
            <w:tcW w:w="1329" w:type="dxa"/>
            <w:shd w:val="clear" w:color="auto" w:fill="D9E2F3" w:themeFill="accent1" w:themeFillTint="33"/>
            <w:noWrap/>
            <w:hideMark/>
          </w:tcPr>
          <w:p w14:paraId="41401D73" w14:textId="77777777" w:rsidR="00CD42D9" w:rsidRPr="001126C1" w:rsidRDefault="00CD42D9" w:rsidP="00CD42D9">
            <w:pPr>
              <w:spacing w:line="276" w:lineRule="auto"/>
              <w:jc w:val="both"/>
              <w:rPr>
                <w:rFonts w:cs="Arial"/>
                <w:b/>
                <w:bCs/>
              </w:rPr>
            </w:pPr>
            <w:r w:rsidRPr="001126C1">
              <w:rPr>
                <w:rFonts w:cs="Arial"/>
                <w:b/>
                <w:bCs/>
              </w:rPr>
              <w:t>2024</w:t>
            </w:r>
          </w:p>
        </w:tc>
      </w:tr>
      <w:tr w:rsidR="00CD42D9" w:rsidRPr="00CD42D9" w14:paraId="2D0B502B" w14:textId="77777777" w:rsidTr="00CD42D9">
        <w:trPr>
          <w:trHeight w:val="300"/>
        </w:trPr>
        <w:tc>
          <w:tcPr>
            <w:tcW w:w="1239" w:type="dxa"/>
            <w:noWrap/>
            <w:hideMark/>
          </w:tcPr>
          <w:p w14:paraId="1CF34779" w14:textId="77777777" w:rsidR="00CD42D9" w:rsidRPr="00CD42D9" w:rsidRDefault="00CD42D9" w:rsidP="00CD42D9">
            <w:pPr>
              <w:spacing w:line="276" w:lineRule="auto"/>
              <w:jc w:val="both"/>
              <w:rPr>
                <w:rFonts w:cs="Arial"/>
              </w:rPr>
            </w:pPr>
            <w:r w:rsidRPr="00CD42D9">
              <w:rPr>
                <w:rFonts w:cs="Arial"/>
              </w:rPr>
              <w:t>januar</w:t>
            </w:r>
          </w:p>
        </w:tc>
        <w:tc>
          <w:tcPr>
            <w:tcW w:w="1329" w:type="dxa"/>
            <w:noWrap/>
            <w:hideMark/>
          </w:tcPr>
          <w:p w14:paraId="3C09B603" w14:textId="77777777" w:rsidR="00CD42D9" w:rsidRPr="00CD42D9" w:rsidRDefault="00CD42D9" w:rsidP="00CD42D9">
            <w:pPr>
              <w:spacing w:line="276" w:lineRule="auto"/>
              <w:jc w:val="both"/>
              <w:rPr>
                <w:rFonts w:cs="Arial"/>
              </w:rPr>
            </w:pPr>
            <w:r w:rsidRPr="00CD42D9">
              <w:rPr>
                <w:rFonts w:cs="Arial"/>
              </w:rPr>
              <w:t>32.291.328</w:t>
            </w:r>
          </w:p>
        </w:tc>
        <w:tc>
          <w:tcPr>
            <w:tcW w:w="1329" w:type="dxa"/>
            <w:noWrap/>
            <w:hideMark/>
          </w:tcPr>
          <w:p w14:paraId="5B986EC0" w14:textId="77777777" w:rsidR="00CD42D9" w:rsidRPr="00CD42D9" w:rsidRDefault="00CD42D9" w:rsidP="00CD42D9">
            <w:pPr>
              <w:spacing w:line="276" w:lineRule="auto"/>
              <w:jc w:val="both"/>
              <w:rPr>
                <w:rFonts w:cs="Arial"/>
              </w:rPr>
            </w:pPr>
            <w:r w:rsidRPr="00CD42D9">
              <w:rPr>
                <w:rFonts w:cs="Arial"/>
              </w:rPr>
              <w:t>37.902.015</w:t>
            </w:r>
          </w:p>
        </w:tc>
        <w:tc>
          <w:tcPr>
            <w:tcW w:w="1329" w:type="dxa"/>
            <w:noWrap/>
            <w:hideMark/>
          </w:tcPr>
          <w:p w14:paraId="01DD978B" w14:textId="77777777" w:rsidR="00CD42D9" w:rsidRPr="00CD42D9" w:rsidRDefault="00CD42D9" w:rsidP="00CD42D9">
            <w:pPr>
              <w:spacing w:line="276" w:lineRule="auto"/>
              <w:jc w:val="both"/>
              <w:rPr>
                <w:rFonts w:cs="Arial"/>
              </w:rPr>
            </w:pPr>
            <w:r w:rsidRPr="00CD42D9">
              <w:rPr>
                <w:rFonts w:cs="Arial"/>
              </w:rPr>
              <w:t>49.535.534</w:t>
            </w:r>
          </w:p>
        </w:tc>
      </w:tr>
      <w:tr w:rsidR="00CD42D9" w:rsidRPr="00CD42D9" w14:paraId="64140641" w14:textId="77777777" w:rsidTr="00CD42D9">
        <w:trPr>
          <w:trHeight w:val="300"/>
        </w:trPr>
        <w:tc>
          <w:tcPr>
            <w:tcW w:w="1239" w:type="dxa"/>
            <w:noWrap/>
            <w:hideMark/>
          </w:tcPr>
          <w:p w14:paraId="260F3C98" w14:textId="77777777" w:rsidR="00CD42D9" w:rsidRPr="00CD42D9" w:rsidRDefault="00CD42D9" w:rsidP="00CD42D9">
            <w:pPr>
              <w:spacing w:line="276" w:lineRule="auto"/>
              <w:jc w:val="both"/>
              <w:rPr>
                <w:rFonts w:cs="Arial"/>
              </w:rPr>
            </w:pPr>
            <w:r w:rsidRPr="00CD42D9">
              <w:rPr>
                <w:rFonts w:cs="Arial"/>
              </w:rPr>
              <w:t>februar</w:t>
            </w:r>
          </w:p>
        </w:tc>
        <w:tc>
          <w:tcPr>
            <w:tcW w:w="1329" w:type="dxa"/>
            <w:noWrap/>
            <w:hideMark/>
          </w:tcPr>
          <w:p w14:paraId="31945BD3" w14:textId="77777777" w:rsidR="00CD42D9" w:rsidRPr="00CD42D9" w:rsidRDefault="00CD42D9" w:rsidP="00CD42D9">
            <w:pPr>
              <w:spacing w:line="276" w:lineRule="auto"/>
              <w:jc w:val="both"/>
              <w:rPr>
                <w:rFonts w:cs="Arial"/>
              </w:rPr>
            </w:pPr>
            <w:r w:rsidRPr="00CD42D9">
              <w:rPr>
                <w:rFonts w:cs="Arial"/>
              </w:rPr>
              <w:t>30.454.555</w:t>
            </w:r>
          </w:p>
        </w:tc>
        <w:tc>
          <w:tcPr>
            <w:tcW w:w="1329" w:type="dxa"/>
            <w:noWrap/>
            <w:hideMark/>
          </w:tcPr>
          <w:p w14:paraId="239387DE" w14:textId="77777777" w:rsidR="00CD42D9" w:rsidRPr="00CD42D9" w:rsidRDefault="00CD42D9" w:rsidP="00CD42D9">
            <w:pPr>
              <w:spacing w:line="276" w:lineRule="auto"/>
              <w:jc w:val="both"/>
              <w:rPr>
                <w:rFonts w:cs="Arial"/>
              </w:rPr>
            </w:pPr>
            <w:r w:rsidRPr="00CD42D9">
              <w:rPr>
                <w:rFonts w:cs="Arial"/>
              </w:rPr>
              <w:t>32.533.515</w:t>
            </w:r>
          </w:p>
        </w:tc>
        <w:tc>
          <w:tcPr>
            <w:tcW w:w="1329" w:type="dxa"/>
            <w:noWrap/>
            <w:hideMark/>
          </w:tcPr>
          <w:p w14:paraId="6DD01DCC" w14:textId="77777777" w:rsidR="00CD42D9" w:rsidRPr="00CD42D9" w:rsidRDefault="00CD42D9" w:rsidP="00CD42D9">
            <w:pPr>
              <w:spacing w:line="276" w:lineRule="auto"/>
              <w:jc w:val="both"/>
              <w:rPr>
                <w:rFonts w:cs="Arial"/>
              </w:rPr>
            </w:pPr>
            <w:r w:rsidRPr="00CD42D9">
              <w:rPr>
                <w:rFonts w:cs="Arial"/>
              </w:rPr>
              <w:t>42.046.230</w:t>
            </w:r>
          </w:p>
        </w:tc>
      </w:tr>
      <w:tr w:rsidR="00CD42D9" w:rsidRPr="00CD42D9" w14:paraId="19F70FE1" w14:textId="77777777" w:rsidTr="00CD42D9">
        <w:trPr>
          <w:trHeight w:val="300"/>
        </w:trPr>
        <w:tc>
          <w:tcPr>
            <w:tcW w:w="1239" w:type="dxa"/>
            <w:noWrap/>
            <w:hideMark/>
          </w:tcPr>
          <w:p w14:paraId="6F40E239" w14:textId="77777777" w:rsidR="00CD42D9" w:rsidRPr="00CD42D9" w:rsidRDefault="00CD42D9" w:rsidP="00CD42D9">
            <w:pPr>
              <w:spacing w:line="276" w:lineRule="auto"/>
              <w:jc w:val="both"/>
              <w:rPr>
                <w:rFonts w:cs="Arial"/>
              </w:rPr>
            </w:pPr>
            <w:r w:rsidRPr="00CD42D9">
              <w:rPr>
                <w:rFonts w:cs="Arial"/>
              </w:rPr>
              <w:t>marec</w:t>
            </w:r>
          </w:p>
        </w:tc>
        <w:tc>
          <w:tcPr>
            <w:tcW w:w="1329" w:type="dxa"/>
            <w:noWrap/>
            <w:hideMark/>
          </w:tcPr>
          <w:p w14:paraId="27339327" w14:textId="77777777" w:rsidR="00CD42D9" w:rsidRPr="00CD42D9" w:rsidRDefault="00CD42D9" w:rsidP="00CD42D9">
            <w:pPr>
              <w:spacing w:line="276" w:lineRule="auto"/>
              <w:jc w:val="both"/>
              <w:rPr>
                <w:rFonts w:cs="Arial"/>
              </w:rPr>
            </w:pPr>
            <w:r w:rsidRPr="00CD42D9">
              <w:rPr>
                <w:rFonts w:cs="Arial"/>
              </w:rPr>
              <w:t>42.802.416</w:t>
            </w:r>
          </w:p>
        </w:tc>
        <w:tc>
          <w:tcPr>
            <w:tcW w:w="1329" w:type="dxa"/>
            <w:noWrap/>
            <w:hideMark/>
          </w:tcPr>
          <w:p w14:paraId="00A10F1F" w14:textId="77777777" w:rsidR="00CD42D9" w:rsidRPr="00CD42D9" w:rsidRDefault="00CD42D9" w:rsidP="00CD42D9">
            <w:pPr>
              <w:spacing w:line="276" w:lineRule="auto"/>
              <w:jc w:val="both"/>
              <w:rPr>
                <w:rFonts w:cs="Arial"/>
              </w:rPr>
            </w:pPr>
            <w:r w:rsidRPr="00CD42D9">
              <w:rPr>
                <w:rFonts w:cs="Arial"/>
              </w:rPr>
              <w:t>47.835.279</w:t>
            </w:r>
          </w:p>
        </w:tc>
        <w:tc>
          <w:tcPr>
            <w:tcW w:w="1329" w:type="dxa"/>
            <w:noWrap/>
            <w:hideMark/>
          </w:tcPr>
          <w:p w14:paraId="3DCDC478" w14:textId="77777777" w:rsidR="00CD42D9" w:rsidRPr="00CD42D9" w:rsidRDefault="00CD42D9" w:rsidP="00CD42D9">
            <w:pPr>
              <w:spacing w:line="276" w:lineRule="auto"/>
              <w:jc w:val="both"/>
              <w:rPr>
                <w:rFonts w:cs="Arial"/>
              </w:rPr>
            </w:pPr>
            <w:r w:rsidRPr="00CD42D9">
              <w:rPr>
                <w:rFonts w:cs="Arial"/>
              </w:rPr>
              <w:t>52.257.849</w:t>
            </w:r>
          </w:p>
        </w:tc>
      </w:tr>
      <w:tr w:rsidR="00CD42D9" w:rsidRPr="00CD42D9" w14:paraId="32EA662D" w14:textId="77777777" w:rsidTr="00CD42D9">
        <w:trPr>
          <w:trHeight w:val="300"/>
        </w:trPr>
        <w:tc>
          <w:tcPr>
            <w:tcW w:w="1239" w:type="dxa"/>
            <w:noWrap/>
            <w:hideMark/>
          </w:tcPr>
          <w:p w14:paraId="3628F957" w14:textId="77777777" w:rsidR="00CD42D9" w:rsidRPr="00CD42D9" w:rsidRDefault="00CD42D9" w:rsidP="00CD42D9">
            <w:pPr>
              <w:spacing w:line="276" w:lineRule="auto"/>
              <w:jc w:val="both"/>
              <w:rPr>
                <w:rFonts w:cs="Arial"/>
              </w:rPr>
            </w:pPr>
            <w:r w:rsidRPr="00CD42D9">
              <w:rPr>
                <w:rFonts w:cs="Arial"/>
              </w:rPr>
              <w:t>april</w:t>
            </w:r>
          </w:p>
        </w:tc>
        <w:tc>
          <w:tcPr>
            <w:tcW w:w="1329" w:type="dxa"/>
            <w:noWrap/>
            <w:hideMark/>
          </w:tcPr>
          <w:p w14:paraId="5CF246D6" w14:textId="77777777" w:rsidR="00CD42D9" w:rsidRPr="00CD42D9" w:rsidRDefault="00CD42D9" w:rsidP="00CD42D9">
            <w:pPr>
              <w:spacing w:line="276" w:lineRule="auto"/>
              <w:jc w:val="both"/>
              <w:rPr>
                <w:rFonts w:cs="Arial"/>
              </w:rPr>
            </w:pPr>
            <w:r w:rsidRPr="00CD42D9">
              <w:rPr>
                <w:rFonts w:cs="Arial"/>
              </w:rPr>
              <w:t>36.792.459</w:t>
            </w:r>
          </w:p>
        </w:tc>
        <w:tc>
          <w:tcPr>
            <w:tcW w:w="1329" w:type="dxa"/>
            <w:noWrap/>
            <w:hideMark/>
          </w:tcPr>
          <w:p w14:paraId="55945D7A" w14:textId="77777777" w:rsidR="00CD42D9" w:rsidRPr="00CD42D9" w:rsidRDefault="00CD42D9" w:rsidP="00CD42D9">
            <w:pPr>
              <w:spacing w:line="276" w:lineRule="auto"/>
              <w:jc w:val="both"/>
              <w:rPr>
                <w:rFonts w:cs="Arial"/>
              </w:rPr>
            </w:pPr>
            <w:r w:rsidRPr="00CD42D9">
              <w:rPr>
                <w:rFonts w:cs="Arial"/>
              </w:rPr>
              <w:t>39.537.553</w:t>
            </w:r>
          </w:p>
        </w:tc>
        <w:tc>
          <w:tcPr>
            <w:tcW w:w="1329" w:type="dxa"/>
            <w:noWrap/>
            <w:hideMark/>
          </w:tcPr>
          <w:p w14:paraId="37D2F414" w14:textId="77777777" w:rsidR="00CD42D9" w:rsidRPr="00CD42D9" w:rsidRDefault="00CD42D9" w:rsidP="00CD42D9">
            <w:pPr>
              <w:spacing w:line="276" w:lineRule="auto"/>
              <w:jc w:val="both"/>
              <w:rPr>
                <w:rFonts w:cs="Arial"/>
              </w:rPr>
            </w:pPr>
            <w:r w:rsidRPr="00CD42D9">
              <w:rPr>
                <w:rFonts w:cs="Arial"/>
              </w:rPr>
              <w:t>51.168.705</w:t>
            </w:r>
          </w:p>
        </w:tc>
      </w:tr>
      <w:tr w:rsidR="00CD42D9" w:rsidRPr="00CD42D9" w14:paraId="0D756173" w14:textId="77777777" w:rsidTr="00CD42D9">
        <w:trPr>
          <w:trHeight w:val="300"/>
        </w:trPr>
        <w:tc>
          <w:tcPr>
            <w:tcW w:w="1239" w:type="dxa"/>
            <w:noWrap/>
            <w:hideMark/>
          </w:tcPr>
          <w:p w14:paraId="655EAE0D" w14:textId="77777777" w:rsidR="00CD42D9" w:rsidRPr="00CD42D9" w:rsidRDefault="00CD42D9" w:rsidP="00CD42D9">
            <w:pPr>
              <w:spacing w:line="276" w:lineRule="auto"/>
              <w:jc w:val="both"/>
              <w:rPr>
                <w:rFonts w:cs="Arial"/>
              </w:rPr>
            </w:pPr>
            <w:r w:rsidRPr="00CD42D9">
              <w:rPr>
                <w:rFonts w:cs="Arial"/>
              </w:rPr>
              <w:t>maj</w:t>
            </w:r>
          </w:p>
        </w:tc>
        <w:tc>
          <w:tcPr>
            <w:tcW w:w="1329" w:type="dxa"/>
            <w:noWrap/>
            <w:hideMark/>
          </w:tcPr>
          <w:p w14:paraId="7C482387" w14:textId="77777777" w:rsidR="00CD42D9" w:rsidRPr="00CD42D9" w:rsidRDefault="00CD42D9" w:rsidP="00CD42D9">
            <w:pPr>
              <w:spacing w:line="276" w:lineRule="auto"/>
              <w:jc w:val="both"/>
              <w:rPr>
                <w:rFonts w:cs="Arial"/>
              </w:rPr>
            </w:pPr>
            <w:r w:rsidRPr="00CD42D9">
              <w:rPr>
                <w:rFonts w:cs="Arial"/>
              </w:rPr>
              <w:t>44.297.622</w:t>
            </w:r>
          </w:p>
        </w:tc>
        <w:tc>
          <w:tcPr>
            <w:tcW w:w="1329" w:type="dxa"/>
            <w:noWrap/>
            <w:hideMark/>
          </w:tcPr>
          <w:p w14:paraId="7687E714" w14:textId="77777777" w:rsidR="00CD42D9" w:rsidRPr="00CD42D9" w:rsidRDefault="00CD42D9" w:rsidP="00CD42D9">
            <w:pPr>
              <w:spacing w:line="276" w:lineRule="auto"/>
              <w:jc w:val="both"/>
              <w:rPr>
                <w:rFonts w:cs="Arial"/>
              </w:rPr>
            </w:pPr>
            <w:r w:rsidRPr="00CD42D9">
              <w:rPr>
                <w:rFonts w:cs="Arial"/>
              </w:rPr>
              <w:t>40.085.752</w:t>
            </w:r>
          </w:p>
        </w:tc>
        <w:tc>
          <w:tcPr>
            <w:tcW w:w="1329" w:type="dxa"/>
            <w:noWrap/>
            <w:hideMark/>
          </w:tcPr>
          <w:p w14:paraId="56B8DFFA" w14:textId="77777777" w:rsidR="00CD42D9" w:rsidRPr="00CD42D9" w:rsidRDefault="00CD42D9" w:rsidP="00CD42D9">
            <w:pPr>
              <w:spacing w:line="276" w:lineRule="auto"/>
              <w:jc w:val="both"/>
              <w:rPr>
                <w:rFonts w:cs="Arial"/>
              </w:rPr>
            </w:pPr>
            <w:r w:rsidRPr="00CD42D9">
              <w:rPr>
                <w:rFonts w:cs="Arial"/>
              </w:rPr>
              <w:t>50.529.745</w:t>
            </w:r>
          </w:p>
        </w:tc>
      </w:tr>
      <w:tr w:rsidR="00CD42D9" w:rsidRPr="00CD42D9" w14:paraId="3A0F10A3" w14:textId="77777777" w:rsidTr="00CD42D9">
        <w:trPr>
          <w:trHeight w:val="300"/>
        </w:trPr>
        <w:tc>
          <w:tcPr>
            <w:tcW w:w="1239" w:type="dxa"/>
            <w:noWrap/>
            <w:hideMark/>
          </w:tcPr>
          <w:p w14:paraId="6B283445" w14:textId="77777777" w:rsidR="00CD42D9" w:rsidRPr="00CD42D9" w:rsidRDefault="00CD42D9" w:rsidP="00CD42D9">
            <w:pPr>
              <w:spacing w:line="276" w:lineRule="auto"/>
              <w:jc w:val="both"/>
              <w:rPr>
                <w:rFonts w:cs="Arial"/>
              </w:rPr>
            </w:pPr>
            <w:r w:rsidRPr="00CD42D9">
              <w:rPr>
                <w:rFonts w:cs="Arial"/>
              </w:rPr>
              <w:t>junij</w:t>
            </w:r>
          </w:p>
        </w:tc>
        <w:tc>
          <w:tcPr>
            <w:tcW w:w="1329" w:type="dxa"/>
            <w:noWrap/>
            <w:hideMark/>
          </w:tcPr>
          <w:p w14:paraId="006A1D74" w14:textId="77777777" w:rsidR="00CD42D9" w:rsidRPr="00CD42D9" w:rsidRDefault="00CD42D9" w:rsidP="00CD42D9">
            <w:pPr>
              <w:spacing w:line="276" w:lineRule="auto"/>
              <w:jc w:val="both"/>
              <w:rPr>
                <w:rFonts w:cs="Arial"/>
              </w:rPr>
            </w:pPr>
            <w:r w:rsidRPr="00CD42D9">
              <w:rPr>
                <w:rFonts w:cs="Arial"/>
              </w:rPr>
              <w:t>36.519.643</w:t>
            </w:r>
          </w:p>
        </w:tc>
        <w:tc>
          <w:tcPr>
            <w:tcW w:w="1329" w:type="dxa"/>
            <w:noWrap/>
            <w:hideMark/>
          </w:tcPr>
          <w:p w14:paraId="01F88B4A" w14:textId="77777777" w:rsidR="00CD42D9" w:rsidRPr="00CD42D9" w:rsidRDefault="00CD42D9" w:rsidP="00CD42D9">
            <w:pPr>
              <w:spacing w:line="276" w:lineRule="auto"/>
              <w:jc w:val="both"/>
              <w:rPr>
                <w:rFonts w:cs="Arial"/>
              </w:rPr>
            </w:pPr>
            <w:r w:rsidRPr="00CD42D9">
              <w:rPr>
                <w:rFonts w:cs="Arial"/>
              </w:rPr>
              <w:t>39.232.625</w:t>
            </w:r>
          </w:p>
        </w:tc>
        <w:tc>
          <w:tcPr>
            <w:tcW w:w="1329" w:type="dxa"/>
            <w:noWrap/>
            <w:hideMark/>
          </w:tcPr>
          <w:p w14:paraId="37044670" w14:textId="77777777" w:rsidR="00CD42D9" w:rsidRPr="00CD42D9" w:rsidRDefault="00CD42D9" w:rsidP="00CD42D9">
            <w:pPr>
              <w:spacing w:line="276" w:lineRule="auto"/>
              <w:jc w:val="both"/>
              <w:rPr>
                <w:rFonts w:cs="Arial"/>
              </w:rPr>
            </w:pPr>
            <w:r w:rsidRPr="00CD42D9">
              <w:rPr>
                <w:rFonts w:cs="Arial"/>
              </w:rPr>
              <w:t>40.317.866</w:t>
            </w:r>
          </w:p>
        </w:tc>
      </w:tr>
      <w:tr w:rsidR="00CD42D9" w:rsidRPr="00CD42D9" w14:paraId="09C7C3AF" w14:textId="77777777" w:rsidTr="00CD42D9">
        <w:trPr>
          <w:trHeight w:val="300"/>
        </w:trPr>
        <w:tc>
          <w:tcPr>
            <w:tcW w:w="1239" w:type="dxa"/>
            <w:noWrap/>
            <w:hideMark/>
          </w:tcPr>
          <w:p w14:paraId="6EFE158E" w14:textId="77777777" w:rsidR="00CD42D9" w:rsidRPr="00CD42D9" w:rsidRDefault="00CD42D9" w:rsidP="00CD42D9">
            <w:pPr>
              <w:spacing w:line="276" w:lineRule="auto"/>
              <w:jc w:val="both"/>
              <w:rPr>
                <w:rFonts w:cs="Arial"/>
              </w:rPr>
            </w:pPr>
            <w:r w:rsidRPr="00CD42D9">
              <w:rPr>
                <w:rFonts w:cs="Arial"/>
              </w:rPr>
              <w:t>julij</w:t>
            </w:r>
          </w:p>
        </w:tc>
        <w:tc>
          <w:tcPr>
            <w:tcW w:w="1329" w:type="dxa"/>
            <w:noWrap/>
            <w:hideMark/>
          </w:tcPr>
          <w:p w14:paraId="248DC859" w14:textId="77777777" w:rsidR="00CD42D9" w:rsidRPr="00CD42D9" w:rsidRDefault="00CD42D9" w:rsidP="00CD42D9">
            <w:pPr>
              <w:spacing w:line="276" w:lineRule="auto"/>
              <w:jc w:val="both"/>
              <w:rPr>
                <w:rFonts w:cs="Arial"/>
              </w:rPr>
            </w:pPr>
            <w:r w:rsidRPr="00CD42D9">
              <w:rPr>
                <w:rFonts w:cs="Arial"/>
              </w:rPr>
              <w:t>20.282.393</w:t>
            </w:r>
          </w:p>
        </w:tc>
        <w:tc>
          <w:tcPr>
            <w:tcW w:w="1329" w:type="dxa"/>
            <w:noWrap/>
            <w:hideMark/>
          </w:tcPr>
          <w:p w14:paraId="6E4BB733" w14:textId="77777777" w:rsidR="00CD42D9" w:rsidRPr="00CD42D9" w:rsidRDefault="00CD42D9" w:rsidP="00CD42D9">
            <w:pPr>
              <w:spacing w:line="276" w:lineRule="auto"/>
              <w:jc w:val="both"/>
              <w:rPr>
                <w:rFonts w:cs="Arial"/>
              </w:rPr>
            </w:pPr>
            <w:r w:rsidRPr="00CD42D9">
              <w:rPr>
                <w:rFonts w:cs="Arial"/>
              </w:rPr>
              <w:t>22.914.841</w:t>
            </w:r>
          </w:p>
        </w:tc>
        <w:tc>
          <w:tcPr>
            <w:tcW w:w="1329" w:type="dxa"/>
            <w:noWrap/>
            <w:hideMark/>
          </w:tcPr>
          <w:p w14:paraId="69C01A8F" w14:textId="77777777" w:rsidR="00CD42D9" w:rsidRPr="00CD42D9" w:rsidRDefault="00CD42D9" w:rsidP="00CD42D9">
            <w:pPr>
              <w:spacing w:line="276" w:lineRule="auto"/>
              <w:jc w:val="both"/>
              <w:rPr>
                <w:rFonts w:cs="Arial"/>
              </w:rPr>
            </w:pPr>
            <w:r w:rsidRPr="00CD42D9">
              <w:rPr>
                <w:rFonts w:cs="Arial"/>
              </w:rPr>
              <w:t>24.906.228</w:t>
            </w:r>
          </w:p>
        </w:tc>
      </w:tr>
      <w:tr w:rsidR="00CD42D9" w:rsidRPr="00CD42D9" w14:paraId="7DB9CCA9" w14:textId="77777777" w:rsidTr="00CD42D9">
        <w:trPr>
          <w:trHeight w:val="300"/>
        </w:trPr>
        <w:tc>
          <w:tcPr>
            <w:tcW w:w="1239" w:type="dxa"/>
            <w:noWrap/>
            <w:hideMark/>
          </w:tcPr>
          <w:p w14:paraId="4FAABAFC" w14:textId="77777777" w:rsidR="00CD42D9" w:rsidRPr="00CD42D9" w:rsidRDefault="00CD42D9" w:rsidP="00CD42D9">
            <w:pPr>
              <w:spacing w:line="276" w:lineRule="auto"/>
              <w:jc w:val="both"/>
              <w:rPr>
                <w:rFonts w:cs="Arial"/>
              </w:rPr>
            </w:pPr>
            <w:r w:rsidRPr="00CD42D9">
              <w:rPr>
                <w:rFonts w:cs="Arial"/>
              </w:rPr>
              <w:t>avgust</w:t>
            </w:r>
          </w:p>
        </w:tc>
        <w:tc>
          <w:tcPr>
            <w:tcW w:w="1329" w:type="dxa"/>
            <w:noWrap/>
            <w:hideMark/>
          </w:tcPr>
          <w:p w14:paraId="63D4280B" w14:textId="77777777" w:rsidR="00CD42D9" w:rsidRPr="00CD42D9" w:rsidRDefault="00CD42D9" w:rsidP="00CD42D9">
            <w:pPr>
              <w:spacing w:line="276" w:lineRule="auto"/>
              <w:jc w:val="both"/>
              <w:rPr>
                <w:rFonts w:cs="Arial"/>
              </w:rPr>
            </w:pPr>
            <w:r w:rsidRPr="00CD42D9">
              <w:rPr>
                <w:rFonts w:cs="Arial"/>
              </w:rPr>
              <w:t>21.853.792</w:t>
            </w:r>
          </w:p>
        </w:tc>
        <w:tc>
          <w:tcPr>
            <w:tcW w:w="1329" w:type="dxa"/>
            <w:noWrap/>
            <w:hideMark/>
          </w:tcPr>
          <w:p w14:paraId="5D11074F" w14:textId="77777777" w:rsidR="00CD42D9" w:rsidRPr="00CD42D9" w:rsidRDefault="00CD42D9" w:rsidP="00CD42D9">
            <w:pPr>
              <w:spacing w:line="276" w:lineRule="auto"/>
              <w:jc w:val="both"/>
              <w:rPr>
                <w:rFonts w:cs="Arial"/>
              </w:rPr>
            </w:pPr>
            <w:r w:rsidRPr="00CD42D9">
              <w:rPr>
                <w:rFonts w:cs="Arial"/>
              </w:rPr>
              <w:t>22.015.376</w:t>
            </w:r>
          </w:p>
        </w:tc>
        <w:tc>
          <w:tcPr>
            <w:tcW w:w="1329" w:type="dxa"/>
            <w:noWrap/>
            <w:hideMark/>
          </w:tcPr>
          <w:p w14:paraId="71524F51" w14:textId="77777777" w:rsidR="00CD42D9" w:rsidRPr="00CD42D9" w:rsidRDefault="00CD42D9" w:rsidP="00CD42D9">
            <w:pPr>
              <w:spacing w:line="276" w:lineRule="auto"/>
              <w:jc w:val="both"/>
              <w:rPr>
                <w:rFonts w:cs="Arial"/>
              </w:rPr>
            </w:pPr>
            <w:r w:rsidRPr="00CD42D9">
              <w:rPr>
                <w:rFonts w:cs="Arial"/>
              </w:rPr>
              <w:t>24.918.738</w:t>
            </w:r>
          </w:p>
        </w:tc>
      </w:tr>
      <w:tr w:rsidR="00CD42D9" w:rsidRPr="00CD42D9" w14:paraId="71E12070" w14:textId="77777777" w:rsidTr="00CD42D9">
        <w:trPr>
          <w:trHeight w:val="300"/>
        </w:trPr>
        <w:tc>
          <w:tcPr>
            <w:tcW w:w="1239" w:type="dxa"/>
            <w:noWrap/>
            <w:hideMark/>
          </w:tcPr>
          <w:p w14:paraId="5BED6182" w14:textId="77777777" w:rsidR="00CD42D9" w:rsidRPr="00CD42D9" w:rsidRDefault="00CD42D9" w:rsidP="00CD42D9">
            <w:pPr>
              <w:spacing w:line="276" w:lineRule="auto"/>
              <w:jc w:val="both"/>
              <w:rPr>
                <w:rFonts w:cs="Arial"/>
              </w:rPr>
            </w:pPr>
            <w:r w:rsidRPr="00CD42D9">
              <w:rPr>
                <w:rFonts w:cs="Arial"/>
              </w:rPr>
              <w:t>september</w:t>
            </w:r>
          </w:p>
        </w:tc>
        <w:tc>
          <w:tcPr>
            <w:tcW w:w="1329" w:type="dxa"/>
            <w:noWrap/>
            <w:hideMark/>
          </w:tcPr>
          <w:p w14:paraId="3CC2AAA5" w14:textId="77777777" w:rsidR="00CD42D9" w:rsidRPr="00CD42D9" w:rsidRDefault="00CD42D9" w:rsidP="00CD42D9">
            <w:pPr>
              <w:spacing w:line="276" w:lineRule="auto"/>
              <w:jc w:val="both"/>
              <w:rPr>
                <w:rFonts w:cs="Arial"/>
              </w:rPr>
            </w:pPr>
            <w:r w:rsidRPr="00CD42D9">
              <w:rPr>
                <w:rFonts w:cs="Arial"/>
              </w:rPr>
              <w:t>44.325.965</w:t>
            </w:r>
          </w:p>
        </w:tc>
        <w:tc>
          <w:tcPr>
            <w:tcW w:w="1329" w:type="dxa"/>
            <w:noWrap/>
            <w:hideMark/>
          </w:tcPr>
          <w:p w14:paraId="13193D6F" w14:textId="77777777" w:rsidR="00CD42D9" w:rsidRPr="00CD42D9" w:rsidRDefault="00CD42D9" w:rsidP="00CD42D9">
            <w:pPr>
              <w:spacing w:line="276" w:lineRule="auto"/>
              <w:jc w:val="both"/>
              <w:rPr>
                <w:rFonts w:cs="Arial"/>
              </w:rPr>
            </w:pPr>
            <w:r w:rsidRPr="00CD42D9">
              <w:rPr>
                <w:rFonts w:cs="Arial"/>
              </w:rPr>
              <w:t>47.128.409</w:t>
            </w:r>
          </w:p>
        </w:tc>
        <w:tc>
          <w:tcPr>
            <w:tcW w:w="1329" w:type="dxa"/>
            <w:noWrap/>
            <w:hideMark/>
          </w:tcPr>
          <w:p w14:paraId="4A56755C" w14:textId="77777777" w:rsidR="00CD42D9" w:rsidRPr="00CD42D9" w:rsidRDefault="00CD42D9" w:rsidP="00CD42D9">
            <w:pPr>
              <w:spacing w:line="276" w:lineRule="auto"/>
              <w:jc w:val="both"/>
              <w:rPr>
                <w:rFonts w:cs="Arial"/>
              </w:rPr>
            </w:pPr>
            <w:r w:rsidRPr="00CD42D9">
              <w:rPr>
                <w:rFonts w:cs="Arial"/>
              </w:rPr>
              <w:t>42.296.638</w:t>
            </w:r>
          </w:p>
        </w:tc>
      </w:tr>
      <w:tr w:rsidR="00CD42D9" w:rsidRPr="00CD42D9" w14:paraId="60E2B701" w14:textId="77777777" w:rsidTr="00CD42D9">
        <w:trPr>
          <w:trHeight w:val="300"/>
        </w:trPr>
        <w:tc>
          <w:tcPr>
            <w:tcW w:w="1239" w:type="dxa"/>
            <w:noWrap/>
            <w:hideMark/>
          </w:tcPr>
          <w:p w14:paraId="64A6569B" w14:textId="77777777" w:rsidR="00CD42D9" w:rsidRPr="00CD42D9" w:rsidRDefault="00CD42D9" w:rsidP="00CD42D9">
            <w:pPr>
              <w:spacing w:line="276" w:lineRule="auto"/>
              <w:jc w:val="both"/>
              <w:rPr>
                <w:rFonts w:cs="Arial"/>
              </w:rPr>
            </w:pPr>
            <w:r w:rsidRPr="00CD42D9">
              <w:rPr>
                <w:rFonts w:cs="Arial"/>
              </w:rPr>
              <w:t>oktober</w:t>
            </w:r>
          </w:p>
        </w:tc>
        <w:tc>
          <w:tcPr>
            <w:tcW w:w="1329" w:type="dxa"/>
            <w:noWrap/>
            <w:hideMark/>
          </w:tcPr>
          <w:p w14:paraId="5C556421" w14:textId="77777777" w:rsidR="00CD42D9" w:rsidRPr="00CD42D9" w:rsidRDefault="00CD42D9" w:rsidP="00CD42D9">
            <w:pPr>
              <w:spacing w:line="276" w:lineRule="auto"/>
              <w:jc w:val="both"/>
              <w:rPr>
                <w:rFonts w:cs="Arial"/>
              </w:rPr>
            </w:pPr>
            <w:r w:rsidRPr="00CD42D9">
              <w:rPr>
                <w:rFonts w:cs="Arial"/>
              </w:rPr>
              <w:t>52.812.334</w:t>
            </w:r>
          </w:p>
        </w:tc>
        <w:tc>
          <w:tcPr>
            <w:tcW w:w="1329" w:type="dxa"/>
            <w:noWrap/>
            <w:hideMark/>
          </w:tcPr>
          <w:p w14:paraId="52EF2E70" w14:textId="77777777" w:rsidR="00CD42D9" w:rsidRPr="00CD42D9" w:rsidRDefault="00CD42D9" w:rsidP="00CD42D9">
            <w:pPr>
              <w:spacing w:line="276" w:lineRule="auto"/>
              <w:jc w:val="both"/>
              <w:rPr>
                <w:rFonts w:cs="Arial"/>
              </w:rPr>
            </w:pPr>
            <w:r w:rsidRPr="00CD42D9">
              <w:rPr>
                <w:rFonts w:cs="Arial"/>
              </w:rPr>
              <w:t>53.106.730</w:t>
            </w:r>
          </w:p>
        </w:tc>
        <w:tc>
          <w:tcPr>
            <w:tcW w:w="1329" w:type="dxa"/>
            <w:noWrap/>
            <w:hideMark/>
          </w:tcPr>
          <w:p w14:paraId="3CD56078" w14:textId="77777777" w:rsidR="00CD42D9" w:rsidRPr="00CD42D9" w:rsidRDefault="00CD42D9" w:rsidP="00CD42D9">
            <w:pPr>
              <w:spacing w:line="276" w:lineRule="auto"/>
              <w:jc w:val="both"/>
              <w:rPr>
                <w:rFonts w:cs="Arial"/>
              </w:rPr>
            </w:pPr>
            <w:r w:rsidRPr="00CD42D9">
              <w:rPr>
                <w:rFonts w:cs="Arial"/>
              </w:rPr>
              <w:t> </w:t>
            </w:r>
          </w:p>
        </w:tc>
      </w:tr>
      <w:tr w:rsidR="00CD42D9" w:rsidRPr="00CD42D9" w14:paraId="59DDC195" w14:textId="77777777" w:rsidTr="00CD42D9">
        <w:trPr>
          <w:trHeight w:val="300"/>
        </w:trPr>
        <w:tc>
          <w:tcPr>
            <w:tcW w:w="1239" w:type="dxa"/>
            <w:noWrap/>
            <w:hideMark/>
          </w:tcPr>
          <w:p w14:paraId="74939247" w14:textId="77777777" w:rsidR="00CD42D9" w:rsidRPr="00CD42D9" w:rsidRDefault="00CD42D9" w:rsidP="00CD42D9">
            <w:pPr>
              <w:spacing w:line="276" w:lineRule="auto"/>
              <w:jc w:val="both"/>
              <w:rPr>
                <w:rFonts w:cs="Arial"/>
              </w:rPr>
            </w:pPr>
            <w:r w:rsidRPr="00CD42D9">
              <w:rPr>
                <w:rFonts w:cs="Arial"/>
              </w:rPr>
              <w:t>november</w:t>
            </w:r>
          </w:p>
        </w:tc>
        <w:tc>
          <w:tcPr>
            <w:tcW w:w="1329" w:type="dxa"/>
            <w:noWrap/>
            <w:hideMark/>
          </w:tcPr>
          <w:p w14:paraId="5C5FA3BB" w14:textId="77777777" w:rsidR="00CD42D9" w:rsidRPr="00CD42D9" w:rsidRDefault="00CD42D9" w:rsidP="00CD42D9">
            <w:pPr>
              <w:spacing w:line="276" w:lineRule="auto"/>
              <w:jc w:val="both"/>
              <w:rPr>
                <w:rFonts w:cs="Arial"/>
              </w:rPr>
            </w:pPr>
            <w:r w:rsidRPr="00CD42D9">
              <w:rPr>
                <w:rFonts w:cs="Arial"/>
              </w:rPr>
              <w:t>52.251.999</w:t>
            </w:r>
          </w:p>
        </w:tc>
        <w:tc>
          <w:tcPr>
            <w:tcW w:w="1329" w:type="dxa"/>
            <w:noWrap/>
            <w:hideMark/>
          </w:tcPr>
          <w:p w14:paraId="5C19132D" w14:textId="77777777" w:rsidR="00CD42D9" w:rsidRPr="00CD42D9" w:rsidRDefault="00CD42D9" w:rsidP="00CD42D9">
            <w:pPr>
              <w:spacing w:line="276" w:lineRule="auto"/>
              <w:jc w:val="both"/>
              <w:rPr>
                <w:rFonts w:cs="Arial"/>
              </w:rPr>
            </w:pPr>
            <w:r w:rsidRPr="00CD42D9">
              <w:rPr>
                <w:rFonts w:cs="Arial"/>
              </w:rPr>
              <w:t>50.343.585</w:t>
            </w:r>
          </w:p>
        </w:tc>
        <w:tc>
          <w:tcPr>
            <w:tcW w:w="1329" w:type="dxa"/>
            <w:noWrap/>
            <w:hideMark/>
          </w:tcPr>
          <w:p w14:paraId="490181CF" w14:textId="77777777" w:rsidR="00CD42D9" w:rsidRPr="00CD42D9" w:rsidRDefault="00CD42D9" w:rsidP="00CD42D9">
            <w:pPr>
              <w:spacing w:line="276" w:lineRule="auto"/>
              <w:jc w:val="both"/>
              <w:rPr>
                <w:rFonts w:cs="Arial"/>
              </w:rPr>
            </w:pPr>
            <w:r w:rsidRPr="00CD42D9">
              <w:rPr>
                <w:rFonts w:cs="Arial"/>
              </w:rPr>
              <w:t> </w:t>
            </w:r>
          </w:p>
        </w:tc>
      </w:tr>
      <w:tr w:rsidR="00CD42D9" w:rsidRPr="00CD42D9" w14:paraId="2C1B7915" w14:textId="77777777" w:rsidTr="00CD42D9">
        <w:trPr>
          <w:trHeight w:val="300"/>
        </w:trPr>
        <w:tc>
          <w:tcPr>
            <w:tcW w:w="1239" w:type="dxa"/>
            <w:noWrap/>
            <w:hideMark/>
          </w:tcPr>
          <w:p w14:paraId="2B5853BC" w14:textId="77777777" w:rsidR="00CD42D9" w:rsidRPr="00CD42D9" w:rsidRDefault="00CD42D9" w:rsidP="00CD42D9">
            <w:pPr>
              <w:spacing w:line="276" w:lineRule="auto"/>
              <w:jc w:val="both"/>
              <w:rPr>
                <w:rFonts w:cs="Arial"/>
              </w:rPr>
            </w:pPr>
            <w:r w:rsidRPr="00CD42D9">
              <w:rPr>
                <w:rFonts w:cs="Arial"/>
              </w:rPr>
              <w:t>december</w:t>
            </w:r>
          </w:p>
        </w:tc>
        <w:tc>
          <w:tcPr>
            <w:tcW w:w="1329" w:type="dxa"/>
            <w:noWrap/>
            <w:hideMark/>
          </w:tcPr>
          <w:p w14:paraId="76912EA2" w14:textId="77777777" w:rsidR="00CD42D9" w:rsidRPr="00CD42D9" w:rsidRDefault="00CD42D9" w:rsidP="00CD42D9">
            <w:pPr>
              <w:spacing w:line="276" w:lineRule="auto"/>
              <w:jc w:val="both"/>
              <w:rPr>
                <w:rFonts w:cs="Arial"/>
              </w:rPr>
            </w:pPr>
            <w:r w:rsidRPr="00CD42D9">
              <w:rPr>
                <w:rFonts w:cs="Arial"/>
              </w:rPr>
              <w:t>38.067.330</w:t>
            </w:r>
          </w:p>
        </w:tc>
        <w:tc>
          <w:tcPr>
            <w:tcW w:w="1329" w:type="dxa"/>
            <w:noWrap/>
            <w:hideMark/>
          </w:tcPr>
          <w:p w14:paraId="3AB6E6CD" w14:textId="77777777" w:rsidR="00CD42D9" w:rsidRPr="00CD42D9" w:rsidRDefault="00CD42D9" w:rsidP="00CD42D9">
            <w:pPr>
              <w:spacing w:line="276" w:lineRule="auto"/>
              <w:jc w:val="both"/>
              <w:rPr>
                <w:rFonts w:cs="Arial"/>
              </w:rPr>
            </w:pPr>
            <w:r w:rsidRPr="00CD42D9">
              <w:rPr>
                <w:rFonts w:cs="Arial"/>
              </w:rPr>
              <w:t>44.906.702</w:t>
            </w:r>
          </w:p>
        </w:tc>
        <w:tc>
          <w:tcPr>
            <w:tcW w:w="1329" w:type="dxa"/>
            <w:noWrap/>
            <w:hideMark/>
          </w:tcPr>
          <w:p w14:paraId="15C11A52" w14:textId="77777777" w:rsidR="00CD42D9" w:rsidRPr="00CD42D9" w:rsidRDefault="00CD42D9" w:rsidP="00CD42D9">
            <w:pPr>
              <w:spacing w:line="276" w:lineRule="auto"/>
              <w:jc w:val="both"/>
              <w:rPr>
                <w:rFonts w:cs="Arial"/>
              </w:rPr>
            </w:pPr>
            <w:r w:rsidRPr="00CD42D9">
              <w:rPr>
                <w:rFonts w:cs="Arial"/>
              </w:rPr>
              <w:t> </w:t>
            </w:r>
          </w:p>
        </w:tc>
      </w:tr>
      <w:tr w:rsidR="00CD42D9" w:rsidRPr="00CD42D9" w14:paraId="49070392" w14:textId="77777777" w:rsidTr="00CD42D9">
        <w:trPr>
          <w:trHeight w:val="300"/>
        </w:trPr>
        <w:tc>
          <w:tcPr>
            <w:tcW w:w="1239" w:type="dxa"/>
            <w:noWrap/>
            <w:hideMark/>
          </w:tcPr>
          <w:p w14:paraId="3500E46F" w14:textId="77777777" w:rsidR="00CD42D9" w:rsidRPr="00CD42D9" w:rsidRDefault="00CD42D9" w:rsidP="00CD42D9">
            <w:pPr>
              <w:spacing w:line="276" w:lineRule="auto"/>
              <w:jc w:val="both"/>
              <w:rPr>
                <w:rFonts w:cs="Arial"/>
              </w:rPr>
            </w:pPr>
            <w:r w:rsidRPr="00CD42D9">
              <w:rPr>
                <w:rFonts w:cs="Arial"/>
              </w:rPr>
              <w:t>SKUPAJ</w:t>
            </w:r>
          </w:p>
        </w:tc>
        <w:tc>
          <w:tcPr>
            <w:tcW w:w="1329" w:type="dxa"/>
            <w:noWrap/>
            <w:hideMark/>
          </w:tcPr>
          <w:p w14:paraId="7E484CF0" w14:textId="77777777" w:rsidR="00CD42D9" w:rsidRPr="00CD42D9" w:rsidRDefault="00CD42D9" w:rsidP="00CD42D9">
            <w:pPr>
              <w:spacing w:line="276" w:lineRule="auto"/>
              <w:jc w:val="both"/>
              <w:rPr>
                <w:rFonts w:cs="Arial"/>
              </w:rPr>
            </w:pPr>
            <w:r w:rsidRPr="00CD42D9">
              <w:rPr>
                <w:rFonts w:cs="Arial"/>
              </w:rPr>
              <w:t>452.751.836</w:t>
            </w:r>
          </w:p>
        </w:tc>
        <w:tc>
          <w:tcPr>
            <w:tcW w:w="1329" w:type="dxa"/>
            <w:noWrap/>
            <w:hideMark/>
          </w:tcPr>
          <w:p w14:paraId="36BC927E" w14:textId="77777777" w:rsidR="00CD42D9" w:rsidRPr="00CD42D9" w:rsidRDefault="00CD42D9" w:rsidP="00CD42D9">
            <w:pPr>
              <w:spacing w:line="276" w:lineRule="auto"/>
              <w:jc w:val="both"/>
              <w:rPr>
                <w:rFonts w:cs="Arial"/>
              </w:rPr>
            </w:pPr>
            <w:r w:rsidRPr="00CD42D9">
              <w:rPr>
                <w:rFonts w:cs="Arial"/>
              </w:rPr>
              <w:t>477.542.382</w:t>
            </w:r>
          </w:p>
        </w:tc>
        <w:tc>
          <w:tcPr>
            <w:tcW w:w="1329" w:type="dxa"/>
            <w:noWrap/>
            <w:hideMark/>
          </w:tcPr>
          <w:p w14:paraId="7B4CB6A0" w14:textId="77777777" w:rsidR="00CD42D9" w:rsidRPr="00CD42D9" w:rsidRDefault="00CD42D9" w:rsidP="007664ED">
            <w:pPr>
              <w:keepNext/>
              <w:spacing w:line="276" w:lineRule="auto"/>
              <w:jc w:val="both"/>
              <w:rPr>
                <w:rFonts w:cs="Arial"/>
              </w:rPr>
            </w:pPr>
            <w:r w:rsidRPr="00CD42D9">
              <w:rPr>
                <w:rFonts w:cs="Arial"/>
              </w:rPr>
              <w:t>377.977.533</w:t>
            </w:r>
          </w:p>
        </w:tc>
      </w:tr>
    </w:tbl>
    <w:p w14:paraId="2C550B67" w14:textId="7FECAEEA" w:rsidR="00CD42D9" w:rsidRPr="005239F3" w:rsidRDefault="007664ED" w:rsidP="007664ED">
      <w:pPr>
        <w:pStyle w:val="Napis"/>
        <w:spacing w:after="0"/>
        <w:rPr>
          <w:rFonts w:cs="Arial"/>
          <w:b w:val="0"/>
          <w:bCs w:val="0"/>
          <w:color w:val="auto"/>
          <w:sz w:val="18"/>
          <w:szCs w:val="18"/>
        </w:rPr>
      </w:pPr>
      <w:r w:rsidRPr="005239F3">
        <w:rPr>
          <w:rFonts w:cs="Arial"/>
          <w:b w:val="0"/>
          <w:bCs w:val="0"/>
          <w:color w:val="auto"/>
          <w:sz w:val="18"/>
          <w:szCs w:val="18"/>
        </w:rPr>
        <w:t>Vir: Podatki iz sistema IJPP</w:t>
      </w:r>
    </w:p>
    <w:p w14:paraId="1E771091" w14:textId="77777777" w:rsidR="00827304" w:rsidRPr="00F425EA" w:rsidRDefault="00827304" w:rsidP="00827304">
      <w:pPr>
        <w:spacing w:after="0" w:line="276" w:lineRule="auto"/>
        <w:rPr>
          <w:rFonts w:cs="Arial"/>
        </w:rPr>
      </w:pPr>
    </w:p>
    <w:p w14:paraId="22E23102" w14:textId="77777777" w:rsidR="000E7A5A" w:rsidRPr="00F425EA" w:rsidRDefault="00306071" w:rsidP="00E247FF">
      <w:pPr>
        <w:pStyle w:val="Odstavekseznama"/>
        <w:numPr>
          <w:ilvl w:val="0"/>
          <w:numId w:val="38"/>
        </w:numPr>
        <w:spacing w:after="0" w:line="276" w:lineRule="auto"/>
        <w:jc w:val="both"/>
        <w:rPr>
          <w:rFonts w:cs="Arial"/>
          <w:b/>
          <w:bCs/>
        </w:rPr>
      </w:pPr>
      <w:bookmarkStart w:id="2637" w:name="_Toc175235279"/>
      <w:r w:rsidRPr="00F425EA">
        <w:rPr>
          <w:rFonts w:cs="Arial"/>
          <w:b/>
          <w:bCs/>
        </w:rPr>
        <w:t>DUJPP</w:t>
      </w:r>
      <w:bookmarkEnd w:id="2637"/>
    </w:p>
    <w:p w14:paraId="5A7EDCC9" w14:textId="77777777" w:rsidR="000E7A5A" w:rsidRPr="00F425EA" w:rsidRDefault="000E7A5A" w:rsidP="00E247FF">
      <w:pPr>
        <w:spacing w:after="0" w:line="276" w:lineRule="auto"/>
        <w:jc w:val="both"/>
        <w:rPr>
          <w:rFonts w:cs="Arial"/>
        </w:rPr>
      </w:pPr>
    </w:p>
    <w:p w14:paraId="4FE8FAA9" w14:textId="7FE01A16" w:rsidR="000E7A5A" w:rsidRPr="00F425EA" w:rsidRDefault="00306071" w:rsidP="00E247FF">
      <w:pPr>
        <w:spacing w:after="0" w:line="276" w:lineRule="auto"/>
        <w:jc w:val="both"/>
        <w:rPr>
          <w:rFonts w:cs="Arial"/>
        </w:rPr>
      </w:pPr>
      <w:r w:rsidRPr="00F425EA">
        <w:rPr>
          <w:rFonts w:cs="Arial"/>
        </w:rPr>
        <w:t>Državni zbor je 6. </w:t>
      </w:r>
      <w:r w:rsidR="005239F3">
        <w:rPr>
          <w:rFonts w:cs="Arial"/>
        </w:rPr>
        <w:t>4.</w:t>
      </w:r>
      <w:r w:rsidRPr="00F425EA">
        <w:rPr>
          <w:rFonts w:cs="Arial"/>
        </w:rPr>
        <w:t xml:space="preserve"> 2022 sprejel Zakon o upravljanju javnega potniškega prometa (v nadaljevanju besedila: ZUJPP), ki določa, da se za upravljanje z javnim potniškim prometom </w:t>
      </w:r>
      <w:r w:rsidRPr="00F425EA">
        <w:rPr>
          <w:rFonts w:cs="Arial"/>
          <w:b/>
          <w:bCs/>
        </w:rPr>
        <w:t>ustanovi Družba za upravljanje javnega potniškega prometa</w:t>
      </w:r>
      <w:r w:rsidRPr="00F425EA">
        <w:rPr>
          <w:rFonts w:cs="Arial"/>
        </w:rPr>
        <w:t xml:space="preserve"> (v nadaljevanju besedila: DUJPP). </w:t>
      </w:r>
    </w:p>
    <w:p w14:paraId="37E517F6" w14:textId="77777777" w:rsidR="000E7A5A" w:rsidRPr="00F425EA" w:rsidRDefault="000E7A5A" w:rsidP="00E247FF">
      <w:pPr>
        <w:spacing w:after="0" w:line="276" w:lineRule="auto"/>
        <w:jc w:val="both"/>
        <w:rPr>
          <w:rFonts w:eastAsia="SimSun" w:cs="Arial"/>
          <w:color w:val="000000"/>
        </w:rPr>
      </w:pPr>
    </w:p>
    <w:p w14:paraId="6AD507CA" w14:textId="0BB14883" w:rsidR="000E7A5A" w:rsidRDefault="00306071" w:rsidP="00E247FF">
      <w:pPr>
        <w:spacing w:after="0" w:line="276" w:lineRule="auto"/>
        <w:jc w:val="both"/>
        <w:rPr>
          <w:rFonts w:cs="Arial"/>
        </w:rPr>
      </w:pPr>
      <w:r w:rsidRPr="00F425EA">
        <w:rPr>
          <w:rFonts w:cs="Arial"/>
        </w:rPr>
        <w:t xml:space="preserve">DUJPP je bil ustanovljen jeseni 2022, oktobra 2023 je z Republiko Slovenijo podpisal krovno pogodbo o ureditvi medsebojnih razmerij ter prevzel upravljanje železniškega potniškega prometa. Izvedel je tudi </w:t>
      </w:r>
      <w:r w:rsidRPr="00F425EA">
        <w:rPr>
          <w:rFonts w:cs="Arial"/>
        </w:rPr>
        <w:lastRenderedPageBreak/>
        <w:t>priprave za začetek izvajanja novih koncesij na področju medkrajevnega linijskega avtobusnega prevoza potnikov. Njihovo upravljanje je prevzel s 1.</w:t>
      </w:r>
      <w:r w:rsidR="00234C38">
        <w:rPr>
          <w:rFonts w:cs="Arial"/>
        </w:rPr>
        <w:t xml:space="preserve"> </w:t>
      </w:r>
      <w:r w:rsidRPr="00F425EA">
        <w:rPr>
          <w:rFonts w:cs="Arial"/>
        </w:rPr>
        <w:t>7.</w:t>
      </w:r>
      <w:r w:rsidR="00234C38">
        <w:rPr>
          <w:rFonts w:cs="Arial"/>
        </w:rPr>
        <w:t xml:space="preserve"> </w:t>
      </w:r>
      <w:r w:rsidRPr="00F425EA">
        <w:rPr>
          <w:rFonts w:cs="Arial"/>
        </w:rPr>
        <w:t xml:space="preserve">2024, ko so se začele izvajati. </w:t>
      </w:r>
    </w:p>
    <w:p w14:paraId="1B3359FE" w14:textId="77777777" w:rsidR="002329E4" w:rsidRPr="00F425EA" w:rsidRDefault="002329E4" w:rsidP="00E247FF">
      <w:pPr>
        <w:spacing w:after="0" w:line="276" w:lineRule="auto"/>
        <w:jc w:val="both"/>
        <w:rPr>
          <w:rFonts w:cs="Arial"/>
        </w:rPr>
      </w:pPr>
    </w:p>
    <w:p w14:paraId="43E07AC3" w14:textId="77777777" w:rsidR="000E7A5A" w:rsidRPr="00F425EA" w:rsidRDefault="00306071" w:rsidP="00827304">
      <w:pPr>
        <w:spacing w:after="0" w:line="276" w:lineRule="auto"/>
        <w:jc w:val="both"/>
        <w:rPr>
          <w:rFonts w:cs="Arial"/>
        </w:rPr>
      </w:pPr>
      <w:r w:rsidRPr="00F425EA">
        <w:rPr>
          <w:rFonts w:eastAsia="Calibri" w:cs="Arial"/>
          <w:color w:val="000000"/>
        </w:rPr>
        <w:t>Družba ima ključno nalogo pri upravljanju in integraciji obvezne gospodarske javne službe javni linijski prevoz potnikov v notranjem cestnem prometu in gospodarske javne službe železniškega linijskega prometa, vse z namenom uveljavitve javnega potniškega prevoza kot stroškovno učinkovite atraktivne drugim oblikam prevoza. Ključno vlogo bo igral pri nadaljnjem usklajevanju voznih redov, integraciji različnih vrst javnega potniškega prometa, vzpostavitvi mobilnosti kot storitve, modernizaciji sistema JPP v S</w:t>
      </w:r>
      <w:r w:rsidRPr="00F425EA">
        <w:rPr>
          <w:rFonts w:cs="Arial"/>
        </w:rPr>
        <w:t>l</w:t>
      </w:r>
      <w:r w:rsidRPr="00F425EA">
        <w:rPr>
          <w:rFonts w:eastAsia="Calibri" w:cs="Arial"/>
          <w:color w:val="000000"/>
        </w:rPr>
        <w:t>oveniji, uvedbo različnih plačilnih možnosti itd. Ustanovitev in polno delovanje DUJPP je bil tudi eden izmed mejnikov v okviru Načrta za okrevanje in odpornost.</w:t>
      </w:r>
    </w:p>
    <w:p w14:paraId="15D25253" w14:textId="77777777" w:rsidR="000E7A5A" w:rsidRPr="00F425EA" w:rsidRDefault="00306071" w:rsidP="00E247FF">
      <w:pPr>
        <w:autoSpaceDE w:val="0"/>
        <w:spacing w:after="0" w:line="276" w:lineRule="auto"/>
        <w:rPr>
          <w:rFonts w:cs="Arial"/>
          <w:i/>
          <w:iCs/>
          <w:color w:val="000000"/>
        </w:rPr>
      </w:pPr>
      <w:r w:rsidRPr="00F425EA">
        <w:rPr>
          <w:rFonts w:cs="Arial"/>
          <w:i/>
          <w:iCs/>
          <w:color w:val="000000"/>
        </w:rPr>
        <w:t xml:space="preserve"> </w:t>
      </w:r>
    </w:p>
    <w:p w14:paraId="40ACF891" w14:textId="77777777" w:rsidR="000E7A5A" w:rsidRPr="00F425EA" w:rsidRDefault="00306071" w:rsidP="00E76A87">
      <w:pPr>
        <w:pStyle w:val="Naslov3"/>
      </w:pPr>
      <w:bookmarkStart w:id="2638" w:name="_Toc1671829701"/>
      <w:bookmarkStart w:id="2639" w:name="_Toc276336766"/>
      <w:bookmarkStart w:id="2640" w:name="_Toc2300831"/>
      <w:bookmarkStart w:id="2641" w:name="_Toc1486528050"/>
      <w:bookmarkStart w:id="2642" w:name="_Toc1648456834"/>
      <w:bookmarkStart w:id="2643" w:name="_Toc296297743"/>
      <w:bookmarkStart w:id="2644" w:name="_Toc1325972512"/>
      <w:bookmarkStart w:id="2645" w:name="_Toc1279358470"/>
      <w:bookmarkStart w:id="2646" w:name="_Toc212858377"/>
      <w:bookmarkStart w:id="2647" w:name="_Toc1861121982"/>
      <w:bookmarkStart w:id="2648" w:name="_Toc45387648"/>
      <w:bookmarkStart w:id="2649" w:name="_Toc1254095141"/>
      <w:bookmarkStart w:id="2650" w:name="_Toc1442676020"/>
      <w:bookmarkStart w:id="2651" w:name="_Toc1258701499"/>
      <w:bookmarkStart w:id="2652" w:name="_Toc1518027791"/>
      <w:bookmarkStart w:id="2653" w:name="_Toc216172923"/>
      <w:bookmarkStart w:id="2654" w:name="_Toc1374073940"/>
      <w:bookmarkStart w:id="2655" w:name="_Toc1410703801"/>
      <w:bookmarkStart w:id="2656" w:name="_Toc578330113"/>
      <w:bookmarkStart w:id="2657" w:name="_Toc1184109827"/>
      <w:bookmarkStart w:id="2658" w:name="_Toc20778432"/>
      <w:bookmarkStart w:id="2659" w:name="_Toc519171326"/>
      <w:bookmarkStart w:id="2660" w:name="_Toc966535198"/>
      <w:bookmarkStart w:id="2661" w:name="_Toc1707316756"/>
      <w:bookmarkStart w:id="2662" w:name="_Toc1636654100"/>
      <w:bookmarkStart w:id="2663" w:name="_Toc2088517823"/>
      <w:bookmarkStart w:id="2664" w:name="_Toc1990842043"/>
      <w:bookmarkStart w:id="2665" w:name="_Toc1333802056"/>
      <w:bookmarkStart w:id="2666" w:name="_Toc2004478941"/>
      <w:bookmarkStart w:id="2667" w:name="_Toc930682485"/>
      <w:bookmarkStart w:id="2668" w:name="_Toc2041923050"/>
      <w:bookmarkStart w:id="2669" w:name="_Toc1136936536"/>
      <w:bookmarkStart w:id="2670" w:name="_Toc829649878"/>
      <w:bookmarkStart w:id="2671" w:name="_Toc1954063498"/>
      <w:bookmarkStart w:id="2672" w:name="_Toc694725016"/>
      <w:bookmarkStart w:id="2673" w:name="_Toc1343676146"/>
      <w:bookmarkStart w:id="2674" w:name="_Toc1256122914"/>
      <w:bookmarkStart w:id="2675" w:name="_Toc6814901"/>
      <w:bookmarkStart w:id="2676" w:name="_Toc788864592"/>
      <w:bookmarkStart w:id="2677" w:name="_Toc1887372189"/>
      <w:bookmarkStart w:id="2678" w:name="_Toc667970584"/>
      <w:bookmarkStart w:id="2679" w:name="_Toc1769521286"/>
      <w:bookmarkStart w:id="2680" w:name="_Toc867850654"/>
      <w:bookmarkStart w:id="2681" w:name="_Toc1157106976"/>
      <w:bookmarkStart w:id="2682" w:name="_Toc1515346004"/>
      <w:bookmarkStart w:id="2683" w:name="_Toc483375014"/>
      <w:bookmarkStart w:id="2684" w:name="_Toc1321542017"/>
      <w:bookmarkStart w:id="2685" w:name="_Toc2025159990"/>
      <w:bookmarkStart w:id="2686" w:name="_Toc977152728"/>
      <w:bookmarkStart w:id="2687" w:name="_Toc1875634028"/>
      <w:bookmarkStart w:id="2688" w:name="_Toc1724257892"/>
      <w:bookmarkStart w:id="2689" w:name="_Toc1872738842"/>
      <w:bookmarkStart w:id="2690" w:name="_Toc1344357058"/>
      <w:bookmarkStart w:id="2691" w:name="_Toc468632349"/>
      <w:bookmarkStart w:id="2692" w:name="_Toc956248479"/>
      <w:bookmarkStart w:id="2693" w:name="_Toc1059966659"/>
      <w:bookmarkStart w:id="2694" w:name="_Toc1482073501"/>
      <w:bookmarkStart w:id="2695" w:name="_Toc1449712775"/>
      <w:bookmarkStart w:id="2696" w:name="_Toc439290633"/>
      <w:bookmarkStart w:id="2697" w:name="_Toc536211724"/>
      <w:bookmarkStart w:id="2698" w:name="_Toc1572630225"/>
      <w:bookmarkStart w:id="2699" w:name="_Toc1410591422"/>
      <w:bookmarkStart w:id="2700" w:name="_Toc334528922"/>
      <w:bookmarkStart w:id="2701" w:name="_Toc1079533418"/>
      <w:bookmarkStart w:id="2702" w:name="_Toc1810238348"/>
      <w:bookmarkStart w:id="2703" w:name="_Toc1346630308"/>
      <w:bookmarkStart w:id="2704" w:name="_Toc254600966"/>
      <w:bookmarkStart w:id="2705" w:name="_Toc676156022"/>
      <w:bookmarkStart w:id="2706" w:name="_Toc1521627372"/>
      <w:bookmarkStart w:id="2707" w:name="_Toc882258875"/>
      <w:bookmarkStart w:id="2708" w:name="_Toc1300338115"/>
      <w:bookmarkStart w:id="2709" w:name="_Toc1742926033"/>
      <w:bookmarkStart w:id="2710" w:name="_Toc354075109"/>
      <w:bookmarkStart w:id="2711" w:name="_Toc1289155501"/>
      <w:bookmarkStart w:id="2712" w:name="_Toc1858289329"/>
      <w:bookmarkStart w:id="2713" w:name="_Toc727542026"/>
      <w:bookmarkStart w:id="2714" w:name="_Toc1878208915"/>
      <w:bookmarkStart w:id="2715" w:name="_Toc594800528"/>
      <w:bookmarkStart w:id="2716" w:name="_Toc718458378"/>
      <w:bookmarkStart w:id="2717" w:name="_Toc150546915"/>
      <w:bookmarkStart w:id="2718" w:name="_Toc574403312"/>
      <w:bookmarkStart w:id="2719" w:name="_Toc1125231545"/>
      <w:bookmarkStart w:id="2720" w:name="_Toc922525590"/>
      <w:bookmarkStart w:id="2721" w:name="_Toc601532188"/>
      <w:bookmarkStart w:id="2722" w:name="_Toc187739354"/>
      <w:bookmarkStart w:id="2723" w:name="_Toc187740101"/>
      <w:bookmarkStart w:id="2724" w:name="_Toc192682008"/>
      <w:r w:rsidRPr="00F425EA">
        <w:t>3.2.2</w:t>
      </w:r>
      <w:r w:rsidRPr="00F425EA">
        <w:tab/>
      </w:r>
      <w:r w:rsidRPr="00F425EA">
        <w:tab/>
        <w:t>Uporaba trajnostnih prevoznih sredstev</w:t>
      </w:r>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r w:rsidRPr="00F425EA">
        <w:t xml:space="preserve"> </w:t>
      </w:r>
    </w:p>
    <w:p w14:paraId="46C8B847" w14:textId="77777777" w:rsidR="000E7A5A" w:rsidRPr="00F425EA" w:rsidRDefault="000E7A5A" w:rsidP="00E247FF">
      <w:pPr>
        <w:autoSpaceDE w:val="0"/>
        <w:spacing w:after="0" w:line="276" w:lineRule="auto"/>
        <w:rPr>
          <w:rFonts w:cs="Arial"/>
          <w:i/>
          <w:iCs/>
          <w:color w:val="000000"/>
        </w:rPr>
      </w:pPr>
    </w:p>
    <w:p w14:paraId="1D526153" w14:textId="77777777" w:rsidR="000E7A5A" w:rsidRDefault="00306071" w:rsidP="00827304">
      <w:pPr>
        <w:autoSpaceDE w:val="0"/>
        <w:spacing w:after="0" w:line="276" w:lineRule="auto"/>
        <w:jc w:val="both"/>
        <w:rPr>
          <w:rFonts w:cs="Arial"/>
          <w:color w:val="000000"/>
        </w:rPr>
      </w:pPr>
      <w:r w:rsidRPr="00F425EA">
        <w:rPr>
          <w:rFonts w:cs="Arial"/>
          <w:color w:val="000000"/>
        </w:rPr>
        <w:t>Slovenija je v letu 2023 sprejela Zakon o infrastrukturi za alternativna goriva in spodbujanju prehoda na alternativna goriva v prometu, katerega namen je prispevati k zmanjšanju emisij toplogrednih plinov in onesnaževal zraka iz prometa, povečanju deleža obnovljivih virov energije v prometu in spreminjanju strukture voznega parka vozil v cestnem prometu. Cilji so, da se vzpostavi gosta javno dostopna mreže kakovostne polnilne in oskrbovalne infrastrukture za alternativna goriva v prometu ter da se spodbuj</w:t>
      </w:r>
      <w:r w:rsidRPr="00F425EA">
        <w:rPr>
          <w:rFonts w:cs="Arial"/>
        </w:rPr>
        <w:t>a</w:t>
      </w:r>
      <w:r w:rsidRPr="00F425EA">
        <w:rPr>
          <w:rFonts w:cs="Arial"/>
          <w:color w:val="000000"/>
        </w:rPr>
        <w:t xml:space="preserve"> vzpostavitve zasebne polnilne in oskrbovalne infrastrukture. </w:t>
      </w:r>
    </w:p>
    <w:p w14:paraId="46840658" w14:textId="77777777" w:rsidR="00827304" w:rsidRPr="00F425EA" w:rsidRDefault="00827304" w:rsidP="00827304">
      <w:pPr>
        <w:autoSpaceDE w:val="0"/>
        <w:spacing w:after="0" w:line="276" w:lineRule="auto"/>
        <w:jc w:val="both"/>
        <w:rPr>
          <w:rFonts w:cs="Arial"/>
        </w:rPr>
      </w:pPr>
    </w:p>
    <w:p w14:paraId="20027DE7" w14:textId="5A0D82B2" w:rsidR="00827304" w:rsidRPr="00F425EA" w:rsidRDefault="00306071" w:rsidP="00827304">
      <w:pPr>
        <w:autoSpaceDE w:val="0"/>
        <w:spacing w:after="0" w:line="276" w:lineRule="auto"/>
        <w:jc w:val="both"/>
        <w:rPr>
          <w:rFonts w:cs="Arial"/>
          <w:color w:val="000000"/>
        </w:rPr>
      </w:pPr>
      <w:r w:rsidRPr="00F425EA">
        <w:rPr>
          <w:rFonts w:cs="Arial"/>
          <w:color w:val="000000"/>
        </w:rPr>
        <w:t>V ta namen je Ministrstvo za okolje, podnebje in energijo zagotovilo spodbude za pospešitev vzpostavitve potrebne polnilne in oskrbovalne infrastrukture ter za povečanje deleža vozil na alternativna goriva v voznem parku registriranih vozil v Republiki Sloveniji. Na področju vozil se izvajajo naslednje spodbude:</w:t>
      </w:r>
    </w:p>
    <w:p w14:paraId="6578EA03" w14:textId="77777777" w:rsidR="000E7A5A" w:rsidRPr="00F425EA" w:rsidRDefault="00306071" w:rsidP="009371A8">
      <w:pPr>
        <w:pStyle w:val="Odstavekseznama"/>
        <w:numPr>
          <w:ilvl w:val="0"/>
          <w:numId w:val="39"/>
        </w:numPr>
        <w:autoSpaceDE w:val="0"/>
        <w:spacing w:after="0" w:line="276" w:lineRule="auto"/>
        <w:ind w:left="426" w:hanging="284"/>
        <w:jc w:val="both"/>
        <w:rPr>
          <w:rFonts w:cs="Arial"/>
          <w:color w:val="000000"/>
        </w:rPr>
      </w:pPr>
      <w:r w:rsidRPr="00F425EA">
        <w:rPr>
          <w:rFonts w:cs="Arial"/>
          <w:color w:val="000000"/>
        </w:rPr>
        <w:t xml:space="preserve">nepovratna sredstva in krediti za nabavo novih in rabljenih </w:t>
      </w:r>
      <w:proofErr w:type="spellStart"/>
      <w:r w:rsidRPr="00F425EA">
        <w:rPr>
          <w:rFonts w:cs="Arial"/>
          <w:color w:val="000000"/>
        </w:rPr>
        <w:t>brezemisijskih</w:t>
      </w:r>
      <w:proofErr w:type="spellEnd"/>
      <w:r w:rsidRPr="00F425EA">
        <w:rPr>
          <w:rFonts w:cs="Arial"/>
          <w:color w:val="000000"/>
        </w:rPr>
        <w:t xml:space="preserve"> osebnih vozil in dvokolesnikov za pravne in fizične osebe;</w:t>
      </w:r>
    </w:p>
    <w:p w14:paraId="6AB65778" w14:textId="77777777" w:rsidR="000E7A5A" w:rsidRPr="00F425EA" w:rsidRDefault="00306071" w:rsidP="00E247FF">
      <w:pPr>
        <w:pStyle w:val="Odstavekseznama"/>
        <w:numPr>
          <w:ilvl w:val="0"/>
          <w:numId w:val="39"/>
        </w:numPr>
        <w:autoSpaceDE w:val="0"/>
        <w:spacing w:after="160" w:line="276" w:lineRule="auto"/>
        <w:ind w:left="426" w:hanging="284"/>
        <w:jc w:val="both"/>
        <w:rPr>
          <w:rFonts w:cs="Arial"/>
          <w:color w:val="000000"/>
        </w:rPr>
      </w:pPr>
      <w:r w:rsidRPr="00F425EA">
        <w:rPr>
          <w:rFonts w:cs="Arial"/>
          <w:color w:val="000000"/>
        </w:rPr>
        <w:t xml:space="preserve">nepovratna sredstva za nakup </w:t>
      </w:r>
      <w:proofErr w:type="spellStart"/>
      <w:r w:rsidRPr="00F425EA">
        <w:rPr>
          <w:rFonts w:cs="Arial"/>
          <w:color w:val="000000"/>
        </w:rPr>
        <w:t>brezemisijskih</w:t>
      </w:r>
      <w:proofErr w:type="spellEnd"/>
      <w:r w:rsidRPr="00F425EA">
        <w:rPr>
          <w:rFonts w:cs="Arial"/>
          <w:color w:val="000000"/>
        </w:rPr>
        <w:t xml:space="preserve"> avtobusov za mestni prevoz potnikov za občine;</w:t>
      </w:r>
    </w:p>
    <w:p w14:paraId="70468363" w14:textId="77777777" w:rsidR="000E7A5A" w:rsidRDefault="00306071" w:rsidP="00827304">
      <w:pPr>
        <w:pStyle w:val="Odstavekseznama"/>
        <w:numPr>
          <w:ilvl w:val="0"/>
          <w:numId w:val="39"/>
        </w:numPr>
        <w:autoSpaceDE w:val="0"/>
        <w:spacing w:after="0" w:line="276" w:lineRule="auto"/>
        <w:ind w:left="426" w:hanging="284"/>
        <w:jc w:val="both"/>
        <w:rPr>
          <w:rFonts w:cs="Arial"/>
          <w:color w:val="000000"/>
        </w:rPr>
      </w:pPr>
      <w:r w:rsidRPr="00F425EA">
        <w:rPr>
          <w:rFonts w:cs="Arial"/>
          <w:color w:val="000000"/>
        </w:rPr>
        <w:t>nepovratna sredstva za nakup električnih koles za fizične osebe.</w:t>
      </w:r>
    </w:p>
    <w:p w14:paraId="2ED3BACD" w14:textId="77777777" w:rsidR="00827304" w:rsidRPr="00F425EA" w:rsidRDefault="00827304" w:rsidP="00827304">
      <w:pPr>
        <w:pStyle w:val="Odstavekseznama"/>
        <w:autoSpaceDE w:val="0"/>
        <w:spacing w:after="0" w:line="276" w:lineRule="auto"/>
        <w:ind w:left="426"/>
        <w:jc w:val="both"/>
        <w:rPr>
          <w:rFonts w:cs="Arial"/>
          <w:color w:val="000000"/>
        </w:rPr>
      </w:pPr>
    </w:p>
    <w:p w14:paraId="09EE308D" w14:textId="3AD166FE" w:rsidR="00234C38" w:rsidRPr="00F425EA" w:rsidRDefault="00306071" w:rsidP="00827304">
      <w:pPr>
        <w:autoSpaceDE w:val="0"/>
        <w:spacing w:after="0" w:line="276" w:lineRule="auto"/>
        <w:jc w:val="both"/>
        <w:rPr>
          <w:rFonts w:cs="Arial"/>
          <w:color w:val="000000"/>
        </w:rPr>
      </w:pPr>
      <w:r w:rsidRPr="00F425EA">
        <w:rPr>
          <w:rFonts w:cs="Arial"/>
          <w:color w:val="000000"/>
        </w:rPr>
        <w:t>V pripravi pa so še spodbude za:</w:t>
      </w:r>
    </w:p>
    <w:p w14:paraId="078C6D71" w14:textId="77777777" w:rsidR="000E7A5A" w:rsidRPr="00F425EA" w:rsidRDefault="00306071" w:rsidP="00E247FF">
      <w:pPr>
        <w:pStyle w:val="Odstavekseznama"/>
        <w:numPr>
          <w:ilvl w:val="0"/>
          <w:numId w:val="40"/>
        </w:numPr>
        <w:autoSpaceDE w:val="0"/>
        <w:spacing w:after="160" w:line="276" w:lineRule="auto"/>
        <w:ind w:left="426" w:hanging="284"/>
        <w:jc w:val="both"/>
        <w:rPr>
          <w:rFonts w:cs="Arial"/>
          <w:color w:val="000000"/>
        </w:rPr>
      </w:pPr>
      <w:r w:rsidRPr="00F425EA">
        <w:rPr>
          <w:rFonts w:cs="Arial"/>
          <w:color w:val="000000"/>
        </w:rPr>
        <w:t xml:space="preserve">zasebno polnilno infrastrukturo običajne moči (počasno oz. pametno do 22 kW) za fizične osebe in podjetja, </w:t>
      </w:r>
    </w:p>
    <w:p w14:paraId="314F48F1" w14:textId="77777777" w:rsidR="000E7A5A" w:rsidRPr="00F425EA" w:rsidRDefault="00306071" w:rsidP="00E247FF">
      <w:pPr>
        <w:pStyle w:val="Odstavekseznama"/>
        <w:numPr>
          <w:ilvl w:val="0"/>
          <w:numId w:val="40"/>
        </w:numPr>
        <w:autoSpaceDE w:val="0"/>
        <w:spacing w:after="160" w:line="276" w:lineRule="auto"/>
        <w:ind w:left="426" w:hanging="284"/>
        <w:jc w:val="both"/>
        <w:rPr>
          <w:rFonts w:cs="Arial"/>
          <w:color w:val="000000"/>
        </w:rPr>
      </w:pPr>
      <w:r w:rsidRPr="00F425EA">
        <w:rPr>
          <w:rFonts w:cs="Arial"/>
          <w:color w:val="000000"/>
        </w:rPr>
        <w:t xml:space="preserve">hitro polnilno infrastrukturo (150 kW in več) ob avtocestah oz. omrežju TEN-T za lahka in težka vozila, </w:t>
      </w:r>
    </w:p>
    <w:p w14:paraId="49AE0491" w14:textId="77777777" w:rsidR="000E7A5A" w:rsidRPr="00F425EA" w:rsidRDefault="00306071" w:rsidP="00827304">
      <w:pPr>
        <w:pStyle w:val="Odstavekseznama"/>
        <w:numPr>
          <w:ilvl w:val="0"/>
          <w:numId w:val="40"/>
        </w:numPr>
        <w:autoSpaceDE w:val="0"/>
        <w:spacing w:after="0" w:line="276" w:lineRule="auto"/>
        <w:ind w:left="426" w:hanging="284"/>
        <w:jc w:val="both"/>
        <w:rPr>
          <w:rFonts w:cs="Arial"/>
          <w:color w:val="000000"/>
        </w:rPr>
      </w:pPr>
      <w:r w:rsidRPr="00F425EA">
        <w:rPr>
          <w:rFonts w:cs="Arial"/>
          <w:color w:val="000000"/>
        </w:rPr>
        <w:t>počasno in hitro polnilno infrastrukturo izven omrežja TEN-T.</w:t>
      </w:r>
    </w:p>
    <w:p w14:paraId="33F1FF4D" w14:textId="77777777" w:rsidR="000E7A5A" w:rsidRPr="00F425EA" w:rsidRDefault="000E7A5A" w:rsidP="00E247FF">
      <w:pPr>
        <w:autoSpaceDE w:val="0"/>
        <w:spacing w:after="0" w:line="276" w:lineRule="auto"/>
        <w:rPr>
          <w:rFonts w:cs="Arial"/>
          <w:color w:val="000000"/>
        </w:rPr>
      </w:pPr>
    </w:p>
    <w:p w14:paraId="65DBF188" w14:textId="77777777" w:rsidR="000E7A5A" w:rsidRPr="00F425EA" w:rsidRDefault="00306071" w:rsidP="00E76A87">
      <w:pPr>
        <w:pStyle w:val="Naslov3"/>
      </w:pPr>
      <w:bookmarkStart w:id="2725" w:name="_Toc1442960"/>
      <w:bookmarkStart w:id="2726" w:name="_Toc1792518333"/>
      <w:bookmarkStart w:id="2727" w:name="_Toc2039960555"/>
      <w:bookmarkStart w:id="2728" w:name="_Toc1643918048"/>
      <w:bookmarkStart w:id="2729" w:name="_Toc85767826"/>
      <w:bookmarkStart w:id="2730" w:name="_Toc588435763"/>
      <w:bookmarkStart w:id="2731" w:name="_Toc1983536722"/>
      <w:bookmarkStart w:id="2732" w:name="_Toc2013802419"/>
      <w:bookmarkStart w:id="2733" w:name="_Toc1897845752"/>
      <w:bookmarkStart w:id="2734" w:name="_Toc1467420576"/>
      <w:bookmarkStart w:id="2735" w:name="_Toc1058220066"/>
      <w:bookmarkStart w:id="2736" w:name="_Toc1675823137"/>
      <w:bookmarkStart w:id="2737" w:name="_Toc2047648468"/>
      <w:bookmarkStart w:id="2738" w:name="_Toc969890849"/>
      <w:bookmarkStart w:id="2739" w:name="_Toc362434531"/>
      <w:bookmarkStart w:id="2740" w:name="_Toc1671750053"/>
      <w:bookmarkStart w:id="2741" w:name="_Toc906037580"/>
      <w:bookmarkStart w:id="2742" w:name="_Toc1073281238"/>
      <w:bookmarkStart w:id="2743" w:name="_Toc1149502529"/>
      <w:bookmarkStart w:id="2744" w:name="_Toc181758987"/>
      <w:bookmarkStart w:id="2745" w:name="_Toc2007196514"/>
      <w:bookmarkStart w:id="2746" w:name="_Toc1875256138"/>
      <w:bookmarkStart w:id="2747" w:name="_Toc562651145"/>
      <w:bookmarkStart w:id="2748" w:name="_Toc642904403"/>
      <w:bookmarkStart w:id="2749" w:name="_Toc1979617520"/>
      <w:bookmarkStart w:id="2750" w:name="_Toc1805225057"/>
      <w:bookmarkStart w:id="2751" w:name="_Toc1809279797"/>
      <w:bookmarkStart w:id="2752" w:name="_Toc1392261642"/>
      <w:bookmarkStart w:id="2753" w:name="_Toc1896840962"/>
      <w:bookmarkStart w:id="2754" w:name="_Toc1061017235"/>
      <w:bookmarkStart w:id="2755" w:name="_Toc930710332"/>
      <w:bookmarkStart w:id="2756" w:name="_Toc1187388342"/>
      <w:bookmarkStart w:id="2757" w:name="_Toc1690608591"/>
      <w:bookmarkStart w:id="2758" w:name="_Toc1912791896"/>
      <w:bookmarkStart w:id="2759" w:name="_Toc1773016282"/>
      <w:bookmarkStart w:id="2760" w:name="_Toc1634109422"/>
      <w:bookmarkStart w:id="2761" w:name="_Toc1222199105"/>
      <w:bookmarkStart w:id="2762" w:name="_Toc1370988540"/>
      <w:bookmarkStart w:id="2763" w:name="_Toc89031711"/>
      <w:bookmarkStart w:id="2764" w:name="_Toc1266137658"/>
      <w:bookmarkStart w:id="2765" w:name="_Toc263439325"/>
      <w:bookmarkStart w:id="2766" w:name="_Toc1224307017"/>
      <w:bookmarkStart w:id="2767" w:name="_Toc1852278973"/>
      <w:bookmarkStart w:id="2768" w:name="_Toc262226571"/>
      <w:bookmarkStart w:id="2769" w:name="_Toc755960889"/>
      <w:bookmarkStart w:id="2770" w:name="_Toc435309532"/>
      <w:bookmarkStart w:id="2771" w:name="_Toc19656012"/>
      <w:bookmarkStart w:id="2772" w:name="_Toc1410289848"/>
      <w:bookmarkStart w:id="2773" w:name="_Toc584262353"/>
      <w:bookmarkStart w:id="2774" w:name="_Toc1904680073"/>
      <w:bookmarkStart w:id="2775" w:name="_Toc1096654037"/>
      <w:bookmarkStart w:id="2776" w:name="_Toc1814906584"/>
      <w:bookmarkStart w:id="2777" w:name="_Toc739048842"/>
      <w:bookmarkStart w:id="2778" w:name="_Toc1621899429"/>
      <w:bookmarkStart w:id="2779" w:name="_Toc1269677483"/>
      <w:bookmarkStart w:id="2780" w:name="_Toc1548262544"/>
      <w:bookmarkStart w:id="2781" w:name="_Toc1361068208"/>
      <w:bookmarkStart w:id="2782" w:name="_Toc1689791995"/>
      <w:bookmarkStart w:id="2783" w:name="_Toc329900076"/>
      <w:bookmarkStart w:id="2784" w:name="_Toc911064363"/>
      <w:bookmarkStart w:id="2785" w:name="_Toc1359800691"/>
      <w:bookmarkStart w:id="2786" w:name="_Toc228661366"/>
      <w:bookmarkStart w:id="2787" w:name="_Toc368114704"/>
      <w:bookmarkStart w:id="2788" w:name="_Toc2034893408"/>
      <w:bookmarkStart w:id="2789" w:name="_Toc1350171286"/>
      <w:bookmarkStart w:id="2790" w:name="_Toc1016519610"/>
      <w:bookmarkStart w:id="2791" w:name="_Toc1084726992"/>
      <w:bookmarkStart w:id="2792" w:name="_Toc2146253416"/>
      <w:bookmarkStart w:id="2793" w:name="_Toc1111012781"/>
      <w:bookmarkStart w:id="2794" w:name="_Toc1901369531"/>
      <w:bookmarkStart w:id="2795" w:name="_Toc757510987"/>
      <w:bookmarkStart w:id="2796" w:name="_Toc424018640"/>
      <w:bookmarkStart w:id="2797" w:name="_Toc777093312"/>
      <w:bookmarkStart w:id="2798" w:name="_Toc1811450630"/>
      <w:bookmarkStart w:id="2799" w:name="_Toc658427135"/>
      <w:bookmarkStart w:id="2800" w:name="_Toc598344739"/>
      <w:bookmarkStart w:id="2801" w:name="_Toc818836162"/>
      <w:bookmarkStart w:id="2802" w:name="_Toc110278103"/>
      <w:bookmarkStart w:id="2803" w:name="_Toc1633993315"/>
      <w:bookmarkStart w:id="2804" w:name="_Toc1930207229"/>
      <w:bookmarkStart w:id="2805" w:name="_Toc961526230"/>
      <w:bookmarkStart w:id="2806" w:name="_Toc677541323"/>
      <w:bookmarkStart w:id="2807" w:name="_Toc608724537"/>
      <w:bookmarkStart w:id="2808" w:name="_Toc2134241469"/>
      <w:bookmarkStart w:id="2809" w:name="_Toc187739355"/>
      <w:bookmarkStart w:id="2810" w:name="_Toc187740102"/>
      <w:bookmarkStart w:id="2811" w:name="_Toc192682009"/>
      <w:r w:rsidRPr="00F425EA">
        <w:t>3.2.3</w:t>
      </w:r>
      <w:r w:rsidRPr="00F425EA">
        <w:tab/>
        <w:t>Morebitni ukrepi za zmanjšanje odvisnosti od osebnih avtomobilov z namenom doseganja cilja EU glede zmanjšanja porabe končne energije za 11,7 % do leta 2030</w:t>
      </w:r>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r w:rsidRPr="00F425EA">
        <w:t xml:space="preserve"> </w:t>
      </w:r>
    </w:p>
    <w:p w14:paraId="41CDCFF7" w14:textId="77777777" w:rsidR="000E7A5A" w:rsidRPr="00F425EA" w:rsidRDefault="000E7A5A" w:rsidP="00827304">
      <w:pPr>
        <w:spacing w:after="0" w:line="276" w:lineRule="auto"/>
        <w:rPr>
          <w:rFonts w:cs="Arial"/>
          <w:color w:val="000000"/>
          <w:szCs w:val="20"/>
        </w:rPr>
      </w:pPr>
    </w:p>
    <w:p w14:paraId="0FAFFD3E" w14:textId="77777777" w:rsidR="000E7A5A" w:rsidRDefault="00306071" w:rsidP="00827304">
      <w:pPr>
        <w:spacing w:after="0" w:line="276" w:lineRule="auto"/>
        <w:jc w:val="both"/>
        <w:rPr>
          <w:rFonts w:cs="Arial"/>
        </w:rPr>
      </w:pPr>
      <w:r w:rsidRPr="00F425EA">
        <w:rPr>
          <w:rFonts w:cs="Arial"/>
        </w:rPr>
        <w:t>Slovenija s predvidenimi sredstvi načrtuje finančne spodbude za regije in občine za načrtovanje trajnostne mobilnosti v mestih in za izvedbo infrastrukture za trajnostno mobilnost v skupnem znesku 147,7 milijona evrov. Namen financiranja ukrepov za trajnostno mobilnost je priprava strateških načrtov prometa na ravni občin in regij (občinske in regionalne celostne prometne strategije) ter izboljšanje infrastrukturnih pogojev za trajnostne oblike mobilnosti.</w:t>
      </w:r>
    </w:p>
    <w:p w14:paraId="72A2D071" w14:textId="77777777" w:rsidR="00827304" w:rsidRPr="00F425EA" w:rsidRDefault="00827304" w:rsidP="00827304">
      <w:pPr>
        <w:spacing w:after="0" w:line="276" w:lineRule="auto"/>
        <w:jc w:val="both"/>
        <w:rPr>
          <w:rFonts w:cs="Arial"/>
        </w:rPr>
      </w:pPr>
    </w:p>
    <w:p w14:paraId="6D92E413" w14:textId="77777777" w:rsidR="000E7A5A" w:rsidRPr="00F425EA" w:rsidRDefault="00306071" w:rsidP="00827304">
      <w:pPr>
        <w:spacing w:after="0" w:line="276" w:lineRule="auto"/>
        <w:jc w:val="both"/>
        <w:rPr>
          <w:rFonts w:eastAsia="SimSun" w:cs="Arial"/>
          <w:color w:val="000000"/>
        </w:rPr>
      </w:pPr>
      <w:r w:rsidRPr="00F425EA">
        <w:rPr>
          <w:rFonts w:eastAsia="SimSun" w:cs="Arial"/>
          <w:color w:val="000000"/>
        </w:rPr>
        <w:t>Slovenija bo v okviru uresničevanja prednostnih nalog Trajnostna mobilnost v mestih in Trajnostna (med)regionalna mobilnost in povezljivost spodbujala naložbe v izgradnjo in prilagoditev infrastrukture za trajnostne načine prevoza, kot so: namenski pasovi za javni potniški promet in infrastruktura prestopnih točk med različnimi oblikami mobilnosti ter gradnja in prenova infrastrukture za pešce. Nadaljevala se bo promocija gradnje visokokakovostnih ločenih kolesarskih površin in druge kolesarske infrastrukture, vključno z infrastrukturo za polnjenje e-koles.</w:t>
      </w:r>
    </w:p>
    <w:p w14:paraId="3744A1B7" w14:textId="77777777" w:rsidR="000E7A5A" w:rsidRPr="00F425EA" w:rsidRDefault="000E7A5A" w:rsidP="00E247FF">
      <w:pPr>
        <w:spacing w:after="0" w:line="276" w:lineRule="auto"/>
        <w:jc w:val="both"/>
        <w:rPr>
          <w:rFonts w:eastAsia="SimSun" w:cs="Arial"/>
          <w:color w:val="000000"/>
        </w:rPr>
      </w:pPr>
    </w:p>
    <w:p w14:paraId="5EFCCA36" w14:textId="77777777" w:rsidR="000E7A5A" w:rsidRPr="00F425EA" w:rsidRDefault="00306071" w:rsidP="00E247FF">
      <w:pPr>
        <w:spacing w:after="0" w:line="276" w:lineRule="auto"/>
        <w:jc w:val="both"/>
        <w:rPr>
          <w:rFonts w:eastAsia="SimSun" w:cs="Arial"/>
          <w:color w:val="000000"/>
        </w:rPr>
      </w:pPr>
      <w:r w:rsidRPr="00F425EA">
        <w:rPr>
          <w:rFonts w:eastAsia="SimSun" w:cs="Arial"/>
          <w:color w:val="000000"/>
        </w:rPr>
        <w:t>Ob posodobitvi ali novi gradnji infrastrukture, ki bi morala tudi spremeniti potovalne navade potnikov, je treba javnost ustrezno obvestiti o izboljšani ponudbi, izobraževati in spodbujati k spremembam. Spremembe bodo ustrezno načrtovane na strateški ravni z najširšo možno vključenostjo javnosti, saj je to prvi korak k družbenim spremembam. Zato se bo nadaljeval in poglabljal tudi proces celostnega prometnega načrtovanja ter povezovanja prometnega in prostorskega načrtovanja na vseh ravneh.</w:t>
      </w:r>
    </w:p>
    <w:p w14:paraId="22E66691" w14:textId="77777777" w:rsidR="000E7A5A" w:rsidRPr="00F425EA" w:rsidRDefault="000E7A5A" w:rsidP="00E247FF">
      <w:pPr>
        <w:spacing w:after="0" w:line="276" w:lineRule="auto"/>
        <w:jc w:val="both"/>
        <w:rPr>
          <w:rFonts w:eastAsia="SimSun" w:cs="Arial"/>
          <w:color w:val="000000"/>
        </w:rPr>
      </w:pPr>
    </w:p>
    <w:p w14:paraId="06B36066" w14:textId="6D459A9A" w:rsidR="000E7A5A" w:rsidRDefault="00306071" w:rsidP="002E0407">
      <w:pPr>
        <w:spacing w:after="0" w:line="276" w:lineRule="auto"/>
        <w:jc w:val="both"/>
        <w:rPr>
          <w:rFonts w:eastAsia="SimSun" w:cs="Arial"/>
          <w:color w:val="000000"/>
        </w:rPr>
      </w:pPr>
      <w:r w:rsidRPr="00F425EA">
        <w:rPr>
          <w:rFonts w:eastAsia="SimSun" w:cs="Arial"/>
          <w:color w:val="000000"/>
        </w:rPr>
        <w:t xml:space="preserve">Hkrati se v Sloveniji gradi nova in nadgrajuje obstoječa železniška infrastruktura ter izgrajuje regionalno kolesarsko omrežje, kar predstavlja komplementaren ukrep prej opisanim ukrepom, s skupnim ciljem vzpostaviti mrežo medsebojno povezanih različnih oblik trajnostne mobilnosti (hoja, kolesarjenje, </w:t>
      </w:r>
      <w:proofErr w:type="spellStart"/>
      <w:r w:rsidRPr="00F425EA">
        <w:rPr>
          <w:rFonts w:eastAsia="SimSun" w:cs="Arial"/>
          <w:color w:val="000000"/>
        </w:rPr>
        <w:t>brezemisijska</w:t>
      </w:r>
      <w:proofErr w:type="spellEnd"/>
      <w:r w:rsidRPr="00F425EA">
        <w:rPr>
          <w:rFonts w:eastAsia="SimSun" w:cs="Arial"/>
          <w:color w:val="000000"/>
        </w:rPr>
        <w:t xml:space="preserve"> mobilnost z ustrezno polnilno infrastrukturo, mreža JPP), ki bo lahko v prihodnjih letih časovno in finančno konkurirala prevozu z osebnim avtomobilom. Ukrepi ozaveščanja in spremembe navad se bodo kombinirali s strateškim načrtovalskim pristopom na področju trajnostne mobilnosti (celostne prometne strategije na ravni države, regij in občin) ter vzpostavitvijo ustrezne infrastrukture za trajnostne oblike mobilnosti, s čimer načrtujemo prispevek k zmanjšanju porabe končne energije v prometu.</w:t>
      </w:r>
      <w:bookmarkStart w:id="2812" w:name="_Toc58762342"/>
      <w:bookmarkStart w:id="2813" w:name="_Toc557998584"/>
      <w:bookmarkStart w:id="2814" w:name="_Toc1025865544"/>
      <w:bookmarkStart w:id="2815" w:name="_Toc821553341"/>
      <w:bookmarkStart w:id="2816" w:name="_Toc1052257369"/>
      <w:bookmarkStart w:id="2817" w:name="_Toc284668022"/>
      <w:bookmarkStart w:id="2818" w:name="_Toc1085203932"/>
      <w:bookmarkStart w:id="2819" w:name="_Toc1238478582"/>
      <w:bookmarkStart w:id="2820" w:name="_Toc313784440"/>
      <w:bookmarkStart w:id="2821" w:name="_Toc113085067"/>
      <w:bookmarkStart w:id="2822" w:name="_Toc1197599457"/>
      <w:bookmarkStart w:id="2823" w:name="_Toc645952397"/>
      <w:bookmarkStart w:id="2824" w:name="_Toc472407768"/>
      <w:bookmarkStart w:id="2825" w:name="_Toc1980661704"/>
      <w:bookmarkStart w:id="2826" w:name="_Toc1950618276"/>
      <w:bookmarkStart w:id="2827" w:name="_Toc2081433581"/>
      <w:bookmarkStart w:id="2828" w:name="_Toc394296715"/>
      <w:bookmarkStart w:id="2829" w:name="_Toc1896739696"/>
      <w:bookmarkStart w:id="2830" w:name="_Toc1643318209"/>
      <w:bookmarkStart w:id="2831" w:name="_Toc1757321666"/>
      <w:bookmarkStart w:id="2832" w:name="_Toc1226563427"/>
      <w:bookmarkStart w:id="2833" w:name="_Toc1616842038"/>
      <w:bookmarkStart w:id="2834" w:name="_Toc1056147096"/>
      <w:bookmarkStart w:id="2835" w:name="_Toc849373033"/>
      <w:bookmarkStart w:id="2836" w:name="_Toc1130595434"/>
      <w:bookmarkStart w:id="2837" w:name="_Toc865889839"/>
      <w:bookmarkStart w:id="2838" w:name="_Toc604678103"/>
      <w:bookmarkStart w:id="2839" w:name="_Toc911578897"/>
      <w:bookmarkStart w:id="2840" w:name="_Toc235844356"/>
      <w:bookmarkStart w:id="2841" w:name="_Toc785485263"/>
      <w:bookmarkStart w:id="2842" w:name="_Toc1076261924"/>
      <w:bookmarkStart w:id="2843" w:name="_Toc776883380"/>
      <w:bookmarkStart w:id="2844" w:name="_Toc1076299875"/>
      <w:bookmarkStart w:id="2845" w:name="_Toc2115704316"/>
      <w:bookmarkStart w:id="2846" w:name="_Toc383346165"/>
      <w:bookmarkStart w:id="2847" w:name="_Toc1352117993"/>
      <w:bookmarkStart w:id="2848" w:name="_Toc853535680"/>
      <w:bookmarkStart w:id="2849" w:name="_Toc2032395302"/>
      <w:bookmarkStart w:id="2850" w:name="_Toc181546716"/>
      <w:bookmarkStart w:id="2851" w:name="_Toc505654685"/>
      <w:bookmarkStart w:id="2852" w:name="_Toc912804717"/>
      <w:bookmarkStart w:id="2853" w:name="_Toc503868442"/>
      <w:bookmarkStart w:id="2854" w:name="_Toc926894414"/>
      <w:bookmarkStart w:id="2855" w:name="_Toc327473882"/>
      <w:bookmarkStart w:id="2856" w:name="_Toc31810162"/>
      <w:bookmarkStart w:id="2857" w:name="_Toc1930332209"/>
      <w:bookmarkStart w:id="2858" w:name="_Toc1647564255"/>
      <w:bookmarkStart w:id="2859" w:name="_Toc132731740"/>
      <w:bookmarkStart w:id="2860" w:name="_Toc2076625323"/>
      <w:bookmarkStart w:id="2861" w:name="_Toc1350205405"/>
      <w:bookmarkStart w:id="2862" w:name="_Toc1442452862"/>
      <w:bookmarkStart w:id="2863" w:name="_Toc865733780"/>
      <w:bookmarkStart w:id="2864" w:name="_Toc642335353"/>
      <w:bookmarkStart w:id="2865" w:name="_Toc1308985264"/>
      <w:bookmarkStart w:id="2866" w:name="_Toc2128192352"/>
      <w:bookmarkStart w:id="2867" w:name="_Toc295885681"/>
      <w:bookmarkStart w:id="2868" w:name="_Toc568158439"/>
      <w:bookmarkStart w:id="2869" w:name="_Toc844732981"/>
      <w:bookmarkStart w:id="2870" w:name="_Toc938856402"/>
      <w:bookmarkStart w:id="2871" w:name="_Toc164916975"/>
      <w:bookmarkStart w:id="2872" w:name="_Toc1425256997"/>
      <w:bookmarkStart w:id="2873" w:name="_Toc1228599609"/>
      <w:bookmarkStart w:id="2874" w:name="_Toc1476640213"/>
      <w:bookmarkStart w:id="2875" w:name="_Toc187009806"/>
      <w:bookmarkStart w:id="2876" w:name="_Toc500797428"/>
      <w:bookmarkStart w:id="2877" w:name="_Toc254846336"/>
      <w:bookmarkStart w:id="2878" w:name="_Toc226038791"/>
      <w:bookmarkStart w:id="2879" w:name="_Toc1772813293"/>
      <w:bookmarkStart w:id="2880" w:name="_Toc663937233"/>
      <w:bookmarkStart w:id="2881" w:name="_Toc600281532"/>
      <w:bookmarkStart w:id="2882" w:name="_Toc1263729360"/>
      <w:bookmarkStart w:id="2883" w:name="_Toc941316792"/>
      <w:bookmarkStart w:id="2884" w:name="_Toc563702265"/>
      <w:bookmarkStart w:id="2885" w:name="_Toc593538974"/>
      <w:bookmarkStart w:id="2886" w:name="_Toc451550350"/>
      <w:bookmarkStart w:id="2887" w:name="_Toc824343323"/>
      <w:bookmarkStart w:id="2888" w:name="_Toc1185286435"/>
      <w:bookmarkStart w:id="2889" w:name="_Toc756436616"/>
      <w:bookmarkStart w:id="2890" w:name="_Toc513951732"/>
      <w:bookmarkStart w:id="2891" w:name="_Toc354394663"/>
      <w:bookmarkStart w:id="2892" w:name="_Toc1749480931"/>
      <w:bookmarkStart w:id="2893" w:name="_Toc1431293802"/>
      <w:bookmarkStart w:id="2894" w:name="_Toc1183548651"/>
      <w:bookmarkStart w:id="2895" w:name="_Toc1892483133"/>
    </w:p>
    <w:p w14:paraId="4D7F537C" w14:textId="77777777" w:rsidR="002E0407" w:rsidRPr="00F425EA" w:rsidRDefault="002E0407" w:rsidP="002E0407">
      <w:pPr>
        <w:spacing w:after="0" w:line="276" w:lineRule="auto"/>
        <w:jc w:val="both"/>
        <w:rPr>
          <w:rFonts w:cs="Arial"/>
        </w:rPr>
      </w:pPr>
    </w:p>
    <w:p w14:paraId="2A85DF74" w14:textId="6F992507" w:rsidR="000E7A5A" w:rsidRPr="00F425EA" w:rsidRDefault="00306071" w:rsidP="000B2C28">
      <w:pPr>
        <w:pStyle w:val="Naslov2"/>
      </w:pPr>
      <w:bookmarkStart w:id="2896" w:name="_Toc187739356"/>
      <w:bookmarkStart w:id="2897" w:name="_Toc187740103"/>
      <w:bookmarkStart w:id="2898" w:name="_Toc192682010"/>
      <w:r w:rsidRPr="00F425EA">
        <w:rPr>
          <w:rStyle w:val="Neenpoudarek"/>
          <w:rFonts w:cs="Arial"/>
          <w:i w:val="0"/>
          <w:iCs w:val="0"/>
          <w:color w:val="2E74B5"/>
        </w:rPr>
        <w:t>3.3</w:t>
      </w:r>
      <w:r w:rsidRPr="00F425EA">
        <w:tab/>
      </w:r>
      <w:r w:rsidR="005A12CC" w:rsidRPr="00F425EA">
        <w:t>OBMOČNA NAČRTA SKLADA ZA PRAVIČEN PREHOD - SPODBUJANJE »IZSTOPA IZ PREMOGA«</w:t>
      </w:r>
      <w:bookmarkEnd w:id="2896"/>
      <w:bookmarkEnd w:id="2897"/>
      <w:bookmarkEnd w:id="2898"/>
      <w:r w:rsidR="005A12CC" w:rsidRPr="00F425EA">
        <w:t xml:space="preserve"> </w:t>
      </w:r>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p>
    <w:p w14:paraId="4013E083" w14:textId="77777777" w:rsidR="00827304" w:rsidRDefault="00827304" w:rsidP="00827304">
      <w:pPr>
        <w:spacing w:after="0" w:line="276" w:lineRule="auto"/>
        <w:jc w:val="both"/>
        <w:rPr>
          <w:rFonts w:cs="Arial"/>
        </w:rPr>
      </w:pPr>
    </w:p>
    <w:p w14:paraId="0AF13D65" w14:textId="0C980C13" w:rsidR="000E7A5A" w:rsidRPr="00F425EA" w:rsidRDefault="00306071" w:rsidP="00827304">
      <w:pPr>
        <w:spacing w:after="0" w:line="276" w:lineRule="auto"/>
        <w:jc w:val="both"/>
        <w:rPr>
          <w:rFonts w:cs="Arial"/>
        </w:rPr>
      </w:pPr>
      <w:r w:rsidRPr="00F425EA">
        <w:rPr>
          <w:rFonts w:cs="Arial"/>
        </w:rPr>
        <w:t>Kljub podobnim zgodovinskim ter socialno-ekonomskim temeljem se premogovni regiji Zasavje in SAŠA med seboj bistveno razlikujeta predvsem glede na fazo izstopa iz premoga. Medtem ko je Zasavska regija glavnino premogovniških dejavnosti v preteklem obdobju že opustila in se danes kljub visokim investiranim (tranzicijskim) sredstvom še vedno sooča s številnimi socialno-ekonomskimi izzivi, SAŠA regija v tranzicijski proces opuščanja premoga šele vstopa.</w:t>
      </w:r>
    </w:p>
    <w:p w14:paraId="63CD022A" w14:textId="77777777" w:rsidR="000E7A5A" w:rsidRPr="00F425EA" w:rsidRDefault="000E7A5A" w:rsidP="00827304">
      <w:pPr>
        <w:spacing w:after="0" w:line="276" w:lineRule="auto"/>
        <w:jc w:val="both"/>
        <w:rPr>
          <w:rFonts w:cs="Arial"/>
        </w:rPr>
      </w:pPr>
    </w:p>
    <w:p w14:paraId="4AD8E11F" w14:textId="77777777" w:rsidR="000E7A5A" w:rsidRPr="00F425EA" w:rsidRDefault="00306071" w:rsidP="00827304">
      <w:pPr>
        <w:spacing w:after="0" w:line="276" w:lineRule="auto"/>
        <w:jc w:val="both"/>
        <w:rPr>
          <w:rFonts w:cs="Arial"/>
        </w:rPr>
      </w:pPr>
      <w:r w:rsidRPr="00F425EA">
        <w:rPr>
          <w:rFonts w:cs="Arial"/>
        </w:rPr>
        <w:t>Vlada RS je v letu 2022 sprejela Strategijo za izstop iz premoga za območje obeh premogovnih regij, Savinjsko-šaleško (v nadaljevanju: SAŠA) in Zasavsko območje. V njej je pripravljena podrobnejša analiza potreb za štiri identificirana področja: energetiko, področje človeških virov in vzpostavitve socialne infrastrukture, gospodarstvo ter okolje.</w:t>
      </w:r>
    </w:p>
    <w:p w14:paraId="7D413042" w14:textId="6F7D879B" w:rsidR="000E7A5A" w:rsidRPr="00F425EA" w:rsidRDefault="000E7A5A" w:rsidP="00827304">
      <w:pPr>
        <w:spacing w:after="0" w:line="276" w:lineRule="auto"/>
        <w:jc w:val="both"/>
        <w:rPr>
          <w:rFonts w:cs="Arial"/>
        </w:rPr>
      </w:pPr>
    </w:p>
    <w:p w14:paraId="48E5578D" w14:textId="77777777" w:rsidR="000E7A5A" w:rsidRPr="00F425EA" w:rsidRDefault="00306071" w:rsidP="00827304">
      <w:pPr>
        <w:spacing w:after="0" w:line="276" w:lineRule="auto"/>
        <w:jc w:val="both"/>
        <w:rPr>
          <w:rFonts w:cs="Arial"/>
        </w:rPr>
      </w:pPr>
      <w:r w:rsidRPr="00F425EA">
        <w:rPr>
          <w:rFonts w:cs="Arial"/>
        </w:rPr>
        <w:t>Na tej osnovi sta pripravljena območna načrta za pravični prehod (v nadaljevanju: ONPP) obeh regij, ki določata vrste predvidenih operacij za doseganje ciljev, ki so opredeljeni glede na evidentirane razvojne potrebe.</w:t>
      </w:r>
    </w:p>
    <w:p w14:paraId="215C9491" w14:textId="77777777" w:rsidR="000E7A5A" w:rsidRPr="00F425EA" w:rsidRDefault="000E7A5A" w:rsidP="00827304">
      <w:pPr>
        <w:spacing w:after="0" w:line="276" w:lineRule="auto"/>
        <w:jc w:val="both"/>
        <w:rPr>
          <w:rFonts w:cs="Arial"/>
        </w:rPr>
      </w:pPr>
    </w:p>
    <w:p w14:paraId="2BCD9E5A" w14:textId="535BC778" w:rsidR="00234C38" w:rsidRPr="00F425EA" w:rsidRDefault="00306071" w:rsidP="00234C38">
      <w:pPr>
        <w:spacing w:after="0" w:line="276" w:lineRule="auto"/>
        <w:jc w:val="both"/>
        <w:rPr>
          <w:rFonts w:cs="Arial"/>
        </w:rPr>
      </w:pPr>
      <w:r w:rsidRPr="00F425EA">
        <w:rPr>
          <w:rFonts w:cs="Arial"/>
        </w:rPr>
        <w:t>Na eni strani so ukrepi Območnega načrta za pravični prehod premogovne regije Zasavje osredotočeni zlasti na:</w:t>
      </w:r>
    </w:p>
    <w:p w14:paraId="0ABFE9A0" w14:textId="5E5ABDC8" w:rsidR="000E7A5A" w:rsidRPr="00F425EA" w:rsidRDefault="00306071" w:rsidP="00234C38">
      <w:pPr>
        <w:numPr>
          <w:ilvl w:val="0"/>
          <w:numId w:val="41"/>
        </w:numPr>
        <w:spacing w:after="0" w:line="276" w:lineRule="auto"/>
        <w:ind w:left="709" w:hanging="283"/>
        <w:jc w:val="both"/>
        <w:rPr>
          <w:rFonts w:cs="Arial"/>
        </w:rPr>
      </w:pPr>
      <w:r w:rsidRPr="00F425EA">
        <w:rPr>
          <w:rFonts w:cs="Arial"/>
        </w:rPr>
        <w:t>Razogljičenje regije, kar bo prispevalo k zmanjševanju emisij toplogrednih plinov, hkrati pa prispevalo k ustvarjanju novih, zelenih delovnih mest oziroma prestrukturiranju obstoječih kompetenc za področje trajnostne rabe energije (7</w:t>
      </w:r>
      <w:r w:rsidR="00AE50C5">
        <w:rPr>
          <w:rFonts w:cs="Arial"/>
        </w:rPr>
        <w:t xml:space="preserve"> </w:t>
      </w:r>
      <w:r w:rsidRPr="00F425EA">
        <w:rPr>
          <w:rFonts w:cs="Arial"/>
        </w:rPr>
        <w:t>% alokacija sredstev);</w:t>
      </w:r>
    </w:p>
    <w:p w14:paraId="7F7265EE" w14:textId="5A2F8157" w:rsidR="000E7A5A" w:rsidRPr="00F425EA" w:rsidRDefault="00306071" w:rsidP="00234C38">
      <w:pPr>
        <w:numPr>
          <w:ilvl w:val="0"/>
          <w:numId w:val="41"/>
        </w:numPr>
        <w:spacing w:after="0" w:line="276" w:lineRule="auto"/>
        <w:ind w:left="709" w:hanging="283"/>
        <w:jc w:val="both"/>
        <w:rPr>
          <w:rFonts w:cs="Arial"/>
        </w:rPr>
      </w:pPr>
      <w:bookmarkStart w:id="2899" w:name="_Hlk183252727"/>
      <w:r w:rsidRPr="00F425EA">
        <w:rPr>
          <w:rFonts w:cs="Arial"/>
        </w:rPr>
        <w:t>Trajnostni, prožni in raznolik gospodarski razvoj</w:t>
      </w:r>
      <w:bookmarkEnd w:id="2899"/>
      <w:r w:rsidRPr="00F425EA">
        <w:rPr>
          <w:rFonts w:cs="Arial"/>
        </w:rPr>
        <w:t xml:space="preserve">: načrtovana kombinacija ukrepov za doseganje tega strateškega cilja bo usmerjena v gospodarsko prestrukturiranje regije v smeri prehoda v </w:t>
      </w:r>
      <w:proofErr w:type="spellStart"/>
      <w:r w:rsidRPr="00F425EA">
        <w:rPr>
          <w:rFonts w:cs="Arial"/>
        </w:rPr>
        <w:t>nizkoogljično</w:t>
      </w:r>
      <w:proofErr w:type="spellEnd"/>
      <w:r w:rsidRPr="00F425EA">
        <w:rPr>
          <w:rFonts w:cs="Arial"/>
        </w:rPr>
        <w:t>, krožno, digitalizirano gospodarstvo (89</w:t>
      </w:r>
      <w:r w:rsidR="00AE50C5">
        <w:rPr>
          <w:rFonts w:cs="Arial"/>
        </w:rPr>
        <w:t xml:space="preserve"> </w:t>
      </w:r>
      <w:r w:rsidRPr="00F425EA">
        <w:rPr>
          <w:rFonts w:cs="Arial"/>
        </w:rPr>
        <w:t>% alokacija sredstev);</w:t>
      </w:r>
    </w:p>
    <w:p w14:paraId="62BD4E40" w14:textId="6B81BEB8" w:rsidR="000E7A5A" w:rsidRPr="00F425EA" w:rsidRDefault="00306071" w:rsidP="00234C38">
      <w:pPr>
        <w:numPr>
          <w:ilvl w:val="0"/>
          <w:numId w:val="41"/>
        </w:numPr>
        <w:spacing w:after="0" w:line="276" w:lineRule="auto"/>
        <w:ind w:left="709" w:hanging="283"/>
        <w:jc w:val="both"/>
        <w:rPr>
          <w:rFonts w:cs="Arial"/>
        </w:rPr>
      </w:pPr>
      <w:r w:rsidRPr="00F425EA">
        <w:rPr>
          <w:rFonts w:cs="Arial"/>
        </w:rPr>
        <w:t>Visoko motiviranje in usposobljenost prebivalcev: z ukrepi obogatenega izvajanja kakovostnega in dostopnega učenja ter uvajanja krožnih vsebin v VIZ ter ukrepi vseživljenjske karierne orientacije in usposabljanje brezposelnih ter iskalcev zaposlitev (4</w:t>
      </w:r>
      <w:r w:rsidR="00AE50C5">
        <w:rPr>
          <w:rFonts w:cs="Arial"/>
        </w:rPr>
        <w:t xml:space="preserve"> </w:t>
      </w:r>
      <w:r w:rsidRPr="00F425EA">
        <w:rPr>
          <w:rFonts w:cs="Arial"/>
        </w:rPr>
        <w:t>% alokacija sredstev).</w:t>
      </w:r>
    </w:p>
    <w:p w14:paraId="136FD195" w14:textId="77777777" w:rsidR="000E7A5A" w:rsidRPr="00F425EA" w:rsidRDefault="000E7A5A" w:rsidP="002E0407">
      <w:pPr>
        <w:spacing w:after="0" w:line="276" w:lineRule="auto"/>
        <w:jc w:val="both"/>
        <w:rPr>
          <w:rFonts w:cs="Arial"/>
        </w:rPr>
      </w:pPr>
    </w:p>
    <w:p w14:paraId="43C7FCEC" w14:textId="77777777" w:rsidR="000E7A5A" w:rsidRDefault="00306071" w:rsidP="00234C38">
      <w:pPr>
        <w:spacing w:after="0" w:line="276" w:lineRule="auto"/>
        <w:jc w:val="both"/>
        <w:rPr>
          <w:rFonts w:cs="Arial"/>
        </w:rPr>
      </w:pPr>
      <w:r w:rsidRPr="00F425EA">
        <w:rPr>
          <w:rFonts w:cs="Arial"/>
        </w:rPr>
        <w:t>Na drugi strani so ukrepi Območnega načrta za pravični prehod premogovne regije SAŠA osredotočeni zlasti na:</w:t>
      </w:r>
    </w:p>
    <w:p w14:paraId="627C7C9D" w14:textId="77777777" w:rsidR="00234C38" w:rsidRPr="00F425EA" w:rsidRDefault="00234C38" w:rsidP="00234C38">
      <w:pPr>
        <w:spacing w:after="0" w:line="276" w:lineRule="auto"/>
        <w:jc w:val="both"/>
        <w:rPr>
          <w:rFonts w:cs="Arial"/>
        </w:rPr>
      </w:pPr>
    </w:p>
    <w:p w14:paraId="6A3EC19F" w14:textId="6B7E8A0F" w:rsidR="000E7A5A" w:rsidRPr="00F425EA" w:rsidRDefault="00306071" w:rsidP="00234C38">
      <w:pPr>
        <w:numPr>
          <w:ilvl w:val="0"/>
          <w:numId w:val="42"/>
        </w:numPr>
        <w:spacing w:after="0" w:line="276" w:lineRule="auto"/>
        <w:ind w:left="709" w:hanging="283"/>
        <w:jc w:val="both"/>
        <w:rPr>
          <w:rFonts w:cs="Arial"/>
        </w:rPr>
      </w:pPr>
      <w:r w:rsidRPr="00F425EA">
        <w:rPr>
          <w:rFonts w:cs="Arial"/>
        </w:rPr>
        <w:lastRenderedPageBreak/>
        <w:t xml:space="preserve">Pravični energetski prehod oziroma </w:t>
      </w:r>
      <w:bookmarkStart w:id="2900" w:name="_Hlk183252880"/>
      <w:r w:rsidRPr="00F425EA">
        <w:rPr>
          <w:rFonts w:cs="Arial"/>
        </w:rPr>
        <w:t>celovito energetsko prestrukturiranje regije</w:t>
      </w:r>
      <w:bookmarkEnd w:id="2900"/>
      <w:r w:rsidRPr="00F425EA">
        <w:rPr>
          <w:rFonts w:cs="Arial"/>
        </w:rPr>
        <w:t>: najprej energetska učinkovitost za optimizacijo rabe energije, nato naložbe v OVE za zmanjšanje odvisnosti od fosilnih goriv ter povečanje odpornosti (29</w:t>
      </w:r>
      <w:r w:rsidR="00AE50C5">
        <w:rPr>
          <w:rFonts w:cs="Arial"/>
        </w:rPr>
        <w:t xml:space="preserve"> </w:t>
      </w:r>
      <w:r w:rsidRPr="00F425EA">
        <w:rPr>
          <w:rFonts w:cs="Arial"/>
        </w:rPr>
        <w:t>% alokacija sredstev);</w:t>
      </w:r>
    </w:p>
    <w:p w14:paraId="0496F371" w14:textId="70834CF8" w:rsidR="000E7A5A" w:rsidRPr="00F425EA" w:rsidRDefault="00306071" w:rsidP="00234C38">
      <w:pPr>
        <w:numPr>
          <w:ilvl w:val="0"/>
          <w:numId w:val="42"/>
        </w:numPr>
        <w:spacing w:after="0" w:line="276" w:lineRule="auto"/>
        <w:ind w:left="709" w:hanging="283"/>
        <w:jc w:val="both"/>
        <w:rPr>
          <w:rFonts w:cs="Arial"/>
        </w:rPr>
      </w:pPr>
      <w:r w:rsidRPr="00F425EA">
        <w:rPr>
          <w:rFonts w:cs="Arial"/>
        </w:rPr>
        <w:t>Zaposlitve in veščine za vse: z ukrepi obogatenega izvajanja kakovostnega in dostopnega učenja ter uvajanja krožnih vsebin v VIZ ter ukrepi vseživljenjske karierne orientacije in usposabljanje brezposelnih ter iskalcev zaposlitev (4</w:t>
      </w:r>
      <w:r w:rsidR="00AE50C5">
        <w:rPr>
          <w:rFonts w:cs="Arial"/>
        </w:rPr>
        <w:t xml:space="preserve"> </w:t>
      </w:r>
      <w:r w:rsidRPr="00F425EA">
        <w:rPr>
          <w:rFonts w:cs="Arial"/>
        </w:rPr>
        <w:t>% alokacija sredstev);</w:t>
      </w:r>
    </w:p>
    <w:p w14:paraId="2E05E123" w14:textId="782CB91B" w:rsidR="000E7A5A" w:rsidRPr="00F425EA" w:rsidRDefault="00306071" w:rsidP="00234C38">
      <w:pPr>
        <w:numPr>
          <w:ilvl w:val="0"/>
          <w:numId w:val="42"/>
        </w:numPr>
        <w:spacing w:after="0" w:line="276" w:lineRule="auto"/>
        <w:ind w:left="709" w:hanging="283"/>
        <w:jc w:val="both"/>
        <w:rPr>
          <w:rFonts w:cs="Arial"/>
        </w:rPr>
      </w:pPr>
      <w:r w:rsidRPr="00F425EA">
        <w:rPr>
          <w:rFonts w:cs="Arial"/>
        </w:rPr>
        <w:t xml:space="preserve">Trajnostni, prožni in raznolik gospodarski razvoj: z ukrepi diverzifikacije gospodarstva, s podporo novim in obstoječim industrijam v smeri prehoda na </w:t>
      </w:r>
      <w:proofErr w:type="spellStart"/>
      <w:r w:rsidRPr="00F425EA">
        <w:rPr>
          <w:rFonts w:cs="Arial"/>
        </w:rPr>
        <w:t>nizkoogljično</w:t>
      </w:r>
      <w:proofErr w:type="spellEnd"/>
      <w:r w:rsidRPr="00F425EA">
        <w:rPr>
          <w:rFonts w:cs="Arial"/>
        </w:rPr>
        <w:t xml:space="preserve"> gospodarstvo in podporno okolje za zagon podjetij in vlaganja v RRI (58</w:t>
      </w:r>
      <w:r w:rsidR="00AE50C5">
        <w:rPr>
          <w:rFonts w:cs="Arial"/>
        </w:rPr>
        <w:t xml:space="preserve"> </w:t>
      </w:r>
      <w:r w:rsidRPr="00F425EA">
        <w:rPr>
          <w:rFonts w:cs="Arial"/>
        </w:rPr>
        <w:t>% alokacija sredstev);</w:t>
      </w:r>
    </w:p>
    <w:p w14:paraId="329AC033" w14:textId="66C63A1E" w:rsidR="000E7A5A" w:rsidRPr="00F425EA" w:rsidRDefault="00306071" w:rsidP="00234C38">
      <w:pPr>
        <w:numPr>
          <w:ilvl w:val="0"/>
          <w:numId w:val="42"/>
        </w:numPr>
        <w:spacing w:after="0" w:line="276" w:lineRule="auto"/>
        <w:ind w:left="709" w:hanging="283"/>
        <w:jc w:val="both"/>
        <w:rPr>
          <w:rFonts w:cs="Arial"/>
        </w:rPr>
      </w:pPr>
      <w:bookmarkStart w:id="2901" w:name="_Hlk183252946"/>
      <w:r w:rsidRPr="00F425EA">
        <w:rPr>
          <w:rFonts w:cs="Arial"/>
        </w:rPr>
        <w:t xml:space="preserve">Razgradnjo in spremembo namena objektov, povezanih z rabo premoga </w:t>
      </w:r>
      <w:bookmarkEnd w:id="2901"/>
      <w:r w:rsidRPr="00F425EA">
        <w:rPr>
          <w:rFonts w:cs="Arial"/>
        </w:rPr>
        <w:t>(8</w:t>
      </w:r>
      <w:r w:rsidR="00AE50C5">
        <w:rPr>
          <w:rFonts w:cs="Arial"/>
        </w:rPr>
        <w:t xml:space="preserve"> </w:t>
      </w:r>
      <w:r w:rsidRPr="00F425EA">
        <w:rPr>
          <w:rFonts w:cs="Arial"/>
        </w:rPr>
        <w:t>% alokacija sredstev).</w:t>
      </w:r>
    </w:p>
    <w:p w14:paraId="75CC3F1D" w14:textId="77777777" w:rsidR="000E7A5A" w:rsidRPr="00F425EA" w:rsidRDefault="000E7A5A" w:rsidP="002E0407">
      <w:pPr>
        <w:spacing w:after="0" w:line="276" w:lineRule="auto"/>
        <w:jc w:val="both"/>
        <w:rPr>
          <w:rFonts w:cs="Arial"/>
        </w:rPr>
      </w:pPr>
    </w:p>
    <w:p w14:paraId="379E2C87" w14:textId="09762CC6" w:rsidR="000E7A5A" w:rsidRPr="00F425EA" w:rsidRDefault="00306071" w:rsidP="002E0407">
      <w:pPr>
        <w:spacing w:after="0" w:line="276" w:lineRule="auto"/>
        <w:jc w:val="both"/>
        <w:rPr>
          <w:rFonts w:cs="Arial"/>
        </w:rPr>
      </w:pPr>
      <w:r w:rsidRPr="00F425EA">
        <w:rPr>
          <w:rFonts w:cs="Arial"/>
        </w:rPr>
        <w:t>Ukrepi podpirajo ukrepe za doseganje ciljev NEPN ter Posodobljenega celovitega nacionalnega energetskega in podnebnega načrta - NEPN 2024, ki ga je Vlada RS sprejela 18.</w:t>
      </w:r>
      <w:r w:rsidR="00234C38">
        <w:rPr>
          <w:rFonts w:cs="Arial"/>
        </w:rPr>
        <w:t xml:space="preserve"> </w:t>
      </w:r>
      <w:r w:rsidRPr="00F425EA">
        <w:rPr>
          <w:rFonts w:cs="Arial"/>
        </w:rPr>
        <w:t>12.</w:t>
      </w:r>
      <w:r w:rsidR="00234C38">
        <w:rPr>
          <w:rFonts w:cs="Arial"/>
        </w:rPr>
        <w:t xml:space="preserve"> </w:t>
      </w:r>
      <w:r w:rsidRPr="00F425EA">
        <w:rPr>
          <w:rFonts w:cs="Arial"/>
        </w:rPr>
        <w:t>2024 ( ukrepi/instrumenti s področja energetske varnosti).</w:t>
      </w:r>
    </w:p>
    <w:p w14:paraId="4A1F0D96" w14:textId="319072AA" w:rsidR="000E7A5A" w:rsidRPr="00F425EA" w:rsidRDefault="000E7A5A" w:rsidP="002E0407">
      <w:pPr>
        <w:spacing w:after="0" w:line="276" w:lineRule="auto"/>
        <w:jc w:val="both"/>
        <w:rPr>
          <w:rFonts w:cs="Arial"/>
        </w:rPr>
      </w:pPr>
    </w:p>
    <w:p w14:paraId="24590577" w14:textId="77777777" w:rsidR="000E7A5A" w:rsidRDefault="00306071" w:rsidP="00827304">
      <w:pPr>
        <w:spacing w:after="0" w:line="276" w:lineRule="auto"/>
        <w:jc w:val="both"/>
        <w:rPr>
          <w:rFonts w:cs="Arial"/>
        </w:rPr>
      </w:pPr>
      <w:r w:rsidRPr="00F425EA">
        <w:rPr>
          <w:rFonts w:cs="Arial"/>
        </w:rPr>
        <w:t>NEPN 2024 predvideva tudi sprejem dveh zakonov za Savinjsko-šaleško regijo: Zakon o zapiranju Premogovnika Velenje in Zakon o prestrukturiranju Šaleško-Savinjske premogovne regije.</w:t>
      </w:r>
    </w:p>
    <w:p w14:paraId="795F3DDD" w14:textId="77777777" w:rsidR="00827304" w:rsidRPr="00F425EA" w:rsidRDefault="00827304" w:rsidP="00827304">
      <w:pPr>
        <w:spacing w:after="0" w:line="276" w:lineRule="auto"/>
        <w:jc w:val="both"/>
        <w:rPr>
          <w:rFonts w:cs="Arial"/>
        </w:rPr>
      </w:pPr>
    </w:p>
    <w:p w14:paraId="06337522" w14:textId="52D75C49" w:rsidR="000E7A5A" w:rsidRDefault="00306071" w:rsidP="00827304">
      <w:pPr>
        <w:spacing w:after="0" w:line="276" w:lineRule="auto"/>
        <w:jc w:val="both"/>
        <w:rPr>
          <w:rFonts w:cs="Arial"/>
        </w:rPr>
      </w:pPr>
      <w:r w:rsidRPr="00F425EA">
        <w:rPr>
          <w:rFonts w:cs="Arial"/>
        </w:rPr>
        <w:t>Vzporedno s tema dvema zakonoma je je bil pripravljen predlog Zakona o prehodnem financiranju pospešenega in pravičnega izstopa iz premoga, ki zagotavlja socialno varnost in zaščito delovnih mest zaposlenih v Premogovniku Velenje in Termoelektrarni Šoštanj ter ohranja pogoje za dostojno življenje prebivalcev Šaleške doline. Zakon o prehodnem financiranju pospešenega in pravičnega izstopa iz premoga bo Termoelektrarni Šoštanj (TEŠ) in Premogovniku Velenje (PV) omogočil nadaljnje obratovanje. V skladu z določbami zakona bo TEŠ od začetka leta 2025 do konca aprila 2027, torej tri kurilne sezone, izvajal gospodarsko javno službo zagotavljanja toplote za daljinsko ogrevanje v občinah Velenje in Šoštanj. Zakon, ki je stopil v veljavo 21.</w:t>
      </w:r>
      <w:r w:rsidR="00B82906">
        <w:rPr>
          <w:rFonts w:cs="Arial"/>
        </w:rPr>
        <w:t xml:space="preserve"> </w:t>
      </w:r>
      <w:r w:rsidRPr="00F425EA">
        <w:rPr>
          <w:rFonts w:cs="Arial"/>
        </w:rPr>
        <w:t>12.</w:t>
      </w:r>
      <w:r w:rsidR="00B82906">
        <w:rPr>
          <w:rFonts w:cs="Arial"/>
        </w:rPr>
        <w:t xml:space="preserve"> </w:t>
      </w:r>
      <w:r w:rsidRPr="00F425EA">
        <w:rPr>
          <w:rFonts w:cs="Arial"/>
        </w:rPr>
        <w:t xml:space="preserve">2024, tako zagotavlja premostitev do sprejema ukrepov za pravični izstop iz premoga ter prestrukturiranje regije in do vzpostavitve alternativnih virov za proizvodnjo toplote. </w:t>
      </w:r>
    </w:p>
    <w:p w14:paraId="505EF104" w14:textId="77777777" w:rsidR="00827304" w:rsidRPr="00F425EA" w:rsidRDefault="00827304" w:rsidP="00827304">
      <w:pPr>
        <w:spacing w:after="0" w:line="276" w:lineRule="auto"/>
        <w:jc w:val="both"/>
        <w:rPr>
          <w:rFonts w:cs="Arial"/>
        </w:rPr>
      </w:pPr>
    </w:p>
    <w:p w14:paraId="7F215717" w14:textId="77777777" w:rsidR="000E7A5A" w:rsidRPr="00F425EA" w:rsidRDefault="00306071" w:rsidP="00827304">
      <w:pPr>
        <w:spacing w:after="0" w:line="276" w:lineRule="auto"/>
        <w:jc w:val="both"/>
        <w:rPr>
          <w:rFonts w:cs="Arial"/>
        </w:rPr>
      </w:pPr>
      <w:r w:rsidRPr="00F425EA">
        <w:rPr>
          <w:rFonts w:cs="Arial"/>
        </w:rPr>
        <w:t>V vmesnem času se pospešeno in premišljeno pripravljata oba z NEPN 2024 in z Nacionalno strategijo za izstop iz premoga in prestrukturiranje premogovnih regij v skladu z načeli pravičnega prehoda predvidena zakona, ki sta ključna za preobrazbo Šaleške doline. To sta Zakon o postopnem zapiranju Premogovnika Velenje in Zakon o razvojnem prestrukturiranju Savinjsko-šaleške premogovne regije. Oba zakona sta v pripravi oz. usklajevanju; 25. 11.2024 se je zaključila javna obravnava osnutka Zakona o postopnem zapiranju Premogovnika Velenje, za Zakon o razvojnem prestrukturiranju Savinjsko-šaleške premogovne regije pa je bilo izvedeno prvo medresorsko usklajevanje v okviru delovne skupine.</w:t>
      </w:r>
    </w:p>
    <w:p w14:paraId="368D0E6C" w14:textId="0C72B439" w:rsidR="000E7A5A" w:rsidRDefault="00306071" w:rsidP="006620B6">
      <w:pPr>
        <w:spacing w:after="0" w:line="276" w:lineRule="auto"/>
        <w:jc w:val="both"/>
        <w:rPr>
          <w:rFonts w:cs="Arial"/>
        </w:rPr>
      </w:pPr>
      <w:r w:rsidRPr="00F425EA">
        <w:rPr>
          <w:rFonts w:cs="Arial"/>
        </w:rPr>
        <w:t>Na pobudo in v sodelovanju z regijama sta bili v letu 2024 pripravljeni sprememba ONPP SAŠA in sprememba ONPP Zasavje za zagotavljanje sinergij s projekti financirani v okviru instrumenta posojil za javni sektor (3. steber Mehanizma za pravični prehod). Spremembo PEKP 21</w:t>
      </w:r>
      <w:r w:rsidR="00234C38" w:rsidRPr="00F425EA">
        <w:rPr>
          <w:rFonts w:cs="Arial"/>
        </w:rPr>
        <w:t>–</w:t>
      </w:r>
      <w:r w:rsidRPr="00F425EA">
        <w:rPr>
          <w:rFonts w:cs="Arial"/>
        </w:rPr>
        <w:t>27 ter spremembi ONPP SAŠA in ONPP Zasavje je dne 22.</w:t>
      </w:r>
      <w:r w:rsidR="00234C38">
        <w:rPr>
          <w:rFonts w:cs="Arial"/>
        </w:rPr>
        <w:t xml:space="preserve"> </w:t>
      </w:r>
      <w:r w:rsidRPr="00F425EA">
        <w:rPr>
          <w:rFonts w:cs="Arial"/>
        </w:rPr>
        <w:t>11.</w:t>
      </w:r>
      <w:r w:rsidR="00234C38">
        <w:rPr>
          <w:rFonts w:cs="Arial"/>
        </w:rPr>
        <w:t xml:space="preserve"> </w:t>
      </w:r>
      <w:r w:rsidRPr="00F425EA">
        <w:rPr>
          <w:rFonts w:cs="Arial"/>
        </w:rPr>
        <w:t>2024 potrdila EK.</w:t>
      </w:r>
      <w:bookmarkStart w:id="2902" w:name="_Toc390104362"/>
      <w:bookmarkStart w:id="2903" w:name="_Toc159775070"/>
      <w:bookmarkStart w:id="2904" w:name="_Toc1334941943"/>
      <w:bookmarkStart w:id="2905" w:name="_Toc969157320"/>
      <w:bookmarkStart w:id="2906" w:name="_Toc1074592829"/>
      <w:bookmarkStart w:id="2907" w:name="_Toc921277422"/>
      <w:bookmarkStart w:id="2908" w:name="_Toc1536971196"/>
      <w:bookmarkStart w:id="2909" w:name="_Toc234044590"/>
      <w:bookmarkStart w:id="2910" w:name="_Toc727113216"/>
      <w:bookmarkStart w:id="2911" w:name="_Toc437711720"/>
      <w:bookmarkStart w:id="2912" w:name="_Toc69476801"/>
      <w:bookmarkStart w:id="2913" w:name="_Toc1830262817"/>
      <w:bookmarkStart w:id="2914" w:name="_Toc301201133"/>
      <w:bookmarkStart w:id="2915" w:name="_Toc288313026"/>
      <w:bookmarkStart w:id="2916" w:name="_Toc1623841803"/>
      <w:bookmarkStart w:id="2917" w:name="_Toc2132411274"/>
      <w:bookmarkStart w:id="2918" w:name="_Toc2106486208"/>
      <w:bookmarkStart w:id="2919" w:name="_Toc957144689"/>
      <w:bookmarkStart w:id="2920" w:name="_Toc659308607"/>
      <w:bookmarkStart w:id="2921" w:name="_Toc1631577812"/>
      <w:bookmarkStart w:id="2922" w:name="_Toc433376925"/>
      <w:bookmarkStart w:id="2923" w:name="_Toc274737666"/>
      <w:bookmarkStart w:id="2924" w:name="_Toc1409852997"/>
      <w:bookmarkStart w:id="2925" w:name="_Toc1268200235"/>
      <w:bookmarkStart w:id="2926" w:name="_Toc89186277"/>
      <w:bookmarkStart w:id="2927" w:name="_Toc1413109217"/>
      <w:bookmarkStart w:id="2928" w:name="_Toc1534737424"/>
      <w:bookmarkStart w:id="2929" w:name="_Toc2093024031"/>
      <w:bookmarkStart w:id="2930" w:name="_Toc433310201"/>
      <w:bookmarkStart w:id="2931" w:name="_Toc718075491"/>
      <w:bookmarkStart w:id="2932" w:name="_Toc114612292"/>
      <w:bookmarkStart w:id="2933" w:name="_Toc1354393085"/>
      <w:bookmarkStart w:id="2934" w:name="_Toc347645625"/>
      <w:bookmarkStart w:id="2935" w:name="_Toc230469305"/>
      <w:bookmarkStart w:id="2936" w:name="_Toc1571227362"/>
      <w:bookmarkStart w:id="2937" w:name="_Toc937560915"/>
      <w:bookmarkStart w:id="2938" w:name="_Toc299688172"/>
      <w:bookmarkStart w:id="2939" w:name="_Toc1170037966"/>
      <w:bookmarkStart w:id="2940" w:name="_Toc2098884102"/>
      <w:bookmarkStart w:id="2941" w:name="_Toc103851649"/>
      <w:bookmarkStart w:id="2942" w:name="_Toc1782658650"/>
      <w:bookmarkStart w:id="2943" w:name="_Toc241401479"/>
      <w:bookmarkStart w:id="2944" w:name="_Toc1061714005"/>
      <w:bookmarkStart w:id="2945" w:name="_Toc1942079403"/>
      <w:bookmarkStart w:id="2946" w:name="_Toc135853157"/>
      <w:bookmarkStart w:id="2947" w:name="_Toc933449256"/>
      <w:bookmarkStart w:id="2948" w:name="_Toc1225371979"/>
      <w:bookmarkStart w:id="2949" w:name="_Toc506298755"/>
      <w:bookmarkStart w:id="2950" w:name="_Toc1095289252"/>
      <w:bookmarkStart w:id="2951" w:name="_Toc1269822066"/>
      <w:bookmarkStart w:id="2952" w:name="_Toc1269752116"/>
      <w:bookmarkStart w:id="2953" w:name="_Toc729802475"/>
      <w:bookmarkStart w:id="2954" w:name="_Toc1070846947"/>
      <w:bookmarkStart w:id="2955" w:name="_Toc115717068"/>
      <w:bookmarkStart w:id="2956" w:name="_Toc608229812"/>
      <w:bookmarkStart w:id="2957" w:name="_Toc147963424"/>
      <w:bookmarkStart w:id="2958" w:name="_Toc832373327"/>
      <w:bookmarkStart w:id="2959" w:name="_Toc1647821210"/>
      <w:bookmarkStart w:id="2960" w:name="_Toc1362480876"/>
      <w:bookmarkStart w:id="2961" w:name="_Toc578224949"/>
      <w:bookmarkStart w:id="2962" w:name="_Toc1082313151"/>
      <w:bookmarkStart w:id="2963" w:name="_Toc941471047"/>
      <w:bookmarkStart w:id="2964" w:name="_Toc1200632401"/>
      <w:bookmarkStart w:id="2965" w:name="_Toc204518712"/>
      <w:bookmarkStart w:id="2966" w:name="_Toc561920078"/>
      <w:bookmarkStart w:id="2967" w:name="_Toc1880203015"/>
      <w:bookmarkStart w:id="2968" w:name="_Toc1576880949"/>
      <w:bookmarkStart w:id="2969" w:name="_Toc111156918"/>
      <w:bookmarkStart w:id="2970" w:name="_Toc1208071960"/>
      <w:bookmarkStart w:id="2971" w:name="_Toc591595398"/>
      <w:bookmarkStart w:id="2972" w:name="_Toc1085628711"/>
      <w:bookmarkStart w:id="2973" w:name="_Toc907372303"/>
      <w:bookmarkStart w:id="2974" w:name="_Toc331946639"/>
      <w:bookmarkStart w:id="2975" w:name="_Toc530846111"/>
      <w:bookmarkStart w:id="2976" w:name="_Toc1709534572"/>
      <w:bookmarkStart w:id="2977" w:name="_Toc149480858"/>
      <w:bookmarkStart w:id="2978" w:name="_Toc1175604708"/>
      <w:bookmarkStart w:id="2979" w:name="_Toc2095638750"/>
      <w:bookmarkStart w:id="2980" w:name="_Toc2041970525"/>
      <w:bookmarkStart w:id="2981" w:name="_Toc1511641035"/>
      <w:bookmarkStart w:id="2982" w:name="_Toc1244425584"/>
      <w:bookmarkStart w:id="2983" w:name="_Toc1826658469"/>
      <w:bookmarkStart w:id="2984" w:name="_Toc853204460"/>
      <w:bookmarkStart w:id="2985" w:name="_Toc72288465"/>
    </w:p>
    <w:p w14:paraId="2F2DAF98" w14:textId="77777777" w:rsidR="006620B6" w:rsidRPr="00F425EA" w:rsidRDefault="006620B6" w:rsidP="006620B6">
      <w:pPr>
        <w:spacing w:after="0" w:line="276" w:lineRule="auto"/>
        <w:jc w:val="both"/>
        <w:rPr>
          <w:rFonts w:cs="Arial"/>
        </w:rPr>
      </w:pPr>
    </w:p>
    <w:p w14:paraId="5C6F2764" w14:textId="3C611D3C" w:rsidR="000E7A5A" w:rsidRPr="00F425EA" w:rsidRDefault="00306071" w:rsidP="000B2C28">
      <w:pPr>
        <w:pStyle w:val="Naslov2"/>
      </w:pPr>
      <w:bookmarkStart w:id="2986" w:name="_Toc187739357"/>
      <w:bookmarkStart w:id="2987" w:name="_Toc187740104"/>
      <w:bookmarkStart w:id="2988" w:name="_Toc192682011"/>
      <w:r w:rsidRPr="00F425EA">
        <w:rPr>
          <w:rStyle w:val="Neenpoudarek"/>
          <w:rFonts w:cs="Arial"/>
          <w:i w:val="0"/>
          <w:iCs w:val="0"/>
          <w:color w:val="2E74B5"/>
        </w:rPr>
        <w:t>3.4</w:t>
      </w:r>
      <w:r w:rsidRPr="00F425EA">
        <w:tab/>
      </w:r>
      <w:bookmarkStart w:id="2989" w:name="_Hlk183167412"/>
      <w:r w:rsidR="005A12CC" w:rsidRPr="00F425EA">
        <w:t>JAVNO – ZASEBNO R&amp;D PARTNERSTVO ZA KREPITEV KONKURENČNOSTI DELA</w:t>
      </w:r>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9"/>
      <w:bookmarkEnd w:id="2988"/>
    </w:p>
    <w:p w14:paraId="3FBD6465" w14:textId="77777777" w:rsidR="00827304" w:rsidRDefault="00827304" w:rsidP="00827304">
      <w:pPr>
        <w:spacing w:after="0" w:line="276" w:lineRule="auto"/>
        <w:jc w:val="both"/>
        <w:rPr>
          <w:rFonts w:cs="Arial"/>
        </w:rPr>
      </w:pPr>
    </w:p>
    <w:p w14:paraId="51B9E3A8" w14:textId="67A1A82B" w:rsidR="000E7A5A" w:rsidRPr="00F425EA" w:rsidRDefault="00306071" w:rsidP="00827304">
      <w:pPr>
        <w:spacing w:after="0" w:line="276" w:lineRule="auto"/>
        <w:jc w:val="both"/>
        <w:rPr>
          <w:rFonts w:cs="Arial"/>
        </w:rPr>
      </w:pPr>
      <w:r w:rsidRPr="00F425EA">
        <w:rPr>
          <w:rFonts w:cs="Arial"/>
        </w:rPr>
        <w:t xml:space="preserve">Javno–zasebno partnerstvo za raziskave in razvoj je prepoznano kot pomemben ukrep za krepitev konkurenčnosti dela že v obstoječem PEKP 21–27, ki navaja obvezo izboljšati raziskovalni, razvojni in inovacijski ekosistem in zagotavljati vlaganja v RRI. V ta namen so </w:t>
      </w:r>
      <w:bookmarkStart w:id="2990" w:name="_Hlk183255692"/>
      <w:r w:rsidRPr="00F425EA">
        <w:rPr>
          <w:rFonts w:cs="Arial"/>
        </w:rPr>
        <w:t>sredstva v PEKP 21–27 namenjena krepitvi raziskovalne in inovacijske zmogljivosti ter uporabi naprednih tehnologij</w:t>
      </w:r>
      <w:bookmarkEnd w:id="2990"/>
      <w:r w:rsidRPr="00F425EA">
        <w:rPr>
          <w:rFonts w:cs="Arial"/>
        </w:rPr>
        <w:t xml:space="preserve">. V tem kontekstu je bila pripravljena nadgrajena </w:t>
      </w:r>
      <w:bookmarkStart w:id="2991" w:name="_Hlk183255895"/>
      <w:r w:rsidRPr="00F425EA">
        <w:rPr>
          <w:rFonts w:cs="Arial"/>
        </w:rPr>
        <w:t xml:space="preserve">Slovenska strategija trajnostne pametne specializacije (S5), ki usmerja ukrepe in sredstva specifičnega cilja RSO1.1. Razvoj in izboljšanje raziskovalne in inovacijske zmogljivosti ter uvajanje naprednih tehnologij na pripoznana prednostna S5. V kontekst spodbujanja javno-zasebnega </w:t>
      </w:r>
      <w:r w:rsidRPr="00F425EA">
        <w:rPr>
          <w:rFonts w:cs="Arial"/>
        </w:rPr>
        <w:lastRenderedPageBreak/>
        <w:t>R&amp;R partnerstva sodijo ukrepi, ki so usmerjeni na združevanje gospodarstva, institucij znanja ter lokalnih skupnosti in države ter drugih deležnikov inoviranja (</w:t>
      </w:r>
      <w:proofErr w:type="spellStart"/>
      <w:r w:rsidRPr="00F425EA">
        <w:rPr>
          <w:rFonts w:cs="Arial"/>
        </w:rPr>
        <w:t>petorna</w:t>
      </w:r>
      <w:proofErr w:type="spellEnd"/>
      <w:r w:rsidRPr="00F425EA">
        <w:rPr>
          <w:rFonts w:cs="Arial"/>
        </w:rPr>
        <w:t xml:space="preserve"> vijačnica) s pomočjo nadgradnje strateških razvojno inovacijskih partnerstev (SRIP</w:t>
      </w:r>
      <w:bookmarkEnd w:id="2991"/>
      <w:r w:rsidRPr="00F425EA">
        <w:rPr>
          <w:rFonts w:cs="Arial"/>
        </w:rPr>
        <w:t xml:space="preserve">). V nadaljevanju podajamo napredek na tem področju. </w:t>
      </w:r>
    </w:p>
    <w:p w14:paraId="635F757A" w14:textId="77777777" w:rsidR="000E7A5A" w:rsidRPr="00F425EA" w:rsidRDefault="000E7A5A" w:rsidP="00827304">
      <w:pPr>
        <w:spacing w:after="0" w:line="276" w:lineRule="auto"/>
        <w:jc w:val="both"/>
        <w:rPr>
          <w:rFonts w:cs="Arial"/>
        </w:rPr>
      </w:pPr>
    </w:p>
    <w:p w14:paraId="602AB42B" w14:textId="77777777" w:rsidR="000E7A5A" w:rsidRPr="00F425EA" w:rsidRDefault="00306071" w:rsidP="00827304">
      <w:pPr>
        <w:spacing w:after="0" w:line="276" w:lineRule="auto"/>
        <w:jc w:val="both"/>
        <w:rPr>
          <w:rFonts w:cs="Arial"/>
        </w:rPr>
      </w:pPr>
      <w:r w:rsidRPr="00F425EA">
        <w:rPr>
          <w:rFonts w:cs="Arial"/>
        </w:rPr>
        <w:t xml:space="preserve">S5 je eden od </w:t>
      </w:r>
      <w:proofErr w:type="spellStart"/>
      <w:r w:rsidRPr="00F425EA">
        <w:rPr>
          <w:rFonts w:cs="Arial"/>
        </w:rPr>
        <w:t>omogočitvenih</w:t>
      </w:r>
      <w:proofErr w:type="spellEnd"/>
      <w:r w:rsidRPr="00F425EA">
        <w:rPr>
          <w:rFonts w:cs="Arial"/>
        </w:rPr>
        <w:t xml:space="preserve"> pogojev, ki se neposredno nanaša na finančna sredstva Cilja politike 1 – Pametna Evropa, hkrati pa se povezuje tudi z novim skladom v tem programskem obdobju, t. i. Skladom za pravični prehod, kjer regulativa določa, da se sredstva tega Sklada in posledično projekti v Cilju politike 6 – Evropa za pravični prehod, navezujejo na vsebine S5. Posreden vpliv S5 pa se skozi uporabo inovacij (</w:t>
      </w:r>
      <w:proofErr w:type="spellStart"/>
      <w:r w:rsidRPr="00F425EA">
        <w:rPr>
          <w:rFonts w:cs="Arial"/>
        </w:rPr>
        <w:t>deployment</w:t>
      </w:r>
      <w:proofErr w:type="spellEnd"/>
      <w:r w:rsidRPr="00F425EA">
        <w:rPr>
          <w:rFonts w:cs="Arial"/>
        </w:rPr>
        <w:t xml:space="preserve">) izkazuje tudi na določenih relevantnih ukrepih znotraj prednostne naloge 3 PEKP 21–27 – Zelena preobrazba za podnebno nevtralnost ter prednostne naloge 6 – Znanja in spretnosti ter odzivni trg dela, zato je sprejem strategije pametne specializacije za posamezno regijo ali državo članico nujen. EK je zaradi pomanjkanja sodelovanja in vlaganj v skupne projekte gospodarstva na eni strani ter institucij na področju raziskav, razvoja in inovacij na drugi strani že v okviru programskega obdobja 2014–2020 predstavila koncept Strategije pametne specializacije (S3) z namenom spodbuditve in osredotočenja vlaganj držav in njihovih regij v raziskave in inovacije iz ESRR na področja, kjer imajo regije izkazane primerjalne prednosti. Namen te vzpodbude je bil podpreti regionalne/državne prioritete na področju raziskav, razvoja, inovacij in tehnološkega napredka preko </w:t>
      </w:r>
      <w:proofErr w:type="spellStart"/>
      <w:r w:rsidRPr="00F425EA">
        <w:rPr>
          <w:rFonts w:cs="Arial"/>
        </w:rPr>
        <w:t>t.i</w:t>
      </w:r>
      <w:proofErr w:type="spellEnd"/>
      <w:r w:rsidRPr="00F425EA">
        <w:rPr>
          <w:rFonts w:cs="Arial"/>
        </w:rPr>
        <w:t xml:space="preserve">. procesa podjetniškega odkrivanja. S3 si je tako pridobila mesto med strateškimi dokumenti, ki usmerjajo razvoj posameznih držav in regij ter sodelovanje med ključnimi kompetenčnimi akterji v evropskih verigah vrednosti, na ravni EU pa pridobiva na veljavi kot pomemben mehanizem za programiranje in izvajanje centraliziranih inštrumentov (npr. Obzorje </w:t>
      </w:r>
      <w:proofErr w:type="spellStart"/>
      <w:r w:rsidRPr="00F425EA">
        <w:rPr>
          <w:rFonts w:cs="Arial"/>
        </w:rPr>
        <w:t>Europe</w:t>
      </w:r>
      <w:proofErr w:type="spellEnd"/>
      <w:r w:rsidRPr="00F425EA">
        <w:rPr>
          <w:rFonts w:cs="Arial"/>
        </w:rPr>
        <w:t xml:space="preserve">, </w:t>
      </w:r>
      <w:proofErr w:type="spellStart"/>
      <w:r w:rsidRPr="00F425EA">
        <w:rPr>
          <w:rFonts w:cs="Arial"/>
        </w:rPr>
        <w:t>Interregional</w:t>
      </w:r>
      <w:proofErr w:type="spellEnd"/>
      <w:r w:rsidRPr="00F425EA">
        <w:rPr>
          <w:rFonts w:cs="Arial"/>
        </w:rPr>
        <w:t xml:space="preserve"> </w:t>
      </w:r>
      <w:proofErr w:type="spellStart"/>
      <w:r w:rsidRPr="00F425EA">
        <w:rPr>
          <w:rFonts w:cs="Arial"/>
        </w:rPr>
        <w:t>innovation</w:t>
      </w:r>
      <w:proofErr w:type="spellEnd"/>
      <w:r w:rsidRPr="00F425EA">
        <w:rPr>
          <w:rFonts w:cs="Arial"/>
        </w:rPr>
        <w:t xml:space="preserve"> </w:t>
      </w:r>
      <w:proofErr w:type="spellStart"/>
      <w:r w:rsidRPr="00F425EA">
        <w:rPr>
          <w:rFonts w:cs="Arial"/>
        </w:rPr>
        <w:t>Investment</w:t>
      </w:r>
      <w:proofErr w:type="spellEnd"/>
      <w:r w:rsidRPr="00F425EA">
        <w:rPr>
          <w:rFonts w:cs="Arial"/>
        </w:rPr>
        <w:t xml:space="preserve"> instrument idr.). Za konkurenčnost slovenskega gospodarstva, ki je z izvozno naravnanostjo odločilno vpeto v evropske verige vrednosti, je zato učinkovito upravljanje z S5 pomemben dejavnik.</w:t>
      </w:r>
    </w:p>
    <w:p w14:paraId="614EB035" w14:textId="77777777" w:rsidR="000E7A5A" w:rsidRPr="00F425EA" w:rsidRDefault="000E7A5A" w:rsidP="006620B6">
      <w:pPr>
        <w:spacing w:after="0" w:line="276" w:lineRule="auto"/>
        <w:jc w:val="both"/>
        <w:rPr>
          <w:rFonts w:cs="Arial"/>
        </w:rPr>
      </w:pPr>
    </w:p>
    <w:p w14:paraId="22CAD23F" w14:textId="31610FB5" w:rsidR="000E7A5A" w:rsidRPr="00F425EA" w:rsidRDefault="00306071" w:rsidP="00827304">
      <w:pPr>
        <w:spacing w:after="0" w:line="276" w:lineRule="auto"/>
        <w:jc w:val="both"/>
        <w:rPr>
          <w:rFonts w:cs="Arial"/>
        </w:rPr>
      </w:pPr>
      <w:r w:rsidRPr="00F425EA">
        <w:rPr>
          <w:rFonts w:cs="Arial"/>
        </w:rPr>
        <w:t>V programskem obdobju 2021–2027 si je nova Slovenska strategija pametne specializacije kot cilj določila dvojni prehod (</w:t>
      </w:r>
      <w:proofErr w:type="spellStart"/>
      <w:r w:rsidRPr="00F425EA">
        <w:rPr>
          <w:rFonts w:cs="Arial"/>
        </w:rPr>
        <w:t>Twin</w:t>
      </w:r>
      <w:proofErr w:type="spellEnd"/>
      <w:r w:rsidRPr="00F425EA">
        <w:rPr>
          <w:rFonts w:cs="Arial"/>
        </w:rPr>
        <w:t xml:space="preserve"> </w:t>
      </w:r>
      <w:proofErr w:type="spellStart"/>
      <w:r w:rsidRPr="00F425EA">
        <w:rPr>
          <w:rFonts w:cs="Arial"/>
        </w:rPr>
        <w:t>Transition</w:t>
      </w:r>
      <w:proofErr w:type="spellEnd"/>
      <w:r w:rsidRPr="00F425EA">
        <w:rPr>
          <w:rFonts w:cs="Arial"/>
        </w:rPr>
        <w:t>) z uporabo t.</w:t>
      </w:r>
      <w:r w:rsidR="00365DC9">
        <w:rPr>
          <w:rFonts w:cs="Arial"/>
        </w:rPr>
        <w:t xml:space="preserve"> </w:t>
      </w:r>
      <w:r w:rsidRPr="00F425EA">
        <w:rPr>
          <w:rFonts w:cs="Arial"/>
        </w:rPr>
        <w:t>i. »</w:t>
      </w:r>
      <w:proofErr w:type="spellStart"/>
      <w:r w:rsidRPr="00F425EA">
        <w:rPr>
          <w:rFonts w:cs="Arial"/>
        </w:rPr>
        <w:t>deeptech</w:t>
      </w:r>
      <w:proofErr w:type="spellEnd"/>
      <w:r w:rsidRPr="00F425EA">
        <w:rPr>
          <w:rFonts w:cs="Arial"/>
        </w:rPr>
        <w:t xml:space="preserve">« (globoke in integralne rabe </w:t>
      </w:r>
      <w:proofErr w:type="spellStart"/>
      <w:r w:rsidRPr="00F425EA">
        <w:rPr>
          <w:rFonts w:cs="Arial"/>
        </w:rPr>
        <w:t>omogočitvenih</w:t>
      </w:r>
      <w:proofErr w:type="spellEnd"/>
      <w:r w:rsidRPr="00F425EA">
        <w:rPr>
          <w:rFonts w:cs="Arial"/>
        </w:rPr>
        <w:t xml:space="preserve"> tehnologij in novih poslovnih modelov za razliko od plitke/</w:t>
      </w:r>
      <w:proofErr w:type="spellStart"/>
      <w:r w:rsidRPr="00F425EA">
        <w:rPr>
          <w:rFonts w:cs="Arial"/>
        </w:rPr>
        <w:t>shallow</w:t>
      </w:r>
      <w:proofErr w:type="spellEnd"/>
      <w:r w:rsidRPr="00F425EA">
        <w:rPr>
          <w:rFonts w:cs="Arial"/>
        </w:rPr>
        <w:t xml:space="preserve"> uvedbe parcialnih pristopov, »</w:t>
      </w:r>
      <w:proofErr w:type="spellStart"/>
      <w:r w:rsidRPr="00F425EA">
        <w:rPr>
          <w:rFonts w:cs="Arial"/>
        </w:rPr>
        <w:t>HiTech</w:t>
      </w:r>
      <w:proofErr w:type="spellEnd"/>
      <w:r w:rsidRPr="00F425EA">
        <w:rPr>
          <w:rFonts w:cs="Arial"/>
        </w:rPr>
        <w:t xml:space="preserve">«). Dvojni prehod razumemo kot inovativno, </w:t>
      </w:r>
      <w:proofErr w:type="spellStart"/>
      <w:r w:rsidRPr="00F425EA">
        <w:rPr>
          <w:rFonts w:cs="Arial"/>
        </w:rPr>
        <w:t>nizkoogljično</w:t>
      </w:r>
      <w:proofErr w:type="spellEnd"/>
      <w:r w:rsidRPr="00F425EA">
        <w:rPr>
          <w:rFonts w:cs="Arial"/>
        </w:rPr>
        <w:t>, digitalno in na znanju temelječo preobrazbo gospodarstva in družbe. S tem pametna specializacija dobiva trajnostni značaj in se uveljavlja pod kratico S5 (ang. »</w:t>
      </w:r>
      <w:proofErr w:type="spellStart"/>
      <w:r w:rsidRPr="00F425EA">
        <w:rPr>
          <w:rFonts w:cs="Arial"/>
        </w:rPr>
        <w:t>Slovenian</w:t>
      </w:r>
      <w:proofErr w:type="spellEnd"/>
      <w:r w:rsidRPr="00F425EA">
        <w:rPr>
          <w:rFonts w:cs="Arial"/>
        </w:rPr>
        <w:t xml:space="preserve"> </w:t>
      </w:r>
      <w:proofErr w:type="spellStart"/>
      <w:r w:rsidRPr="00F425EA">
        <w:rPr>
          <w:rFonts w:cs="Arial"/>
        </w:rPr>
        <w:t>Sustainable</w:t>
      </w:r>
      <w:proofErr w:type="spellEnd"/>
      <w:r w:rsidRPr="00F425EA">
        <w:rPr>
          <w:rFonts w:cs="Arial"/>
        </w:rPr>
        <w:t xml:space="preserve"> Smart </w:t>
      </w:r>
      <w:proofErr w:type="spellStart"/>
      <w:r w:rsidRPr="00F425EA">
        <w:rPr>
          <w:rFonts w:cs="Arial"/>
        </w:rPr>
        <w:t>Specialisation</w:t>
      </w:r>
      <w:proofErr w:type="spellEnd"/>
      <w:r w:rsidRPr="00F425EA">
        <w:rPr>
          <w:rFonts w:cs="Arial"/>
        </w:rPr>
        <w:t xml:space="preserve"> </w:t>
      </w:r>
      <w:proofErr w:type="spellStart"/>
      <w:r w:rsidRPr="00F425EA">
        <w:rPr>
          <w:rFonts w:cs="Arial"/>
        </w:rPr>
        <w:t>Strategy</w:t>
      </w:r>
      <w:proofErr w:type="spellEnd"/>
      <w:r w:rsidRPr="00F425EA">
        <w:rPr>
          <w:rFonts w:cs="Arial"/>
        </w:rPr>
        <w:t xml:space="preserve">«) ter predstavlja celovito in osrednjo podlago za del dodeljevanja sredstev v okviru ESRR znotraj cilja Pametna Evropa. </w:t>
      </w:r>
    </w:p>
    <w:p w14:paraId="59F0916D" w14:textId="77777777" w:rsidR="000E7A5A" w:rsidRPr="00F425EA" w:rsidRDefault="000E7A5A" w:rsidP="00827304">
      <w:pPr>
        <w:spacing w:after="0" w:line="276" w:lineRule="auto"/>
        <w:jc w:val="both"/>
        <w:rPr>
          <w:rFonts w:cs="Arial"/>
        </w:rPr>
      </w:pPr>
    </w:p>
    <w:p w14:paraId="59D0384C" w14:textId="69BEB355" w:rsidR="00234C38" w:rsidRPr="00F425EA" w:rsidRDefault="00306071" w:rsidP="00827304">
      <w:pPr>
        <w:spacing w:after="0" w:line="276" w:lineRule="auto"/>
        <w:jc w:val="both"/>
        <w:rPr>
          <w:rFonts w:cs="Arial"/>
        </w:rPr>
      </w:pPr>
      <w:r w:rsidRPr="00F425EA">
        <w:rPr>
          <w:rFonts w:cs="Arial"/>
        </w:rPr>
        <w:t>Strategija S5 je procesno vključevala tri osnovne faze nadgradnje iz S4 v S5:</w:t>
      </w:r>
    </w:p>
    <w:p w14:paraId="363271BA" w14:textId="77777777" w:rsidR="000E7A5A" w:rsidRPr="00F425EA" w:rsidRDefault="00306071" w:rsidP="00827304">
      <w:pPr>
        <w:numPr>
          <w:ilvl w:val="0"/>
          <w:numId w:val="43"/>
        </w:numPr>
        <w:spacing w:after="0" w:line="276" w:lineRule="auto"/>
        <w:ind w:left="709" w:hanging="283"/>
        <w:jc w:val="both"/>
        <w:rPr>
          <w:rFonts w:cs="Arial"/>
        </w:rPr>
      </w:pPr>
      <w:r w:rsidRPr="00F425EA">
        <w:rPr>
          <w:rFonts w:cs="Arial"/>
        </w:rPr>
        <w:t xml:space="preserve">uvodno srečanje s SRIP-i, </w:t>
      </w:r>
    </w:p>
    <w:p w14:paraId="4841AA63" w14:textId="77777777" w:rsidR="000E7A5A" w:rsidRPr="00F425EA" w:rsidRDefault="00306071" w:rsidP="00827304">
      <w:pPr>
        <w:numPr>
          <w:ilvl w:val="0"/>
          <w:numId w:val="43"/>
        </w:numPr>
        <w:spacing w:after="0" w:line="276" w:lineRule="auto"/>
        <w:ind w:left="709" w:hanging="283"/>
        <w:jc w:val="both"/>
        <w:rPr>
          <w:rFonts w:cs="Arial"/>
        </w:rPr>
      </w:pPr>
      <w:r w:rsidRPr="00F425EA">
        <w:rPr>
          <w:rFonts w:cs="Arial"/>
        </w:rPr>
        <w:t xml:space="preserve">dopolnitev akcijskih načrtov SRIP-ov in usklajevanje z resorji, </w:t>
      </w:r>
    </w:p>
    <w:p w14:paraId="1A326C30" w14:textId="77777777" w:rsidR="000E7A5A" w:rsidRPr="00F425EA" w:rsidRDefault="00306071" w:rsidP="00827304">
      <w:pPr>
        <w:numPr>
          <w:ilvl w:val="0"/>
          <w:numId w:val="43"/>
        </w:numPr>
        <w:spacing w:after="0" w:line="276" w:lineRule="auto"/>
        <w:ind w:left="709" w:hanging="283"/>
        <w:jc w:val="both"/>
        <w:rPr>
          <w:rFonts w:cs="Arial"/>
        </w:rPr>
      </w:pPr>
      <w:r w:rsidRPr="00F425EA">
        <w:rPr>
          <w:rFonts w:cs="Arial"/>
        </w:rPr>
        <w:t xml:space="preserve">posvetovanja z javnostjo. V posvetovanjih z javnostjo je na </w:t>
      </w:r>
      <w:proofErr w:type="spellStart"/>
      <w:r w:rsidRPr="00F425EA">
        <w:rPr>
          <w:rFonts w:cs="Arial"/>
        </w:rPr>
        <w:t>webinarjih</w:t>
      </w:r>
      <w:proofErr w:type="spellEnd"/>
      <w:r w:rsidRPr="00F425EA">
        <w:rPr>
          <w:rFonts w:cs="Arial"/>
        </w:rPr>
        <w:t xml:space="preserve"> sodelovalo skoraj 1000 zainteresiranih deležnikov. </w:t>
      </w:r>
    </w:p>
    <w:p w14:paraId="47265335" w14:textId="77777777" w:rsidR="00827304" w:rsidRDefault="00827304" w:rsidP="00827304">
      <w:pPr>
        <w:spacing w:after="0" w:line="276" w:lineRule="auto"/>
        <w:jc w:val="both"/>
        <w:rPr>
          <w:rFonts w:cs="Arial"/>
        </w:rPr>
      </w:pPr>
    </w:p>
    <w:p w14:paraId="1B6D2736" w14:textId="1C8F791F" w:rsidR="000E7A5A" w:rsidRDefault="00306071" w:rsidP="006620B6">
      <w:pPr>
        <w:spacing w:after="0" w:line="276" w:lineRule="auto"/>
        <w:jc w:val="both"/>
        <w:rPr>
          <w:rFonts w:cs="Arial"/>
        </w:rPr>
      </w:pPr>
      <w:r w:rsidRPr="00F425EA">
        <w:rPr>
          <w:rFonts w:cs="Arial"/>
        </w:rPr>
        <w:t xml:space="preserve">S potrditvijo PEKP v decembru 2022 je bilo zaključeno usklajevanje EK in RS glede izpolnitve tematskega </w:t>
      </w:r>
      <w:proofErr w:type="spellStart"/>
      <w:r w:rsidRPr="00F425EA">
        <w:rPr>
          <w:rFonts w:cs="Arial"/>
        </w:rPr>
        <w:t>omogočitvenega</w:t>
      </w:r>
      <w:proofErr w:type="spellEnd"/>
      <w:r w:rsidRPr="00F425EA">
        <w:rPr>
          <w:rFonts w:cs="Arial"/>
        </w:rPr>
        <w:t xml:space="preserve"> pogoja Dobro upravljanje nacionalne ali regionalne strategije pametne specializacije.</w:t>
      </w:r>
    </w:p>
    <w:p w14:paraId="4807ED3A" w14:textId="77777777" w:rsidR="006620B6" w:rsidRPr="00F425EA" w:rsidRDefault="006620B6" w:rsidP="006620B6">
      <w:pPr>
        <w:spacing w:after="0" w:line="276" w:lineRule="auto"/>
        <w:jc w:val="both"/>
        <w:rPr>
          <w:rFonts w:cs="Arial"/>
        </w:rPr>
      </w:pPr>
    </w:p>
    <w:p w14:paraId="3F80E56B" w14:textId="77777777" w:rsidR="000E7A5A" w:rsidRDefault="00306071" w:rsidP="00827304">
      <w:pPr>
        <w:spacing w:after="0" w:line="276" w:lineRule="auto"/>
        <w:jc w:val="both"/>
        <w:rPr>
          <w:rFonts w:cs="Arial"/>
          <w:b/>
          <w:bCs/>
        </w:rPr>
      </w:pPr>
      <w:r w:rsidRPr="00F425EA">
        <w:rPr>
          <w:rFonts w:cs="Arial"/>
          <w:b/>
          <w:bCs/>
        </w:rPr>
        <w:t>Delovna skupina vlade za podporo izvajanju S5</w:t>
      </w:r>
    </w:p>
    <w:p w14:paraId="121EA991" w14:textId="77777777" w:rsidR="00827304" w:rsidRPr="00F425EA" w:rsidRDefault="00827304" w:rsidP="00827304">
      <w:pPr>
        <w:spacing w:after="0" w:line="276" w:lineRule="auto"/>
        <w:jc w:val="both"/>
        <w:rPr>
          <w:rFonts w:cs="Arial"/>
          <w:b/>
          <w:bCs/>
        </w:rPr>
      </w:pPr>
    </w:p>
    <w:p w14:paraId="4EEE0134" w14:textId="77777777" w:rsidR="000E7A5A" w:rsidRPr="00F425EA" w:rsidRDefault="00306071" w:rsidP="00827304">
      <w:pPr>
        <w:spacing w:after="0" w:line="276" w:lineRule="auto"/>
        <w:jc w:val="both"/>
        <w:rPr>
          <w:rFonts w:cs="Arial"/>
        </w:rPr>
      </w:pPr>
      <w:r w:rsidRPr="00F425EA">
        <w:rPr>
          <w:rFonts w:cs="Arial"/>
        </w:rPr>
        <w:t xml:space="preserve">V skladu s S5 je njeno upravljanje organizirano na treh nivojih. Prvi je </w:t>
      </w:r>
      <w:proofErr w:type="spellStart"/>
      <w:r w:rsidRPr="00F425EA">
        <w:rPr>
          <w:rFonts w:cs="Arial"/>
        </w:rPr>
        <w:t>odločevalski</w:t>
      </w:r>
      <w:proofErr w:type="spellEnd"/>
      <w:r w:rsidRPr="00F425EA">
        <w:rPr>
          <w:rFonts w:cs="Arial"/>
        </w:rPr>
        <w:t xml:space="preserve"> nivo, ki ga izvaja Vlada RS. Operativno upravljanje je delegirano delovni skupini državnih sekretarjev (delovna skupina vlade na nivoju državnih sekretarjev za podporo izvajanju S5 – DSV S5). Drugi nivo predstavlja izvajanje svežnja ukrepov, kar je v pristojnosti ministrstev in izvajalskih institucij. Tretji nivo pa je izvedbena deležniška raven, ki jo koordinirajo Strateška razvojno-inovacijska partnerstva (SRIP-i). </w:t>
      </w:r>
    </w:p>
    <w:p w14:paraId="05368290" w14:textId="77777777" w:rsidR="00827304" w:rsidRDefault="00827304" w:rsidP="00827304">
      <w:pPr>
        <w:spacing w:after="0" w:line="276" w:lineRule="auto"/>
        <w:jc w:val="both"/>
        <w:rPr>
          <w:rFonts w:cs="Arial"/>
        </w:rPr>
      </w:pPr>
    </w:p>
    <w:p w14:paraId="702939C7" w14:textId="3D5BC8E3" w:rsidR="000E7A5A" w:rsidRPr="00F425EA" w:rsidRDefault="00306071" w:rsidP="00827304">
      <w:pPr>
        <w:spacing w:after="0" w:line="276" w:lineRule="auto"/>
        <w:jc w:val="both"/>
        <w:rPr>
          <w:rFonts w:cs="Arial"/>
        </w:rPr>
      </w:pPr>
      <w:r w:rsidRPr="00F425EA">
        <w:rPr>
          <w:rFonts w:cs="Arial"/>
        </w:rPr>
        <w:lastRenderedPageBreak/>
        <w:t xml:space="preserve">Vlada je s sklepom številka 02401-15/2023/5 z dne 13. 7. 2023 ustanovila Delovno skupino Vlade RS za podporo izvajanju Slovenske strategije trajnostne pametne specializacije. V delovno skupino so imenovani državni sekretarji naslednjih resorjev: MKRR, MVZI, MGTŠ, MDP, MDDSZ, MOPE, MSP, MKGP, MZEZ, MVI. </w:t>
      </w:r>
    </w:p>
    <w:p w14:paraId="789A6C12" w14:textId="77777777" w:rsidR="000E7A5A" w:rsidRPr="00F425EA" w:rsidRDefault="000E7A5A" w:rsidP="00827304">
      <w:pPr>
        <w:spacing w:after="0" w:line="276" w:lineRule="auto"/>
        <w:jc w:val="both"/>
        <w:rPr>
          <w:rFonts w:cs="Arial"/>
        </w:rPr>
      </w:pPr>
    </w:p>
    <w:p w14:paraId="5730D437" w14:textId="2F6A9084" w:rsidR="000E7A5A" w:rsidRPr="00F425EA" w:rsidRDefault="00306071" w:rsidP="00827304">
      <w:pPr>
        <w:spacing w:after="0" w:line="276" w:lineRule="auto"/>
        <w:jc w:val="both"/>
        <w:rPr>
          <w:rFonts w:cs="Arial"/>
        </w:rPr>
      </w:pPr>
      <w:r w:rsidRPr="00F425EA">
        <w:rPr>
          <w:rFonts w:cs="Arial"/>
        </w:rPr>
        <w:t xml:space="preserve">Zaradi nekaterih sprememb na pozicijah državnih sekretarjev je bila DSV S5 v juniju 2024 kadrovsko dopolnjena z novo imenovanimi državnimi sekretarji (MKGP, MVI, MZEZ), hkrati pa so interes za sodelovanje v DSV S5 izkazali še trije resorji: Ministrstvo za finance, Ministrstvo za kulturo in Ministrstvo za infrastrukturo. Na vladi sprejet sklep številka 02401-15/2023/12 z dne 19. 6. 2024 o spremembi sklepa o ustanovitvi DSV S5 tako določa, da ima DSV S5 </w:t>
      </w:r>
      <w:r w:rsidR="00365DC9">
        <w:rPr>
          <w:rFonts w:cs="Arial"/>
        </w:rPr>
        <w:t>13</w:t>
      </w:r>
      <w:r w:rsidRPr="00F425EA">
        <w:rPr>
          <w:rFonts w:cs="Arial"/>
        </w:rPr>
        <w:t xml:space="preserve"> članov.</w:t>
      </w:r>
    </w:p>
    <w:p w14:paraId="074A2E8E" w14:textId="77777777" w:rsidR="000E7A5A" w:rsidRPr="00F425EA" w:rsidRDefault="000E7A5A" w:rsidP="00827304">
      <w:pPr>
        <w:spacing w:after="0" w:line="276" w:lineRule="auto"/>
        <w:jc w:val="both"/>
        <w:rPr>
          <w:rFonts w:cs="Arial"/>
        </w:rPr>
      </w:pPr>
    </w:p>
    <w:p w14:paraId="43E8B8A1" w14:textId="77777777" w:rsidR="000E7A5A" w:rsidRPr="00F425EA" w:rsidRDefault="00306071" w:rsidP="00827304">
      <w:pPr>
        <w:spacing w:after="0" w:line="276" w:lineRule="auto"/>
        <w:jc w:val="both"/>
        <w:rPr>
          <w:rFonts w:cs="Arial"/>
        </w:rPr>
      </w:pPr>
      <w:r w:rsidRPr="00F425EA">
        <w:rPr>
          <w:rFonts w:cs="Arial"/>
        </w:rPr>
        <w:t xml:space="preserve">DSV S5 se je od ustanovitve sestala na štirih sejah, kjer je obravnavala naslednje zadeve: </w:t>
      </w:r>
    </w:p>
    <w:p w14:paraId="51FFD76C" w14:textId="77777777" w:rsidR="000E7A5A" w:rsidRPr="00F425EA" w:rsidRDefault="00306071" w:rsidP="00827304">
      <w:pPr>
        <w:spacing w:after="0" w:line="276" w:lineRule="auto"/>
        <w:ind w:left="709" w:hanging="349"/>
        <w:jc w:val="both"/>
        <w:rPr>
          <w:rFonts w:cs="Arial"/>
        </w:rPr>
      </w:pPr>
      <w:r w:rsidRPr="00F425EA">
        <w:rPr>
          <w:rFonts w:cs="Arial"/>
        </w:rPr>
        <w:t>•</w:t>
      </w:r>
      <w:r w:rsidRPr="00F425EA">
        <w:rPr>
          <w:rFonts w:cs="Arial"/>
        </w:rPr>
        <w:tab/>
        <w:t xml:space="preserve">Informacijo o rezultatih JR Podpora SRIP za obdobje 2023 – 2026; </w:t>
      </w:r>
    </w:p>
    <w:p w14:paraId="5EF82964" w14:textId="13665C17" w:rsidR="000E7A5A" w:rsidRPr="00F425EA" w:rsidRDefault="00306071" w:rsidP="00827304">
      <w:pPr>
        <w:spacing w:after="0" w:line="276" w:lineRule="auto"/>
        <w:ind w:left="709" w:hanging="349"/>
        <w:jc w:val="both"/>
        <w:rPr>
          <w:rFonts w:cs="Arial"/>
        </w:rPr>
      </w:pPr>
      <w:r w:rsidRPr="00F425EA">
        <w:rPr>
          <w:rFonts w:cs="Arial"/>
        </w:rPr>
        <w:t>•</w:t>
      </w:r>
      <w:r w:rsidRPr="00F425EA">
        <w:rPr>
          <w:rFonts w:cs="Arial"/>
        </w:rPr>
        <w:tab/>
        <w:t>Poročilo o delu DSV S5 v letu 2023 (poročilo je bilo obravnavano na seji vlade dne 23.</w:t>
      </w:r>
      <w:r w:rsidR="00234C38">
        <w:rPr>
          <w:rFonts w:cs="Arial"/>
        </w:rPr>
        <w:t xml:space="preserve"> </w:t>
      </w:r>
      <w:r w:rsidRPr="00F425EA">
        <w:rPr>
          <w:rFonts w:cs="Arial"/>
        </w:rPr>
        <w:t>5. 2024);</w:t>
      </w:r>
    </w:p>
    <w:p w14:paraId="7158D564" w14:textId="77777777" w:rsidR="000E7A5A" w:rsidRPr="00F425EA" w:rsidRDefault="00306071" w:rsidP="00827304">
      <w:pPr>
        <w:spacing w:after="0" w:line="276" w:lineRule="auto"/>
        <w:ind w:left="709" w:hanging="349"/>
        <w:jc w:val="both"/>
        <w:rPr>
          <w:rFonts w:cs="Arial"/>
        </w:rPr>
      </w:pPr>
      <w:r w:rsidRPr="00F425EA">
        <w:rPr>
          <w:rFonts w:cs="Arial"/>
        </w:rPr>
        <w:t>•</w:t>
      </w:r>
      <w:r w:rsidRPr="00F425EA">
        <w:rPr>
          <w:rFonts w:cs="Arial"/>
        </w:rPr>
        <w:tab/>
        <w:t xml:space="preserve">Plan dela S5 za leto 2024; </w:t>
      </w:r>
    </w:p>
    <w:p w14:paraId="77FF4507" w14:textId="77777777" w:rsidR="000E7A5A" w:rsidRPr="00F425EA" w:rsidRDefault="00306071" w:rsidP="00827304">
      <w:pPr>
        <w:spacing w:after="0" w:line="276" w:lineRule="auto"/>
        <w:ind w:left="709" w:hanging="349"/>
        <w:jc w:val="both"/>
        <w:rPr>
          <w:rFonts w:cs="Arial"/>
        </w:rPr>
      </w:pPr>
      <w:r w:rsidRPr="00F425EA">
        <w:rPr>
          <w:rFonts w:cs="Arial"/>
        </w:rPr>
        <w:t>•</w:t>
      </w:r>
      <w:r w:rsidRPr="00F425EA">
        <w:rPr>
          <w:rFonts w:cs="Arial"/>
        </w:rPr>
        <w:tab/>
        <w:t>Informacijo o STEP priložnostih;</w:t>
      </w:r>
    </w:p>
    <w:p w14:paraId="1708065F" w14:textId="77777777" w:rsidR="000E7A5A" w:rsidRPr="00F425EA" w:rsidRDefault="00306071" w:rsidP="00827304">
      <w:pPr>
        <w:spacing w:after="0" w:line="276" w:lineRule="auto"/>
        <w:ind w:left="709" w:hanging="349"/>
        <w:jc w:val="both"/>
        <w:rPr>
          <w:rFonts w:cs="Arial"/>
        </w:rPr>
      </w:pPr>
      <w:r w:rsidRPr="00F425EA">
        <w:rPr>
          <w:rFonts w:cs="Arial"/>
        </w:rPr>
        <w:t>•</w:t>
      </w:r>
      <w:r w:rsidRPr="00F425EA">
        <w:rPr>
          <w:rFonts w:cs="Arial"/>
        </w:rPr>
        <w:tab/>
        <w:t>Obravnava študije Presoja učinkovitosti izbranih ukrepov Strategije pametne specializacije;</w:t>
      </w:r>
    </w:p>
    <w:p w14:paraId="29E9227C" w14:textId="77777777" w:rsidR="000E7A5A" w:rsidRPr="00F425EA" w:rsidRDefault="00306071" w:rsidP="00827304">
      <w:pPr>
        <w:spacing w:after="0" w:line="276" w:lineRule="auto"/>
        <w:ind w:left="709" w:hanging="349"/>
        <w:jc w:val="both"/>
        <w:rPr>
          <w:rFonts w:cs="Arial"/>
        </w:rPr>
      </w:pPr>
      <w:r w:rsidRPr="00F425EA">
        <w:rPr>
          <w:rFonts w:cs="Arial"/>
        </w:rPr>
        <w:t>•</w:t>
      </w:r>
      <w:r w:rsidRPr="00F425EA">
        <w:rPr>
          <w:rFonts w:cs="Arial"/>
        </w:rPr>
        <w:tab/>
        <w:t>Akcijske načrte SRIP za obdobje do 2030.</w:t>
      </w:r>
    </w:p>
    <w:p w14:paraId="5E4F7A3A" w14:textId="77777777" w:rsidR="006620B6" w:rsidRDefault="006620B6" w:rsidP="006620B6">
      <w:pPr>
        <w:spacing w:after="0" w:line="276" w:lineRule="auto"/>
        <w:jc w:val="both"/>
        <w:rPr>
          <w:rFonts w:cs="Arial"/>
        </w:rPr>
      </w:pPr>
    </w:p>
    <w:p w14:paraId="0244B2F6" w14:textId="73249AB1" w:rsidR="000E7A5A" w:rsidRPr="00F425EA" w:rsidRDefault="00306071" w:rsidP="006620B6">
      <w:pPr>
        <w:spacing w:after="0" w:line="276" w:lineRule="auto"/>
        <w:jc w:val="both"/>
        <w:rPr>
          <w:rFonts w:cs="Arial"/>
          <w:b/>
          <w:bCs/>
        </w:rPr>
      </w:pPr>
      <w:r w:rsidRPr="00F425EA">
        <w:rPr>
          <w:rFonts w:cs="Arial"/>
          <w:b/>
          <w:bCs/>
        </w:rPr>
        <w:t>Strateška razvojno-inovacijska partnerstva</w:t>
      </w:r>
    </w:p>
    <w:p w14:paraId="517BC94F" w14:textId="77777777" w:rsidR="00827304" w:rsidRDefault="00827304" w:rsidP="00827304">
      <w:pPr>
        <w:spacing w:after="0" w:line="276" w:lineRule="auto"/>
        <w:jc w:val="both"/>
        <w:rPr>
          <w:rFonts w:cs="Arial"/>
        </w:rPr>
      </w:pPr>
    </w:p>
    <w:p w14:paraId="268BEF43" w14:textId="4DFF2D5B" w:rsidR="000E7A5A" w:rsidRPr="00F425EA" w:rsidRDefault="00306071" w:rsidP="00827304">
      <w:pPr>
        <w:spacing w:after="0" w:line="276" w:lineRule="auto"/>
        <w:jc w:val="both"/>
        <w:rPr>
          <w:rFonts w:cs="Arial"/>
        </w:rPr>
      </w:pPr>
      <w:r w:rsidRPr="00F425EA">
        <w:rPr>
          <w:rFonts w:cs="Arial"/>
        </w:rPr>
        <w:t>Javni razpis za nadgradnjo strateško razvojno inovacijskih partnerstev (SRIP) je imel namen krepiti raziskovalno, razvojno in inovacijsko (RRI) sodelovanje neodvisnih deležnikov (gospodarstva, raziskovalnih organizacij, lokalnih skupnosti ter drugih deležnikov inoviranja v konceptu peterne vijačnice inoviranja), ki delujejo na posameznem prednostnem področju S5.</w:t>
      </w:r>
    </w:p>
    <w:p w14:paraId="6166B381" w14:textId="77777777" w:rsidR="000E7A5A" w:rsidRPr="00F425EA" w:rsidRDefault="000E7A5A" w:rsidP="00827304">
      <w:pPr>
        <w:spacing w:after="0" w:line="276" w:lineRule="auto"/>
        <w:jc w:val="both"/>
        <w:rPr>
          <w:rFonts w:cs="Arial"/>
        </w:rPr>
      </w:pPr>
    </w:p>
    <w:p w14:paraId="3C0157B8" w14:textId="77777777" w:rsidR="000E7A5A" w:rsidRPr="00F425EA" w:rsidRDefault="00306071" w:rsidP="00827304">
      <w:pPr>
        <w:spacing w:after="0" w:line="276" w:lineRule="auto"/>
        <w:jc w:val="both"/>
        <w:rPr>
          <w:rFonts w:cs="Arial"/>
        </w:rPr>
      </w:pPr>
      <w:r w:rsidRPr="00F425EA">
        <w:rPr>
          <w:rFonts w:cs="Arial"/>
        </w:rPr>
        <w:t xml:space="preserve">Cilj javnega razpisa je nadgradnja delovanja SRIP na vseh prednostnih področjih S5, osredotočanje na ključne </w:t>
      </w:r>
      <w:proofErr w:type="spellStart"/>
      <w:r w:rsidRPr="00F425EA">
        <w:rPr>
          <w:rFonts w:cs="Arial"/>
        </w:rPr>
        <w:t>omogočitvene</w:t>
      </w:r>
      <w:proofErr w:type="spellEnd"/>
      <w:r w:rsidRPr="00F425EA">
        <w:rPr>
          <w:rFonts w:cs="Arial"/>
        </w:rPr>
        <w:t xml:space="preserve"> tehnologije iz </w:t>
      </w:r>
      <w:proofErr w:type="spellStart"/>
      <w:r w:rsidRPr="00F425EA">
        <w:rPr>
          <w:rFonts w:cs="Arial"/>
        </w:rPr>
        <w:t>trinivojske</w:t>
      </w:r>
      <w:proofErr w:type="spellEnd"/>
      <w:r w:rsidRPr="00F425EA">
        <w:rPr>
          <w:rFonts w:cs="Arial"/>
        </w:rPr>
        <w:t xml:space="preserve"> </w:t>
      </w:r>
      <w:proofErr w:type="spellStart"/>
      <w:r w:rsidRPr="00F425EA">
        <w:rPr>
          <w:rFonts w:cs="Arial"/>
        </w:rPr>
        <w:t>prioritizacije</w:t>
      </w:r>
      <w:proofErr w:type="spellEnd"/>
      <w:r w:rsidRPr="00F425EA">
        <w:rPr>
          <w:rFonts w:cs="Arial"/>
        </w:rPr>
        <w:t xml:space="preserve"> S5, razvoj človeških virov ter vstop v mednarodna partnerstva, kar ima za posledico povečanje vlaganj v raziskave, razvoj in inovacije.</w:t>
      </w:r>
    </w:p>
    <w:p w14:paraId="735ECED3" w14:textId="77777777" w:rsidR="00827304" w:rsidRDefault="00827304" w:rsidP="00827304">
      <w:pPr>
        <w:spacing w:after="0" w:line="276" w:lineRule="auto"/>
        <w:jc w:val="both"/>
        <w:rPr>
          <w:rFonts w:cs="Arial"/>
        </w:rPr>
      </w:pPr>
    </w:p>
    <w:p w14:paraId="7D99658F" w14:textId="14E6BFF5" w:rsidR="000E7A5A" w:rsidRPr="00F425EA" w:rsidRDefault="00306071" w:rsidP="00827304">
      <w:pPr>
        <w:spacing w:after="0" w:line="276" w:lineRule="auto"/>
        <w:jc w:val="both"/>
        <w:rPr>
          <w:rFonts w:cs="Arial"/>
        </w:rPr>
      </w:pPr>
      <w:r w:rsidRPr="00F425EA">
        <w:rPr>
          <w:rFonts w:cs="Arial"/>
        </w:rPr>
        <w:t>Za obdobje 2023–2026 so bila s sklepi dodeljena sredstva SRIP-om, ki delujejo na vseh prednostnih področjih S5 z izjemo področja Trajnostni turizem. Za domeno S5 Trajnostni turizem s pristojnimi resorji še iščemo rešitev za vključujoče izvajanje procesa podjetniškega odkrivanja in pripravo akcijskih načrtov.</w:t>
      </w:r>
    </w:p>
    <w:p w14:paraId="00DA242D" w14:textId="77777777" w:rsidR="000E7A5A" w:rsidRPr="00F425EA" w:rsidRDefault="000E7A5A" w:rsidP="00827304">
      <w:pPr>
        <w:spacing w:after="0" w:line="276" w:lineRule="auto"/>
        <w:jc w:val="both"/>
        <w:rPr>
          <w:rFonts w:cs="Arial"/>
        </w:rPr>
      </w:pPr>
    </w:p>
    <w:p w14:paraId="4BAA8453" w14:textId="77777777" w:rsidR="000E7A5A" w:rsidRPr="00F425EA" w:rsidRDefault="00306071" w:rsidP="00827304">
      <w:pPr>
        <w:spacing w:after="0" w:line="276" w:lineRule="auto"/>
        <w:jc w:val="both"/>
        <w:rPr>
          <w:rFonts w:cs="Arial"/>
          <w:b/>
          <w:bCs/>
        </w:rPr>
      </w:pPr>
      <w:r w:rsidRPr="00F425EA">
        <w:rPr>
          <w:rFonts w:cs="Arial"/>
          <w:b/>
          <w:bCs/>
        </w:rPr>
        <w:t>Upoštevanje priložnosti, ki jih ponuja STEP uredba</w:t>
      </w:r>
    </w:p>
    <w:p w14:paraId="67A343E9" w14:textId="77777777" w:rsidR="000E7A5A" w:rsidRPr="00F425EA" w:rsidRDefault="000E7A5A" w:rsidP="00827304">
      <w:pPr>
        <w:spacing w:after="0" w:line="276" w:lineRule="auto"/>
        <w:jc w:val="both"/>
        <w:rPr>
          <w:rFonts w:cs="Arial"/>
        </w:rPr>
      </w:pPr>
    </w:p>
    <w:p w14:paraId="7D712C30" w14:textId="77777777" w:rsidR="000E7A5A" w:rsidRPr="00F425EA" w:rsidRDefault="00306071" w:rsidP="006620B6">
      <w:pPr>
        <w:spacing w:after="0" w:line="276" w:lineRule="auto"/>
        <w:jc w:val="both"/>
        <w:rPr>
          <w:rFonts w:cs="Arial"/>
        </w:rPr>
      </w:pPr>
      <w:r w:rsidRPr="00F425EA">
        <w:rPr>
          <w:rFonts w:cs="Arial"/>
        </w:rPr>
        <w:t>Uvajanje in širjenje globokih in digitalnih tehnologij, čistih tehnologij in biotehnologij v Uniji bosta bistvena za izkoriščanje priložnosti in doseganje ciljev zelenega in digitalnega prehoda ter s tem spodbujanje konkurenčnosti evropske industrije in njene trajnosti. Zato so bili potrebni takojšnji ukrepi za podporo razvoju teh tehnologij in uvajanju z njimi povezanih storitev v Uniji, za zaščito in krepitev njihovih vrednostnih verig, s čimer se bo zmanjšala strateška odvisnost Unije, ter za obravnavanje obstoječega pomanjkanja delovne sile in znanj in spretnosti v teh sektorjih z usposabljanjem in vajeništvom ter ustvarjanjem privlačnih in delovnih mest, ki so dostopna vsem.</w:t>
      </w:r>
    </w:p>
    <w:p w14:paraId="122D430E" w14:textId="77777777" w:rsidR="006620B6" w:rsidRDefault="006620B6" w:rsidP="006620B6">
      <w:pPr>
        <w:spacing w:after="0" w:line="276" w:lineRule="auto"/>
        <w:jc w:val="both"/>
        <w:rPr>
          <w:rFonts w:cs="Arial"/>
        </w:rPr>
      </w:pPr>
    </w:p>
    <w:p w14:paraId="51C7EAED" w14:textId="1FCCE300" w:rsidR="000E7A5A" w:rsidRPr="00F425EA" w:rsidRDefault="00306071" w:rsidP="006620B6">
      <w:pPr>
        <w:spacing w:after="0" w:line="276" w:lineRule="auto"/>
        <w:jc w:val="both"/>
        <w:rPr>
          <w:rFonts w:cs="Arial"/>
        </w:rPr>
      </w:pPr>
      <w:r w:rsidRPr="00F425EA">
        <w:rPr>
          <w:rFonts w:cs="Arial"/>
        </w:rPr>
        <w:t xml:space="preserve">Da se razširi možnosti podpore za naložbe, namenjene krepitvi industrijskega razvoja in vrednostnih verig v strateških sektorjih, se je s STEP uredbo področje uporabe podpore iz ESRR razširilo z določitvijo novih specifičnih ciljev v okviru ESRR, brez poseganja v pravila o upravičenosti odhodkov in porabe za podnebne ukrepe, kot so določena v Uredbi EU 2021/1060 (splošna uredba) in Uredbi EU 2021/1058 (Uredba o ESRR in Kohezijskem skladu). </w:t>
      </w:r>
    </w:p>
    <w:p w14:paraId="57616EB4" w14:textId="1DBF8668" w:rsidR="000E7A5A" w:rsidRDefault="00306071" w:rsidP="00B46006">
      <w:pPr>
        <w:spacing w:after="0" w:line="276" w:lineRule="auto"/>
        <w:jc w:val="both"/>
        <w:rPr>
          <w:rFonts w:cs="Arial"/>
        </w:rPr>
      </w:pPr>
      <w:r w:rsidRPr="431E93DE">
        <w:rPr>
          <w:rFonts w:cs="Arial"/>
        </w:rPr>
        <w:t>Zaradi tega je vlada sprejela odločitev, da se pristopi k spremembi PEKP 21–27 tako, da se uvede</w:t>
      </w:r>
      <w:r w:rsidR="640DB15D" w:rsidRPr="431E93DE">
        <w:rPr>
          <w:rFonts w:cs="Arial"/>
        </w:rPr>
        <w:t>ta</w:t>
      </w:r>
      <w:r w:rsidRPr="431E93DE">
        <w:rPr>
          <w:rFonts w:cs="Arial"/>
        </w:rPr>
        <w:t xml:space="preserve"> nov</w:t>
      </w:r>
      <w:r w:rsidR="7BF3AA92" w:rsidRPr="431E93DE">
        <w:rPr>
          <w:rFonts w:cs="Arial"/>
        </w:rPr>
        <w:t>a</w:t>
      </w:r>
      <w:r w:rsidRPr="431E93DE">
        <w:rPr>
          <w:rFonts w:cs="Arial"/>
        </w:rPr>
        <w:t xml:space="preserve"> specifičn</w:t>
      </w:r>
      <w:r w:rsidR="0D413CA7" w:rsidRPr="431E93DE">
        <w:rPr>
          <w:rFonts w:cs="Arial"/>
        </w:rPr>
        <w:t>a</w:t>
      </w:r>
      <w:r w:rsidRPr="431E93DE">
        <w:rPr>
          <w:rFonts w:cs="Arial"/>
        </w:rPr>
        <w:t xml:space="preserve"> cilj</w:t>
      </w:r>
      <w:r w:rsidR="4FA19C6B" w:rsidRPr="431E93DE">
        <w:rPr>
          <w:rFonts w:cs="Arial"/>
        </w:rPr>
        <w:t>a</w:t>
      </w:r>
      <w:r w:rsidRPr="431E93DE">
        <w:rPr>
          <w:rFonts w:cs="Arial"/>
        </w:rPr>
        <w:t xml:space="preserve"> na osnovi STEP uredbe in se s tem omogoči še dodatno krepitev javno zasebnega partnerstva na področju raziskav in razvoja ter se naslovi volja doseganja večje produktivnosti dela.</w:t>
      </w:r>
      <w:bookmarkStart w:id="2992" w:name="_Toc703270724"/>
      <w:bookmarkStart w:id="2993" w:name="_Toc1001999164"/>
      <w:bookmarkStart w:id="2994" w:name="_Toc1777392875"/>
      <w:bookmarkStart w:id="2995" w:name="_Toc1689804555"/>
      <w:bookmarkStart w:id="2996" w:name="_Toc503263227"/>
      <w:bookmarkStart w:id="2997" w:name="_Toc649576881"/>
      <w:bookmarkStart w:id="2998" w:name="_Toc2104573607"/>
      <w:bookmarkStart w:id="2999" w:name="_Toc425549988"/>
      <w:bookmarkStart w:id="3000" w:name="_Toc680661395"/>
      <w:bookmarkStart w:id="3001" w:name="_Toc930346605"/>
      <w:bookmarkStart w:id="3002" w:name="_Toc40508387"/>
      <w:bookmarkStart w:id="3003" w:name="_Toc139907805"/>
      <w:bookmarkStart w:id="3004" w:name="_Toc100878168"/>
      <w:bookmarkStart w:id="3005" w:name="_Toc2052943886"/>
      <w:bookmarkStart w:id="3006" w:name="_Toc2085185441"/>
      <w:bookmarkStart w:id="3007" w:name="_Toc2034557411"/>
      <w:bookmarkStart w:id="3008" w:name="_Toc998578452"/>
      <w:bookmarkStart w:id="3009" w:name="_Toc224648777"/>
      <w:bookmarkStart w:id="3010" w:name="_Toc2051940205"/>
      <w:bookmarkStart w:id="3011" w:name="_Toc1658575890"/>
      <w:bookmarkStart w:id="3012" w:name="_Toc2058806158"/>
      <w:bookmarkStart w:id="3013" w:name="_Toc1693892234"/>
      <w:bookmarkStart w:id="3014" w:name="_Toc1726910997"/>
      <w:bookmarkStart w:id="3015" w:name="_Toc511259010"/>
      <w:bookmarkStart w:id="3016" w:name="_Toc525033354"/>
      <w:bookmarkStart w:id="3017" w:name="_Toc1170753432"/>
      <w:bookmarkStart w:id="3018" w:name="_Toc403161827"/>
      <w:bookmarkStart w:id="3019" w:name="_Toc1713743003"/>
      <w:bookmarkStart w:id="3020" w:name="_Toc1467075405"/>
      <w:bookmarkStart w:id="3021" w:name="_Toc8935308"/>
      <w:bookmarkStart w:id="3022" w:name="_Toc917262007"/>
      <w:bookmarkStart w:id="3023" w:name="_Toc38393536"/>
      <w:bookmarkStart w:id="3024" w:name="_Toc69383122"/>
      <w:bookmarkStart w:id="3025" w:name="_Toc114485609"/>
      <w:bookmarkStart w:id="3026" w:name="_Toc1919971974"/>
      <w:bookmarkStart w:id="3027" w:name="_Toc1958106002"/>
      <w:bookmarkStart w:id="3028" w:name="_Toc1130213784"/>
      <w:bookmarkStart w:id="3029" w:name="_Toc243342322"/>
      <w:bookmarkStart w:id="3030" w:name="_Toc356336491"/>
      <w:bookmarkStart w:id="3031" w:name="_Toc35224870"/>
      <w:bookmarkStart w:id="3032" w:name="_Toc1502732953"/>
      <w:bookmarkStart w:id="3033" w:name="_Toc922634364"/>
      <w:bookmarkStart w:id="3034" w:name="_Toc1086001135"/>
      <w:bookmarkStart w:id="3035" w:name="_Toc130147075"/>
      <w:bookmarkStart w:id="3036" w:name="_Toc1122221161"/>
      <w:bookmarkStart w:id="3037" w:name="_Toc661342951"/>
      <w:bookmarkStart w:id="3038" w:name="_Toc72233375"/>
      <w:bookmarkStart w:id="3039" w:name="_Toc1974751196"/>
      <w:bookmarkStart w:id="3040" w:name="_Toc1398310517"/>
      <w:bookmarkStart w:id="3041" w:name="_Toc1168993060"/>
      <w:bookmarkStart w:id="3042" w:name="_Toc1075539028"/>
      <w:bookmarkStart w:id="3043" w:name="_Toc1612230874"/>
      <w:bookmarkStart w:id="3044" w:name="_Toc648468090"/>
      <w:bookmarkStart w:id="3045" w:name="_Toc2007979387"/>
      <w:bookmarkStart w:id="3046" w:name="_Toc1087762882"/>
      <w:bookmarkStart w:id="3047" w:name="_Toc394486097"/>
      <w:bookmarkStart w:id="3048" w:name="_Toc820369556"/>
      <w:bookmarkStart w:id="3049" w:name="_Toc1897749699"/>
      <w:bookmarkStart w:id="3050" w:name="_Toc1685752791"/>
      <w:bookmarkStart w:id="3051" w:name="_Toc2142594665"/>
      <w:bookmarkStart w:id="3052" w:name="_Toc599188124"/>
      <w:bookmarkStart w:id="3053" w:name="_Toc1462923619"/>
      <w:bookmarkStart w:id="3054" w:name="_Toc1878356726"/>
      <w:bookmarkStart w:id="3055" w:name="_Toc935715145"/>
      <w:bookmarkStart w:id="3056" w:name="_Toc771548243"/>
      <w:bookmarkStart w:id="3057" w:name="_Toc1719198149"/>
      <w:bookmarkStart w:id="3058" w:name="_Toc2085149201"/>
      <w:bookmarkStart w:id="3059" w:name="_Toc981839424"/>
      <w:bookmarkStart w:id="3060" w:name="_Toc1730748458"/>
      <w:bookmarkStart w:id="3061" w:name="_Toc1483153698"/>
      <w:bookmarkStart w:id="3062" w:name="_Toc882882300"/>
      <w:bookmarkStart w:id="3063" w:name="_Toc1830095782"/>
      <w:bookmarkStart w:id="3064" w:name="_Toc1485983560"/>
      <w:bookmarkStart w:id="3065" w:name="_Toc1210533914"/>
      <w:bookmarkStart w:id="3066" w:name="_Toc673778234"/>
      <w:bookmarkStart w:id="3067" w:name="_Toc251286309"/>
      <w:bookmarkStart w:id="3068" w:name="_Toc1664115214"/>
      <w:bookmarkStart w:id="3069" w:name="_Toc1231958820"/>
      <w:bookmarkStart w:id="3070" w:name="_Toc1045360009"/>
      <w:bookmarkStart w:id="3071" w:name="_Toc121362109"/>
      <w:bookmarkStart w:id="3072" w:name="_Toc1219352707"/>
      <w:bookmarkStart w:id="3073" w:name="_Toc544671990"/>
      <w:bookmarkStart w:id="3074" w:name="_Toc882891543"/>
      <w:bookmarkStart w:id="3075" w:name="_Toc784324890"/>
    </w:p>
    <w:p w14:paraId="2BB3A97C" w14:textId="77777777" w:rsidR="00B46006" w:rsidRDefault="00B46006" w:rsidP="00B46006">
      <w:pPr>
        <w:spacing w:after="0" w:line="276" w:lineRule="auto"/>
        <w:jc w:val="both"/>
        <w:rPr>
          <w:rFonts w:cs="Arial"/>
        </w:rPr>
        <w:sectPr w:rsidR="00B46006" w:rsidSect="002E0407">
          <w:headerReference w:type="even" r:id="rId37"/>
          <w:headerReference w:type="default" r:id="rId38"/>
          <w:footerReference w:type="default" r:id="rId39"/>
          <w:headerReference w:type="first" r:id="rId40"/>
          <w:type w:val="continuous"/>
          <w:pgSz w:w="11906" w:h="16838"/>
          <w:pgMar w:top="1418" w:right="1418" w:bottom="1418" w:left="1418" w:header="708" w:footer="708" w:gutter="0"/>
          <w:cols w:space="708"/>
          <w:docGrid w:linePitch="272"/>
        </w:sectPr>
      </w:pPr>
    </w:p>
    <w:p w14:paraId="545E111F" w14:textId="77777777" w:rsidR="00B46006" w:rsidRDefault="00B46006" w:rsidP="00B46006">
      <w:pPr>
        <w:spacing w:after="0" w:line="276" w:lineRule="auto"/>
        <w:jc w:val="both"/>
        <w:rPr>
          <w:rFonts w:cs="Arial"/>
        </w:rPr>
      </w:pPr>
    </w:p>
    <w:p w14:paraId="72D268DF" w14:textId="77777777" w:rsidR="00B46006" w:rsidRPr="00B46006" w:rsidRDefault="00B46006" w:rsidP="000B2C28">
      <w:pPr>
        <w:pStyle w:val="Naslov2"/>
      </w:pPr>
      <w:bookmarkStart w:id="3076" w:name="_Toc192682012"/>
      <w:r w:rsidRPr="00B46006">
        <w:rPr>
          <w:i/>
          <w:iCs/>
        </w:rPr>
        <w:t>3.5</w:t>
      </w:r>
      <w:r w:rsidRPr="00B46006">
        <w:tab/>
        <w:t>VSEŽIVLJENJSKO UČENJE OB UPOŠTEVANJU PODJETNIŠKIH IN DIGITALNIH VEŠČIN, BOLJŠE PREDVIDEVANJE SPREMEMB IN ZAHTEV PO NOVIH VEŠČINAH NA PODLAGI POTREB TRGA DELA</w:t>
      </w:r>
      <w:bookmarkEnd w:id="3076"/>
      <w:r w:rsidRPr="00B46006">
        <w:t xml:space="preserve"> </w:t>
      </w:r>
    </w:p>
    <w:p w14:paraId="0D0E2E92" w14:textId="77777777" w:rsidR="00B46006" w:rsidRPr="00B46006" w:rsidRDefault="00B46006" w:rsidP="00B46006">
      <w:pPr>
        <w:spacing w:after="0" w:line="276" w:lineRule="auto"/>
        <w:jc w:val="both"/>
        <w:rPr>
          <w:rFonts w:cs="Arial"/>
        </w:rPr>
      </w:pPr>
    </w:p>
    <w:p w14:paraId="741D5EBE" w14:textId="77777777" w:rsidR="00B46006" w:rsidRPr="00B46006" w:rsidRDefault="00B46006" w:rsidP="00B46006">
      <w:pPr>
        <w:spacing w:after="0" w:line="276" w:lineRule="auto"/>
        <w:jc w:val="both"/>
        <w:rPr>
          <w:rFonts w:cs="Arial"/>
        </w:rPr>
      </w:pPr>
      <w:r w:rsidRPr="00B46006">
        <w:rPr>
          <w:rFonts w:cs="Arial"/>
        </w:rPr>
        <w:t>V letu 2023 je MDDSZ pričel z izvedbo ukrepov, ki prispevajo k spodbujanju in vključevanju odraslih v različne oblike izobraževanja in usposabljanja, do 30. 10. 2024 je bilo vključenih 2.896 oseb.</w:t>
      </w:r>
    </w:p>
    <w:p w14:paraId="25C898B5" w14:textId="77777777" w:rsidR="00B46006" w:rsidRPr="00B46006" w:rsidRDefault="00B46006" w:rsidP="00B46006">
      <w:pPr>
        <w:spacing w:after="0" w:line="276" w:lineRule="auto"/>
        <w:jc w:val="both"/>
        <w:rPr>
          <w:rFonts w:cs="Arial"/>
        </w:rPr>
      </w:pPr>
    </w:p>
    <w:p w14:paraId="1B9730FF" w14:textId="77777777" w:rsidR="00B46006" w:rsidRPr="00B46006" w:rsidRDefault="00B46006" w:rsidP="00B46006">
      <w:pPr>
        <w:spacing w:after="0" w:line="276" w:lineRule="auto"/>
        <w:jc w:val="both"/>
        <w:rPr>
          <w:rFonts w:cs="Arial"/>
        </w:rPr>
      </w:pPr>
      <w:r w:rsidRPr="00B46006">
        <w:rPr>
          <w:rFonts w:cs="Arial"/>
        </w:rPr>
        <w:t xml:space="preserve">Tako se je v teku priprava </w:t>
      </w:r>
      <w:r w:rsidRPr="00B46006">
        <w:rPr>
          <w:rFonts w:cs="Arial"/>
          <w:b/>
          <w:bCs/>
        </w:rPr>
        <w:t>»Platforme trga dela«</w:t>
      </w:r>
      <w:r w:rsidRPr="00B46006">
        <w:rPr>
          <w:rFonts w:cs="Arial"/>
        </w:rPr>
        <w:t>, ki bo sistemsko prispevala k pravilnim in učinkovitim odločitvam pri usmerjanju posameznikov v vseživljenjsko učenje in pridobivanje za trg ustreznih znanj in spretnosti. Z razvojem različnih orodij bodo različni uporabniki dobili informacije o potrebnih veščinah, znanjih in kompetencah na trgu dela. Odločevalci politik bodo tako pridobili informacije za oblikovanje predlogov za umestitev kompetenc v izobraževalne programe za odpravljanje neskladij trga dela in s tem krepitev konkurenčnosti gospodarstva, posamezniki pa se bodo lahko lažje in hitreje odločili za vključitev v usposabljanja in izobraževanja.</w:t>
      </w:r>
    </w:p>
    <w:p w14:paraId="123F66EE" w14:textId="77777777" w:rsidR="00B46006" w:rsidRPr="00B46006" w:rsidRDefault="00B46006" w:rsidP="00B46006">
      <w:pPr>
        <w:spacing w:after="0" w:line="276" w:lineRule="auto"/>
        <w:jc w:val="both"/>
        <w:rPr>
          <w:rFonts w:cs="Arial"/>
        </w:rPr>
      </w:pPr>
    </w:p>
    <w:p w14:paraId="255C6618" w14:textId="77777777" w:rsidR="00B46006" w:rsidRPr="00B46006" w:rsidRDefault="00B46006" w:rsidP="00B46006">
      <w:pPr>
        <w:spacing w:after="0" w:line="276" w:lineRule="auto"/>
        <w:jc w:val="both"/>
        <w:rPr>
          <w:rFonts w:cs="Arial"/>
        </w:rPr>
      </w:pPr>
      <w:r w:rsidRPr="00B46006">
        <w:rPr>
          <w:rFonts w:cs="Arial"/>
        </w:rPr>
        <w:t xml:space="preserve">Informacije o izvedenih usposabljanjih in izobraževanjih zaposlenih bo za potrebe Platforme trga dela prispeval tudi projekt </w:t>
      </w:r>
      <w:r w:rsidRPr="00B46006">
        <w:rPr>
          <w:rFonts w:cs="Arial"/>
          <w:b/>
          <w:bCs/>
        </w:rPr>
        <w:t>»Povezovanje JŠRIPS in ZRSZ za učinkovitejše reševanje izzivov trga dela«.</w:t>
      </w:r>
      <w:r w:rsidRPr="00B46006">
        <w:rPr>
          <w:rFonts w:cs="Arial"/>
        </w:rPr>
        <w:t xml:space="preserve"> Sodelovanje med institucijami povečuje povezavo med gospodarstvom in izobraževalnimi ustanovami, kar bo omogočalo hitrejšo prilagoditev učnih programov trenutnim potrebam. S tem se bo pospešil prehod mladih iz izobraževanja na trg dela in zmanjševalo neskladje med izobrazbo ter razpoložljivimi delovnimi mesti. Informacije bodo prispevale boljšemu kariernemu svetovanju mladim in brezposelnim.</w:t>
      </w:r>
    </w:p>
    <w:p w14:paraId="64C571F2" w14:textId="77777777" w:rsidR="00B46006" w:rsidRPr="00B46006" w:rsidRDefault="00B46006" w:rsidP="00B46006">
      <w:pPr>
        <w:spacing w:after="0" w:line="276" w:lineRule="auto"/>
        <w:jc w:val="both"/>
        <w:rPr>
          <w:rFonts w:cs="Arial"/>
        </w:rPr>
      </w:pPr>
    </w:p>
    <w:p w14:paraId="05B138D8" w14:textId="77777777" w:rsidR="00B46006" w:rsidRPr="00B46006" w:rsidRDefault="00B46006" w:rsidP="00B46006">
      <w:pPr>
        <w:spacing w:after="0" w:line="276" w:lineRule="auto"/>
        <w:jc w:val="both"/>
        <w:rPr>
          <w:rFonts w:cs="Arial"/>
        </w:rPr>
      </w:pPr>
      <w:r w:rsidRPr="00B46006">
        <w:rPr>
          <w:rFonts w:cs="Arial"/>
        </w:rPr>
        <w:t xml:space="preserve">S programom </w:t>
      </w:r>
      <w:r w:rsidRPr="00B46006">
        <w:rPr>
          <w:rFonts w:cs="Arial"/>
          <w:b/>
          <w:bCs/>
        </w:rPr>
        <w:t>»Neformalno izobraževanje in usposabljanje +«</w:t>
      </w:r>
      <w:r w:rsidRPr="00B46006">
        <w:rPr>
          <w:rFonts w:cs="Arial"/>
        </w:rPr>
        <w:t xml:space="preserve"> spodbujamo brezposelne osebe, da se vključujejo v tiste programe usposabljanja in izobraževanja, za katera obstajajo potrebe na trgu dela. Brezposelni pridobivajo nova znanja in veščine, kar jim bo omogočilo večjo konkurenčnost in usposobljenost. V program je bilo do konca oktobra vključenih že 1.569 oseb, od tega 645 v programe s področja digitalnih in zelenih spretnosti. Načrtujemo vključitev 7.453 brezposelnih oseb do konca izvajanja programa.</w:t>
      </w:r>
    </w:p>
    <w:p w14:paraId="7ADE6778" w14:textId="77777777" w:rsidR="00B46006" w:rsidRPr="00B46006" w:rsidRDefault="00B46006" w:rsidP="00B46006">
      <w:pPr>
        <w:spacing w:after="0" w:line="276" w:lineRule="auto"/>
        <w:jc w:val="both"/>
        <w:rPr>
          <w:rFonts w:cs="Arial"/>
        </w:rPr>
      </w:pPr>
    </w:p>
    <w:p w14:paraId="41345EDB" w14:textId="77777777" w:rsidR="00B46006" w:rsidRPr="00B46006" w:rsidRDefault="00B46006" w:rsidP="00B46006">
      <w:pPr>
        <w:spacing w:after="0" w:line="276" w:lineRule="auto"/>
        <w:jc w:val="both"/>
        <w:rPr>
          <w:rFonts w:cs="Arial"/>
        </w:rPr>
      </w:pPr>
      <w:r w:rsidRPr="00B46006">
        <w:rPr>
          <w:rFonts w:cs="Arial"/>
          <w:b/>
          <w:bCs/>
        </w:rPr>
        <w:t>»Usposabljanje na delovnem mestu plus«</w:t>
      </w:r>
      <w:r w:rsidRPr="00B46006">
        <w:rPr>
          <w:rFonts w:cs="Arial"/>
        </w:rPr>
        <w:t xml:space="preserve"> omogoča brezposelnim osebam, da pridobijo praktična znanja, spretnosti in delovne izkušnje na konkretnih delovnih mestih. Osebe se vključijo v delovno okolje pod strokovnim vodstvom mentorja in si povečajo možnosti za zaposlitev. V program usposabljanja je bilo do konca oktobra vključenih že 606 oseb od predvidenih 5.832 do konca izvajanja programa.</w:t>
      </w:r>
    </w:p>
    <w:p w14:paraId="1127BF91" w14:textId="77777777" w:rsidR="00B46006" w:rsidRPr="00B46006" w:rsidRDefault="00B46006" w:rsidP="00B46006">
      <w:pPr>
        <w:spacing w:after="0" w:line="276" w:lineRule="auto"/>
        <w:jc w:val="both"/>
        <w:rPr>
          <w:rFonts w:cs="Arial"/>
        </w:rPr>
      </w:pPr>
    </w:p>
    <w:p w14:paraId="3CECE682" w14:textId="77777777" w:rsidR="00B46006" w:rsidRPr="00B46006" w:rsidRDefault="00B46006" w:rsidP="00B46006">
      <w:pPr>
        <w:spacing w:after="0" w:line="276" w:lineRule="auto"/>
        <w:jc w:val="both"/>
        <w:rPr>
          <w:rFonts w:cs="Arial"/>
        </w:rPr>
      </w:pPr>
      <w:r w:rsidRPr="00B46006">
        <w:rPr>
          <w:rFonts w:cs="Arial"/>
          <w:b/>
          <w:bCs/>
        </w:rPr>
        <w:t>»Projektno učenje mlajših odraslih PUM(O)+«</w:t>
      </w:r>
      <w:r w:rsidRPr="00B46006">
        <w:rPr>
          <w:rFonts w:cs="Arial"/>
        </w:rPr>
        <w:t xml:space="preserve"> je edina vrsta operacije v Sloveniji, ki se ukvarja s problematiko predčasne opustitve šolanja mladih in posledično njihove brezposelnosti, kjer se posameznik obravnava individualno glede na njegovo življenjsko situacijo in izobrazbo. Mladim, iz ciljne skupine NEET, daje priložnost, da se opolnomočijo s potrebnimi znanji in kompetencami, za prehod na trg dela pridobili kompetence, ki jih bodo opolnomočile za nadaljevanje izobraževanja za pridobitev izobrazbe ter za vstop na trg dela, kar bo prispevalo k povečevanju njihove zaposljivosti, socialni integraciji ter doseganju enakih možnosti. V program je bilo do konca oktobra vključenih že 721 oseb od predvidenih 1.800 do konca izvajanja programa. </w:t>
      </w:r>
    </w:p>
    <w:p w14:paraId="6753D1FB" w14:textId="77777777" w:rsidR="00B46006" w:rsidRPr="00B46006" w:rsidRDefault="00B46006" w:rsidP="00B46006">
      <w:pPr>
        <w:spacing w:after="0" w:line="276" w:lineRule="auto"/>
        <w:jc w:val="both"/>
        <w:rPr>
          <w:rFonts w:cs="Arial"/>
        </w:rPr>
      </w:pPr>
    </w:p>
    <w:p w14:paraId="534901F3" w14:textId="1CF57F41" w:rsidR="000E7A5A" w:rsidRPr="00F425EA" w:rsidRDefault="00B46006" w:rsidP="006620B6">
      <w:pPr>
        <w:spacing w:after="0" w:line="276" w:lineRule="auto"/>
        <w:jc w:val="both"/>
        <w:rPr>
          <w:rFonts w:cs="Arial"/>
        </w:rPr>
      </w:pPr>
      <w:r w:rsidRPr="00B46006">
        <w:rPr>
          <w:rFonts w:cs="Arial"/>
          <w:b/>
          <w:bCs/>
        </w:rPr>
        <w:t>»Učne delavnice+«</w:t>
      </w:r>
      <w:r w:rsidRPr="00B46006">
        <w:rPr>
          <w:rFonts w:cs="Arial"/>
        </w:rPr>
        <w:t xml:space="preserve"> so namenjene najbolj ranljivim osebam, ki potrebujejo</w:t>
      </w:r>
      <w:bookmarkStart w:id="3077" w:name="_Hlk1895633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r w:rsidR="00306071" w:rsidRPr="00F425EA">
        <w:rPr>
          <w:rFonts w:cs="Arial"/>
        </w:rPr>
        <w:t xml:space="preserve"> </w:t>
      </w:r>
      <w:bookmarkEnd w:id="3077"/>
      <w:r w:rsidR="00306071" w:rsidRPr="00F425EA">
        <w:rPr>
          <w:rFonts w:cs="Arial"/>
        </w:rPr>
        <w:t>poglobljeno obravnavo. Z vključevanjem v praktično usposabljanje bodo brezposelne osebe pridobile splošne in delovno specifične kompetence, prav tako pa bo to prispevalo k njihovi delovni in socialni integraciji. Posledično pa se s tem povečujejo njihove zaposlitvene možnosti za opravljanje teh ali podobnih del. Vključevanje v aktivnosti se je začelo v oktobru 2024, do konca izvajanja se bo predvidoma vključilo 950 oseb.</w:t>
      </w:r>
    </w:p>
    <w:p w14:paraId="4C398B83" w14:textId="2126A3EE" w:rsidR="265A62DA" w:rsidRDefault="573ACA9C" w:rsidP="431E93DE">
      <w:pPr>
        <w:spacing w:after="0" w:line="276" w:lineRule="auto"/>
        <w:jc w:val="both"/>
        <w:rPr>
          <w:rFonts w:cs="Arial"/>
        </w:rPr>
      </w:pPr>
      <w:r w:rsidRPr="00F7FCEE">
        <w:rPr>
          <w:rFonts w:cs="Arial"/>
        </w:rPr>
        <w:t>V letu 2024 je MVI pričel z izvedbo ukrepov, ki prispevajo k spodbujanju in vključevanju odraslih v različne oblike izobraževanja in usposabljanja</w:t>
      </w:r>
      <w:r w:rsidR="00B53785">
        <w:rPr>
          <w:rFonts w:cs="Arial"/>
        </w:rPr>
        <w:t xml:space="preserve">. </w:t>
      </w:r>
    </w:p>
    <w:p w14:paraId="1C37EA0B" w14:textId="77777777" w:rsidR="00553646" w:rsidRDefault="00553646" w:rsidP="431E93DE">
      <w:pPr>
        <w:spacing w:after="0" w:line="276" w:lineRule="auto"/>
        <w:jc w:val="both"/>
      </w:pPr>
    </w:p>
    <w:p w14:paraId="3C163AD1" w14:textId="47901606" w:rsidR="265A62DA" w:rsidRDefault="573ACA9C" w:rsidP="431E93DE">
      <w:pPr>
        <w:spacing w:after="0" w:line="276" w:lineRule="auto"/>
        <w:jc w:val="both"/>
      </w:pPr>
      <w:r w:rsidRPr="00F7FCEE">
        <w:rPr>
          <w:rFonts w:cs="Arial"/>
        </w:rPr>
        <w:lastRenderedPageBreak/>
        <w:t>V letu 2024 se je v sklopu projekta Ozaveščanje VŽU začela prva vseslovenska medijska kampanja z novo spletno stranjo Lahko.si in aktivnimi družbenimi omrežji, s katerim se krepi pozitiven odnos do VŽU, ki prinaša napredek na osebnem, družbenem in delovnem področju.</w:t>
      </w:r>
    </w:p>
    <w:p w14:paraId="3255E453" w14:textId="1BA2791D" w:rsidR="265A62DA" w:rsidRDefault="573ACA9C" w:rsidP="431E93DE">
      <w:pPr>
        <w:spacing w:after="0" w:line="276" w:lineRule="auto"/>
        <w:jc w:val="both"/>
      </w:pPr>
      <w:r w:rsidRPr="00F7FCEE">
        <w:rPr>
          <w:rFonts w:cs="Arial"/>
        </w:rPr>
        <w:t xml:space="preserve"> </w:t>
      </w:r>
    </w:p>
    <w:p w14:paraId="7D41410B" w14:textId="645B9716" w:rsidR="00B53785" w:rsidRDefault="573ACA9C" w:rsidP="431E93DE">
      <w:pPr>
        <w:spacing w:after="0" w:line="276" w:lineRule="auto"/>
        <w:jc w:val="both"/>
      </w:pPr>
      <w:r w:rsidRPr="00F7FCEE">
        <w:rPr>
          <w:rFonts w:cs="Arial"/>
        </w:rPr>
        <w:t>S projektom Temeljne Kompetence 2023 – 2029 naslavljamo eno od načel Evropskega stebra socialnih pravic, ki je pravica vsakega do kakovostnega in vključujočega izobraževanja, usposabljanja in VŽU, da lahko ohrani in pridobi znanja in spretnosti, ki mu omogočajo polno udeležbo v družbi in uspešno obvladovanje prehodov na trgu dela. Prav tako pa naslavljamo ključna problema izobraževanja odraslih v Sloveniji</w:t>
      </w:r>
      <w:r w:rsidR="00051070">
        <w:rPr>
          <w:rFonts w:cs="Arial"/>
        </w:rPr>
        <w:t>. In sicer</w:t>
      </w:r>
      <w:r w:rsidRPr="00F7FCEE">
        <w:rPr>
          <w:rFonts w:cs="Arial"/>
        </w:rPr>
        <w:t>:</w:t>
      </w:r>
    </w:p>
    <w:p w14:paraId="2623B7D0" w14:textId="1AB12C9F" w:rsidR="265A62DA" w:rsidRDefault="573ACA9C" w:rsidP="00477072">
      <w:pPr>
        <w:pStyle w:val="Odstavekseznama"/>
        <w:numPr>
          <w:ilvl w:val="0"/>
          <w:numId w:val="3"/>
        </w:numPr>
        <w:spacing w:after="0" w:line="276" w:lineRule="auto"/>
        <w:jc w:val="both"/>
        <w:rPr>
          <w:rFonts w:cs="Arial"/>
        </w:rPr>
      </w:pPr>
      <w:r w:rsidRPr="00F7FCEE">
        <w:rPr>
          <w:rFonts w:cs="Arial"/>
        </w:rPr>
        <w:t>razvojni zaostanek Slovenije na področju spretnosti odraslih in</w:t>
      </w:r>
    </w:p>
    <w:p w14:paraId="41B996A5" w14:textId="526DB4C2" w:rsidR="265A62DA" w:rsidRDefault="573ACA9C" w:rsidP="00477072">
      <w:pPr>
        <w:pStyle w:val="Odstavekseznama"/>
        <w:numPr>
          <w:ilvl w:val="0"/>
          <w:numId w:val="3"/>
        </w:numPr>
        <w:spacing w:after="0" w:line="276" w:lineRule="auto"/>
        <w:jc w:val="both"/>
        <w:rPr>
          <w:rFonts w:cs="Arial"/>
        </w:rPr>
      </w:pPr>
      <w:r w:rsidRPr="00F7FCEE">
        <w:rPr>
          <w:rFonts w:cs="Arial"/>
        </w:rPr>
        <w:t xml:space="preserve">problem nizke vključenosti odraslih in ranljivih skupin v izobraževanje in usposabljanje. </w:t>
      </w:r>
    </w:p>
    <w:p w14:paraId="5B321142" w14:textId="6096A338" w:rsidR="265A62DA" w:rsidRDefault="573ACA9C" w:rsidP="431E93DE">
      <w:pPr>
        <w:spacing w:after="0" w:line="276" w:lineRule="auto"/>
        <w:jc w:val="both"/>
      </w:pPr>
      <w:r w:rsidRPr="00F7FCEE">
        <w:rPr>
          <w:rFonts w:cs="Arial"/>
        </w:rPr>
        <w:t xml:space="preserve"> </w:t>
      </w:r>
    </w:p>
    <w:p w14:paraId="02A6F0FF" w14:textId="017DE7AC" w:rsidR="265A62DA" w:rsidRDefault="573ACA9C" w:rsidP="431E93DE">
      <w:pPr>
        <w:spacing w:after="0" w:line="276" w:lineRule="auto"/>
        <w:jc w:val="both"/>
      </w:pPr>
      <w:r w:rsidRPr="00F7FCEE">
        <w:rPr>
          <w:rFonts w:cs="Arial"/>
        </w:rPr>
        <w:t>Do 30. 11. 2024 je bilo v različna usposabljanja v sklopu JR vključenih 13.719 oseb. Do konca projekta bo predvidoma vključenih 52.000 oseb</w:t>
      </w:r>
      <w:r w:rsidR="00B53785">
        <w:rPr>
          <w:rFonts w:cs="Arial"/>
        </w:rPr>
        <w:t>.</w:t>
      </w:r>
    </w:p>
    <w:p w14:paraId="005FFE11" w14:textId="6B7A4EE6" w:rsidR="431E93DE" w:rsidRDefault="431E93DE" w:rsidP="431E93DE">
      <w:pPr>
        <w:spacing w:after="0" w:line="276" w:lineRule="auto"/>
        <w:jc w:val="both"/>
        <w:rPr>
          <w:rFonts w:cs="Arial"/>
        </w:rPr>
      </w:pPr>
    </w:p>
    <w:p w14:paraId="57C70EEB" w14:textId="77777777" w:rsidR="000E7A5A" w:rsidRPr="00F425EA" w:rsidRDefault="00306071" w:rsidP="00827304">
      <w:pPr>
        <w:spacing w:after="0" w:line="276" w:lineRule="auto"/>
        <w:jc w:val="both"/>
        <w:rPr>
          <w:rFonts w:cs="Arial"/>
        </w:rPr>
      </w:pPr>
      <w:r w:rsidRPr="00F425EA">
        <w:rPr>
          <w:rFonts w:cs="Arial"/>
        </w:rPr>
        <w:t>V letu 2025 se bodo začele izvajati tudi naslednje operacije, ki nadalje prispevajo k spodbujanju in vključevanju odraslih v različne oblike izobraževanja in usposabljanja:</w:t>
      </w:r>
    </w:p>
    <w:p w14:paraId="0A943B85" w14:textId="77777777" w:rsidR="000E7A5A" w:rsidRPr="00F425EA" w:rsidRDefault="000E7A5A" w:rsidP="00477072">
      <w:pPr>
        <w:spacing w:after="0" w:line="276" w:lineRule="auto"/>
        <w:jc w:val="both"/>
        <w:rPr>
          <w:rFonts w:cs="Arial"/>
        </w:rPr>
      </w:pPr>
    </w:p>
    <w:p w14:paraId="43348562" w14:textId="562D51DA" w:rsidR="085B0F22" w:rsidRDefault="13A07EED" w:rsidP="00477072">
      <w:pPr>
        <w:spacing w:after="0" w:line="276" w:lineRule="auto"/>
        <w:jc w:val="both"/>
        <w:rPr>
          <w:rFonts w:cs="Arial"/>
        </w:rPr>
      </w:pPr>
      <w:r w:rsidRPr="00F7FCEE">
        <w:rPr>
          <w:rFonts w:cs="Arial"/>
        </w:rPr>
        <w:t xml:space="preserve">V kratkem se bo začel izvajati NPO Izvajanja programov nadaljnjega poklicnega in strokovnega izpopolnjevanja in usposabljanja v obdobju 2024–2029, v sklopu katerega se bodo izvedla različna usposabljanja nadaljnjega poklicnega izpopolnjevanja in usposabljanja ter preverjanja in potrjevanja nacionalnih poklicnih, v katera se bo predvidoma vključilo 36.000 oseb. Programi izpopolnjevanja in usposabljanja bodo pripomogli k izboljšanju poklicnih kompetenc zaposlenih in zmanjšanju neskladij med njihovo usposobljenostjo in potrebami trga dela. To vključuje odzivanje na tehnološke, demografske in podnebne spremembe. </w:t>
      </w:r>
    </w:p>
    <w:p w14:paraId="05462A08" w14:textId="77777777" w:rsidR="00477072" w:rsidRDefault="00477072" w:rsidP="00477072">
      <w:pPr>
        <w:spacing w:after="0" w:line="276" w:lineRule="auto"/>
        <w:jc w:val="both"/>
        <w:rPr>
          <w:rFonts w:cs="Arial"/>
        </w:rPr>
      </w:pPr>
    </w:p>
    <w:p w14:paraId="5A8D117C" w14:textId="23AA0405" w:rsidR="085B0F22" w:rsidRDefault="13A07EED" w:rsidP="00477072">
      <w:pPr>
        <w:spacing w:after="0" w:line="276" w:lineRule="auto"/>
        <w:jc w:val="both"/>
        <w:rPr>
          <w:rFonts w:cs="Arial"/>
        </w:rPr>
      </w:pPr>
      <w:r w:rsidRPr="00F7FCEE">
        <w:rPr>
          <w:rFonts w:cs="Arial"/>
        </w:rPr>
        <w:t>Prav tako se bo začel izvajati program Sofinanciranje izobraževanja za pridobitev srednješolske in višješolske izobrazbe ter poklicne kvalifikacije 2024–2029, v sklopu katerega se bo sofinanciralo stroške izobraževanja za pridobitev izobrazbe in poklicne kvalifikacije. V sklopu programa se bo predvidoma 3.200 osebam povrnilo stroške šolnine za pridobitev izobrazbe.</w:t>
      </w:r>
    </w:p>
    <w:p w14:paraId="2E380AFD" w14:textId="77777777" w:rsidR="00477072" w:rsidRDefault="00477072" w:rsidP="00477072">
      <w:pPr>
        <w:spacing w:after="0" w:line="276" w:lineRule="auto"/>
        <w:jc w:val="both"/>
      </w:pPr>
    </w:p>
    <w:p w14:paraId="590526D4" w14:textId="4784D04C" w:rsidR="085B0F22" w:rsidRDefault="13A07EED" w:rsidP="00477072">
      <w:pPr>
        <w:spacing w:after="0" w:line="276" w:lineRule="auto"/>
        <w:jc w:val="both"/>
      </w:pPr>
      <w:r w:rsidRPr="00F7FCEE">
        <w:rPr>
          <w:rFonts w:cs="Arial"/>
        </w:rPr>
        <w:t>Z JR Krepitev usposobljenosti izobraževalcev odraslih se bodo nadgrajevale kompetence izobraževalcev s posebnim poudarkom na: digitalizaciji učenja in izobraževanja, trajnostnega razvoja, novih pristopih za izobraževanje na daljavo, IKT orodjih idr. Posledično bode udeleženci neformalnih izobraževalnih programov in študenti višjega strokovnega izobraževanja deležni kvalitetnega izobraževanja, ki bo v skladu z razvojnimi potrebami delodajalcev in družbe.</w:t>
      </w:r>
    </w:p>
    <w:p w14:paraId="36E6BB00" w14:textId="28753305" w:rsidR="431E93DE" w:rsidRDefault="431E93DE" w:rsidP="00477072">
      <w:pPr>
        <w:spacing w:after="0" w:line="276" w:lineRule="auto"/>
        <w:jc w:val="both"/>
        <w:rPr>
          <w:rFonts w:cs="Arial"/>
        </w:rPr>
      </w:pPr>
    </w:p>
    <w:p w14:paraId="73BC113D" w14:textId="77777777" w:rsidR="000E7A5A" w:rsidRPr="00F425EA" w:rsidRDefault="00306071" w:rsidP="00827304">
      <w:pPr>
        <w:spacing w:after="0" w:line="276" w:lineRule="auto"/>
        <w:jc w:val="both"/>
        <w:rPr>
          <w:rFonts w:cs="Arial"/>
        </w:rPr>
      </w:pPr>
      <w:r w:rsidRPr="00F425EA">
        <w:rPr>
          <w:rFonts w:cs="Arial"/>
          <w:b/>
          <w:bCs/>
        </w:rPr>
        <w:t>»Javni razpis Karierni centri projektov kariernih centrov za mlade+«</w:t>
      </w:r>
      <w:r w:rsidRPr="00F425EA">
        <w:rPr>
          <w:rFonts w:cs="Arial"/>
        </w:rPr>
        <w:t xml:space="preserve"> je v zadnji fazi priprave in bo objavljen predvidoma v začetku 2025. V okviru kariernih centrov bomo mladim omogočili večjo dostopnost do storitev karierne orientacije. Strokovni sodelavci bodo nudili informacije in seznanjali mlade s poklici in znanji prihodnosti. Preko različnih aktivnosti bodo mladi spoznavali deficitarne poklice, prepoznavali svoje interese, kompetence, ter pridobivali informacije o možnih kariernih poteh. V aktivnosti bo predvidoma vključeno 6.000 mladih.</w:t>
      </w:r>
    </w:p>
    <w:p w14:paraId="10EE4CA5" w14:textId="77777777" w:rsidR="000E7A5A" w:rsidRPr="00F425EA" w:rsidRDefault="000E7A5A" w:rsidP="00827304">
      <w:pPr>
        <w:spacing w:after="0" w:line="276" w:lineRule="auto"/>
        <w:jc w:val="both"/>
        <w:rPr>
          <w:rFonts w:cs="Arial"/>
        </w:rPr>
      </w:pPr>
    </w:p>
    <w:p w14:paraId="20FF169B" w14:textId="77777777" w:rsidR="000E7A5A" w:rsidRPr="00F425EA" w:rsidRDefault="00306071" w:rsidP="00827304">
      <w:pPr>
        <w:spacing w:after="0" w:line="276" w:lineRule="auto"/>
        <w:jc w:val="both"/>
        <w:rPr>
          <w:rFonts w:cs="Arial"/>
        </w:rPr>
      </w:pPr>
      <w:r w:rsidRPr="00F425EA">
        <w:rPr>
          <w:rFonts w:cs="Arial"/>
        </w:rPr>
        <w:t xml:space="preserve">V kratkem bo objavljen javni razpis za izvajalce projektov </w:t>
      </w:r>
      <w:r w:rsidRPr="00F425EA">
        <w:rPr>
          <w:rFonts w:cs="Arial"/>
          <w:b/>
          <w:bCs/>
        </w:rPr>
        <w:t>»Spodbujanje vključevanja zaposlenih, katerih zaposlitev je ogrožena, vključno s tistimi delovnimi mesti, ki so podvrženi digitalizaciji in avtomatizaciji – SPIN 2.0«</w:t>
      </w:r>
      <w:r w:rsidRPr="00F425EA">
        <w:rPr>
          <w:rFonts w:cs="Arial"/>
          <w:i/>
          <w:iCs/>
        </w:rPr>
        <w:t>.</w:t>
      </w:r>
      <w:r w:rsidRPr="00F425EA">
        <w:rPr>
          <w:rFonts w:cs="Arial"/>
        </w:rPr>
        <w:t xml:space="preserve"> Aktivnosti v okviru izbranih projektov bodo namenjeni zaposlenim, katerih zaposlitev oz. samozaposlitev je ogrožena, začasna ali tvega </w:t>
      </w:r>
      <w:proofErr w:type="spellStart"/>
      <w:r w:rsidRPr="00F425EA">
        <w:rPr>
          <w:rFonts w:cs="Arial"/>
        </w:rPr>
        <w:t>prekarnost</w:t>
      </w:r>
      <w:proofErr w:type="spellEnd"/>
      <w:r w:rsidRPr="00F425EA">
        <w:rPr>
          <w:rFonts w:cs="Arial"/>
        </w:rPr>
        <w:t xml:space="preserve">. Izvajali bodo prilagojene programe informiranja, motiviranja, kariernega svetovanja, usposabljanja ali izobraževanja in bodo prilagojena potrebam trga dela. Le ti bodo vključevali znanja za krepitev digitalnih kompetenc, znanja za zeleni prehod in krožno gospodarstvo ter znanja za družbeni razvoj nasploh. Na tak način se bo omogočal lažji prehod na nova delovna mesta ali v novo zaposlitev in preprečevalo njihov prehod v </w:t>
      </w:r>
      <w:r w:rsidRPr="00F425EA">
        <w:rPr>
          <w:rFonts w:cs="Arial"/>
        </w:rPr>
        <w:lastRenderedPageBreak/>
        <w:t>brezposelnost. Vsebin za pridobitev digitalnih kompetenc in znanj za zeleni prehod bo v višini vsaj 20 %. V projekte bo vključenih 5.000 oseb, katerih zaposlitev je ogrožena.</w:t>
      </w:r>
    </w:p>
    <w:p w14:paraId="751308C7" w14:textId="77777777" w:rsidR="000E7A5A" w:rsidRPr="00F425EA" w:rsidRDefault="000E7A5A" w:rsidP="00827304">
      <w:pPr>
        <w:spacing w:after="0" w:line="276" w:lineRule="auto"/>
        <w:jc w:val="both"/>
        <w:rPr>
          <w:rFonts w:cs="Arial"/>
        </w:rPr>
      </w:pPr>
    </w:p>
    <w:p w14:paraId="7644BDA4" w14:textId="77777777" w:rsidR="000E7A5A" w:rsidRPr="00F425EA" w:rsidRDefault="00306071" w:rsidP="00827304">
      <w:pPr>
        <w:spacing w:after="0" w:line="276" w:lineRule="auto"/>
        <w:jc w:val="both"/>
        <w:rPr>
          <w:rFonts w:cs="Arial"/>
        </w:rPr>
      </w:pPr>
      <w:r w:rsidRPr="00F425EA">
        <w:rPr>
          <w:rFonts w:cs="Arial"/>
        </w:rPr>
        <w:t xml:space="preserve">Namen operacije </w:t>
      </w:r>
      <w:r w:rsidRPr="00F425EA">
        <w:rPr>
          <w:rFonts w:cs="Arial"/>
          <w:b/>
          <w:bCs/>
        </w:rPr>
        <w:t>»Podpora podjetjem za podaljševanje delovne aktivnosti - ASI+«</w:t>
      </w:r>
      <w:r w:rsidRPr="00F425EA">
        <w:rPr>
          <w:rFonts w:cs="Arial"/>
        </w:rPr>
        <w:t xml:space="preserve"> je podaljševanje delovne aktivnosti starejših zaposlenih s krepitvijo njihovih kompetenc. S programom bomo prispevali k boljši usposobljenosti, tudi na področju digitalnih in zelenih spretnosti, zavzetosti in učinkovitosti starejših zaposlenih in spodbujanju medgeneracijskega dialoga kot del vseživljenjskega učenja, ki zagotavlja prenos in izmenjavo znanj med generacijami. V program bo vključenih 15.800 starejših zaposlenih.</w:t>
      </w:r>
    </w:p>
    <w:p w14:paraId="462C2674" w14:textId="77777777" w:rsidR="000E7A5A" w:rsidRPr="00F425EA" w:rsidRDefault="000E7A5A" w:rsidP="00827304">
      <w:pPr>
        <w:spacing w:after="0" w:line="276" w:lineRule="auto"/>
        <w:jc w:val="both"/>
        <w:rPr>
          <w:rFonts w:cs="Arial"/>
        </w:rPr>
      </w:pPr>
    </w:p>
    <w:p w14:paraId="26CBFCF2" w14:textId="66862932" w:rsidR="000E7A5A" w:rsidRPr="00F425EA" w:rsidRDefault="1ECD1B8B" w:rsidP="00827304">
      <w:pPr>
        <w:spacing w:after="0" w:line="276" w:lineRule="auto"/>
        <w:jc w:val="both"/>
        <w:rPr>
          <w:rFonts w:cs="Arial"/>
        </w:rPr>
      </w:pPr>
      <w:r w:rsidRPr="00F7FCEE">
        <w:rPr>
          <w:rFonts w:cs="Arial"/>
        </w:rPr>
        <w:t xml:space="preserve">Prav tako se pripravljajo vsi potrebni dokumenti za program </w:t>
      </w:r>
      <w:r w:rsidRPr="00F7FCEE">
        <w:rPr>
          <w:rFonts w:cs="Arial"/>
          <w:b/>
          <w:bCs/>
        </w:rPr>
        <w:t>»Kompetentna Slovenija«.</w:t>
      </w:r>
      <w:r w:rsidRPr="00F7FCEE">
        <w:rPr>
          <w:rFonts w:cs="Arial"/>
        </w:rPr>
        <w:t xml:space="preserve"> Namen programa je izvajanje brezplačnih neformalnih oblik usposabljanj, katerih glavnih cilj je zmanjševanju neskladja med vrzeljo usposobljenosti obstoječega kadra na trgu dela in povpraševanjem po novih kompetencah v gospodarstvu kot k dvigu konkurenčnosti gospodarstva in dvigu družbene blaginje. Usposabljanja bodo usmerjena v učenje mehkih veščin, prečnih znanj in spretnosti, ki so potrebne pri reševanju kompleksnejših izzivov v digitalnem okolju, so bistvena za delo, učenje in vsakdanje življenje. </w:t>
      </w:r>
    </w:p>
    <w:p w14:paraId="7AB38A5B" w14:textId="77777777" w:rsidR="000E7A5A" w:rsidRPr="00F425EA" w:rsidRDefault="000E7A5A" w:rsidP="00827304">
      <w:pPr>
        <w:spacing w:after="0" w:line="276" w:lineRule="auto"/>
        <w:jc w:val="both"/>
        <w:rPr>
          <w:rFonts w:cs="Arial"/>
        </w:rPr>
      </w:pPr>
    </w:p>
    <w:p w14:paraId="54CFB8F9" w14:textId="77777777" w:rsidR="000E7A5A" w:rsidRPr="00F425EA" w:rsidRDefault="1ECD1B8B" w:rsidP="00827304">
      <w:pPr>
        <w:spacing w:after="0" w:line="276" w:lineRule="auto"/>
        <w:jc w:val="both"/>
        <w:rPr>
          <w:rFonts w:cs="Arial"/>
        </w:rPr>
      </w:pPr>
      <w:r w:rsidRPr="00F7FCEE">
        <w:rPr>
          <w:rFonts w:cs="Arial"/>
        </w:rPr>
        <w:t xml:space="preserve">V letu 2025 se bodo začeli izvajati tudi </w:t>
      </w:r>
      <w:r w:rsidRPr="00F7FCEE">
        <w:rPr>
          <w:rFonts w:cs="Arial"/>
          <w:b/>
          <w:bCs/>
        </w:rPr>
        <w:t>»Kompetenčni centri 4.0«,</w:t>
      </w:r>
      <w:r w:rsidRPr="00F7FCEE">
        <w:rPr>
          <w:rFonts w:cs="Arial"/>
        </w:rPr>
        <w:t xml:space="preserve"> ki predvidevajo vključitev nekaj manj kot 3.000 zaposlenih v majhnih in srednjih podjetjih v usposabljanja. Predvidevajo se usposabljanja in izobraževanja zaposlenih na področjih pametne specializacije, industrijskega prehoda in podjetništva. Usmerjena bodo nadaljnjemu gospodarskemu razvoju Slovenije skozi razvijanje znanj in spretnosti, potrebnih za pametno specializacijo, industrijski prehod ter zeleno in digitalno preobrazbo, in v podporo inovativnosti za podjetja ter izboljšanju položaja zaposlenih na trgu dela.</w:t>
      </w:r>
    </w:p>
    <w:p w14:paraId="79119BFC" w14:textId="2ECEF965" w:rsidR="431E93DE" w:rsidRDefault="431E93DE" w:rsidP="431E93DE">
      <w:pPr>
        <w:spacing w:after="0" w:line="276" w:lineRule="auto"/>
        <w:jc w:val="both"/>
        <w:rPr>
          <w:rFonts w:cs="Arial"/>
        </w:rPr>
      </w:pPr>
    </w:p>
    <w:p w14:paraId="4D61E991" w14:textId="617E9683" w:rsidR="244E0EF1" w:rsidRDefault="0DF6BFC9" w:rsidP="431E93DE">
      <w:pPr>
        <w:spacing w:after="0" w:line="276" w:lineRule="auto"/>
        <w:jc w:val="both"/>
        <w:rPr>
          <w:rFonts w:cs="Arial"/>
        </w:rPr>
      </w:pPr>
      <w:r w:rsidRPr="00F7FCEE">
        <w:rPr>
          <w:rFonts w:cs="Arial"/>
        </w:rPr>
        <w:t>V letu 2026 se bo začel tudi izvajati JR Krepitev kompetenc mladih za večjo zaposljivost in aktivno državljanstvo preko kakovostnega mladinskega dela ključna, katerega ključna projektna aktivnost bo izvajanje usposabljanj za krepitev kompetenc mladih, starih od 15 do 29 let, za večjo zaposljivost in aktivno državljanstvo, ki jih bodo izvajale organizacije v mladinskem sektorju. Spodbujale se bodo inovativne oblike mladinskega dela, ki bodo imele tudi širše učinke na področje kakovostnega mladinskega dela in mladinske politike, k aktivnostim se bo spodbujalo tudi mlade, ki niso udeleženi v izobraževanju ali usposabljanju oziroma niso zaposleni. V usposabljanja bo predvidoma vključenih 6000 udeležencev.</w:t>
      </w:r>
    </w:p>
    <w:p w14:paraId="0EDDA7C1" w14:textId="60A98CF7" w:rsidR="244E0EF1" w:rsidRDefault="0DF6BFC9" w:rsidP="431E93DE">
      <w:pPr>
        <w:spacing w:after="0" w:line="276" w:lineRule="auto"/>
        <w:jc w:val="both"/>
      </w:pPr>
      <w:r w:rsidRPr="00F7FCEE">
        <w:rPr>
          <w:rFonts w:cs="Arial"/>
        </w:rPr>
        <w:t xml:space="preserve"> </w:t>
      </w:r>
    </w:p>
    <w:p w14:paraId="4C74A716" w14:textId="77ADBC09" w:rsidR="000E7A5A" w:rsidRDefault="0DF6BFC9" w:rsidP="006620B6">
      <w:pPr>
        <w:spacing w:after="0" w:line="276" w:lineRule="auto"/>
        <w:jc w:val="both"/>
        <w:rPr>
          <w:rFonts w:cs="Arial"/>
        </w:rPr>
      </w:pPr>
      <w:r w:rsidRPr="00F7FCEE">
        <w:rPr>
          <w:rFonts w:cs="Arial"/>
        </w:rPr>
        <w:t>Do konca izvajanja PEKP 2021–2027 naj bi se tako v različne programe vseživljenjskega učenja ukrepu MVI vključilo 97.200 oseb.</w:t>
      </w:r>
      <w:r w:rsidR="0083343B">
        <w:rPr>
          <w:rFonts w:cs="Arial"/>
        </w:rPr>
        <w:t xml:space="preserve"> </w:t>
      </w:r>
      <w:r w:rsidR="00306071" w:rsidRPr="00F425EA">
        <w:rPr>
          <w:rFonts w:cs="Arial"/>
        </w:rPr>
        <w:t>Do konca izvajanja PEKP 2021</w:t>
      </w:r>
      <w:r w:rsidR="003037F8" w:rsidRPr="003037F8">
        <w:rPr>
          <w:rFonts w:cs="Arial"/>
        </w:rPr>
        <w:t>–</w:t>
      </w:r>
      <w:r w:rsidR="00306071" w:rsidRPr="00F425EA">
        <w:rPr>
          <w:rFonts w:cs="Arial"/>
        </w:rPr>
        <w:t>2027 naj bi se tako v različne programe vseživljenjskega učenja vključilo nekaj manj kot 50.000 oseb. Z uspešno izvedbo vseh predvidenih operacij bomo prispevali k cilju na ravni EU, da bi moralo do leta 2030 vsako leto vsaj 60 % vseh odraslih sodelovati v usposabljanju. V primeru, da se izkažejo večje potrebe po dodatnih sredstvih za področje izobraževanja in usposabljanja, bomo del sredstev iz področja aktivacije brezposelnih namenili za izobraževanje in usposabljanje odraslih, tako brezposelnih kot zaposlenih.</w:t>
      </w:r>
      <w:bookmarkStart w:id="3078" w:name="_Toc710363146"/>
      <w:bookmarkStart w:id="3079" w:name="_Toc966789977"/>
      <w:bookmarkStart w:id="3080" w:name="_Toc1784629262"/>
      <w:bookmarkStart w:id="3081" w:name="_Toc1426233240"/>
      <w:bookmarkStart w:id="3082" w:name="_Toc295027272"/>
      <w:bookmarkStart w:id="3083" w:name="_Toc1369547928"/>
      <w:bookmarkStart w:id="3084" w:name="_Toc416387967"/>
      <w:bookmarkStart w:id="3085" w:name="_Toc139084183"/>
      <w:bookmarkStart w:id="3086" w:name="_Toc1021480220"/>
      <w:bookmarkStart w:id="3087" w:name="_Toc1624219828"/>
      <w:bookmarkStart w:id="3088" w:name="_Toc518392506"/>
      <w:bookmarkStart w:id="3089" w:name="_Toc1466424305"/>
      <w:bookmarkStart w:id="3090" w:name="_Toc246191208"/>
      <w:bookmarkStart w:id="3091" w:name="_Toc1652189944"/>
      <w:bookmarkStart w:id="3092" w:name="_Toc722273093"/>
      <w:bookmarkStart w:id="3093" w:name="_Toc436583025"/>
      <w:bookmarkStart w:id="3094" w:name="_Toc579130633"/>
      <w:bookmarkStart w:id="3095" w:name="_Toc390184495"/>
      <w:bookmarkStart w:id="3096" w:name="_Toc513426431"/>
      <w:bookmarkStart w:id="3097" w:name="_Toc2076534304"/>
      <w:bookmarkStart w:id="3098" w:name="_Toc1140079010"/>
      <w:bookmarkStart w:id="3099" w:name="_Toc705614946"/>
      <w:bookmarkStart w:id="3100" w:name="_Toc1670219568"/>
      <w:bookmarkStart w:id="3101" w:name="_Toc1571233369"/>
      <w:bookmarkStart w:id="3102" w:name="_Toc1855004443"/>
      <w:bookmarkStart w:id="3103" w:name="_Toc293453925"/>
      <w:bookmarkStart w:id="3104" w:name="_Toc812269607"/>
      <w:bookmarkStart w:id="3105" w:name="_Toc1201403639"/>
      <w:bookmarkStart w:id="3106" w:name="_Toc1683328572"/>
      <w:bookmarkStart w:id="3107" w:name="_Toc720356179"/>
      <w:bookmarkStart w:id="3108" w:name="_Toc697676622"/>
      <w:bookmarkStart w:id="3109" w:name="_Toc1677754306"/>
      <w:bookmarkStart w:id="3110" w:name="_Toc565050004"/>
      <w:bookmarkStart w:id="3111" w:name="_Toc1967098356"/>
      <w:bookmarkStart w:id="3112" w:name="_Toc2071827612"/>
      <w:bookmarkStart w:id="3113" w:name="_Toc339768929"/>
      <w:bookmarkStart w:id="3114" w:name="_Toc919238765"/>
      <w:bookmarkStart w:id="3115" w:name="_Toc746549814"/>
      <w:bookmarkStart w:id="3116" w:name="_Toc77153490"/>
      <w:bookmarkStart w:id="3117" w:name="_Toc1848381336"/>
      <w:bookmarkStart w:id="3118" w:name="_Toc1985306963"/>
      <w:bookmarkStart w:id="3119" w:name="_Toc1015538573"/>
      <w:bookmarkStart w:id="3120" w:name="_Toc1077861280"/>
      <w:bookmarkStart w:id="3121" w:name="_Toc1686804931"/>
      <w:bookmarkStart w:id="3122" w:name="_Toc1596102300"/>
      <w:bookmarkStart w:id="3123" w:name="_Toc1669683801"/>
      <w:bookmarkStart w:id="3124" w:name="_Toc1951984760"/>
      <w:bookmarkStart w:id="3125" w:name="_Toc675498120"/>
      <w:bookmarkStart w:id="3126" w:name="_Toc1613857806"/>
      <w:bookmarkStart w:id="3127" w:name="_Toc1337696493"/>
      <w:bookmarkStart w:id="3128" w:name="_Toc1826038433"/>
      <w:bookmarkStart w:id="3129" w:name="_Toc757516752"/>
      <w:bookmarkStart w:id="3130" w:name="_Toc973260341"/>
      <w:bookmarkStart w:id="3131" w:name="_Toc685176384"/>
      <w:bookmarkStart w:id="3132" w:name="_Toc495466563"/>
      <w:bookmarkStart w:id="3133" w:name="_Toc1905184277"/>
      <w:bookmarkStart w:id="3134" w:name="_Toc2133247422"/>
      <w:bookmarkStart w:id="3135" w:name="_Toc689930121"/>
      <w:bookmarkStart w:id="3136" w:name="_Toc2086198082"/>
      <w:bookmarkStart w:id="3137" w:name="_Toc849468297"/>
      <w:bookmarkStart w:id="3138" w:name="_Toc345377500"/>
      <w:bookmarkStart w:id="3139" w:name="_Toc1878029110"/>
      <w:bookmarkStart w:id="3140" w:name="_Toc726224438"/>
      <w:bookmarkStart w:id="3141" w:name="_Toc290309688"/>
      <w:bookmarkStart w:id="3142" w:name="_Toc1128813791"/>
      <w:bookmarkStart w:id="3143" w:name="_Toc2119604321"/>
      <w:bookmarkStart w:id="3144" w:name="_Toc1027428611"/>
      <w:bookmarkStart w:id="3145" w:name="_Toc1084972632"/>
      <w:bookmarkStart w:id="3146" w:name="_Toc1713827031"/>
      <w:bookmarkStart w:id="3147" w:name="_Toc1113045788"/>
      <w:bookmarkStart w:id="3148" w:name="_Toc1023884750"/>
      <w:bookmarkStart w:id="3149" w:name="_Toc1199700164"/>
      <w:bookmarkStart w:id="3150" w:name="_Toc2081767093"/>
      <w:bookmarkStart w:id="3151" w:name="_Toc71691741"/>
      <w:bookmarkStart w:id="3152" w:name="_Toc1894068213"/>
      <w:bookmarkStart w:id="3153" w:name="_Toc208293645"/>
      <w:bookmarkStart w:id="3154" w:name="_Toc2135871198"/>
      <w:bookmarkStart w:id="3155" w:name="_Toc1713265239"/>
      <w:bookmarkStart w:id="3156" w:name="_Toc1852095407"/>
      <w:bookmarkStart w:id="3157" w:name="_Toc187208662"/>
      <w:bookmarkStart w:id="3158" w:name="_Toc255281912"/>
      <w:bookmarkStart w:id="3159" w:name="_Toc1058068114"/>
      <w:bookmarkStart w:id="3160" w:name="_Toc163134393"/>
      <w:bookmarkStart w:id="3161" w:name="_Toc394248519"/>
    </w:p>
    <w:p w14:paraId="76B57F01" w14:textId="77777777" w:rsidR="006620B6" w:rsidRPr="00F425EA" w:rsidRDefault="006620B6" w:rsidP="006620B6">
      <w:pPr>
        <w:spacing w:after="0" w:line="276" w:lineRule="auto"/>
        <w:jc w:val="both"/>
        <w:rPr>
          <w:rFonts w:cs="Arial"/>
        </w:rPr>
      </w:pPr>
    </w:p>
    <w:p w14:paraId="323AC2BF" w14:textId="703FDDA5" w:rsidR="000E7A5A" w:rsidRPr="00D7117F" w:rsidRDefault="00306071" w:rsidP="000B2C28">
      <w:pPr>
        <w:pStyle w:val="Naslov2"/>
        <w:rPr>
          <w:i/>
          <w:iCs/>
        </w:rPr>
      </w:pPr>
      <w:bookmarkStart w:id="3162" w:name="_Toc187739359"/>
      <w:bookmarkStart w:id="3163" w:name="_Toc187740106"/>
      <w:bookmarkStart w:id="3164" w:name="_Toc192682013"/>
      <w:r w:rsidRPr="00D7117F">
        <w:rPr>
          <w:rStyle w:val="Neenpoudarek"/>
          <w:rFonts w:cs="Arial"/>
          <w:i w:val="0"/>
          <w:iCs w:val="0"/>
          <w:color w:val="4F81BD"/>
        </w:rPr>
        <w:t>3.6</w:t>
      </w:r>
      <w:r w:rsidRPr="00D7117F">
        <w:rPr>
          <w:i/>
          <w:iCs/>
        </w:rPr>
        <w:tab/>
      </w:r>
      <w:r w:rsidR="005A12CC" w:rsidRPr="00D7117F">
        <w:t>MODERNIZACIJA IN DIGITALIZACIJA NA PODROČJU SOCIALNIH STORITEV IN STORITEV NA TRGU DELA</w:t>
      </w:r>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r w:rsidR="005A12CC" w:rsidRPr="00D7117F">
        <w:rPr>
          <w:rStyle w:val="Neenpoudarek"/>
          <w:rFonts w:cs="Arial"/>
          <w:i w:val="0"/>
          <w:iCs w:val="0"/>
          <w:color w:val="4F81BD"/>
        </w:rPr>
        <w:t xml:space="preserve"> </w:t>
      </w:r>
    </w:p>
    <w:p w14:paraId="134DE55E" w14:textId="77777777" w:rsidR="000E7A5A" w:rsidRPr="00F425EA" w:rsidRDefault="000E7A5A" w:rsidP="006620B6">
      <w:pPr>
        <w:spacing w:after="0" w:line="276" w:lineRule="auto"/>
        <w:jc w:val="both"/>
        <w:rPr>
          <w:rFonts w:cs="Arial"/>
        </w:rPr>
      </w:pPr>
    </w:p>
    <w:p w14:paraId="2E6501AB" w14:textId="77777777" w:rsidR="000E7A5A" w:rsidRDefault="00306071" w:rsidP="00827304">
      <w:pPr>
        <w:spacing w:after="0" w:line="276" w:lineRule="auto"/>
        <w:jc w:val="both"/>
        <w:rPr>
          <w:rFonts w:cs="Arial"/>
        </w:rPr>
      </w:pPr>
      <w:r w:rsidRPr="00F425EA">
        <w:rPr>
          <w:rFonts w:cs="Arial"/>
        </w:rPr>
        <w:t>V letu 2024 se je na področju Modernizacije in digitalizacije socialnih storitev in storitev na trgu del pričela izvedba ukrepov, ki so navedeni v nadaljevanju.</w:t>
      </w:r>
    </w:p>
    <w:p w14:paraId="5E5E6575" w14:textId="77777777" w:rsidR="00477072" w:rsidRPr="00F425EA" w:rsidRDefault="00477072" w:rsidP="00827304">
      <w:pPr>
        <w:spacing w:after="0" w:line="276" w:lineRule="auto"/>
        <w:jc w:val="both"/>
        <w:rPr>
          <w:rFonts w:cs="Arial"/>
        </w:rPr>
      </w:pPr>
    </w:p>
    <w:p w14:paraId="6B605638" w14:textId="77777777" w:rsidR="000E7A5A" w:rsidRPr="00F425EA" w:rsidRDefault="00306071" w:rsidP="00827304">
      <w:pPr>
        <w:spacing w:after="0" w:line="276" w:lineRule="auto"/>
        <w:jc w:val="both"/>
        <w:rPr>
          <w:rFonts w:cs="Arial"/>
        </w:rPr>
      </w:pPr>
      <w:r w:rsidRPr="00F425EA">
        <w:rPr>
          <w:rFonts w:cs="Arial"/>
        </w:rPr>
        <w:t xml:space="preserve">S strateškim projektom </w:t>
      </w:r>
      <w:r w:rsidRPr="00F425EA">
        <w:rPr>
          <w:rFonts w:cs="Arial"/>
          <w:b/>
          <w:bCs/>
        </w:rPr>
        <w:t>»Platforma trga dela«</w:t>
      </w:r>
      <w:r w:rsidRPr="00F425EA">
        <w:rPr>
          <w:rFonts w:cs="Arial"/>
        </w:rPr>
        <w:t xml:space="preserve"> želimo vzpostaviti celosten sistem za napovedovanje potreb trga dela po poklicih in kompetencah, identifikacijo vrzeli med ponudbo in povpraševanjem, prikazati podatke in oblikovati predloge za umestitev relevantnih kompetenc v programe izobraževanja/usposabljanja za odpravljanje neskladij trga dela in s tem krepitev konkurenčnosti slovenskega gospodarstva. Izvedene so prve kratkoročne analize napovedi zaposlovanja in poklicni </w:t>
      </w:r>
      <w:r w:rsidRPr="00F425EA">
        <w:rPr>
          <w:rFonts w:cs="Arial"/>
        </w:rPr>
        <w:lastRenderedPageBreak/>
        <w:t>barometer. Pripravljena je testna verzija za srednjeročne in dolgoročne napovedi trga dela, ki je nadgrajena s podatki po kompetencah. Ob koncu izvajanja bo poleg srednjeročnih in dolgoročnih napovedi možno ugotavljanje vrzeli v poklicih in kompetencah glede na napovedi in neskladja v realnem času ter predlog umestitve relevantnih kompetenc v obstoječe in morebitne nove programe izobraževanja/usposabljanja, glede na potrebe trga dela in ugotovljene vrzeli v poklicih in kompetencah.</w:t>
      </w:r>
    </w:p>
    <w:p w14:paraId="69D893DC" w14:textId="77777777" w:rsidR="000E7A5A" w:rsidRPr="00F425EA" w:rsidRDefault="000E7A5A" w:rsidP="00827304">
      <w:pPr>
        <w:spacing w:after="0" w:line="276" w:lineRule="auto"/>
        <w:jc w:val="both"/>
        <w:rPr>
          <w:rFonts w:cs="Arial"/>
        </w:rPr>
      </w:pPr>
    </w:p>
    <w:p w14:paraId="34AD3FF4" w14:textId="77777777" w:rsidR="000E7A5A" w:rsidRPr="00F425EA" w:rsidRDefault="00306071" w:rsidP="00827304">
      <w:pPr>
        <w:spacing w:after="0" w:line="276" w:lineRule="auto"/>
        <w:jc w:val="both"/>
        <w:rPr>
          <w:rFonts w:cs="Arial"/>
        </w:rPr>
      </w:pPr>
      <w:r w:rsidRPr="00F425EA">
        <w:rPr>
          <w:rFonts w:cs="Arial"/>
        </w:rPr>
        <w:t xml:space="preserve">Platforma trga dela se smiselno povezuje tudi s projektom </w:t>
      </w:r>
      <w:r w:rsidRPr="00F425EA">
        <w:rPr>
          <w:rFonts w:cs="Arial"/>
          <w:b/>
          <w:bCs/>
        </w:rPr>
        <w:t>»Povezovanje JŠRIPS in ZRSZ za učinkovitejše reševanje izzivov trga dela«.</w:t>
      </w:r>
      <w:r w:rsidRPr="00F425EA">
        <w:rPr>
          <w:rFonts w:cs="Arial"/>
        </w:rPr>
        <w:t xml:space="preserve"> Z izmenjavo ter obdelavo podatkov o usposabljanjih in izobraževanjih zaposlenih bo projekt prispeval dragocene informacije o potrebah delodajalcev za zeleni prehod in digitalizacijo. Z ustreznim prilagajanjem znanj, veščin in kompetenc bodo brezposelne osebe lažje in hitreje pridobile zaposlitev.</w:t>
      </w:r>
    </w:p>
    <w:p w14:paraId="757B5618" w14:textId="77777777" w:rsidR="000E7A5A" w:rsidRPr="00F425EA" w:rsidRDefault="000E7A5A" w:rsidP="00827304">
      <w:pPr>
        <w:spacing w:after="0" w:line="276" w:lineRule="auto"/>
        <w:jc w:val="both"/>
        <w:rPr>
          <w:rFonts w:cs="Arial"/>
        </w:rPr>
      </w:pPr>
    </w:p>
    <w:p w14:paraId="17A2CA7C" w14:textId="77777777" w:rsidR="000E7A5A" w:rsidRPr="00F425EA" w:rsidRDefault="00306071" w:rsidP="00827304">
      <w:pPr>
        <w:spacing w:after="0" w:line="276" w:lineRule="auto"/>
        <w:jc w:val="both"/>
        <w:rPr>
          <w:rFonts w:cs="Arial"/>
        </w:rPr>
      </w:pPr>
      <w:r w:rsidRPr="00F425EA">
        <w:rPr>
          <w:rFonts w:cs="Arial"/>
        </w:rPr>
        <w:t xml:space="preserve">Platforma trga dela bo prispevala tudi k </w:t>
      </w:r>
      <w:r w:rsidRPr="00F425EA">
        <w:rPr>
          <w:rFonts w:cs="Arial"/>
          <w:b/>
          <w:bCs/>
        </w:rPr>
        <w:t>»Razvoju in vzpostavitvi novega storitvenega modela Zavoda RS za zaposlovanje s krepitvijo digitalnega poslovanja«.</w:t>
      </w:r>
      <w:r w:rsidRPr="00F425EA">
        <w:rPr>
          <w:rFonts w:cs="Arial"/>
        </w:rPr>
        <w:t xml:space="preserve"> Z razvojem storitev bodo uporabnikom na voljo sodobne storitve, ki bodo prilagojene potrebam posameznika. Nov storitveni model bo omogočal nov »</w:t>
      </w:r>
      <w:proofErr w:type="spellStart"/>
      <w:r w:rsidRPr="00F425EA">
        <w:rPr>
          <w:rFonts w:cs="Arial"/>
        </w:rPr>
        <w:t>customer</w:t>
      </w:r>
      <w:proofErr w:type="spellEnd"/>
      <w:r w:rsidRPr="00F425EA">
        <w:rPr>
          <w:rFonts w:cs="Arial"/>
        </w:rPr>
        <w:t xml:space="preserve"> </w:t>
      </w:r>
      <w:proofErr w:type="spellStart"/>
      <w:r w:rsidRPr="00F425EA">
        <w:rPr>
          <w:rFonts w:cs="Arial"/>
        </w:rPr>
        <w:t>journey</w:t>
      </w:r>
      <w:proofErr w:type="spellEnd"/>
      <w:r w:rsidRPr="00F425EA">
        <w:rPr>
          <w:rFonts w:cs="Arial"/>
        </w:rPr>
        <w:t>«, ki bo uporabnikom, ki so vešči digitalnega poslovanja, omogočal uporabo spletnih storitev ter ustrezno podporo, za uporabnike bolj oddaljene od trga dela pa osebnega svetovalca, »</w:t>
      </w:r>
      <w:proofErr w:type="spellStart"/>
      <w:r w:rsidRPr="00F425EA">
        <w:rPr>
          <w:rFonts w:cs="Arial"/>
        </w:rPr>
        <w:t>case</w:t>
      </w:r>
      <w:proofErr w:type="spellEnd"/>
      <w:r w:rsidRPr="00F425EA">
        <w:rPr>
          <w:rFonts w:cs="Arial"/>
        </w:rPr>
        <w:t xml:space="preserve"> managerja«, in poglobljeno karierno svetovanje.</w:t>
      </w:r>
    </w:p>
    <w:p w14:paraId="5B3EC2F3" w14:textId="77777777" w:rsidR="000E7A5A" w:rsidRPr="00F425EA" w:rsidRDefault="000E7A5A" w:rsidP="00827304">
      <w:pPr>
        <w:spacing w:after="0" w:line="276" w:lineRule="auto"/>
        <w:jc w:val="both"/>
        <w:rPr>
          <w:rFonts w:cs="Arial"/>
        </w:rPr>
      </w:pPr>
    </w:p>
    <w:p w14:paraId="11C9BE32" w14:textId="77777777" w:rsidR="000E7A5A" w:rsidRPr="00F425EA" w:rsidRDefault="00306071" w:rsidP="00827304">
      <w:pPr>
        <w:spacing w:after="0" w:line="276" w:lineRule="auto"/>
        <w:jc w:val="both"/>
        <w:rPr>
          <w:rFonts w:cs="Arial"/>
        </w:rPr>
      </w:pPr>
      <w:r w:rsidRPr="00F425EA">
        <w:rPr>
          <w:rFonts w:cs="Arial"/>
        </w:rPr>
        <w:t xml:space="preserve">S projektom </w:t>
      </w:r>
      <w:r w:rsidRPr="00F425EA">
        <w:rPr>
          <w:rFonts w:cs="Arial"/>
          <w:b/>
          <w:bCs/>
        </w:rPr>
        <w:t>»Krepitev sodelovanja institucij na trgu dela«</w:t>
      </w:r>
      <w:r w:rsidRPr="00F425EA">
        <w:rPr>
          <w:rFonts w:cs="Arial"/>
        </w:rPr>
        <w:t xml:space="preserve"> se vzpostavljajo sistemske, pravne rešitve za sodelovanje institucij zaposlovanja, sociale in zdravstva. Pripravljen bo predlog sprememb potrebne zakonodaje in na tem temelječ nov protokol, ki ga bosta sklenila ZRSZ, CSD, v sodelovanju z MDDSZ. S projektom bomo prispevali k izboljšanju stanja zaposlenosti in krepitvi ranljivih ciljnih skupin, zaradi česar se bo zmanjšalo tveganje revščine in socialne izključenosti. Strokovni delavci bodo izvajali medinstitucionalne poglobljene timske obravnave, kjer bodo ciljne skupine obravnavali kompleksno. S tem bodo posamezniki pravočasno pridobili primerne storitve institucij na enem mestu (skupna obravnava skupnih strank). Namen spremembe zakonodaje je okrepitev medinstitucionalnih timskih obravnav in preseči dualnost dosedanje obravnave iste osebe pri CSD in ZRSZ.</w:t>
      </w:r>
    </w:p>
    <w:p w14:paraId="03923672" w14:textId="77777777" w:rsidR="000E7A5A" w:rsidRPr="00F425EA" w:rsidRDefault="000E7A5A" w:rsidP="00827304">
      <w:pPr>
        <w:spacing w:after="0" w:line="276" w:lineRule="auto"/>
        <w:jc w:val="both"/>
        <w:rPr>
          <w:rFonts w:cs="Arial"/>
        </w:rPr>
      </w:pPr>
    </w:p>
    <w:p w14:paraId="1B3F6252" w14:textId="77777777" w:rsidR="000E7A5A" w:rsidRPr="00F425EA" w:rsidRDefault="00306071" w:rsidP="00827304">
      <w:pPr>
        <w:spacing w:after="0" w:line="276" w:lineRule="auto"/>
        <w:jc w:val="both"/>
        <w:rPr>
          <w:rFonts w:cs="Arial"/>
        </w:rPr>
      </w:pPr>
      <w:r w:rsidRPr="00F425EA">
        <w:rPr>
          <w:rFonts w:cs="Arial"/>
        </w:rPr>
        <w:t xml:space="preserve">S </w:t>
      </w:r>
      <w:r w:rsidRPr="00F425EA">
        <w:rPr>
          <w:rFonts w:cs="Arial"/>
          <w:b/>
          <w:bCs/>
        </w:rPr>
        <w:t>»Krepitvijo mrež pisarn za delodajalce na ZRSZ«</w:t>
      </w:r>
      <w:r w:rsidRPr="00F425EA">
        <w:rPr>
          <w:rFonts w:cs="Arial"/>
        </w:rPr>
        <w:t xml:space="preserve"> se uvajajo nove svetovalne storitve </w:t>
      </w:r>
      <w:proofErr w:type="spellStart"/>
      <w:r w:rsidRPr="00F425EA">
        <w:rPr>
          <w:rFonts w:cs="Arial"/>
        </w:rPr>
        <w:t>zadelodajalce</w:t>
      </w:r>
      <w:proofErr w:type="spellEnd"/>
      <w:r w:rsidRPr="00F425EA">
        <w:rPr>
          <w:rFonts w:cs="Arial"/>
        </w:rPr>
        <w:t xml:space="preserve">, ki hkrati izrabljajo možnosti digitalizacije ter spodbujajo </w:t>
      </w:r>
      <w:proofErr w:type="spellStart"/>
      <w:r w:rsidRPr="00F425EA">
        <w:rPr>
          <w:rFonts w:cs="Arial"/>
        </w:rPr>
        <w:t>inkluzivnost</w:t>
      </w:r>
      <w:proofErr w:type="spellEnd"/>
      <w:r w:rsidRPr="00F425EA">
        <w:rPr>
          <w:rFonts w:cs="Arial"/>
        </w:rPr>
        <w:t xml:space="preserve"> in raznolikost na delovnem mestu, družbeno odgovornost in trajnost v zaposlovanju ter povezovanje z združenji delodajalcev na nacionalni in regionalni ravni. Z okrepitvijo mreže pisarn za delodajalce na ZRSZ, ki delodajalcem zagotavljajo storitve po načelu »vse na enem mestu«, se podpirajo potrebe delodajalcev pri iskanju ustreznega kadra.</w:t>
      </w:r>
    </w:p>
    <w:p w14:paraId="69ABB263" w14:textId="77777777" w:rsidR="000E7A5A" w:rsidRPr="00F425EA" w:rsidRDefault="000E7A5A" w:rsidP="00827304">
      <w:pPr>
        <w:spacing w:after="0" w:line="276" w:lineRule="auto"/>
        <w:jc w:val="both"/>
        <w:rPr>
          <w:rFonts w:cs="Arial"/>
        </w:rPr>
      </w:pPr>
    </w:p>
    <w:p w14:paraId="7AE76E8E" w14:textId="77777777" w:rsidR="000E7A5A" w:rsidRDefault="00306071" w:rsidP="006620B6">
      <w:pPr>
        <w:spacing w:after="0" w:line="276" w:lineRule="auto"/>
        <w:jc w:val="both"/>
        <w:rPr>
          <w:rFonts w:cs="Arial"/>
        </w:rPr>
      </w:pPr>
      <w:r w:rsidRPr="00F425EA">
        <w:rPr>
          <w:rFonts w:cs="Arial"/>
        </w:rPr>
        <w:t xml:space="preserve">Z izvajanjem storitev v okviru </w:t>
      </w:r>
      <w:r w:rsidRPr="00F425EA">
        <w:rPr>
          <w:rFonts w:cs="Arial"/>
          <w:b/>
          <w:bCs/>
        </w:rPr>
        <w:t>»Izvajanje mreže EURES in iniciative ALMA«</w:t>
      </w:r>
      <w:r w:rsidRPr="00F425EA">
        <w:rPr>
          <w:rFonts w:cs="Arial"/>
        </w:rPr>
        <w:t xml:space="preserve"> se na širšem trgu dela EU širijo zaposlitvene možnosti iskalcev zaposlitve ter nudi aktivna podpora zaposlovanju. Tako posredno prispevamo k doseganju cilja glede stopnje zaposlenosti v EU in zmanjševanju deleža brezposelnih. Z izvajanjem iniciative ALMA za NEET bo projekt prispeval k hitrejšemu vključevanju na trg dela ali v druge ukrepe mladih NEET, prioritetno dolgotrajno brezposelnih.</w:t>
      </w:r>
    </w:p>
    <w:p w14:paraId="66986C2C" w14:textId="77777777" w:rsidR="006620B6" w:rsidRPr="00F425EA" w:rsidRDefault="006620B6" w:rsidP="006620B6">
      <w:pPr>
        <w:spacing w:after="0" w:line="276" w:lineRule="auto"/>
        <w:jc w:val="both"/>
        <w:rPr>
          <w:rFonts w:cs="Arial"/>
        </w:rPr>
      </w:pPr>
    </w:p>
    <w:p w14:paraId="7BA9B967" w14:textId="77777777" w:rsidR="000E7A5A" w:rsidRPr="00F425EA" w:rsidRDefault="00306071" w:rsidP="006620B6">
      <w:pPr>
        <w:spacing w:after="0" w:line="276" w:lineRule="auto"/>
        <w:jc w:val="both"/>
        <w:rPr>
          <w:rFonts w:cs="Arial"/>
        </w:rPr>
      </w:pPr>
      <w:r w:rsidRPr="00F425EA">
        <w:rPr>
          <w:rFonts w:cs="Arial"/>
        </w:rPr>
        <w:t xml:space="preserve">V zadnji fazi priprave je tudi projekt </w:t>
      </w:r>
      <w:r w:rsidRPr="00F425EA">
        <w:rPr>
          <w:rFonts w:cs="Arial"/>
          <w:b/>
          <w:bCs/>
        </w:rPr>
        <w:t>»Posodobitev sistema socialnega varstva«.</w:t>
      </w:r>
      <w:r w:rsidRPr="00F425EA">
        <w:rPr>
          <w:rFonts w:cs="Arial"/>
        </w:rPr>
        <w:t xml:space="preserve"> S projektom želimo izboljšati učinkovitost sistema socialnega varstva s krepitvijo kadra in izboljšanjem kakovosti storitev, še posebej za socialno vključevanje najbolj ranljivih ljudi. Prav tako naj bi s krepitvijo kompetenc strokovnega kadra na CSD-jih, za delo z družinami in ranljivimi posamezniki, preprečevali potencialne dejavnike tveganja. Uvajanje metod z elementi terenskega dela bo omogočalo prilagajanje potrebam vsakega posameznega primera oziroma uporabnika. S tem pristopom bomo učinkovito prispevali k preseganju socialne izključenosti in povečali vključenost vseh deležnikov pri nudenju pomoči posamezniku.</w:t>
      </w:r>
    </w:p>
    <w:p w14:paraId="3D79D5BF" w14:textId="1DA9C4ED" w:rsidR="000E7A5A" w:rsidRPr="00F425EA" w:rsidRDefault="00306071" w:rsidP="006620B6">
      <w:pPr>
        <w:spacing w:line="276" w:lineRule="auto"/>
        <w:jc w:val="both"/>
        <w:rPr>
          <w:rFonts w:cs="Arial"/>
        </w:rPr>
      </w:pPr>
      <w:r w:rsidRPr="00F425EA">
        <w:rPr>
          <w:rFonts w:cs="Arial"/>
        </w:rPr>
        <w:t>Ukrepi za zagotavljanje dostojnega dela (vključno s krepitvijo socialnih partnerjev), izvajanje celovitih storitev pred in po upokojitvi ter varnosti in zdravja pri delu so v pripravi in se bodo začeli izvajati v letu 2025.</w:t>
      </w:r>
      <w:bookmarkStart w:id="3165" w:name="_Toc636433706"/>
      <w:bookmarkStart w:id="3166" w:name="_Toc2097592147"/>
      <w:bookmarkStart w:id="3167" w:name="_Toc1815885032"/>
      <w:bookmarkStart w:id="3168" w:name="_Toc2073105597"/>
      <w:bookmarkStart w:id="3169" w:name="_Toc1086145223"/>
      <w:bookmarkStart w:id="3170" w:name="_Toc1027987023"/>
      <w:bookmarkStart w:id="3171" w:name="_Toc1571964873"/>
      <w:bookmarkStart w:id="3172" w:name="_Toc1470939768"/>
      <w:bookmarkStart w:id="3173" w:name="_Toc1754183117"/>
      <w:bookmarkStart w:id="3174" w:name="_Toc1542187415"/>
      <w:bookmarkStart w:id="3175" w:name="_Toc1484308816"/>
      <w:bookmarkStart w:id="3176" w:name="_Toc834145754"/>
      <w:bookmarkStart w:id="3177" w:name="_Toc1862042170"/>
      <w:bookmarkStart w:id="3178" w:name="_Toc684414747"/>
      <w:bookmarkStart w:id="3179" w:name="_Toc1840336932"/>
      <w:bookmarkStart w:id="3180" w:name="_Toc212187037"/>
      <w:bookmarkStart w:id="3181" w:name="_Toc699016757"/>
      <w:bookmarkStart w:id="3182" w:name="_Toc880992732"/>
      <w:bookmarkStart w:id="3183" w:name="_Toc2072876386"/>
      <w:bookmarkStart w:id="3184" w:name="_Toc158001705"/>
      <w:bookmarkStart w:id="3185" w:name="_Toc1297774316"/>
      <w:bookmarkStart w:id="3186" w:name="_Toc853850989"/>
      <w:bookmarkStart w:id="3187" w:name="_Toc47730749"/>
      <w:bookmarkStart w:id="3188" w:name="_Toc863688861"/>
      <w:bookmarkStart w:id="3189" w:name="_Toc1460707717"/>
      <w:bookmarkStart w:id="3190" w:name="_Toc1846728039"/>
      <w:bookmarkStart w:id="3191" w:name="_Toc234178596"/>
      <w:bookmarkStart w:id="3192" w:name="_Toc300968244"/>
      <w:bookmarkStart w:id="3193" w:name="_Toc1751542095"/>
      <w:bookmarkStart w:id="3194" w:name="_Toc2102911582"/>
      <w:bookmarkStart w:id="3195" w:name="_Toc1070118417"/>
      <w:bookmarkStart w:id="3196" w:name="_Toc930763760"/>
      <w:bookmarkStart w:id="3197" w:name="_Toc979989632"/>
      <w:bookmarkStart w:id="3198" w:name="_Toc1591727635"/>
      <w:bookmarkStart w:id="3199" w:name="_Toc932968771"/>
      <w:bookmarkStart w:id="3200" w:name="_Toc1795448550"/>
      <w:bookmarkStart w:id="3201" w:name="_Toc1294378895"/>
      <w:bookmarkStart w:id="3202" w:name="_Toc1249754004"/>
      <w:bookmarkStart w:id="3203" w:name="_Toc754639140"/>
      <w:bookmarkStart w:id="3204" w:name="_Toc490342322"/>
      <w:bookmarkStart w:id="3205" w:name="_Toc1715497227"/>
      <w:bookmarkStart w:id="3206" w:name="_Toc565008915"/>
      <w:bookmarkStart w:id="3207" w:name="_Toc218411754"/>
      <w:bookmarkStart w:id="3208" w:name="_Toc1905479122"/>
      <w:bookmarkStart w:id="3209" w:name="_Toc1142495890"/>
      <w:bookmarkStart w:id="3210" w:name="_Toc1625583757"/>
      <w:bookmarkStart w:id="3211" w:name="_Toc2036094436"/>
      <w:bookmarkStart w:id="3212" w:name="_Toc842113817"/>
      <w:bookmarkStart w:id="3213" w:name="_Toc788661774"/>
      <w:bookmarkStart w:id="3214" w:name="_Toc379473956"/>
      <w:bookmarkStart w:id="3215" w:name="_Toc1010771763"/>
      <w:bookmarkStart w:id="3216" w:name="_Toc518660729"/>
      <w:bookmarkStart w:id="3217" w:name="_Toc2059986939"/>
      <w:bookmarkStart w:id="3218" w:name="_Toc1253185526"/>
      <w:bookmarkStart w:id="3219" w:name="_Toc1308526562"/>
      <w:bookmarkStart w:id="3220" w:name="_Toc907364548"/>
      <w:bookmarkStart w:id="3221" w:name="_Toc1278355819"/>
      <w:bookmarkStart w:id="3222" w:name="_Toc1452400027"/>
      <w:bookmarkStart w:id="3223" w:name="_Toc652445093"/>
      <w:bookmarkStart w:id="3224" w:name="_Toc1900681941"/>
      <w:bookmarkStart w:id="3225" w:name="_Toc1110948529"/>
      <w:bookmarkStart w:id="3226" w:name="_Toc907843426"/>
      <w:bookmarkStart w:id="3227" w:name="_Toc1840462758"/>
      <w:bookmarkStart w:id="3228" w:name="_Toc1398147912"/>
      <w:bookmarkStart w:id="3229" w:name="_Toc49443935"/>
      <w:bookmarkStart w:id="3230" w:name="_Toc637370618"/>
      <w:bookmarkStart w:id="3231" w:name="_Toc787287781"/>
      <w:bookmarkStart w:id="3232" w:name="_Toc1931720584"/>
      <w:bookmarkStart w:id="3233" w:name="_Toc1193099172"/>
      <w:bookmarkStart w:id="3234" w:name="_Toc1346565460"/>
      <w:bookmarkStart w:id="3235" w:name="_Toc549416121"/>
      <w:bookmarkStart w:id="3236" w:name="_Toc578564346"/>
      <w:bookmarkStart w:id="3237" w:name="_Toc2010349871"/>
      <w:bookmarkStart w:id="3238" w:name="_Toc1928908128"/>
      <w:bookmarkStart w:id="3239" w:name="_Toc1237636051"/>
      <w:bookmarkStart w:id="3240" w:name="_Toc1359608443"/>
      <w:bookmarkStart w:id="3241" w:name="_Toc1180302976"/>
      <w:bookmarkStart w:id="3242" w:name="_Toc1293774288"/>
      <w:bookmarkStart w:id="3243" w:name="_Toc2003454332"/>
      <w:bookmarkStart w:id="3244" w:name="_Toc1786389071"/>
      <w:bookmarkStart w:id="3245" w:name="_Toc1691217533"/>
      <w:bookmarkStart w:id="3246" w:name="_Toc1972776714"/>
      <w:bookmarkStart w:id="3247" w:name="_Toc294579869"/>
      <w:bookmarkStart w:id="3248" w:name="_Toc797247621"/>
    </w:p>
    <w:p w14:paraId="0609C34D" w14:textId="09361002" w:rsidR="000E7A5A" w:rsidRPr="00F425EA" w:rsidRDefault="00306071" w:rsidP="000B2C28">
      <w:pPr>
        <w:pStyle w:val="Naslov2"/>
      </w:pPr>
      <w:bookmarkStart w:id="3249" w:name="_Toc187739360"/>
      <w:bookmarkStart w:id="3250" w:name="_Toc187740107"/>
      <w:bookmarkStart w:id="3251" w:name="_Toc192682014"/>
      <w:r w:rsidRPr="00F425EA">
        <w:rPr>
          <w:rStyle w:val="Neenpoudarek"/>
          <w:rFonts w:cs="Arial"/>
          <w:i w:val="0"/>
          <w:iCs w:val="0"/>
          <w:color w:val="2E74B5"/>
        </w:rPr>
        <w:lastRenderedPageBreak/>
        <w:t>3.7</w:t>
      </w:r>
      <w:r w:rsidRPr="00F425EA">
        <w:tab/>
      </w:r>
      <w:r w:rsidR="005A12CC" w:rsidRPr="00F425EA">
        <w:t>POSPEŠITEV INTEGRACIJE MIGRANTOV V DRUŽBO IN V TRG DELA</w:t>
      </w:r>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r w:rsidR="005A12CC" w:rsidRPr="00F425EA">
        <w:rPr>
          <w:rStyle w:val="Neenpoudarek"/>
          <w:rFonts w:cs="Arial"/>
          <w:i w:val="0"/>
          <w:iCs w:val="0"/>
          <w:color w:val="2E74B5"/>
        </w:rPr>
        <w:t xml:space="preserve"> </w:t>
      </w:r>
    </w:p>
    <w:p w14:paraId="3F961C51" w14:textId="77777777" w:rsidR="000E7A5A" w:rsidRPr="00F425EA" w:rsidRDefault="000E7A5A" w:rsidP="003F61F8">
      <w:pPr>
        <w:spacing w:after="0" w:line="276" w:lineRule="auto"/>
        <w:jc w:val="both"/>
        <w:rPr>
          <w:rFonts w:cs="Arial"/>
        </w:rPr>
      </w:pPr>
    </w:p>
    <w:p w14:paraId="7CC923DE" w14:textId="77777777" w:rsidR="000E7A5A" w:rsidRPr="00F425EA" w:rsidRDefault="00306071" w:rsidP="00E247FF">
      <w:pPr>
        <w:spacing w:after="0" w:line="276" w:lineRule="auto"/>
        <w:jc w:val="both"/>
        <w:rPr>
          <w:rFonts w:cs="Arial"/>
        </w:rPr>
      </w:pPr>
      <w:r w:rsidRPr="00F425EA">
        <w:rPr>
          <w:rFonts w:cs="Arial"/>
        </w:rPr>
        <w:t>Urad Vlade Republike Slovenije za oskrbo in integracijo migrantov (v nadaljevanju Urad) izvaja več različnih ukrepov namenjenih (i) prosilcem za mednarodno zaščito, (2) osebam z mednarodno zaščito in njihovim družinskim članom, (iii) osebam z začasno zaščito ter državljanom tretjih držav.</w:t>
      </w:r>
    </w:p>
    <w:p w14:paraId="4B71F0B0" w14:textId="77777777" w:rsidR="000E7A5A" w:rsidRPr="00F425EA" w:rsidRDefault="000E7A5A" w:rsidP="00E247FF">
      <w:pPr>
        <w:spacing w:after="0" w:line="276" w:lineRule="auto"/>
        <w:jc w:val="both"/>
        <w:rPr>
          <w:rFonts w:cs="Arial"/>
        </w:rPr>
      </w:pPr>
    </w:p>
    <w:p w14:paraId="6D2B5F49" w14:textId="77777777" w:rsidR="000E7A5A" w:rsidRPr="00F425EA" w:rsidRDefault="00306071" w:rsidP="00E76A87">
      <w:pPr>
        <w:pStyle w:val="Naslov3"/>
      </w:pPr>
      <w:bookmarkStart w:id="3252" w:name="_Toc192682015"/>
      <w:r w:rsidRPr="00F425EA">
        <w:t>3.7.1</w:t>
      </w:r>
      <w:r w:rsidRPr="00F425EA">
        <w:tab/>
        <w:t>Prosilci za mednarodno zaščito</w:t>
      </w:r>
      <w:bookmarkEnd w:id="3252"/>
    </w:p>
    <w:p w14:paraId="33F35B12" w14:textId="77777777" w:rsidR="000E7A5A" w:rsidRPr="00F425EA" w:rsidRDefault="000E7A5A" w:rsidP="00E247FF">
      <w:pPr>
        <w:spacing w:after="0" w:line="276" w:lineRule="auto"/>
        <w:jc w:val="both"/>
        <w:rPr>
          <w:rFonts w:cs="Arial"/>
        </w:rPr>
      </w:pPr>
    </w:p>
    <w:p w14:paraId="19F99C94" w14:textId="77777777" w:rsidR="000E7A5A" w:rsidRPr="00F425EA" w:rsidRDefault="00306071" w:rsidP="00E247FF">
      <w:pPr>
        <w:spacing w:after="0" w:line="276" w:lineRule="auto"/>
        <w:jc w:val="both"/>
        <w:rPr>
          <w:rFonts w:cs="Arial"/>
        </w:rPr>
      </w:pPr>
      <w:r w:rsidRPr="00F425EA">
        <w:rPr>
          <w:rFonts w:cs="Arial"/>
        </w:rPr>
        <w:t xml:space="preserve">Prosilci za mednarodno zaščito (v nadaljevanju: prosilci) živijo predvsem v azilnih domovih ali izpostavah, in sicer dokler njihov postopek ni pravnomočno končan. </w:t>
      </w:r>
    </w:p>
    <w:p w14:paraId="17F8A7D8" w14:textId="77777777" w:rsidR="000E7A5A" w:rsidRPr="00F425EA" w:rsidRDefault="000E7A5A" w:rsidP="00E247FF">
      <w:pPr>
        <w:spacing w:after="0" w:line="276" w:lineRule="auto"/>
        <w:jc w:val="both"/>
        <w:rPr>
          <w:rFonts w:cs="Arial"/>
        </w:rPr>
      </w:pPr>
    </w:p>
    <w:p w14:paraId="7ADE384E" w14:textId="4C69015E" w:rsidR="000E7A5A" w:rsidRPr="00F425EA" w:rsidRDefault="00306071" w:rsidP="00E247FF">
      <w:pPr>
        <w:spacing w:after="0" w:line="276" w:lineRule="auto"/>
        <w:jc w:val="both"/>
        <w:rPr>
          <w:rFonts w:cs="Arial"/>
        </w:rPr>
      </w:pPr>
      <w:r w:rsidRPr="00F425EA">
        <w:rPr>
          <w:rFonts w:cs="Arial"/>
        </w:rPr>
        <w:t>Spodbuja se dostop do trga dela, sploh glede na pomankanje delovne sile, zato je v letu 2023 prišlo na tem področju do spremembe zakonodaje. Prosilci imajo po treh mesecih prost dostop do trga dela. Po podatkih Urada je ena tretjina prosilcev za mednarodno zaščito vključenih na</w:t>
      </w:r>
      <w:r w:rsidR="006620B6">
        <w:rPr>
          <w:rFonts w:cs="Arial"/>
        </w:rPr>
        <w:t xml:space="preserve"> </w:t>
      </w:r>
      <w:r w:rsidRPr="00F425EA">
        <w:rPr>
          <w:rFonts w:cs="Arial"/>
        </w:rPr>
        <w:t>trg dela, vpišejo se lahko v registre brezposelnih oseb in aktivnih iskalcev zaposlitve Zavoda Republike Slovenije za zaposlovanje, evidenco o zaposlitvah vodi Zavod RS za zaposlovanje.</w:t>
      </w:r>
    </w:p>
    <w:p w14:paraId="3A230731" w14:textId="77777777" w:rsidR="000E7A5A" w:rsidRPr="00F425EA" w:rsidRDefault="000E7A5A" w:rsidP="00E247FF">
      <w:pPr>
        <w:spacing w:after="0" w:line="276" w:lineRule="auto"/>
        <w:jc w:val="both"/>
        <w:rPr>
          <w:rFonts w:cs="Arial"/>
        </w:rPr>
      </w:pPr>
    </w:p>
    <w:p w14:paraId="6CD7AA34" w14:textId="77777777" w:rsidR="000E7A5A" w:rsidRPr="00F425EA" w:rsidRDefault="00306071" w:rsidP="00E247FF">
      <w:pPr>
        <w:spacing w:after="0" w:line="276" w:lineRule="auto"/>
        <w:jc w:val="both"/>
        <w:rPr>
          <w:rFonts w:cs="Arial"/>
        </w:rPr>
      </w:pPr>
      <w:r w:rsidRPr="00F425EA">
        <w:rPr>
          <w:rFonts w:cs="Arial"/>
        </w:rPr>
        <w:t xml:space="preserve">Za prosilce se izvaja učenje slovenskega jezika kot neformalni program učenja odraslih. Učenje slovenskega jezika izvaja organizacija izbrana znotraj postopka javnega naročanja in se izvaja v azilnem domu in izpostavah azilnega doma. </w:t>
      </w:r>
    </w:p>
    <w:p w14:paraId="28A99111" w14:textId="77777777" w:rsidR="000E7A5A" w:rsidRPr="00F425EA" w:rsidRDefault="000E7A5A" w:rsidP="00E247FF">
      <w:pPr>
        <w:spacing w:after="0" w:line="276" w:lineRule="auto"/>
        <w:jc w:val="both"/>
        <w:rPr>
          <w:rFonts w:cs="Arial"/>
        </w:rPr>
      </w:pPr>
    </w:p>
    <w:p w14:paraId="0C2EFC8A" w14:textId="77777777" w:rsidR="000E7A5A" w:rsidRPr="00F425EA" w:rsidRDefault="00306071" w:rsidP="00E247FF">
      <w:pPr>
        <w:spacing w:after="0" w:line="276" w:lineRule="auto"/>
        <w:jc w:val="both"/>
        <w:rPr>
          <w:rFonts w:cs="Arial"/>
        </w:rPr>
      </w:pPr>
      <w:r w:rsidRPr="00F425EA">
        <w:rPr>
          <w:rFonts w:cs="Arial"/>
        </w:rPr>
        <w:t xml:space="preserve">Zelo pomembna je tudi pomoč Urada pri zagotavljanju pravice do izobraževanja, saj imajo prosilci pravice do izobraževanje na vseh ravneh, razen predšolske vzgoje. V primeru, da prosilec nima lastnih sredstev, prosilcu, ki se redno udeležujejo izobraževanja, Urad plačuje stroške javnega prevoza, ravno tako Urad pod pogojem, da prosilec nima lastnih sredstev za preživljanje, zagotavlja dodatna materialna sredstva za kritje stroškov za nakup učnih pripomočkov in del drugih stroškov za izvedbo (npr. delovni zvezki in učbeniki, če jih ne zagotavlja izobraževani sistem, zvezki, copati, barvice, risalni pribor ter ekskurzije, kulturni, naravoslovni, športni in tehnični dnevi, ki sodijo v obvezne izobraževalne vsebine), ki jih ne zagotavlja ministrstvo, pristojno za izobraževanje, ali samoupravna lokalna skupnost. </w:t>
      </w:r>
    </w:p>
    <w:p w14:paraId="019AF8ED" w14:textId="77777777" w:rsidR="000E7A5A" w:rsidRPr="00F425EA" w:rsidRDefault="000E7A5A" w:rsidP="00E247FF">
      <w:pPr>
        <w:spacing w:after="0" w:line="276" w:lineRule="auto"/>
        <w:jc w:val="both"/>
        <w:rPr>
          <w:rFonts w:cs="Arial"/>
        </w:rPr>
      </w:pPr>
    </w:p>
    <w:p w14:paraId="314C57D1" w14:textId="063AA6F0" w:rsidR="000E7A5A" w:rsidRPr="00F425EA" w:rsidRDefault="00306071" w:rsidP="00E247FF">
      <w:pPr>
        <w:spacing w:after="0" w:line="276" w:lineRule="auto"/>
        <w:jc w:val="both"/>
        <w:rPr>
          <w:rFonts w:cs="Arial"/>
        </w:rPr>
      </w:pPr>
      <w:r w:rsidRPr="00F425EA">
        <w:rPr>
          <w:rFonts w:cs="Arial"/>
        </w:rPr>
        <w:t>Za mladoletnike brez spremstva, urad zagotavlja izvedbo javnoveljavnega programa učenja za odrasle »Opismenjevanje v slovenščini za odrasle govorce drugih jezikov - z dodatkom za mladoletnike brez spremstva«. Program izvaja ustrezna institucija, izbrana po postopku JN.</w:t>
      </w:r>
    </w:p>
    <w:p w14:paraId="58D1BDD9" w14:textId="77777777" w:rsidR="000E7A5A" w:rsidRPr="00F425EA" w:rsidRDefault="000E7A5A" w:rsidP="00E247FF">
      <w:pPr>
        <w:spacing w:after="0" w:line="276" w:lineRule="auto"/>
        <w:jc w:val="both"/>
        <w:rPr>
          <w:rFonts w:cs="Arial"/>
        </w:rPr>
      </w:pPr>
    </w:p>
    <w:p w14:paraId="016D19C5" w14:textId="77777777" w:rsidR="000E7A5A" w:rsidRPr="00F425EA" w:rsidRDefault="00306071" w:rsidP="00E247FF">
      <w:pPr>
        <w:spacing w:after="0" w:line="276" w:lineRule="auto"/>
        <w:jc w:val="both"/>
        <w:rPr>
          <w:rFonts w:cs="Arial"/>
        </w:rPr>
      </w:pPr>
      <w:r w:rsidRPr="00F425EA">
        <w:rPr>
          <w:rFonts w:cs="Arial"/>
        </w:rPr>
        <w:t>Zelo pomemben je ukrep zagotavljanja psihosocialne podpore, ki jo izvajajo zaposleni Urada znotraj vseh azilnih domov. Ti so s prosilci v rednem kontaktu in jim pomagajo pri vključevanju v družbo, jih osebno spremljajo, vključujejo v šolo, pregledujejo pogodbe o zaposlitvi.</w:t>
      </w:r>
    </w:p>
    <w:p w14:paraId="518253F6" w14:textId="77777777" w:rsidR="000E7A5A" w:rsidRPr="00F425EA" w:rsidRDefault="000E7A5A" w:rsidP="00E247FF">
      <w:pPr>
        <w:spacing w:after="0" w:line="276" w:lineRule="auto"/>
        <w:jc w:val="both"/>
        <w:rPr>
          <w:rFonts w:cs="Arial"/>
        </w:rPr>
      </w:pPr>
    </w:p>
    <w:p w14:paraId="0FDBE375" w14:textId="77777777" w:rsidR="000E7A5A" w:rsidRPr="00F425EA" w:rsidRDefault="00306071" w:rsidP="00E247FF">
      <w:pPr>
        <w:spacing w:after="0" w:line="276" w:lineRule="auto"/>
        <w:jc w:val="both"/>
        <w:rPr>
          <w:rFonts w:cs="Arial"/>
        </w:rPr>
      </w:pPr>
      <w:r w:rsidRPr="00F425EA">
        <w:rPr>
          <w:rFonts w:cs="Arial"/>
        </w:rPr>
        <w:t>Urad ima za svoje učinkovito delovanje tudi sklenjene pogodbe z najrazličnejšimi prevajalci ter tolmači.</w:t>
      </w:r>
    </w:p>
    <w:p w14:paraId="01B1AB57" w14:textId="77777777" w:rsidR="000E7A5A" w:rsidRPr="00F425EA" w:rsidRDefault="000E7A5A" w:rsidP="00E247FF">
      <w:pPr>
        <w:spacing w:after="0" w:line="276" w:lineRule="auto"/>
        <w:jc w:val="both"/>
        <w:rPr>
          <w:rFonts w:cs="Arial"/>
        </w:rPr>
      </w:pPr>
    </w:p>
    <w:p w14:paraId="1806E60D" w14:textId="77777777" w:rsidR="000E7A5A" w:rsidRPr="00F425EA" w:rsidRDefault="00306071" w:rsidP="00E76A87">
      <w:pPr>
        <w:pStyle w:val="Naslov3"/>
      </w:pPr>
      <w:bookmarkStart w:id="3253" w:name="_Toc192682016"/>
      <w:r w:rsidRPr="00F425EA">
        <w:t>3.7.2</w:t>
      </w:r>
      <w:r w:rsidRPr="00F425EA">
        <w:tab/>
        <w:t>Osebe z mednarodno zaščito</w:t>
      </w:r>
      <w:bookmarkEnd w:id="3253"/>
    </w:p>
    <w:p w14:paraId="5BB4321A" w14:textId="77777777" w:rsidR="000E7A5A" w:rsidRPr="00F425EA" w:rsidRDefault="000E7A5A" w:rsidP="00E247FF">
      <w:pPr>
        <w:spacing w:after="0" w:line="276" w:lineRule="auto"/>
        <w:jc w:val="both"/>
        <w:rPr>
          <w:rFonts w:cs="Arial"/>
        </w:rPr>
      </w:pPr>
    </w:p>
    <w:p w14:paraId="2AF2F4D3" w14:textId="77777777" w:rsidR="000E7A5A" w:rsidRPr="00F425EA" w:rsidRDefault="00306071" w:rsidP="00E247FF">
      <w:pPr>
        <w:spacing w:after="0" w:line="276" w:lineRule="auto"/>
        <w:jc w:val="both"/>
        <w:rPr>
          <w:rFonts w:cs="Arial"/>
        </w:rPr>
      </w:pPr>
      <w:r w:rsidRPr="00F425EA">
        <w:rPr>
          <w:rFonts w:cs="Arial"/>
        </w:rPr>
        <w:t>Oseba, ki pridobi status mednarodne zaščite, skladno z zakonodajo pridobi dva nivoja pravic in sicer je prvi nivo pravic naslednji:</w:t>
      </w:r>
    </w:p>
    <w:p w14:paraId="45A71346" w14:textId="2287F7A5" w:rsidR="000E7A5A" w:rsidRPr="00F425EA" w:rsidRDefault="00306071" w:rsidP="00E247FF">
      <w:pPr>
        <w:numPr>
          <w:ilvl w:val="0"/>
          <w:numId w:val="44"/>
        </w:numPr>
        <w:spacing w:after="0" w:line="276" w:lineRule="auto"/>
        <w:jc w:val="both"/>
        <w:rPr>
          <w:rFonts w:cs="Arial"/>
        </w:rPr>
      </w:pPr>
      <w:r w:rsidRPr="00F425EA">
        <w:rPr>
          <w:rFonts w:cs="Arial"/>
        </w:rPr>
        <w:t>pridobitev informacij o statusu, pravicah in dolžnostih oseb s priznano mednarodno zaščito v Republiki Sloveniji,</w:t>
      </w:r>
    </w:p>
    <w:p w14:paraId="359B4F5A" w14:textId="77777777" w:rsidR="000E7A5A" w:rsidRPr="00F425EA" w:rsidRDefault="00306071" w:rsidP="00E247FF">
      <w:pPr>
        <w:numPr>
          <w:ilvl w:val="0"/>
          <w:numId w:val="44"/>
        </w:numPr>
        <w:spacing w:after="0" w:line="276" w:lineRule="auto"/>
        <w:jc w:val="both"/>
        <w:rPr>
          <w:rFonts w:cs="Arial"/>
        </w:rPr>
      </w:pPr>
      <w:r w:rsidRPr="00F425EA">
        <w:rPr>
          <w:rFonts w:cs="Arial"/>
        </w:rPr>
        <w:t>prebivanja v Republiki Sloveniji,</w:t>
      </w:r>
    </w:p>
    <w:p w14:paraId="22401141" w14:textId="77777777" w:rsidR="000E7A5A" w:rsidRPr="00F425EA" w:rsidRDefault="00306071" w:rsidP="00E247FF">
      <w:pPr>
        <w:numPr>
          <w:ilvl w:val="0"/>
          <w:numId w:val="44"/>
        </w:numPr>
        <w:spacing w:after="0" w:line="276" w:lineRule="auto"/>
        <w:jc w:val="both"/>
        <w:rPr>
          <w:rFonts w:cs="Arial"/>
        </w:rPr>
      </w:pPr>
      <w:r w:rsidRPr="00F425EA">
        <w:rPr>
          <w:rFonts w:cs="Arial"/>
        </w:rPr>
        <w:t>zdravstvenega varstva,</w:t>
      </w:r>
    </w:p>
    <w:p w14:paraId="0EE2B120" w14:textId="77777777" w:rsidR="000E7A5A" w:rsidRPr="00F425EA" w:rsidRDefault="00306071" w:rsidP="00E247FF">
      <w:pPr>
        <w:numPr>
          <w:ilvl w:val="0"/>
          <w:numId w:val="44"/>
        </w:numPr>
        <w:spacing w:after="0" w:line="276" w:lineRule="auto"/>
        <w:jc w:val="both"/>
        <w:rPr>
          <w:rFonts w:cs="Arial"/>
        </w:rPr>
      </w:pPr>
      <w:r w:rsidRPr="00F425EA">
        <w:rPr>
          <w:rFonts w:cs="Arial"/>
        </w:rPr>
        <w:t>socialnega varstva,</w:t>
      </w:r>
    </w:p>
    <w:p w14:paraId="29B1C92E" w14:textId="77777777" w:rsidR="000E7A5A" w:rsidRPr="00F425EA" w:rsidRDefault="00306071" w:rsidP="00E247FF">
      <w:pPr>
        <w:numPr>
          <w:ilvl w:val="0"/>
          <w:numId w:val="44"/>
        </w:numPr>
        <w:spacing w:after="0" w:line="276" w:lineRule="auto"/>
        <w:jc w:val="both"/>
        <w:rPr>
          <w:rFonts w:cs="Arial"/>
        </w:rPr>
      </w:pPr>
      <w:r w:rsidRPr="00F425EA">
        <w:rPr>
          <w:rFonts w:cs="Arial"/>
        </w:rPr>
        <w:t>izobraževanja,</w:t>
      </w:r>
    </w:p>
    <w:p w14:paraId="247FB82A" w14:textId="77777777" w:rsidR="000E7A5A" w:rsidRPr="00F425EA" w:rsidRDefault="00306071" w:rsidP="00E247FF">
      <w:pPr>
        <w:numPr>
          <w:ilvl w:val="0"/>
          <w:numId w:val="44"/>
        </w:numPr>
        <w:spacing w:after="0" w:line="276" w:lineRule="auto"/>
        <w:jc w:val="both"/>
        <w:rPr>
          <w:rFonts w:cs="Arial"/>
        </w:rPr>
      </w:pPr>
      <w:r w:rsidRPr="00F425EA">
        <w:rPr>
          <w:rFonts w:cs="Arial"/>
        </w:rPr>
        <w:t>zaposlitve in dela,</w:t>
      </w:r>
    </w:p>
    <w:p w14:paraId="52C8DD8D" w14:textId="77777777" w:rsidR="000E7A5A" w:rsidRDefault="00306071" w:rsidP="00E247FF">
      <w:pPr>
        <w:numPr>
          <w:ilvl w:val="0"/>
          <w:numId w:val="44"/>
        </w:numPr>
        <w:spacing w:after="0" w:line="276" w:lineRule="auto"/>
        <w:jc w:val="both"/>
        <w:rPr>
          <w:rFonts w:cs="Arial"/>
        </w:rPr>
      </w:pPr>
      <w:r w:rsidRPr="00F425EA">
        <w:rPr>
          <w:rFonts w:cs="Arial"/>
        </w:rPr>
        <w:t>pomoči pri vključevanju v okolje.</w:t>
      </w:r>
    </w:p>
    <w:p w14:paraId="1B54992C" w14:textId="77777777" w:rsidR="006620B6" w:rsidRPr="00F425EA" w:rsidRDefault="006620B6" w:rsidP="006620B6">
      <w:pPr>
        <w:spacing w:after="0" w:line="276" w:lineRule="auto"/>
        <w:jc w:val="both"/>
        <w:rPr>
          <w:rFonts w:cs="Arial"/>
        </w:rPr>
      </w:pPr>
    </w:p>
    <w:p w14:paraId="31599689" w14:textId="77777777" w:rsidR="000E7A5A" w:rsidRPr="00F425EA" w:rsidRDefault="00306071" w:rsidP="00E247FF">
      <w:pPr>
        <w:spacing w:after="0" w:line="276" w:lineRule="auto"/>
        <w:jc w:val="both"/>
        <w:rPr>
          <w:rFonts w:cs="Arial"/>
        </w:rPr>
      </w:pPr>
      <w:r w:rsidRPr="00F425EA">
        <w:rPr>
          <w:rFonts w:cs="Arial"/>
        </w:rPr>
        <w:t xml:space="preserve">Razen pravice pod 7. točko, imajo osebe te pravice v enakem obsegu kot državljani RS. </w:t>
      </w:r>
    </w:p>
    <w:p w14:paraId="54F0CFB9" w14:textId="77777777" w:rsidR="000E7A5A" w:rsidRPr="00F425EA" w:rsidRDefault="000E7A5A" w:rsidP="00E247FF">
      <w:pPr>
        <w:spacing w:after="0" w:line="276" w:lineRule="auto"/>
        <w:jc w:val="both"/>
        <w:rPr>
          <w:rFonts w:cs="Arial"/>
        </w:rPr>
      </w:pPr>
    </w:p>
    <w:p w14:paraId="355DD0C3" w14:textId="55343707" w:rsidR="000E7A5A" w:rsidRDefault="00306071" w:rsidP="00E247FF">
      <w:pPr>
        <w:spacing w:after="0" w:line="276" w:lineRule="auto"/>
        <w:jc w:val="both"/>
        <w:rPr>
          <w:rFonts w:cs="Arial"/>
        </w:rPr>
      </w:pPr>
      <w:r w:rsidRPr="00F425EA">
        <w:rPr>
          <w:rFonts w:cs="Arial"/>
        </w:rPr>
        <w:t>V kolikor oseba s priznano mednarodno zaščito, v enem mesecu od pridobitve statusa, podpiše pogodbo o integracijskih aktivnostih ima pravico do dodatnega nivoja pravic:</w:t>
      </w:r>
    </w:p>
    <w:p w14:paraId="454B7BA4" w14:textId="77777777" w:rsidR="00234C38" w:rsidRPr="00F425EA" w:rsidRDefault="00234C38" w:rsidP="00E247FF">
      <w:pPr>
        <w:spacing w:after="0" w:line="276" w:lineRule="auto"/>
        <w:jc w:val="both"/>
        <w:rPr>
          <w:rFonts w:cs="Arial"/>
        </w:rPr>
      </w:pPr>
    </w:p>
    <w:p w14:paraId="6B1E9989" w14:textId="77777777" w:rsidR="000E7A5A" w:rsidRPr="00F425EA" w:rsidRDefault="00306071" w:rsidP="00E247FF">
      <w:pPr>
        <w:numPr>
          <w:ilvl w:val="0"/>
          <w:numId w:val="45"/>
        </w:numPr>
        <w:spacing w:after="0" w:line="276" w:lineRule="auto"/>
        <w:jc w:val="both"/>
        <w:rPr>
          <w:rFonts w:cs="Arial"/>
        </w:rPr>
      </w:pPr>
      <w:r w:rsidRPr="00F425EA">
        <w:rPr>
          <w:rFonts w:cs="Arial"/>
        </w:rPr>
        <w:t>nastanitve v integracijski hiši ali drugih nastanitvenih zmogljivostih urada,</w:t>
      </w:r>
    </w:p>
    <w:p w14:paraId="0FF50EAA" w14:textId="77777777" w:rsidR="000E7A5A" w:rsidRPr="00F425EA" w:rsidRDefault="00306071" w:rsidP="00E247FF">
      <w:pPr>
        <w:numPr>
          <w:ilvl w:val="0"/>
          <w:numId w:val="45"/>
        </w:numPr>
        <w:spacing w:after="0" w:line="276" w:lineRule="auto"/>
        <w:jc w:val="both"/>
        <w:rPr>
          <w:rFonts w:cs="Arial"/>
        </w:rPr>
      </w:pPr>
      <w:r w:rsidRPr="00F425EA">
        <w:rPr>
          <w:rFonts w:cs="Arial"/>
        </w:rPr>
        <w:t>denarnega nadomestila za zasebno nastanitev,</w:t>
      </w:r>
    </w:p>
    <w:p w14:paraId="474046D4" w14:textId="77777777" w:rsidR="000E7A5A" w:rsidRPr="00F425EA" w:rsidRDefault="00306071" w:rsidP="00E247FF">
      <w:pPr>
        <w:numPr>
          <w:ilvl w:val="0"/>
          <w:numId w:val="45"/>
        </w:numPr>
        <w:spacing w:after="0" w:line="276" w:lineRule="auto"/>
        <w:jc w:val="both"/>
        <w:rPr>
          <w:rFonts w:cs="Arial"/>
        </w:rPr>
      </w:pPr>
      <w:r w:rsidRPr="00F425EA">
        <w:rPr>
          <w:rFonts w:cs="Arial"/>
        </w:rPr>
        <w:t>tečaja spoznavanja slovenske družbe,</w:t>
      </w:r>
    </w:p>
    <w:p w14:paraId="07EA2044" w14:textId="77777777" w:rsidR="000E7A5A" w:rsidRPr="00F425EA" w:rsidRDefault="00306071" w:rsidP="00E247FF">
      <w:pPr>
        <w:numPr>
          <w:ilvl w:val="0"/>
          <w:numId w:val="45"/>
        </w:numPr>
        <w:spacing w:after="0" w:line="276" w:lineRule="auto"/>
        <w:jc w:val="both"/>
        <w:rPr>
          <w:rFonts w:cs="Arial"/>
        </w:rPr>
      </w:pPr>
      <w:r w:rsidRPr="00F425EA">
        <w:rPr>
          <w:rFonts w:cs="Arial"/>
        </w:rPr>
        <w:t>tečaja slovenskega jezika,</w:t>
      </w:r>
    </w:p>
    <w:p w14:paraId="3BE47DBC" w14:textId="77777777" w:rsidR="000E7A5A" w:rsidRPr="00F425EA" w:rsidRDefault="00306071" w:rsidP="00E247FF">
      <w:pPr>
        <w:numPr>
          <w:ilvl w:val="0"/>
          <w:numId w:val="45"/>
        </w:numPr>
        <w:spacing w:after="0" w:line="276" w:lineRule="auto"/>
        <w:jc w:val="both"/>
        <w:rPr>
          <w:rFonts w:cs="Arial"/>
        </w:rPr>
      </w:pPr>
      <w:r w:rsidRPr="00F425EA">
        <w:rPr>
          <w:rFonts w:cs="Arial"/>
        </w:rPr>
        <w:t>enkratnega opravljanja preizkusa znanja slovenskega jezika,</w:t>
      </w:r>
    </w:p>
    <w:p w14:paraId="47B87581" w14:textId="77777777" w:rsidR="000E7A5A" w:rsidRPr="00F425EA" w:rsidRDefault="00306071" w:rsidP="00E247FF">
      <w:pPr>
        <w:numPr>
          <w:ilvl w:val="0"/>
          <w:numId w:val="45"/>
        </w:numPr>
        <w:spacing w:after="0" w:line="276" w:lineRule="auto"/>
        <w:jc w:val="both"/>
        <w:rPr>
          <w:rFonts w:cs="Arial"/>
        </w:rPr>
      </w:pPr>
      <w:r w:rsidRPr="00F425EA">
        <w:rPr>
          <w:rFonts w:cs="Arial"/>
        </w:rPr>
        <w:t>kritja drugih stroškov, povezanih z izobraževanjem,</w:t>
      </w:r>
    </w:p>
    <w:p w14:paraId="0A80B866" w14:textId="77777777" w:rsidR="000E7A5A" w:rsidRPr="00F425EA" w:rsidRDefault="00306071" w:rsidP="00E247FF">
      <w:pPr>
        <w:numPr>
          <w:ilvl w:val="0"/>
          <w:numId w:val="45"/>
        </w:numPr>
        <w:spacing w:after="0" w:line="276" w:lineRule="auto"/>
        <w:jc w:val="both"/>
        <w:rPr>
          <w:rFonts w:cs="Arial"/>
        </w:rPr>
      </w:pPr>
      <w:r w:rsidRPr="00F425EA">
        <w:rPr>
          <w:rFonts w:cs="Arial"/>
        </w:rPr>
        <w:t>kritja stroškov prevodov, povezanih s priznavanjem in vrednotenjem izobraževanja na podlagi ustreznih dokazil,</w:t>
      </w:r>
    </w:p>
    <w:p w14:paraId="072ECF11" w14:textId="77777777" w:rsidR="000E7A5A" w:rsidRPr="00F425EA" w:rsidRDefault="00306071" w:rsidP="00E247FF">
      <w:pPr>
        <w:numPr>
          <w:ilvl w:val="0"/>
          <w:numId w:val="45"/>
        </w:numPr>
        <w:spacing w:after="0" w:line="276" w:lineRule="auto"/>
        <w:jc w:val="both"/>
        <w:rPr>
          <w:rFonts w:cs="Arial"/>
        </w:rPr>
      </w:pPr>
      <w:r w:rsidRPr="00F425EA">
        <w:rPr>
          <w:rFonts w:cs="Arial"/>
        </w:rPr>
        <w:t>kritja stroškov, povezanih s priznavanjem in vrednotenjem izobraževanja, ko formalne izobrazbe ne more dokazati z dokumenti.</w:t>
      </w:r>
    </w:p>
    <w:p w14:paraId="29CA6085" w14:textId="77777777" w:rsidR="000E7A5A" w:rsidRPr="00F425EA" w:rsidRDefault="000E7A5A" w:rsidP="00E247FF">
      <w:pPr>
        <w:spacing w:after="0" w:line="276" w:lineRule="auto"/>
        <w:jc w:val="both"/>
        <w:rPr>
          <w:rFonts w:cs="Arial"/>
        </w:rPr>
      </w:pPr>
    </w:p>
    <w:p w14:paraId="53E5A1A3" w14:textId="77777777" w:rsidR="000E7A5A" w:rsidRPr="00F425EA" w:rsidRDefault="00306071" w:rsidP="00E247FF">
      <w:pPr>
        <w:spacing w:after="0" w:line="276" w:lineRule="auto"/>
        <w:jc w:val="both"/>
        <w:rPr>
          <w:rFonts w:cs="Arial"/>
        </w:rPr>
      </w:pPr>
      <w:r w:rsidRPr="00F425EA">
        <w:rPr>
          <w:rFonts w:cs="Arial"/>
        </w:rPr>
        <w:t xml:space="preserve">Vsaki osebi, ki podpiše pogodbo o integracijskih aktivnostih je določen svetovalec za integracijo, ki je tudi skrbnik pogodbe s strani Urada. </w:t>
      </w:r>
    </w:p>
    <w:p w14:paraId="2B76C375" w14:textId="77777777" w:rsidR="000E7A5A" w:rsidRPr="00F425EA" w:rsidRDefault="000E7A5A" w:rsidP="00E247FF">
      <w:pPr>
        <w:spacing w:after="0" w:line="276" w:lineRule="auto"/>
        <w:jc w:val="both"/>
        <w:rPr>
          <w:rFonts w:cs="Arial"/>
        </w:rPr>
      </w:pPr>
    </w:p>
    <w:p w14:paraId="06351FCC" w14:textId="77777777" w:rsidR="000E7A5A" w:rsidRPr="00F425EA" w:rsidRDefault="00306071" w:rsidP="00E247FF">
      <w:pPr>
        <w:spacing w:after="0" w:line="276" w:lineRule="auto"/>
        <w:jc w:val="both"/>
        <w:rPr>
          <w:rFonts w:cs="Arial"/>
        </w:rPr>
      </w:pPr>
      <w:r w:rsidRPr="00F425EA">
        <w:rPr>
          <w:rFonts w:cs="Arial"/>
        </w:rPr>
        <w:t xml:space="preserve">Urad razpolaga z integracijsko hišo v Ljubljani in Mariboru ter drugimi nastanitvenimi kapacitetami, kamor namesti osebe z mednarodno zaščito. </w:t>
      </w:r>
    </w:p>
    <w:p w14:paraId="3F1182BE" w14:textId="77777777" w:rsidR="000E7A5A" w:rsidRPr="00F425EA" w:rsidRDefault="000E7A5A" w:rsidP="00E247FF">
      <w:pPr>
        <w:spacing w:after="0" w:line="276" w:lineRule="auto"/>
        <w:jc w:val="both"/>
        <w:rPr>
          <w:rFonts w:cs="Arial"/>
        </w:rPr>
      </w:pPr>
    </w:p>
    <w:p w14:paraId="1DD17E41" w14:textId="77777777" w:rsidR="000E7A5A" w:rsidRPr="00F425EA" w:rsidRDefault="00306071" w:rsidP="00E247FF">
      <w:pPr>
        <w:spacing w:after="0" w:line="276" w:lineRule="auto"/>
        <w:jc w:val="both"/>
        <w:rPr>
          <w:rFonts w:cs="Arial"/>
        </w:rPr>
      </w:pPr>
      <w:r w:rsidRPr="00F425EA">
        <w:rPr>
          <w:rFonts w:cs="Arial"/>
        </w:rPr>
        <w:t xml:space="preserve">Tečaj spoznavanja slovenske družbe poteka v obsegu 60 ur in ga izvaja zunanja organizacija ali Urad sam. Urad je na javnem razpisu izbral organizacijo, ki izvaja najrazličnejše aktivnosti za pomoč pri vključevanju v družbo, tako za osebe z mednarodno zaščito, kot tudi njihove pridružene družinske člane. </w:t>
      </w:r>
    </w:p>
    <w:p w14:paraId="08E5452E" w14:textId="77777777" w:rsidR="000E7A5A" w:rsidRPr="00F425EA" w:rsidRDefault="000E7A5A" w:rsidP="00E247FF">
      <w:pPr>
        <w:spacing w:after="0" w:line="276" w:lineRule="auto"/>
        <w:jc w:val="both"/>
        <w:rPr>
          <w:rFonts w:cs="Arial"/>
        </w:rPr>
      </w:pPr>
    </w:p>
    <w:p w14:paraId="5E9BA6B6" w14:textId="77777777" w:rsidR="000E7A5A" w:rsidRPr="00F425EA" w:rsidRDefault="00306071" w:rsidP="00E247FF">
      <w:pPr>
        <w:spacing w:after="0" w:line="276" w:lineRule="auto"/>
        <w:jc w:val="both"/>
        <w:rPr>
          <w:rFonts w:cs="Arial"/>
        </w:rPr>
      </w:pPr>
      <w:r w:rsidRPr="00F425EA">
        <w:rPr>
          <w:rFonts w:cs="Arial"/>
        </w:rPr>
        <w:t xml:space="preserve">Osebe z mednarodno zaščito imajo pravico do 400 ur učenja slovenskega jezika, z javnim naročilom se je za izvedbo izbral program »Slovenščina kot drugi in tuj jezik«. </w:t>
      </w:r>
    </w:p>
    <w:p w14:paraId="14578C61" w14:textId="77777777" w:rsidR="000E7A5A" w:rsidRPr="00F425EA" w:rsidRDefault="000E7A5A" w:rsidP="00E247FF">
      <w:pPr>
        <w:spacing w:after="0" w:line="276" w:lineRule="auto"/>
        <w:jc w:val="both"/>
        <w:rPr>
          <w:rFonts w:cs="Arial"/>
        </w:rPr>
      </w:pPr>
    </w:p>
    <w:p w14:paraId="7DB12D2A" w14:textId="77777777" w:rsidR="000E7A5A" w:rsidRPr="00F425EA" w:rsidRDefault="00306071" w:rsidP="00E247FF">
      <w:pPr>
        <w:spacing w:after="0" w:line="276" w:lineRule="auto"/>
        <w:jc w:val="both"/>
        <w:rPr>
          <w:rFonts w:cs="Arial"/>
        </w:rPr>
      </w:pPr>
      <w:r w:rsidRPr="00F425EA">
        <w:rPr>
          <w:rFonts w:cs="Arial"/>
        </w:rPr>
        <w:t>Zakonodaja pozna tudi spodbujanje k udeležbi v integracijskih programih, tako se lahko določene pravice (do denarnega nadomestila in prebivanja v integracijski hiši) podaljšajo osebam, ki so se udeleževale tečaja slovenskega jezika, spoznavanja slovenske družbe in mesečnih osebnih razgovorov pri svetovalcu za integracijo.</w:t>
      </w:r>
    </w:p>
    <w:p w14:paraId="111EB2D9" w14:textId="77777777" w:rsidR="000E7A5A" w:rsidRPr="00F425EA" w:rsidRDefault="000E7A5A" w:rsidP="00E247FF">
      <w:pPr>
        <w:spacing w:after="0" w:line="276" w:lineRule="auto"/>
        <w:jc w:val="both"/>
        <w:rPr>
          <w:rFonts w:cs="Arial"/>
        </w:rPr>
      </w:pPr>
    </w:p>
    <w:p w14:paraId="61BFFBC8" w14:textId="77777777" w:rsidR="000E7A5A" w:rsidRPr="00F425EA" w:rsidRDefault="00306071" w:rsidP="00E76A87">
      <w:pPr>
        <w:pStyle w:val="Naslov3"/>
      </w:pPr>
      <w:bookmarkStart w:id="3254" w:name="_Toc192682017"/>
      <w:r w:rsidRPr="00F425EA">
        <w:t>3.7.3.</w:t>
      </w:r>
      <w:r w:rsidRPr="00F425EA">
        <w:tab/>
        <w:t>Državljani tretjih držav</w:t>
      </w:r>
      <w:bookmarkEnd w:id="3254"/>
    </w:p>
    <w:p w14:paraId="1D2B1667" w14:textId="77777777" w:rsidR="000E7A5A" w:rsidRPr="00F425EA" w:rsidRDefault="000E7A5A" w:rsidP="00E247FF">
      <w:pPr>
        <w:spacing w:after="0" w:line="276" w:lineRule="auto"/>
        <w:jc w:val="both"/>
        <w:rPr>
          <w:rFonts w:cs="Arial"/>
        </w:rPr>
      </w:pPr>
    </w:p>
    <w:p w14:paraId="190732BB" w14:textId="77777777" w:rsidR="000E7A5A" w:rsidRPr="00F425EA" w:rsidRDefault="00306071" w:rsidP="00E247FF">
      <w:pPr>
        <w:spacing w:after="0" w:line="276" w:lineRule="auto"/>
        <w:jc w:val="both"/>
        <w:rPr>
          <w:rFonts w:cs="Arial"/>
        </w:rPr>
      </w:pPr>
      <w:r w:rsidRPr="00F425EA">
        <w:rPr>
          <w:rFonts w:cs="Arial"/>
        </w:rPr>
        <w:t xml:space="preserve">Urad osebam zagotavlja informacije o vključevanju v družbo preko spletnega mesta www.infotujci.si, ki je zelo dobro obiskano. </w:t>
      </w:r>
    </w:p>
    <w:p w14:paraId="4431E415" w14:textId="77777777" w:rsidR="000E7A5A" w:rsidRPr="00F425EA" w:rsidRDefault="000E7A5A" w:rsidP="00E247FF">
      <w:pPr>
        <w:spacing w:after="0" w:line="276" w:lineRule="auto"/>
        <w:jc w:val="both"/>
        <w:rPr>
          <w:rFonts w:cs="Arial"/>
        </w:rPr>
      </w:pPr>
    </w:p>
    <w:p w14:paraId="4907E3A7" w14:textId="77777777" w:rsidR="000E7A5A" w:rsidRDefault="00306071" w:rsidP="00E247FF">
      <w:pPr>
        <w:spacing w:after="0" w:line="276" w:lineRule="auto"/>
        <w:jc w:val="both"/>
        <w:rPr>
          <w:rFonts w:cs="Arial"/>
        </w:rPr>
      </w:pPr>
      <w:r w:rsidRPr="00F425EA">
        <w:rPr>
          <w:rFonts w:cs="Arial"/>
        </w:rPr>
        <w:t>Urad financira dva različna programa učenja slovenskega jezika:</w:t>
      </w:r>
    </w:p>
    <w:p w14:paraId="6AA5E12F" w14:textId="77777777" w:rsidR="00234C38" w:rsidRPr="00F425EA" w:rsidRDefault="00234C38" w:rsidP="00E247FF">
      <w:pPr>
        <w:spacing w:after="0" w:line="276" w:lineRule="auto"/>
        <w:jc w:val="both"/>
        <w:rPr>
          <w:rFonts w:cs="Arial"/>
        </w:rPr>
      </w:pPr>
    </w:p>
    <w:p w14:paraId="4EB55855" w14:textId="77777777" w:rsidR="000E7A5A" w:rsidRPr="00F425EA" w:rsidRDefault="00306071" w:rsidP="00E247FF">
      <w:pPr>
        <w:numPr>
          <w:ilvl w:val="1"/>
          <w:numId w:val="46"/>
        </w:numPr>
        <w:spacing w:after="0" w:line="276" w:lineRule="auto"/>
        <w:ind w:left="426" w:hanging="284"/>
        <w:jc w:val="both"/>
        <w:rPr>
          <w:rFonts w:cs="Arial"/>
        </w:rPr>
      </w:pPr>
      <w:r w:rsidRPr="00F425EA">
        <w:rPr>
          <w:rFonts w:cs="Arial"/>
          <w:b/>
          <w:bCs/>
        </w:rPr>
        <w:t>Začetna integracija priseljencev za tujce,</w:t>
      </w:r>
      <w:r w:rsidRPr="00F425EA">
        <w:rPr>
          <w:rFonts w:cs="Arial"/>
        </w:rPr>
        <w:t xml:space="preserve"> državljane tretjih držav, zakonska podlaga je Zakon o tujcih</w:t>
      </w:r>
    </w:p>
    <w:p w14:paraId="1E0A867A" w14:textId="77777777" w:rsidR="000E7A5A" w:rsidRDefault="00306071" w:rsidP="00E247FF">
      <w:pPr>
        <w:spacing w:after="0" w:line="276" w:lineRule="auto"/>
        <w:ind w:left="426" w:hanging="284"/>
        <w:jc w:val="both"/>
        <w:rPr>
          <w:rFonts w:cs="Arial"/>
        </w:rPr>
      </w:pPr>
      <w:r w:rsidRPr="00F425EA">
        <w:rPr>
          <w:rFonts w:cs="Arial"/>
        </w:rPr>
        <w:t>•</w:t>
      </w:r>
      <w:r w:rsidRPr="00F425EA">
        <w:rPr>
          <w:rFonts w:cs="Arial"/>
        </w:rPr>
        <w:tab/>
      </w:r>
      <w:r w:rsidRPr="00F425EA">
        <w:rPr>
          <w:rFonts w:cs="Arial"/>
          <w:b/>
          <w:bCs/>
        </w:rPr>
        <w:t>Slovenščina na preživitveni ravni, za družinske člane tujcev,</w:t>
      </w:r>
      <w:r w:rsidRPr="00F425EA">
        <w:rPr>
          <w:rFonts w:cs="Arial"/>
        </w:rPr>
        <w:t xml:space="preserve"> državljanov tretjih držav, zakonska podlaga je Zakon o tujcih</w:t>
      </w:r>
    </w:p>
    <w:p w14:paraId="7848D7EB" w14:textId="77777777" w:rsidR="00234C38" w:rsidRPr="00F425EA" w:rsidRDefault="00234C38" w:rsidP="00E247FF">
      <w:pPr>
        <w:spacing w:after="0" w:line="276" w:lineRule="auto"/>
        <w:ind w:left="426" w:hanging="284"/>
        <w:jc w:val="both"/>
        <w:rPr>
          <w:rFonts w:cs="Arial"/>
        </w:rPr>
      </w:pPr>
    </w:p>
    <w:p w14:paraId="6882F35E" w14:textId="77777777" w:rsidR="000E7A5A" w:rsidRDefault="00306071" w:rsidP="00E247FF">
      <w:pPr>
        <w:spacing w:after="0" w:line="276" w:lineRule="auto"/>
        <w:jc w:val="both"/>
        <w:rPr>
          <w:rFonts w:cs="Arial"/>
        </w:rPr>
      </w:pPr>
      <w:r w:rsidRPr="00F425EA">
        <w:rPr>
          <w:rFonts w:cs="Arial"/>
        </w:rPr>
        <w:t>Urad zagotavlja tudi brezplačni preizkus znanja slovenskega jezika, in sicer:</w:t>
      </w:r>
    </w:p>
    <w:p w14:paraId="02BF4EE5" w14:textId="77777777" w:rsidR="000E7A5A" w:rsidRPr="00F425EA" w:rsidRDefault="00306071" w:rsidP="00E247FF">
      <w:pPr>
        <w:numPr>
          <w:ilvl w:val="1"/>
          <w:numId w:val="47"/>
        </w:numPr>
        <w:spacing w:after="0" w:line="276" w:lineRule="auto"/>
        <w:ind w:left="426" w:hanging="284"/>
        <w:jc w:val="both"/>
        <w:rPr>
          <w:rFonts w:cs="Arial"/>
        </w:rPr>
      </w:pPr>
      <w:r w:rsidRPr="00F425EA">
        <w:rPr>
          <w:rFonts w:cs="Arial"/>
          <w:b/>
          <w:bCs/>
        </w:rPr>
        <w:t>na vstopni, osnovni in višji ravni ter ravni odličnosti</w:t>
      </w:r>
      <w:r w:rsidRPr="00F425EA">
        <w:rPr>
          <w:rFonts w:cs="Arial"/>
        </w:rPr>
        <w:t xml:space="preserve"> tako kot to določa program »Slovenščina kot drugi in tuji jezik«, izda se javnoveljavna listina</w:t>
      </w:r>
    </w:p>
    <w:p w14:paraId="00425055" w14:textId="77777777" w:rsidR="000E7A5A" w:rsidRPr="00F425EA" w:rsidRDefault="00306071" w:rsidP="00E247FF">
      <w:pPr>
        <w:numPr>
          <w:ilvl w:val="1"/>
          <w:numId w:val="47"/>
        </w:numPr>
        <w:spacing w:after="0" w:line="276" w:lineRule="auto"/>
        <w:ind w:left="426" w:hanging="284"/>
        <w:jc w:val="both"/>
        <w:rPr>
          <w:rFonts w:cs="Arial"/>
        </w:rPr>
      </w:pPr>
      <w:r w:rsidRPr="00F425EA">
        <w:rPr>
          <w:rFonts w:cs="Arial"/>
        </w:rPr>
        <w:t>na preživitveni ravni, za namen podaljšanja prebivanja družinskih članov tujcev.</w:t>
      </w:r>
    </w:p>
    <w:p w14:paraId="0B1075A5" w14:textId="77777777" w:rsidR="000E7A5A" w:rsidRPr="00F425EA" w:rsidRDefault="000E7A5A" w:rsidP="00E247FF">
      <w:pPr>
        <w:spacing w:after="0" w:line="276" w:lineRule="auto"/>
        <w:jc w:val="both"/>
        <w:rPr>
          <w:rFonts w:cs="Arial"/>
        </w:rPr>
      </w:pPr>
    </w:p>
    <w:p w14:paraId="117DFE3A" w14:textId="77777777" w:rsidR="000E7A5A" w:rsidRPr="00F425EA" w:rsidRDefault="00306071" w:rsidP="00E247FF">
      <w:pPr>
        <w:spacing w:after="0" w:line="276" w:lineRule="auto"/>
        <w:jc w:val="both"/>
        <w:rPr>
          <w:rFonts w:cs="Arial"/>
        </w:rPr>
      </w:pPr>
      <w:r w:rsidRPr="00F425EA">
        <w:rPr>
          <w:rFonts w:cs="Arial"/>
        </w:rPr>
        <w:lastRenderedPageBreak/>
        <w:t xml:space="preserve">Urad plača stroške prvega opravljanja preizkusa znanja, če je oseba neuspešna, si mora stroške kriti kasneje sama. </w:t>
      </w:r>
    </w:p>
    <w:p w14:paraId="298E9EA5" w14:textId="77777777" w:rsidR="000E7A5A" w:rsidRPr="00F425EA" w:rsidRDefault="000E7A5A" w:rsidP="00E247FF">
      <w:pPr>
        <w:spacing w:after="0" w:line="276" w:lineRule="auto"/>
        <w:jc w:val="both"/>
        <w:rPr>
          <w:rFonts w:cs="Arial"/>
        </w:rPr>
      </w:pPr>
    </w:p>
    <w:p w14:paraId="5F68DF11" w14:textId="4F2FE953" w:rsidR="000E7A5A" w:rsidRPr="00F425EA" w:rsidRDefault="00306071" w:rsidP="00E247FF">
      <w:pPr>
        <w:spacing w:after="0" w:line="276" w:lineRule="auto"/>
        <w:jc w:val="both"/>
        <w:rPr>
          <w:rFonts w:cs="Arial"/>
          <w:b/>
          <w:bCs/>
        </w:rPr>
      </w:pPr>
      <w:r w:rsidRPr="00F425EA">
        <w:rPr>
          <w:rFonts w:cs="Arial"/>
          <w:b/>
          <w:bCs/>
        </w:rPr>
        <w:t>Začetna integracija priseljencev – ZIP</w:t>
      </w:r>
    </w:p>
    <w:p w14:paraId="55427D6F" w14:textId="77777777" w:rsidR="000E7A5A" w:rsidRPr="00F425EA" w:rsidRDefault="000E7A5A" w:rsidP="00E247FF">
      <w:pPr>
        <w:spacing w:after="0" w:line="276" w:lineRule="auto"/>
        <w:jc w:val="both"/>
        <w:rPr>
          <w:rFonts w:cs="Arial"/>
        </w:rPr>
      </w:pPr>
    </w:p>
    <w:p w14:paraId="72D2DCD8" w14:textId="7C16F090" w:rsidR="000E7A5A" w:rsidRPr="00F425EA" w:rsidRDefault="00306071" w:rsidP="00E247FF">
      <w:pPr>
        <w:spacing w:after="0" w:line="276" w:lineRule="auto"/>
        <w:jc w:val="both"/>
        <w:rPr>
          <w:rFonts w:cs="Arial"/>
        </w:rPr>
      </w:pPr>
      <w:r w:rsidRPr="00F425EA">
        <w:rPr>
          <w:rFonts w:cs="Arial"/>
        </w:rPr>
        <w:t>Učenje slovenskega jezika in spoznavanja slovenske družbe se izvaja kot enotni program z imenom Začetna integracija priseljencev – ZIP. Je javnoveljavni izobraževalni program za odrasle. Udeleženec v programu pridobiva znanje za sporazumevanje v slovenščini in spoznava nekatere značilnosti slovenske družbe, zgodovine in kulture. Program zajema več različnih vsebinskih sklopov, prek katerih oseba pridobi znanje za opravljanje preizkusa znanja slovenskega jezika »Slovenščina kot drugi in tuji jezik« zlasti na vstopni in osnovni ravni (A1, A2/B1).</w:t>
      </w:r>
    </w:p>
    <w:p w14:paraId="1E6F3C4A" w14:textId="77777777" w:rsidR="000E7A5A" w:rsidRPr="00F425EA" w:rsidRDefault="000E7A5A" w:rsidP="00E247FF">
      <w:pPr>
        <w:spacing w:after="0" w:line="276" w:lineRule="auto"/>
        <w:jc w:val="both"/>
        <w:rPr>
          <w:rFonts w:cs="Arial"/>
        </w:rPr>
      </w:pPr>
    </w:p>
    <w:p w14:paraId="2C689310" w14:textId="77777777" w:rsidR="000E7A5A" w:rsidRDefault="00306071" w:rsidP="00E247FF">
      <w:pPr>
        <w:spacing w:after="0" w:line="276" w:lineRule="auto"/>
        <w:jc w:val="both"/>
        <w:rPr>
          <w:rFonts w:cs="Arial"/>
        </w:rPr>
      </w:pPr>
      <w:r w:rsidRPr="00F425EA">
        <w:rPr>
          <w:rFonts w:cs="Arial"/>
        </w:rPr>
        <w:t xml:space="preserve">Upravičenci: </w:t>
      </w:r>
    </w:p>
    <w:p w14:paraId="0EC86B53" w14:textId="77777777" w:rsidR="00234C38" w:rsidRPr="00F425EA" w:rsidRDefault="00234C38" w:rsidP="00E247FF">
      <w:pPr>
        <w:spacing w:after="0" w:line="276" w:lineRule="auto"/>
        <w:jc w:val="both"/>
        <w:rPr>
          <w:rFonts w:cs="Arial"/>
        </w:rPr>
      </w:pPr>
    </w:p>
    <w:p w14:paraId="42DE9EC9" w14:textId="77777777" w:rsidR="000E7A5A" w:rsidRPr="00F425EA" w:rsidRDefault="00306071" w:rsidP="00E247FF">
      <w:pPr>
        <w:spacing w:after="0" w:line="276" w:lineRule="auto"/>
        <w:ind w:left="284" w:hanging="284"/>
        <w:jc w:val="both"/>
        <w:rPr>
          <w:rFonts w:cs="Arial"/>
        </w:rPr>
      </w:pPr>
      <w:r w:rsidRPr="00F425EA">
        <w:rPr>
          <w:rFonts w:cs="Arial"/>
        </w:rPr>
        <w:t>-</w:t>
      </w:r>
      <w:r w:rsidRPr="00F425EA">
        <w:rPr>
          <w:rFonts w:cs="Arial"/>
        </w:rPr>
        <w:tab/>
        <w:t>Tujci, ki niso državljani EU (državljani tretjih držav), in ki v Republiki Sloveniji prebivajo na podlagi dovoljenja za stalno prebivanje;</w:t>
      </w:r>
    </w:p>
    <w:p w14:paraId="717E53EB" w14:textId="77777777" w:rsidR="000E7A5A" w:rsidRPr="00F425EA" w:rsidRDefault="00306071" w:rsidP="00E247FF">
      <w:pPr>
        <w:spacing w:after="0" w:line="276" w:lineRule="auto"/>
        <w:ind w:left="284" w:hanging="284"/>
        <w:jc w:val="both"/>
        <w:rPr>
          <w:rFonts w:cs="Arial"/>
        </w:rPr>
      </w:pPr>
      <w:r w:rsidRPr="00F425EA">
        <w:rPr>
          <w:rFonts w:cs="Arial"/>
        </w:rPr>
        <w:t>-</w:t>
      </w:r>
      <w:r w:rsidRPr="00F425EA">
        <w:rPr>
          <w:rFonts w:cs="Arial"/>
        </w:rPr>
        <w:tab/>
        <w:t>v Republiki Sloveniji prebivajo na podlagi dovoljenja za začasno prebivanje, izdanega z veljavnostjo najmanj enega leta;</w:t>
      </w:r>
    </w:p>
    <w:p w14:paraId="1666427A" w14:textId="77777777" w:rsidR="000E7A5A" w:rsidRPr="00F425EA" w:rsidRDefault="00306071" w:rsidP="00E247FF">
      <w:pPr>
        <w:spacing w:after="0" w:line="276" w:lineRule="auto"/>
        <w:ind w:left="284" w:hanging="284"/>
        <w:jc w:val="both"/>
        <w:rPr>
          <w:rFonts w:cs="Arial"/>
        </w:rPr>
      </w:pPr>
      <w:r w:rsidRPr="00F425EA">
        <w:rPr>
          <w:rFonts w:cs="Arial"/>
        </w:rPr>
        <w:t>-</w:t>
      </w:r>
      <w:r w:rsidRPr="00F425EA">
        <w:rPr>
          <w:rFonts w:cs="Arial"/>
        </w:rPr>
        <w:tab/>
        <w:t>so družinski člani slovenskih državljanov ali državljanov EU, ki v Republiki Sloveniji prebivajo na podlagi dovoljenja za prebivanje za družinskega člana, ne glede na dolžino prebivanja in dolžino veljavnosti dovoljenja za začasno prebivanje;</w:t>
      </w:r>
    </w:p>
    <w:p w14:paraId="6C110F92" w14:textId="03906816" w:rsidR="000E7A5A" w:rsidRPr="00F425EA" w:rsidRDefault="00306071" w:rsidP="00E247FF">
      <w:pPr>
        <w:spacing w:after="0" w:line="276" w:lineRule="auto"/>
        <w:ind w:left="284" w:hanging="284"/>
        <w:jc w:val="both"/>
        <w:rPr>
          <w:rFonts w:cs="Arial"/>
        </w:rPr>
      </w:pPr>
      <w:r w:rsidRPr="00F425EA">
        <w:rPr>
          <w:rFonts w:cs="Arial"/>
        </w:rPr>
        <w:t>-</w:t>
      </w:r>
      <w:r w:rsidRPr="00F425EA">
        <w:rPr>
          <w:rFonts w:cs="Arial"/>
        </w:rPr>
        <w:tab/>
        <w:t>v Republiki Sloveniji prebivajo na podlagi priznane začasne zaščite v skladu z zakonom, ki ureja začasno zaščito razseljenih oseb.</w:t>
      </w:r>
    </w:p>
    <w:p w14:paraId="658F384B" w14:textId="77777777" w:rsidR="000E7A5A" w:rsidRPr="00F425EA" w:rsidRDefault="00306071" w:rsidP="00E247FF">
      <w:pPr>
        <w:spacing w:after="0" w:line="276" w:lineRule="auto"/>
        <w:ind w:left="284" w:hanging="284"/>
        <w:jc w:val="both"/>
        <w:rPr>
          <w:rFonts w:cs="Arial"/>
        </w:rPr>
      </w:pPr>
      <w:r w:rsidRPr="00F425EA">
        <w:rPr>
          <w:rFonts w:cs="Arial"/>
        </w:rPr>
        <w:t>-</w:t>
      </w:r>
      <w:r w:rsidRPr="00F425EA">
        <w:rPr>
          <w:rFonts w:cs="Arial"/>
        </w:rPr>
        <w:tab/>
        <w:t xml:space="preserve">Državljani držav članic EU niso upravičeni do brezplačnega tečaja. </w:t>
      </w:r>
    </w:p>
    <w:p w14:paraId="426F7095" w14:textId="77777777" w:rsidR="000E7A5A" w:rsidRPr="00F425EA" w:rsidRDefault="000E7A5A" w:rsidP="00E247FF">
      <w:pPr>
        <w:spacing w:after="0" w:line="276" w:lineRule="auto"/>
        <w:jc w:val="both"/>
        <w:rPr>
          <w:rFonts w:cs="Arial"/>
        </w:rPr>
      </w:pPr>
    </w:p>
    <w:p w14:paraId="483EEE14" w14:textId="77777777" w:rsidR="000E7A5A" w:rsidRPr="00F425EA" w:rsidRDefault="00306071" w:rsidP="00E247FF">
      <w:pPr>
        <w:spacing w:after="0" w:line="276" w:lineRule="auto"/>
        <w:jc w:val="both"/>
        <w:rPr>
          <w:rFonts w:cs="Arial"/>
        </w:rPr>
      </w:pPr>
      <w:r w:rsidRPr="00F425EA">
        <w:rPr>
          <w:rFonts w:cs="Arial"/>
        </w:rPr>
        <w:t>Obseg: 180 ur + dodatnih 60 ur (kdor na podlagi internega preizkusa znanja ne dosega pričakovanih učnih rezultatov), ki se izvaja se v 41 krajih po Sloveniji.</w:t>
      </w:r>
    </w:p>
    <w:p w14:paraId="314048F6" w14:textId="77777777" w:rsidR="000E7A5A" w:rsidRPr="00F425EA" w:rsidRDefault="000E7A5A" w:rsidP="00E247FF">
      <w:pPr>
        <w:spacing w:after="0" w:line="276" w:lineRule="auto"/>
        <w:jc w:val="both"/>
        <w:rPr>
          <w:rFonts w:cs="Arial"/>
        </w:rPr>
      </w:pPr>
    </w:p>
    <w:p w14:paraId="0A3BDB17" w14:textId="77777777" w:rsidR="000E7A5A" w:rsidRPr="00F425EA" w:rsidRDefault="00306071" w:rsidP="00E247FF">
      <w:pPr>
        <w:spacing w:after="0" w:line="276" w:lineRule="auto"/>
        <w:jc w:val="both"/>
        <w:rPr>
          <w:rFonts w:cs="Arial"/>
          <w:b/>
          <w:bCs/>
        </w:rPr>
      </w:pPr>
      <w:r w:rsidRPr="00F425EA">
        <w:rPr>
          <w:rFonts w:cs="Arial"/>
          <w:b/>
          <w:bCs/>
        </w:rPr>
        <w:t xml:space="preserve">Slovenščina na </w:t>
      </w:r>
      <w:proofErr w:type="spellStart"/>
      <w:r w:rsidRPr="00F425EA">
        <w:rPr>
          <w:rFonts w:cs="Arial"/>
          <w:b/>
          <w:bCs/>
        </w:rPr>
        <w:t>preživetveni</w:t>
      </w:r>
      <w:proofErr w:type="spellEnd"/>
      <w:r w:rsidRPr="00F425EA">
        <w:rPr>
          <w:rFonts w:cs="Arial"/>
          <w:b/>
          <w:bCs/>
        </w:rPr>
        <w:t xml:space="preserve"> ravni</w:t>
      </w:r>
    </w:p>
    <w:p w14:paraId="3550AD0A" w14:textId="77777777" w:rsidR="000E7A5A" w:rsidRPr="00F425EA" w:rsidRDefault="000E7A5A" w:rsidP="00E247FF">
      <w:pPr>
        <w:spacing w:after="0" w:line="276" w:lineRule="auto"/>
        <w:jc w:val="both"/>
        <w:rPr>
          <w:rFonts w:cs="Arial"/>
        </w:rPr>
      </w:pPr>
    </w:p>
    <w:p w14:paraId="730B2E7F" w14:textId="77777777" w:rsidR="000E7A5A" w:rsidRPr="00F425EA" w:rsidRDefault="00306071" w:rsidP="00E247FF">
      <w:pPr>
        <w:spacing w:after="0" w:line="276" w:lineRule="auto"/>
        <w:jc w:val="both"/>
        <w:rPr>
          <w:rFonts w:cs="Arial"/>
        </w:rPr>
      </w:pPr>
      <w:r w:rsidRPr="00F425EA">
        <w:rPr>
          <w:rFonts w:cs="Arial"/>
        </w:rPr>
        <w:t xml:space="preserve">Slovenščina na </w:t>
      </w:r>
      <w:proofErr w:type="spellStart"/>
      <w:r w:rsidRPr="00F425EA">
        <w:rPr>
          <w:rFonts w:cs="Arial"/>
        </w:rPr>
        <w:t>preživetveni</w:t>
      </w:r>
      <w:proofErr w:type="spellEnd"/>
      <w:r w:rsidRPr="00F425EA">
        <w:rPr>
          <w:rFonts w:cs="Arial"/>
        </w:rPr>
        <w:t xml:space="preserve"> ravni je novost na podlagi zadnje spremembe Zakona o tujcih. Novela je pričela na tem področju veljati 16. maja 2024, takrat so se tudi šele omogočile prijave na tečaje. </w:t>
      </w:r>
    </w:p>
    <w:p w14:paraId="0F03C47D" w14:textId="77777777" w:rsidR="000E7A5A" w:rsidRPr="00F425EA" w:rsidRDefault="000E7A5A" w:rsidP="00E247FF">
      <w:pPr>
        <w:spacing w:after="0" w:line="276" w:lineRule="auto"/>
        <w:jc w:val="both"/>
        <w:rPr>
          <w:rFonts w:cs="Arial"/>
        </w:rPr>
      </w:pPr>
    </w:p>
    <w:p w14:paraId="1E9596C0" w14:textId="77777777" w:rsidR="000E7A5A" w:rsidRPr="00F425EA" w:rsidRDefault="00306071" w:rsidP="00E247FF">
      <w:pPr>
        <w:spacing w:after="0" w:line="276" w:lineRule="auto"/>
        <w:jc w:val="both"/>
        <w:rPr>
          <w:rFonts w:cs="Arial"/>
        </w:rPr>
      </w:pPr>
      <w:r w:rsidRPr="00F425EA">
        <w:rPr>
          <w:rFonts w:cs="Arial"/>
        </w:rPr>
        <w:t xml:space="preserve">Tečaje in preizkuse znanja iz slovenskega jezika na </w:t>
      </w:r>
      <w:proofErr w:type="spellStart"/>
      <w:r w:rsidRPr="00F425EA">
        <w:rPr>
          <w:rFonts w:cs="Arial"/>
        </w:rPr>
        <w:t>preživetveni</w:t>
      </w:r>
      <w:proofErr w:type="spellEnd"/>
      <w:r w:rsidRPr="00F425EA">
        <w:rPr>
          <w:rFonts w:cs="Arial"/>
        </w:rPr>
        <w:t xml:space="preserve"> ravni izvajajo izobraževalne ustanove oziroma organizacije, ki izvajajo neformalne izobraževalne programe za odrasle za učenje slovenskega jezika. Urad za oskrbo in integracijo migrantov je z javnim naročilom izbral za izvajalca neformalnih programov in preizkusov znanja iz slovenščine na </w:t>
      </w:r>
      <w:proofErr w:type="spellStart"/>
      <w:r w:rsidRPr="00F425EA">
        <w:rPr>
          <w:rFonts w:cs="Arial"/>
        </w:rPr>
        <w:t>preživetveni</w:t>
      </w:r>
      <w:proofErr w:type="spellEnd"/>
      <w:r w:rsidRPr="00F425EA">
        <w:rPr>
          <w:rFonts w:cs="Arial"/>
        </w:rPr>
        <w:t xml:space="preserve"> ravni, to je jezikovni inštitut </w:t>
      </w:r>
      <w:proofErr w:type="spellStart"/>
      <w:r w:rsidRPr="00F425EA">
        <w:rPr>
          <w:rFonts w:cs="Arial"/>
        </w:rPr>
        <w:t>Didaktum</w:t>
      </w:r>
      <w:proofErr w:type="spellEnd"/>
      <w:r w:rsidRPr="00F425EA">
        <w:rPr>
          <w:rFonts w:cs="Arial"/>
        </w:rPr>
        <w:t xml:space="preserve"> (Tečaji slovenskega jezika na </w:t>
      </w:r>
      <w:proofErr w:type="spellStart"/>
      <w:r w:rsidRPr="00F425EA">
        <w:rPr>
          <w:rFonts w:cs="Arial"/>
        </w:rPr>
        <w:t>preživetveni</w:t>
      </w:r>
      <w:proofErr w:type="spellEnd"/>
      <w:r w:rsidRPr="00F425EA">
        <w:rPr>
          <w:rFonts w:cs="Arial"/>
        </w:rPr>
        <w:t xml:space="preserve"> ravni in preizkusi znanja).</w:t>
      </w:r>
    </w:p>
    <w:p w14:paraId="6BC50516" w14:textId="77777777" w:rsidR="000E7A5A" w:rsidRPr="00F425EA" w:rsidRDefault="000E7A5A" w:rsidP="00E247FF">
      <w:pPr>
        <w:spacing w:after="0" w:line="276" w:lineRule="auto"/>
        <w:jc w:val="both"/>
        <w:rPr>
          <w:rFonts w:cs="Arial"/>
        </w:rPr>
      </w:pPr>
    </w:p>
    <w:p w14:paraId="006105D2" w14:textId="77777777" w:rsidR="000E7A5A" w:rsidRPr="00F425EA" w:rsidRDefault="00306071" w:rsidP="00E247FF">
      <w:pPr>
        <w:spacing w:after="0" w:line="276" w:lineRule="auto"/>
        <w:jc w:val="both"/>
        <w:rPr>
          <w:rFonts w:cs="Arial"/>
        </w:rPr>
      </w:pPr>
      <w:r w:rsidRPr="00F425EA">
        <w:rPr>
          <w:rFonts w:cs="Arial"/>
        </w:rPr>
        <w:t xml:space="preserve">Neformalni program in preizkusi znanja slovenskega jezika na </w:t>
      </w:r>
      <w:proofErr w:type="spellStart"/>
      <w:r w:rsidRPr="00F425EA">
        <w:rPr>
          <w:rFonts w:cs="Arial"/>
        </w:rPr>
        <w:t>preživetveni</w:t>
      </w:r>
      <w:proofErr w:type="spellEnd"/>
      <w:r w:rsidRPr="00F425EA">
        <w:rPr>
          <w:rFonts w:cs="Arial"/>
        </w:rPr>
        <w:t xml:space="preserve"> ravni potekajo v 40 krajih po Sloveniji. </w:t>
      </w:r>
    </w:p>
    <w:p w14:paraId="25290143" w14:textId="77777777" w:rsidR="000E7A5A" w:rsidRPr="00F425EA" w:rsidRDefault="000E7A5A" w:rsidP="00E247FF">
      <w:pPr>
        <w:spacing w:after="0" w:line="276" w:lineRule="auto"/>
        <w:jc w:val="both"/>
        <w:rPr>
          <w:rFonts w:cs="Arial"/>
        </w:rPr>
      </w:pPr>
    </w:p>
    <w:p w14:paraId="6309FEC3" w14:textId="14F489FF" w:rsidR="000E7A5A" w:rsidRDefault="00306071" w:rsidP="00E247FF">
      <w:pPr>
        <w:spacing w:after="0" w:line="276" w:lineRule="auto"/>
        <w:jc w:val="both"/>
        <w:rPr>
          <w:rFonts w:cs="Arial"/>
        </w:rPr>
      </w:pPr>
      <w:r w:rsidRPr="00F425EA">
        <w:rPr>
          <w:rFonts w:cs="Arial"/>
        </w:rPr>
        <w:t>Neformalni program obsega 180 ur in še dodatnih 60 ur, če oseba v prvih 180-ih urah ne doseže pričakovanih rezultatov. Trenutno tečaji potekajo v 20 krajih, nekaj tečajev poteka tudi preko spleta.</w:t>
      </w:r>
      <w:bookmarkStart w:id="3255" w:name="_Toc182919117"/>
      <w:bookmarkStart w:id="3256" w:name="_Toc1029045698"/>
      <w:bookmarkStart w:id="3257" w:name="_Toc937856361"/>
      <w:bookmarkStart w:id="3258" w:name="_Toc1251547521"/>
      <w:bookmarkStart w:id="3259" w:name="_Toc2115592587"/>
      <w:bookmarkStart w:id="3260" w:name="_Toc972744365"/>
      <w:bookmarkStart w:id="3261" w:name="_Toc889975727"/>
      <w:bookmarkStart w:id="3262" w:name="_Toc1115373315"/>
      <w:bookmarkStart w:id="3263" w:name="_Toc167786408"/>
      <w:bookmarkStart w:id="3264" w:name="_Toc551248202"/>
      <w:bookmarkStart w:id="3265" w:name="_Toc2077633337"/>
      <w:bookmarkStart w:id="3266" w:name="_Toc687469847"/>
      <w:bookmarkStart w:id="3267" w:name="_Toc876547370"/>
      <w:bookmarkStart w:id="3268" w:name="_Toc15032695"/>
      <w:bookmarkStart w:id="3269" w:name="_Toc1715973830"/>
      <w:bookmarkStart w:id="3270" w:name="_Toc1896414370"/>
      <w:bookmarkStart w:id="3271" w:name="_Toc1348628605"/>
      <w:bookmarkStart w:id="3272" w:name="_Toc124095528"/>
      <w:bookmarkStart w:id="3273" w:name="_Toc1539759612"/>
      <w:bookmarkStart w:id="3274" w:name="_Toc420182248"/>
      <w:bookmarkStart w:id="3275" w:name="_Toc711116288"/>
      <w:bookmarkStart w:id="3276" w:name="_Toc2046137260"/>
      <w:bookmarkStart w:id="3277" w:name="_Toc423543447"/>
      <w:bookmarkStart w:id="3278" w:name="_Toc502512262"/>
      <w:bookmarkStart w:id="3279" w:name="_Toc1996800092"/>
      <w:bookmarkStart w:id="3280" w:name="_Toc1866553273"/>
      <w:bookmarkStart w:id="3281" w:name="_Toc1420964130"/>
      <w:bookmarkStart w:id="3282" w:name="_Toc1374198018"/>
      <w:bookmarkStart w:id="3283" w:name="_Toc1268632512"/>
      <w:bookmarkStart w:id="3284" w:name="_Toc891893599"/>
      <w:bookmarkStart w:id="3285" w:name="_Toc783297034"/>
      <w:bookmarkStart w:id="3286" w:name="_Toc439797296"/>
      <w:bookmarkStart w:id="3287" w:name="_Toc216477263"/>
      <w:bookmarkStart w:id="3288" w:name="_Toc29354039"/>
      <w:bookmarkStart w:id="3289" w:name="_Toc1259375137"/>
      <w:bookmarkStart w:id="3290" w:name="_Toc1472489563"/>
      <w:bookmarkStart w:id="3291" w:name="_Toc2124757435"/>
      <w:bookmarkStart w:id="3292" w:name="_Toc2067823654"/>
      <w:bookmarkStart w:id="3293" w:name="_Toc174857105"/>
      <w:bookmarkStart w:id="3294" w:name="_Toc1946859057"/>
      <w:bookmarkStart w:id="3295" w:name="_Toc1692088756"/>
      <w:bookmarkStart w:id="3296" w:name="_Toc1780096584"/>
      <w:bookmarkStart w:id="3297" w:name="_Toc88095036"/>
      <w:bookmarkStart w:id="3298" w:name="_Toc1774548861"/>
      <w:bookmarkStart w:id="3299" w:name="_Toc2017571714"/>
      <w:bookmarkStart w:id="3300" w:name="_Toc388071588"/>
      <w:bookmarkStart w:id="3301" w:name="_Toc1325893324"/>
      <w:bookmarkStart w:id="3302" w:name="_Toc1249779035"/>
      <w:bookmarkStart w:id="3303" w:name="_Toc551427045"/>
      <w:bookmarkStart w:id="3304" w:name="_Toc678868363"/>
      <w:bookmarkStart w:id="3305" w:name="_Toc1385013932"/>
      <w:bookmarkStart w:id="3306" w:name="_Toc1023023274"/>
      <w:bookmarkStart w:id="3307" w:name="_Toc1513010412"/>
      <w:bookmarkStart w:id="3308" w:name="_Toc261462289"/>
      <w:bookmarkStart w:id="3309" w:name="_Toc797272568"/>
      <w:bookmarkStart w:id="3310" w:name="_Toc2141011467"/>
      <w:bookmarkStart w:id="3311" w:name="_Toc1538675620"/>
      <w:bookmarkStart w:id="3312" w:name="_Toc1853904451"/>
      <w:bookmarkStart w:id="3313" w:name="_Toc1669152885"/>
      <w:bookmarkStart w:id="3314" w:name="_Toc134604528"/>
      <w:bookmarkStart w:id="3315" w:name="_Toc2142265411"/>
      <w:bookmarkStart w:id="3316" w:name="_Toc1622830388"/>
      <w:bookmarkStart w:id="3317" w:name="_Toc1383611137"/>
      <w:bookmarkStart w:id="3318" w:name="_Toc143243536"/>
      <w:bookmarkStart w:id="3319" w:name="_Toc1860121927"/>
      <w:bookmarkStart w:id="3320" w:name="_Toc1689079714"/>
      <w:bookmarkStart w:id="3321" w:name="_Toc492517806"/>
      <w:bookmarkStart w:id="3322" w:name="_Toc1737052612"/>
      <w:bookmarkStart w:id="3323" w:name="_Toc964173373"/>
      <w:bookmarkStart w:id="3324" w:name="_Toc483250157"/>
      <w:bookmarkStart w:id="3325" w:name="_Toc529762153"/>
      <w:bookmarkStart w:id="3326" w:name="_Toc2115775342"/>
      <w:bookmarkStart w:id="3327" w:name="_Toc154303774"/>
      <w:bookmarkStart w:id="3328" w:name="_Toc1120707466"/>
      <w:bookmarkStart w:id="3329" w:name="_Toc1278239988"/>
      <w:bookmarkStart w:id="3330" w:name="_Toc1667843156"/>
      <w:bookmarkStart w:id="3331" w:name="_Toc2047582155"/>
      <w:bookmarkStart w:id="3332" w:name="_Toc913092089"/>
      <w:bookmarkStart w:id="3333" w:name="_Toc2037528753"/>
      <w:bookmarkStart w:id="3334" w:name="_Toc360602153"/>
      <w:bookmarkStart w:id="3335" w:name="_Toc205456881"/>
      <w:bookmarkStart w:id="3336" w:name="_Toc1660244133"/>
      <w:bookmarkStart w:id="3337" w:name="_Toc943079878"/>
      <w:bookmarkStart w:id="3338" w:name="_Toc1910146350"/>
    </w:p>
    <w:p w14:paraId="21D16985" w14:textId="77777777" w:rsidR="006620B6" w:rsidRDefault="006620B6" w:rsidP="00E247FF">
      <w:pPr>
        <w:spacing w:after="0" w:line="276" w:lineRule="auto"/>
        <w:jc w:val="both"/>
        <w:rPr>
          <w:rFonts w:cs="Arial"/>
        </w:rPr>
      </w:pPr>
    </w:p>
    <w:p w14:paraId="30E020DB" w14:textId="77777777" w:rsidR="0083343B" w:rsidRPr="00F425EA" w:rsidRDefault="0083343B" w:rsidP="00E247FF">
      <w:pPr>
        <w:spacing w:after="0" w:line="276" w:lineRule="auto"/>
        <w:jc w:val="both"/>
        <w:rPr>
          <w:rFonts w:cs="Arial"/>
        </w:rPr>
      </w:pPr>
    </w:p>
    <w:p w14:paraId="117F6BDD" w14:textId="394F3B31" w:rsidR="000E7A5A" w:rsidRPr="00F425EA" w:rsidRDefault="00306071" w:rsidP="000B2C28">
      <w:pPr>
        <w:pStyle w:val="Naslov2"/>
      </w:pPr>
      <w:bookmarkStart w:id="3339" w:name="_Toc187739361"/>
      <w:bookmarkStart w:id="3340" w:name="_Toc187740108"/>
      <w:bookmarkStart w:id="3341" w:name="_Toc192682018"/>
      <w:r w:rsidRPr="00F425EA">
        <w:t>3.8</w:t>
      </w:r>
      <w:r w:rsidRPr="00F425EA">
        <w:tab/>
      </w:r>
      <w:r w:rsidR="005A12CC" w:rsidRPr="00F425EA">
        <w:t xml:space="preserve"> POSPEŠITEV DEINSTITUCIONALIZACIJE IN RAZVOJ PRIMERNIH KVALITETNIH IN DOSTOPNIH SOCIALNIH STORITEV</w:t>
      </w:r>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p>
    <w:p w14:paraId="6059BBC6" w14:textId="77777777" w:rsidR="000E7A5A" w:rsidRPr="00F425EA" w:rsidRDefault="000E7A5A" w:rsidP="003F61F8">
      <w:pPr>
        <w:spacing w:after="0" w:line="276" w:lineRule="auto"/>
        <w:jc w:val="both"/>
        <w:rPr>
          <w:rFonts w:cs="Arial"/>
        </w:rPr>
      </w:pPr>
    </w:p>
    <w:p w14:paraId="6D858780" w14:textId="77777777" w:rsidR="000E7A5A" w:rsidRDefault="00306071" w:rsidP="003F61F8">
      <w:pPr>
        <w:spacing w:after="0" w:line="276" w:lineRule="auto"/>
        <w:jc w:val="both"/>
        <w:rPr>
          <w:rFonts w:cs="Arial"/>
        </w:rPr>
      </w:pPr>
      <w:proofErr w:type="spellStart"/>
      <w:r w:rsidRPr="00F425EA">
        <w:rPr>
          <w:rFonts w:cs="Arial"/>
        </w:rPr>
        <w:t>Deinstitucionalizacija</w:t>
      </w:r>
      <w:proofErr w:type="spellEnd"/>
      <w:r w:rsidRPr="00F425EA">
        <w:rPr>
          <w:rFonts w:cs="Arial"/>
        </w:rPr>
        <w:t xml:space="preserve"> je v ožjem pomenu proces, pri katerem stremimo k zapiranju totalnih ustanov in k ustvarjanju oskrbe v skupnosti. Z zagotavljanjem raznolikih storitev v skupnosti omogočamo uporabnikom individualizirano in prilagojeno oskrbo, ki je v instituciji ni mogoče zagotoviti. Skupne </w:t>
      </w:r>
      <w:r w:rsidRPr="00F425EA">
        <w:rPr>
          <w:rFonts w:cs="Arial"/>
        </w:rPr>
        <w:lastRenderedPageBreak/>
        <w:t>evropske smernice za prehod iz institucionalne v skupnostno oskrbo</w:t>
      </w:r>
      <w:r w:rsidRPr="00F425EA">
        <w:rPr>
          <w:rStyle w:val="Sprotnaopomba-sklic"/>
          <w:rFonts w:cs="Arial"/>
        </w:rPr>
        <w:footnoteReference w:id="17"/>
      </w:r>
      <w:r w:rsidRPr="00F425EA">
        <w:rPr>
          <w:rFonts w:cs="Arial"/>
        </w:rPr>
        <w:t xml:space="preserve"> institucijo razumejo kot vsako namestitveno oskrbo, v kateri:</w:t>
      </w:r>
    </w:p>
    <w:p w14:paraId="157A902C" w14:textId="77777777" w:rsidR="00234C38" w:rsidRPr="00F425EA" w:rsidRDefault="00234C38" w:rsidP="003F61F8">
      <w:pPr>
        <w:spacing w:after="0" w:line="276" w:lineRule="auto"/>
        <w:jc w:val="both"/>
        <w:rPr>
          <w:rFonts w:cs="Arial"/>
        </w:rPr>
      </w:pPr>
    </w:p>
    <w:p w14:paraId="36AC1AE8" w14:textId="77777777" w:rsidR="000E7A5A" w:rsidRPr="00F425EA" w:rsidRDefault="00306071" w:rsidP="00E247FF">
      <w:pPr>
        <w:numPr>
          <w:ilvl w:val="0"/>
          <w:numId w:val="48"/>
        </w:numPr>
        <w:spacing w:after="0" w:line="276" w:lineRule="auto"/>
        <w:jc w:val="both"/>
        <w:rPr>
          <w:rFonts w:cs="Arial"/>
        </w:rPr>
      </w:pPr>
      <w:r w:rsidRPr="00F425EA">
        <w:rPr>
          <w:rFonts w:cs="Arial"/>
        </w:rPr>
        <w:t>so stanovalci izolirani od širše skupnosti in/ali prisiljeni živeti skupaj;</w:t>
      </w:r>
    </w:p>
    <w:p w14:paraId="03911538" w14:textId="77777777" w:rsidR="000E7A5A" w:rsidRPr="00F425EA" w:rsidRDefault="00306071" w:rsidP="00E247FF">
      <w:pPr>
        <w:numPr>
          <w:ilvl w:val="0"/>
          <w:numId w:val="48"/>
        </w:numPr>
        <w:spacing w:after="0" w:line="276" w:lineRule="auto"/>
        <w:jc w:val="both"/>
        <w:rPr>
          <w:rFonts w:cs="Arial"/>
        </w:rPr>
      </w:pPr>
      <w:r w:rsidRPr="00F425EA">
        <w:rPr>
          <w:rFonts w:cs="Arial"/>
        </w:rPr>
        <w:t>stanovalci nimajo zadostnega nadzora nad svojim življenjem in nad odločitvami, ki vplivajo nanje;</w:t>
      </w:r>
    </w:p>
    <w:p w14:paraId="6FE7BE23" w14:textId="77777777" w:rsidR="000E7A5A" w:rsidRPr="00F425EA" w:rsidRDefault="00306071" w:rsidP="00E247FF">
      <w:pPr>
        <w:numPr>
          <w:ilvl w:val="0"/>
          <w:numId w:val="48"/>
        </w:numPr>
        <w:spacing w:after="0" w:line="276" w:lineRule="auto"/>
        <w:jc w:val="both"/>
        <w:rPr>
          <w:rFonts w:cs="Arial"/>
        </w:rPr>
      </w:pPr>
      <w:r w:rsidRPr="00F425EA">
        <w:rPr>
          <w:rFonts w:cs="Arial"/>
        </w:rPr>
        <w:t>imajo zahteve in interesi organizacije navadno prednost pred posameznimi potrebami stanovalcev.</w:t>
      </w:r>
    </w:p>
    <w:p w14:paraId="287638C8" w14:textId="77777777" w:rsidR="000E7A5A" w:rsidRPr="00F425EA" w:rsidRDefault="000E7A5A" w:rsidP="006620B6">
      <w:pPr>
        <w:spacing w:after="0" w:line="276" w:lineRule="auto"/>
        <w:jc w:val="both"/>
        <w:rPr>
          <w:rFonts w:cs="Arial"/>
        </w:rPr>
      </w:pPr>
    </w:p>
    <w:p w14:paraId="5A6D1211" w14:textId="77777777" w:rsidR="000E7A5A" w:rsidRPr="00F425EA" w:rsidRDefault="00306071" w:rsidP="003F61F8">
      <w:pPr>
        <w:spacing w:after="0" w:line="276" w:lineRule="auto"/>
        <w:jc w:val="both"/>
        <w:rPr>
          <w:rFonts w:cs="Arial"/>
        </w:rPr>
      </w:pPr>
      <w:proofErr w:type="spellStart"/>
      <w:r w:rsidRPr="00F425EA">
        <w:rPr>
          <w:rFonts w:cs="Arial"/>
        </w:rPr>
        <w:t>Deinstitucionalizacija</w:t>
      </w:r>
      <w:proofErr w:type="spellEnd"/>
      <w:r w:rsidRPr="00F425EA">
        <w:rPr>
          <w:rFonts w:cs="Arial"/>
        </w:rPr>
        <w:t xml:space="preserve"> ni zgolj proces zapiranja institucij, gre za dolgotrajen in kompleksen družbeni proces, ki vključuje načrtovanje transformacije, zmanjšanje kapacitet v institucijah ter postopno zapiranje tovrstnih ustanov. Prav tako pomeni vzpostavitev skupnostnih služb, ki bi uporabnikom omogočile samostojno življenje v skupnosti z vso potrebno podporo po osebni meri.</w:t>
      </w:r>
    </w:p>
    <w:p w14:paraId="255B05F9" w14:textId="77777777" w:rsidR="000E7A5A" w:rsidRPr="00F425EA" w:rsidRDefault="000E7A5A" w:rsidP="006620B6">
      <w:pPr>
        <w:spacing w:after="0" w:line="276" w:lineRule="auto"/>
        <w:jc w:val="both"/>
        <w:rPr>
          <w:rFonts w:cs="Arial"/>
        </w:rPr>
      </w:pPr>
    </w:p>
    <w:p w14:paraId="3000D53C" w14:textId="77777777" w:rsidR="000E7A5A" w:rsidRPr="00F425EA" w:rsidRDefault="00306071" w:rsidP="003F61F8">
      <w:pPr>
        <w:spacing w:after="0" w:line="276" w:lineRule="auto"/>
        <w:jc w:val="both"/>
        <w:rPr>
          <w:rFonts w:cs="Arial"/>
        </w:rPr>
      </w:pPr>
      <w:r w:rsidRPr="00F425EA">
        <w:rPr>
          <w:rFonts w:cs="Arial"/>
        </w:rPr>
        <w:t xml:space="preserve">Slovenija ima precej dolgo zgodovino </w:t>
      </w:r>
      <w:proofErr w:type="spellStart"/>
      <w:r w:rsidRPr="00F425EA">
        <w:rPr>
          <w:rFonts w:cs="Arial"/>
        </w:rPr>
        <w:t>deinstitucionalizacije</w:t>
      </w:r>
      <w:proofErr w:type="spellEnd"/>
      <w:r w:rsidRPr="00F425EA">
        <w:rPr>
          <w:rFonts w:cs="Arial"/>
        </w:rPr>
        <w:t xml:space="preserve">. Ta proces poteka z različno intenzivnostjo že 55 let. Sam začetek štejemo s preobrazbo deškega prevzgojnega doma v Logatcu. V osemdesetih smo v Sloveniji ustanovili prve stanovanjske skupine. V devetdesetih smo vzpostavili več različnih skupnostnih služb na področju duševnega zdravja, ki delujejo še danes in so organizirale dnevne centre, stanovanjske skupine in terensko delo na domu uporabnika. Prve poskuse </w:t>
      </w:r>
      <w:proofErr w:type="spellStart"/>
      <w:r w:rsidRPr="00F425EA">
        <w:rPr>
          <w:rFonts w:cs="Arial"/>
        </w:rPr>
        <w:t>deinstitucionalizacije</w:t>
      </w:r>
      <w:proofErr w:type="spellEnd"/>
      <w:r w:rsidRPr="00F425EA">
        <w:rPr>
          <w:rFonts w:cs="Arial"/>
        </w:rPr>
        <w:t xml:space="preserve"> v javnem sektorju opažamo šele na začetku 21. stoletja, in sicer v Hrastovcu s preseljevanjem stanovalcev iz posebnega zavoda v bivalne enote in stanovanjske skupine. Kmalu so delovanje zavoda Hrastovec posnemali še drugi zavodi.</w:t>
      </w:r>
    </w:p>
    <w:p w14:paraId="2B0125FB" w14:textId="77777777" w:rsidR="000E7A5A" w:rsidRPr="00F425EA" w:rsidRDefault="000E7A5A" w:rsidP="006620B6">
      <w:pPr>
        <w:spacing w:after="0" w:line="276" w:lineRule="auto"/>
        <w:jc w:val="both"/>
        <w:rPr>
          <w:rFonts w:cs="Arial"/>
        </w:rPr>
      </w:pPr>
    </w:p>
    <w:p w14:paraId="3E91AC4C" w14:textId="1D5A85F5" w:rsidR="000E7A5A" w:rsidRPr="00F425EA" w:rsidRDefault="00306071" w:rsidP="00234C38">
      <w:pPr>
        <w:spacing w:after="0" w:line="276" w:lineRule="auto"/>
        <w:jc w:val="both"/>
        <w:rPr>
          <w:rFonts w:cs="Arial"/>
        </w:rPr>
      </w:pPr>
      <w:r w:rsidRPr="00F425EA">
        <w:rPr>
          <w:rFonts w:cs="Arial"/>
        </w:rPr>
        <w:t xml:space="preserve">Vse te dobre prakse, storitve, metode in ključne spremembe, ki smo jih v zadnjih petdesetih letih vzpostavili na področju zagotavljanja podpore, niso preprečile institucionalizacije ljudi z ovirami. Nove storitve in skupnostne službe, ki smo jih vzpostavili, so postale le dopolnilo institucijam, ki jih nikoli nismo povsem preobrazili v podporo v skupnosti. Z namenom, da bi spodbudili </w:t>
      </w:r>
      <w:proofErr w:type="spellStart"/>
      <w:r w:rsidRPr="00F425EA">
        <w:rPr>
          <w:rFonts w:cs="Arial"/>
        </w:rPr>
        <w:t>deinstitucionalizacijo</w:t>
      </w:r>
      <w:proofErr w:type="spellEnd"/>
      <w:r w:rsidRPr="00F425EA">
        <w:rPr>
          <w:rFonts w:cs="Arial"/>
        </w:rPr>
        <w:t xml:space="preserve">, je v programskem obdobju 2014–2020 Ministrstvo za delo, družino, socialne zadeve in enake možnosti, Republike Slovenije, naročil študijo </w:t>
      </w:r>
      <w:r w:rsidRPr="00F425EA">
        <w:rPr>
          <w:rFonts w:cs="Arial"/>
          <w:i/>
          <w:iCs/>
        </w:rPr>
        <w:t>Priprava izhodišč izvedbe</w:t>
      </w:r>
      <w:r w:rsidR="00234C38">
        <w:rPr>
          <w:rFonts w:cs="Arial"/>
          <w:i/>
          <w:iCs/>
        </w:rPr>
        <w:t xml:space="preserve"> </w:t>
      </w:r>
      <w:proofErr w:type="spellStart"/>
      <w:r w:rsidRPr="00F425EA">
        <w:rPr>
          <w:rFonts w:cs="Arial"/>
          <w:i/>
          <w:iCs/>
        </w:rPr>
        <w:t>deinstitucionalizacije</w:t>
      </w:r>
      <w:proofErr w:type="spellEnd"/>
      <w:r w:rsidRPr="00F425EA">
        <w:rPr>
          <w:rFonts w:cs="Arial"/>
          <w:i/>
          <w:iCs/>
        </w:rPr>
        <w:t xml:space="preserve"> v Republiki Sloveniji</w:t>
      </w:r>
      <w:r w:rsidRPr="00F425EA">
        <w:rPr>
          <w:rFonts w:cs="Arial"/>
        </w:rPr>
        <w:t xml:space="preserve"> ter ustanovil projektno enoto za </w:t>
      </w:r>
      <w:proofErr w:type="spellStart"/>
      <w:r w:rsidRPr="00F425EA">
        <w:rPr>
          <w:rFonts w:cs="Arial"/>
        </w:rPr>
        <w:t>deinstitucionalizacijo</w:t>
      </w:r>
      <w:proofErr w:type="spellEnd"/>
      <w:r w:rsidRPr="00F425EA">
        <w:rPr>
          <w:rFonts w:cs="Arial"/>
        </w:rPr>
        <w:t xml:space="preserve">. Študija je prinesla dobra strokovna izhodišča za pripravo </w:t>
      </w:r>
      <w:bookmarkStart w:id="3342" w:name="_Hlk183182858"/>
      <w:r w:rsidRPr="00F425EA">
        <w:rPr>
          <w:rFonts w:cs="Arial"/>
          <w:i/>
          <w:iCs/>
        </w:rPr>
        <w:t xml:space="preserve">Strategije Republike Slovenije za </w:t>
      </w:r>
      <w:proofErr w:type="spellStart"/>
      <w:r w:rsidRPr="00F425EA">
        <w:rPr>
          <w:rFonts w:cs="Arial"/>
          <w:i/>
          <w:iCs/>
        </w:rPr>
        <w:t>deinstitucionalizacijo</w:t>
      </w:r>
      <w:proofErr w:type="spellEnd"/>
      <w:r w:rsidRPr="00F425EA">
        <w:rPr>
          <w:rFonts w:cs="Arial"/>
          <w:i/>
          <w:iCs/>
        </w:rPr>
        <w:t xml:space="preserve"> v socialnem varstvu za obdobje 2024–2034</w:t>
      </w:r>
      <w:bookmarkEnd w:id="3342"/>
      <w:r w:rsidRPr="00F425EA">
        <w:rPr>
          <w:rFonts w:cs="Arial"/>
        </w:rPr>
        <w:t>.</w:t>
      </w:r>
      <w:r w:rsidR="00234C38">
        <w:rPr>
          <w:rFonts w:cs="Arial"/>
        </w:rPr>
        <w:t xml:space="preserve"> </w:t>
      </w:r>
      <w:r w:rsidRPr="00F425EA">
        <w:rPr>
          <w:rFonts w:cs="Arial"/>
        </w:rPr>
        <w:t xml:space="preserve">(v nadaljevanju: </w:t>
      </w:r>
      <w:proofErr w:type="spellStart"/>
      <w:r w:rsidRPr="00F425EA">
        <w:rPr>
          <w:rFonts w:cs="Arial"/>
        </w:rPr>
        <w:t>StaDi</w:t>
      </w:r>
      <w:proofErr w:type="spellEnd"/>
      <w:r w:rsidRPr="00F425EA">
        <w:rPr>
          <w:rFonts w:cs="Arial"/>
        </w:rPr>
        <w:t xml:space="preserve"> 2024–2034), ki jo je Ministrstvo za solidarno prihodnost (v nadaljevanju: MSP) sprejelo marca 2024.</w:t>
      </w:r>
    </w:p>
    <w:p w14:paraId="758BA5E4" w14:textId="77777777" w:rsidR="000E7A5A" w:rsidRPr="00F425EA" w:rsidRDefault="000E7A5A" w:rsidP="00E247FF">
      <w:pPr>
        <w:spacing w:after="0" w:line="276" w:lineRule="auto"/>
        <w:ind w:left="284"/>
        <w:jc w:val="both"/>
        <w:rPr>
          <w:rFonts w:cs="Arial"/>
        </w:rPr>
      </w:pPr>
    </w:p>
    <w:p w14:paraId="09680435" w14:textId="77777777" w:rsidR="000E7A5A" w:rsidRPr="00F425EA" w:rsidRDefault="00306071" w:rsidP="003F61F8">
      <w:pPr>
        <w:spacing w:after="0" w:line="276" w:lineRule="auto"/>
        <w:jc w:val="both"/>
        <w:rPr>
          <w:rFonts w:cs="Arial"/>
        </w:rPr>
      </w:pPr>
      <w:r w:rsidRPr="00F425EA">
        <w:rPr>
          <w:rFonts w:cs="Arial"/>
        </w:rPr>
        <w:t xml:space="preserve">Vizija </w:t>
      </w:r>
      <w:proofErr w:type="spellStart"/>
      <w:r w:rsidRPr="00F425EA">
        <w:rPr>
          <w:rFonts w:cs="Arial"/>
        </w:rPr>
        <w:t>StaDI</w:t>
      </w:r>
      <w:proofErr w:type="spellEnd"/>
      <w:r w:rsidRPr="00F425EA">
        <w:rPr>
          <w:rFonts w:cs="Arial"/>
        </w:rPr>
        <w:t xml:space="preserve"> 2024–2034 je omogočiti vsem otrokom in odraslim osebam z oviranostjo namesto življenja v instituciji, življenje v skupnosti s podporo. Strategija je usmerjena tudi k ljudem z oviranostjo, ki so stari 65 let ali več in živijo v posebnih in kombiniranih socialnovarstvenih zavodih (v nadaljevanju: POS in KOM) ter tudi v varstveno-delovnih centrih (v nadaljevanju: VDC) in v centrih za usposabljanje, delo in varstvo (v nadaljevanju: CUDV).</w:t>
      </w:r>
    </w:p>
    <w:p w14:paraId="767619C7" w14:textId="77777777" w:rsidR="000E7A5A" w:rsidRPr="00F425EA" w:rsidRDefault="000E7A5A" w:rsidP="006620B6">
      <w:pPr>
        <w:spacing w:after="0" w:line="276" w:lineRule="auto"/>
        <w:jc w:val="both"/>
        <w:rPr>
          <w:rFonts w:cs="Arial"/>
        </w:rPr>
      </w:pPr>
    </w:p>
    <w:p w14:paraId="2BC7CDCC" w14:textId="77777777" w:rsidR="000E7A5A" w:rsidRDefault="00306071" w:rsidP="003F61F8">
      <w:pPr>
        <w:spacing w:after="0" w:line="276" w:lineRule="auto"/>
        <w:jc w:val="both"/>
        <w:rPr>
          <w:rFonts w:cs="Arial"/>
        </w:rPr>
      </w:pPr>
      <w:r w:rsidRPr="00F425EA">
        <w:rPr>
          <w:rFonts w:cs="Arial"/>
        </w:rPr>
        <w:t xml:space="preserve">Cilji reforme </w:t>
      </w:r>
      <w:proofErr w:type="spellStart"/>
      <w:r w:rsidRPr="00F425EA">
        <w:rPr>
          <w:rFonts w:cs="Arial"/>
        </w:rPr>
        <w:t>deinstitucionalizacije</w:t>
      </w:r>
      <w:proofErr w:type="spellEnd"/>
      <w:r w:rsidRPr="00F425EA">
        <w:rPr>
          <w:rFonts w:cs="Arial"/>
        </w:rPr>
        <w:t xml:space="preserve">, opredeljeni v </w:t>
      </w:r>
      <w:proofErr w:type="spellStart"/>
      <w:r w:rsidRPr="00F425EA">
        <w:rPr>
          <w:rFonts w:cs="Arial"/>
        </w:rPr>
        <w:t>StaDi</w:t>
      </w:r>
      <w:proofErr w:type="spellEnd"/>
      <w:r w:rsidRPr="00F425EA">
        <w:rPr>
          <w:rFonts w:cs="Arial"/>
        </w:rPr>
        <w:t xml:space="preserve"> 2024–2034, so naslednji:</w:t>
      </w:r>
    </w:p>
    <w:p w14:paraId="70EC22FE" w14:textId="77777777" w:rsidR="00234C38" w:rsidRPr="00F425EA" w:rsidRDefault="00234C38" w:rsidP="003F61F8">
      <w:pPr>
        <w:spacing w:after="0" w:line="276" w:lineRule="auto"/>
        <w:jc w:val="both"/>
        <w:rPr>
          <w:rFonts w:cs="Arial"/>
        </w:rPr>
      </w:pPr>
    </w:p>
    <w:p w14:paraId="2B2ED12B" w14:textId="77777777" w:rsidR="000E7A5A" w:rsidRPr="00F425EA" w:rsidRDefault="00306071" w:rsidP="00E247FF">
      <w:pPr>
        <w:numPr>
          <w:ilvl w:val="0"/>
          <w:numId w:val="49"/>
        </w:numPr>
        <w:spacing w:after="0" w:line="276" w:lineRule="auto"/>
        <w:ind w:left="567" w:hanging="283"/>
        <w:jc w:val="both"/>
        <w:rPr>
          <w:rFonts w:cs="Arial"/>
        </w:rPr>
      </w:pPr>
      <w:r w:rsidRPr="00F425EA">
        <w:rPr>
          <w:rFonts w:cs="Arial"/>
        </w:rPr>
        <w:t>CILJ 1: Preobrazba institucij v trdno javno in neprofitno mrežo skupnostnih služb.</w:t>
      </w:r>
    </w:p>
    <w:p w14:paraId="3E1B3217" w14:textId="77777777" w:rsidR="000E7A5A" w:rsidRPr="00F425EA" w:rsidRDefault="00306071" w:rsidP="00E247FF">
      <w:pPr>
        <w:numPr>
          <w:ilvl w:val="0"/>
          <w:numId w:val="49"/>
        </w:numPr>
        <w:spacing w:after="0" w:line="276" w:lineRule="auto"/>
        <w:ind w:left="567" w:hanging="283"/>
        <w:jc w:val="both"/>
        <w:rPr>
          <w:rFonts w:cs="Arial"/>
        </w:rPr>
      </w:pPr>
      <w:r w:rsidRPr="00F425EA">
        <w:rPr>
          <w:rFonts w:cs="Arial"/>
        </w:rPr>
        <w:t>CILJ 2: Izboljšanje kakovosti storitev v socialnem varstvu.</w:t>
      </w:r>
    </w:p>
    <w:p w14:paraId="345D8388" w14:textId="77777777" w:rsidR="000E7A5A" w:rsidRPr="00F425EA" w:rsidRDefault="00306071" w:rsidP="00E247FF">
      <w:pPr>
        <w:numPr>
          <w:ilvl w:val="0"/>
          <w:numId w:val="49"/>
        </w:numPr>
        <w:spacing w:after="0" w:line="276" w:lineRule="auto"/>
        <w:ind w:left="567" w:hanging="283"/>
        <w:jc w:val="both"/>
        <w:rPr>
          <w:rFonts w:cs="Arial"/>
        </w:rPr>
      </w:pPr>
      <w:r w:rsidRPr="00F425EA">
        <w:rPr>
          <w:rFonts w:cs="Arial"/>
        </w:rPr>
        <w:t>CILJ 3: Preprečevanje institucionalizacije.</w:t>
      </w:r>
    </w:p>
    <w:p w14:paraId="49BCE4AB" w14:textId="77777777" w:rsidR="000E7A5A" w:rsidRPr="00F425EA" w:rsidRDefault="00306071" w:rsidP="003F61F8">
      <w:pPr>
        <w:spacing w:after="0" w:line="276" w:lineRule="auto"/>
        <w:jc w:val="both"/>
        <w:rPr>
          <w:rFonts w:cs="Arial"/>
        </w:rPr>
      </w:pPr>
      <w:r w:rsidRPr="00F425EA">
        <w:rPr>
          <w:rFonts w:cs="Arial"/>
        </w:rPr>
        <w:t xml:space="preserve">StaDI2024–2034 narekuje preselitev vseh ljudi z oviranostjo, ki živijo v institucijah z več kot 24 ljudmi. Do leta 2034 bo tako preoblikovanih 22 institucij v mrežo storitev v skupnosti, pri čemer bo preobrazba posamezne institucije trajala okvirno pet let. Natančnejšo dinamiko preseljevanja ljudi iz institucij v skupnost ter zapiranje institucij bo opredeljevala metodologija za izbor zavodov, ki vstopijo v proces preobrazbe, pripravljena v okviru prvega nacionalnega akcijskega načrta. </w:t>
      </w:r>
      <w:proofErr w:type="spellStart"/>
      <w:r w:rsidRPr="00F425EA">
        <w:rPr>
          <w:rFonts w:cs="Arial"/>
        </w:rPr>
        <w:t>StaDI</w:t>
      </w:r>
      <w:proofErr w:type="spellEnd"/>
      <w:r w:rsidRPr="00F425EA">
        <w:rPr>
          <w:rFonts w:cs="Arial"/>
        </w:rPr>
        <w:t xml:space="preserve"> 2024–2034 predvideva pripravo treh nacionalnih akcijskih načrtov v obdobju trajanja strategije.</w:t>
      </w:r>
    </w:p>
    <w:p w14:paraId="6E9D5EAB" w14:textId="77777777" w:rsidR="000E7A5A" w:rsidRPr="00F425EA" w:rsidRDefault="000E7A5A" w:rsidP="003F61F8">
      <w:pPr>
        <w:spacing w:after="0" w:line="276" w:lineRule="auto"/>
        <w:jc w:val="both"/>
        <w:rPr>
          <w:rFonts w:cs="Arial"/>
        </w:rPr>
      </w:pPr>
    </w:p>
    <w:p w14:paraId="2645C234" w14:textId="77777777" w:rsidR="000E7A5A" w:rsidRPr="00F425EA" w:rsidRDefault="00306071" w:rsidP="003F61F8">
      <w:pPr>
        <w:spacing w:after="0" w:line="276" w:lineRule="auto"/>
        <w:jc w:val="both"/>
        <w:rPr>
          <w:rFonts w:cs="Arial"/>
        </w:rPr>
      </w:pPr>
      <w:proofErr w:type="spellStart"/>
      <w:r w:rsidRPr="00F425EA">
        <w:rPr>
          <w:rFonts w:cs="Arial"/>
        </w:rPr>
        <w:lastRenderedPageBreak/>
        <w:t>StaDI</w:t>
      </w:r>
      <w:proofErr w:type="spellEnd"/>
      <w:r w:rsidRPr="00F425EA">
        <w:rPr>
          <w:rFonts w:cs="Arial"/>
        </w:rPr>
        <w:t xml:space="preserve"> 2024–2034 za izvedbo reforme predvideva vzpostavitev </w:t>
      </w:r>
      <w:r w:rsidRPr="00F425EA">
        <w:rPr>
          <w:rFonts w:cs="Arial"/>
          <w:i/>
          <w:iCs/>
        </w:rPr>
        <w:t xml:space="preserve">Centra za </w:t>
      </w:r>
      <w:proofErr w:type="spellStart"/>
      <w:r w:rsidRPr="00F425EA">
        <w:rPr>
          <w:rFonts w:cs="Arial"/>
          <w:i/>
          <w:iCs/>
        </w:rPr>
        <w:t>deinstitucionalizacijo</w:t>
      </w:r>
      <w:proofErr w:type="spellEnd"/>
      <w:r w:rsidRPr="00F425EA">
        <w:rPr>
          <w:rFonts w:cs="Arial"/>
          <w:i/>
          <w:iCs/>
        </w:rPr>
        <w:t>,</w:t>
      </w:r>
      <w:r w:rsidRPr="00F425EA">
        <w:rPr>
          <w:rFonts w:cs="Arial"/>
        </w:rPr>
        <w:t xml:space="preserve"> ki bo koordiniral in usmerjal proces, Centra za zagovorništvo kot neodvisnega organa za spremljanje reforme in zagotavljanje pravic ljudem z oviranostjo ter vzpostavitev multidisciplinarnih timov kot nove oblike podpore zavodom v preobrazbi ter uporabnikom pri življenju v skupnosti. Proces </w:t>
      </w:r>
      <w:proofErr w:type="spellStart"/>
      <w:r w:rsidRPr="00F425EA">
        <w:rPr>
          <w:rFonts w:cs="Arial"/>
        </w:rPr>
        <w:t>deinstitucionalizacije</w:t>
      </w:r>
      <w:proofErr w:type="spellEnd"/>
      <w:r w:rsidRPr="00F425EA">
        <w:rPr>
          <w:rFonts w:cs="Arial"/>
        </w:rPr>
        <w:t xml:space="preserve"> bodo na nacionalni ravni spremljali mednarodni strokovnjaki (usmerjevalna skupina), uporabniška usmerjevalna skupina ter medresorska delovna skupina.</w:t>
      </w:r>
    </w:p>
    <w:p w14:paraId="5D3816F0" w14:textId="77777777" w:rsidR="000E7A5A" w:rsidRPr="00F425EA" w:rsidRDefault="000E7A5A" w:rsidP="003F61F8">
      <w:pPr>
        <w:spacing w:after="0" w:line="276" w:lineRule="auto"/>
        <w:jc w:val="both"/>
        <w:rPr>
          <w:rFonts w:cs="Arial"/>
        </w:rPr>
      </w:pPr>
    </w:p>
    <w:p w14:paraId="4BD4CB0E" w14:textId="77777777" w:rsidR="000E7A5A" w:rsidRPr="00F425EA" w:rsidRDefault="00306071" w:rsidP="003F61F8">
      <w:pPr>
        <w:spacing w:after="0" w:line="276" w:lineRule="auto"/>
        <w:jc w:val="both"/>
        <w:rPr>
          <w:rFonts w:cs="Arial"/>
        </w:rPr>
      </w:pPr>
      <w:r w:rsidRPr="00F425EA">
        <w:rPr>
          <w:rFonts w:cs="Arial"/>
        </w:rPr>
        <w:t>Trenutno pa smo še v procesu vzpostavljanja obeh usmerjevalnih skupin.</w:t>
      </w:r>
    </w:p>
    <w:p w14:paraId="3D7EB812" w14:textId="77777777" w:rsidR="000E7A5A" w:rsidRPr="00F425EA" w:rsidRDefault="000E7A5A" w:rsidP="003F61F8">
      <w:pPr>
        <w:spacing w:after="0" w:line="276" w:lineRule="auto"/>
        <w:jc w:val="both"/>
        <w:rPr>
          <w:rFonts w:cs="Arial"/>
        </w:rPr>
      </w:pPr>
    </w:p>
    <w:p w14:paraId="4168582A" w14:textId="77777777" w:rsidR="000E7A5A" w:rsidRPr="00F425EA" w:rsidRDefault="00306071" w:rsidP="003F61F8">
      <w:pPr>
        <w:spacing w:after="0" w:line="276" w:lineRule="auto"/>
        <w:jc w:val="both"/>
        <w:rPr>
          <w:rFonts w:cs="Arial"/>
        </w:rPr>
      </w:pPr>
      <w:r w:rsidRPr="00F425EA">
        <w:rPr>
          <w:rFonts w:cs="Arial"/>
        </w:rPr>
        <w:t xml:space="preserve">Strategija predvideva pripravo nacionalnih akcijskih načrtov, na lokalni ravni pripravo lokalnih akcijskih načrtov na območjih, kjer bodo delovali multidisciplinarni timi, ter načrte preobrazbe institucij, ki vstopajo v proces </w:t>
      </w:r>
      <w:proofErr w:type="spellStart"/>
      <w:r w:rsidRPr="00F425EA">
        <w:rPr>
          <w:rFonts w:cs="Arial"/>
        </w:rPr>
        <w:t>deinstitucionalizacije</w:t>
      </w:r>
      <w:proofErr w:type="spellEnd"/>
      <w:r w:rsidRPr="00F425EA">
        <w:rPr>
          <w:rFonts w:cs="Arial"/>
        </w:rPr>
        <w:t>, da se zagotovi postopen in varen proces.</w:t>
      </w:r>
    </w:p>
    <w:p w14:paraId="5B0B23FD" w14:textId="77777777" w:rsidR="000E7A5A" w:rsidRPr="00F425EA" w:rsidRDefault="000E7A5A" w:rsidP="003F61F8">
      <w:pPr>
        <w:spacing w:after="0" w:line="276" w:lineRule="auto"/>
        <w:jc w:val="both"/>
        <w:rPr>
          <w:rFonts w:cs="Arial"/>
        </w:rPr>
      </w:pPr>
    </w:p>
    <w:p w14:paraId="55708DDB" w14:textId="77777777" w:rsidR="000E7A5A" w:rsidRPr="00F425EA" w:rsidRDefault="00306071" w:rsidP="003F61F8">
      <w:pPr>
        <w:spacing w:after="0" w:line="276" w:lineRule="auto"/>
        <w:jc w:val="both"/>
        <w:rPr>
          <w:rFonts w:cs="Arial"/>
        </w:rPr>
      </w:pPr>
      <w:proofErr w:type="spellStart"/>
      <w:r w:rsidRPr="00F425EA">
        <w:rPr>
          <w:rFonts w:cs="Arial"/>
        </w:rPr>
        <w:t>StaDI</w:t>
      </w:r>
      <w:proofErr w:type="spellEnd"/>
      <w:r w:rsidRPr="00F425EA">
        <w:rPr>
          <w:rFonts w:cs="Arial"/>
        </w:rPr>
        <w:t xml:space="preserve"> 2024–2034 prav tako predvideva ureditev zakonodaje na področju socialnega varstva ter razvoj novih standardov kakovosti v socialnem varstvu, ki bodo temeljili na merjenju kakovosti življenja uporabnika. V času trajanja strategije si bomo na MSP prizadevali za izboljšanje razmer in uvedbo pozitivnih ukrepov za ljudi, ki živijo v institucijah, da bodo imeli dostop do neprofitnih stanovanj nacionalnega in občinskih stanovanjskih skladov. Strategija se osredotoča tudi na promocijo in ozaveščanje strokovnjakov, uporabnikov, njihovih bližnjih ter širše javnosti, medijev in drugih.</w:t>
      </w:r>
    </w:p>
    <w:p w14:paraId="59FEE871" w14:textId="77777777" w:rsidR="000E7A5A" w:rsidRPr="00F425EA" w:rsidRDefault="000E7A5A" w:rsidP="003F61F8">
      <w:pPr>
        <w:spacing w:after="0" w:line="276" w:lineRule="auto"/>
        <w:jc w:val="both"/>
        <w:rPr>
          <w:rFonts w:cs="Arial"/>
        </w:rPr>
      </w:pPr>
    </w:p>
    <w:p w14:paraId="232827BF" w14:textId="77777777" w:rsidR="000E7A5A" w:rsidRPr="00F425EA" w:rsidRDefault="00306071" w:rsidP="003F61F8">
      <w:pPr>
        <w:spacing w:after="0" w:line="276" w:lineRule="auto"/>
        <w:jc w:val="both"/>
        <w:rPr>
          <w:rFonts w:cs="Arial"/>
        </w:rPr>
      </w:pPr>
      <w:r w:rsidRPr="00F425EA">
        <w:rPr>
          <w:rFonts w:cs="Arial"/>
        </w:rPr>
        <w:t xml:space="preserve">V okviru </w:t>
      </w:r>
      <w:proofErr w:type="spellStart"/>
      <w:r w:rsidRPr="00F425EA">
        <w:rPr>
          <w:rFonts w:cs="Arial"/>
        </w:rPr>
        <w:t>StaDI</w:t>
      </w:r>
      <w:proofErr w:type="spellEnd"/>
      <w:r w:rsidRPr="00F425EA">
        <w:rPr>
          <w:rFonts w:cs="Arial"/>
        </w:rPr>
        <w:t xml:space="preserve"> 2024–2034 smo na MSP v letu 2024 že izvedli nekaj korakov, ki jih strategija predvideva v naslednjih desetih letih. Tako smo se letos posvetili predvsem načrtovanju strateških dokumentov in vzpostavljanju organizacijske strukture, potrebne za izvedbo strategije. Med pomembnejšimi koraki, ki jih je MSP v sodelovanju z Inštitutom Republike Slovenije za socialno varstvo (v nadaljevanju: IRSSV) naredil, je bila priprava projektne dokumentacije in vzpostavitev projekta </w:t>
      </w:r>
      <w:r w:rsidRPr="00F425EA">
        <w:rPr>
          <w:rFonts w:cs="Arial"/>
          <w:i/>
          <w:iCs/>
        </w:rPr>
        <w:t xml:space="preserve">Center za usmerjanje </w:t>
      </w:r>
      <w:proofErr w:type="spellStart"/>
      <w:r w:rsidRPr="00F425EA">
        <w:rPr>
          <w:rFonts w:cs="Arial"/>
          <w:i/>
          <w:iCs/>
        </w:rPr>
        <w:t>deinstitucionalizacije</w:t>
      </w:r>
      <w:proofErr w:type="spellEnd"/>
      <w:r w:rsidRPr="00F425EA">
        <w:rPr>
          <w:rFonts w:cs="Arial"/>
          <w:i/>
          <w:iCs/>
        </w:rPr>
        <w:t xml:space="preserve"> na IRSSV</w:t>
      </w:r>
      <w:r w:rsidRPr="00F425EA">
        <w:rPr>
          <w:rFonts w:cs="Arial"/>
        </w:rPr>
        <w:t xml:space="preserve"> (v nadaljevanju: CUDI).</w:t>
      </w:r>
    </w:p>
    <w:p w14:paraId="5689850E" w14:textId="77777777" w:rsidR="000E7A5A" w:rsidRPr="00F425EA" w:rsidRDefault="000E7A5A" w:rsidP="003F61F8">
      <w:pPr>
        <w:spacing w:after="0" w:line="276" w:lineRule="auto"/>
        <w:jc w:val="both"/>
        <w:rPr>
          <w:rFonts w:cs="Arial"/>
        </w:rPr>
      </w:pPr>
    </w:p>
    <w:p w14:paraId="5CFF3DE5" w14:textId="7C4B7483" w:rsidR="000E7A5A" w:rsidRDefault="00306071" w:rsidP="003F61F8">
      <w:pPr>
        <w:spacing w:after="0" w:line="276" w:lineRule="auto"/>
        <w:jc w:val="both"/>
        <w:rPr>
          <w:rFonts w:cs="Arial"/>
        </w:rPr>
      </w:pPr>
      <w:r w:rsidRPr="00F425EA">
        <w:rPr>
          <w:rFonts w:cs="Arial"/>
        </w:rPr>
        <w:t>Cilj projekta CUDI je podpreti prehod iz institucionalnega varstva v skupnostno oskrbo,</w:t>
      </w:r>
      <w:r w:rsidR="003F61F8">
        <w:rPr>
          <w:rFonts w:cs="Arial"/>
        </w:rPr>
        <w:t xml:space="preserve"> </w:t>
      </w:r>
      <w:r w:rsidRPr="00F425EA">
        <w:rPr>
          <w:rFonts w:cs="Arial"/>
        </w:rPr>
        <w:t>kar pomeni, da bodo ljudje, ki živijo v zavodih, lahko živeli bolj samostojno v skupnosti.</w:t>
      </w:r>
    </w:p>
    <w:p w14:paraId="3FB831DE" w14:textId="77777777" w:rsidR="00477072" w:rsidRPr="00F425EA" w:rsidRDefault="00477072" w:rsidP="003F61F8">
      <w:pPr>
        <w:spacing w:after="0" w:line="276" w:lineRule="auto"/>
        <w:jc w:val="both"/>
        <w:rPr>
          <w:rFonts w:cs="Arial"/>
        </w:rPr>
      </w:pPr>
    </w:p>
    <w:p w14:paraId="46F66C75" w14:textId="77777777" w:rsidR="000E7A5A" w:rsidRPr="00F425EA" w:rsidRDefault="00306071" w:rsidP="003F61F8">
      <w:pPr>
        <w:spacing w:after="0" w:line="276" w:lineRule="auto"/>
        <w:jc w:val="both"/>
        <w:rPr>
          <w:rFonts w:cs="Arial"/>
        </w:rPr>
      </w:pPr>
      <w:r w:rsidRPr="00F425EA">
        <w:rPr>
          <w:rFonts w:cs="Arial"/>
        </w:rPr>
        <w:t xml:space="preserve">Center bo zagotavljal strokovno podporo in spremljal celoten proces </w:t>
      </w:r>
      <w:proofErr w:type="spellStart"/>
      <w:r w:rsidRPr="00F425EA">
        <w:rPr>
          <w:rFonts w:cs="Arial"/>
        </w:rPr>
        <w:t>deinstitucionalizacije</w:t>
      </w:r>
      <w:proofErr w:type="spellEnd"/>
      <w:r w:rsidRPr="00F425EA">
        <w:rPr>
          <w:rFonts w:cs="Arial"/>
        </w:rPr>
        <w:t xml:space="preserve">. Povezoval bo delo različnih organizacij, kot so zavodi, nevladne organizacije, centri za socialno delo, občine in izobraževalne ustanove tako kot to predvideva </w:t>
      </w:r>
      <w:proofErr w:type="spellStart"/>
      <w:r w:rsidRPr="00F425EA">
        <w:rPr>
          <w:rFonts w:cs="Arial"/>
        </w:rPr>
        <w:t>StaDI</w:t>
      </w:r>
      <w:proofErr w:type="spellEnd"/>
      <w:r w:rsidRPr="00F425EA">
        <w:rPr>
          <w:rFonts w:cs="Arial"/>
        </w:rPr>
        <w:t xml:space="preserve"> 2024–2034.</w:t>
      </w:r>
    </w:p>
    <w:p w14:paraId="76AB9E6A" w14:textId="77777777" w:rsidR="000E7A5A" w:rsidRPr="00F425EA" w:rsidRDefault="000E7A5A" w:rsidP="003F61F8">
      <w:pPr>
        <w:spacing w:after="0" w:line="276" w:lineRule="auto"/>
        <w:jc w:val="both"/>
        <w:rPr>
          <w:rFonts w:cs="Arial"/>
        </w:rPr>
      </w:pPr>
    </w:p>
    <w:p w14:paraId="30E94783" w14:textId="77777777" w:rsidR="000E7A5A" w:rsidRPr="00F425EA" w:rsidRDefault="00306071" w:rsidP="003F61F8">
      <w:pPr>
        <w:spacing w:after="0" w:line="276" w:lineRule="auto"/>
        <w:jc w:val="both"/>
        <w:rPr>
          <w:rFonts w:cs="Arial"/>
        </w:rPr>
      </w:pPr>
      <w:r w:rsidRPr="00F425EA">
        <w:rPr>
          <w:rFonts w:cs="Arial"/>
        </w:rPr>
        <w:t xml:space="preserve">V letu 2024 smo vzpostavili redna in kontinuirana srečanja z med CUDI (IRSSV) in MSP, oblikovali delovno skupino strokovnjakov za podporo pri izvedbi reforme </w:t>
      </w:r>
      <w:proofErr w:type="spellStart"/>
      <w:r w:rsidRPr="00F425EA">
        <w:rPr>
          <w:rFonts w:cs="Arial"/>
        </w:rPr>
        <w:t>deinstitucionalizacije</w:t>
      </w:r>
      <w:proofErr w:type="spellEnd"/>
      <w:r w:rsidRPr="00F425EA">
        <w:rPr>
          <w:rFonts w:cs="Arial"/>
        </w:rPr>
        <w:t>.</w:t>
      </w:r>
    </w:p>
    <w:p w14:paraId="006941F0" w14:textId="77777777" w:rsidR="000E7A5A" w:rsidRPr="00F425EA" w:rsidRDefault="000E7A5A" w:rsidP="003F61F8">
      <w:pPr>
        <w:spacing w:after="0" w:line="276" w:lineRule="auto"/>
        <w:jc w:val="both"/>
        <w:rPr>
          <w:rFonts w:cs="Arial"/>
        </w:rPr>
      </w:pPr>
    </w:p>
    <w:p w14:paraId="61134364" w14:textId="77777777" w:rsidR="000E7A5A" w:rsidRPr="00F425EA" w:rsidRDefault="00306071" w:rsidP="003F61F8">
      <w:pPr>
        <w:spacing w:after="0" w:line="276" w:lineRule="auto"/>
        <w:jc w:val="both"/>
        <w:rPr>
          <w:rFonts w:cs="Arial"/>
        </w:rPr>
      </w:pPr>
      <w:r w:rsidRPr="00F425EA">
        <w:rPr>
          <w:rFonts w:cs="Arial"/>
        </w:rPr>
        <w:t>Letos smo prav tako pripravili prvi osnutek nacionalnega akcijskega načrta StaDI2024–2034, ki ga obravnavamo na delovni skupini za podporo pri izvedbi reforme. V teku je še priprava razpisov za vzpostavitev multidisciplinarnih timov in Centra za zagovorništvo. Tim zaposlenih na CUDI je pripravil še osnutek načrta izobraževanj za čas projekta CUDI in osnutek načrta promocije in ozaveščanja za IRSSV.</w:t>
      </w:r>
    </w:p>
    <w:p w14:paraId="3B0D3DCE" w14:textId="77777777" w:rsidR="000E7A5A" w:rsidRPr="00F425EA" w:rsidRDefault="000E7A5A" w:rsidP="003F61F8">
      <w:pPr>
        <w:spacing w:after="0" w:line="276" w:lineRule="auto"/>
        <w:jc w:val="both"/>
        <w:rPr>
          <w:rFonts w:cs="Arial"/>
        </w:rPr>
      </w:pPr>
    </w:p>
    <w:p w14:paraId="0608CDF9" w14:textId="77777777" w:rsidR="000E7A5A" w:rsidRDefault="00306071" w:rsidP="003F61F8">
      <w:pPr>
        <w:spacing w:after="0" w:line="276" w:lineRule="auto"/>
        <w:jc w:val="both"/>
        <w:rPr>
          <w:rFonts w:cs="Arial"/>
        </w:rPr>
      </w:pPr>
      <w:r w:rsidRPr="00F425EA">
        <w:rPr>
          <w:rFonts w:cs="Arial"/>
        </w:rPr>
        <w:t xml:space="preserve">Izvajanje strategije </w:t>
      </w:r>
      <w:proofErr w:type="spellStart"/>
      <w:r w:rsidRPr="00F425EA">
        <w:rPr>
          <w:rFonts w:cs="Arial"/>
        </w:rPr>
        <w:t>deinstitucionalizacije</w:t>
      </w:r>
      <w:proofErr w:type="spellEnd"/>
      <w:r w:rsidRPr="00F425EA">
        <w:rPr>
          <w:rFonts w:cs="Arial"/>
        </w:rPr>
        <w:t xml:space="preserve"> podpirajo številni projekti iz sredstev EU:</w:t>
      </w:r>
    </w:p>
    <w:p w14:paraId="6E5E728D" w14:textId="77777777" w:rsidR="00234C38" w:rsidRPr="00F425EA" w:rsidRDefault="00234C38" w:rsidP="003F61F8">
      <w:pPr>
        <w:spacing w:after="0" w:line="276" w:lineRule="auto"/>
        <w:jc w:val="both"/>
        <w:rPr>
          <w:rFonts w:cs="Arial"/>
        </w:rPr>
      </w:pPr>
    </w:p>
    <w:p w14:paraId="1AD27D89" w14:textId="77777777" w:rsidR="000E7A5A" w:rsidRPr="00F425EA" w:rsidRDefault="00306071" w:rsidP="00E247FF">
      <w:pPr>
        <w:numPr>
          <w:ilvl w:val="0"/>
          <w:numId w:val="50"/>
        </w:numPr>
        <w:spacing w:after="0" w:line="276" w:lineRule="auto"/>
        <w:ind w:left="567" w:hanging="283"/>
        <w:jc w:val="both"/>
        <w:rPr>
          <w:rFonts w:cs="Arial"/>
        </w:rPr>
      </w:pPr>
      <w:r w:rsidRPr="00F425EA">
        <w:rPr>
          <w:rFonts w:cs="Arial"/>
        </w:rPr>
        <w:t xml:space="preserve">Center za </w:t>
      </w:r>
      <w:proofErr w:type="spellStart"/>
      <w:r w:rsidRPr="00F425EA">
        <w:rPr>
          <w:rFonts w:cs="Arial"/>
        </w:rPr>
        <w:t>deinstitucionalizacijo</w:t>
      </w:r>
      <w:proofErr w:type="spellEnd"/>
      <w:r w:rsidRPr="00F425EA">
        <w:rPr>
          <w:rFonts w:cs="Arial"/>
        </w:rPr>
        <w:t>, ki ga izvaja IRSSV, je sofinanciran iz ESS+, v vrednosti približno 2,5 mio EUR.</w:t>
      </w:r>
    </w:p>
    <w:p w14:paraId="1826AD77" w14:textId="77777777" w:rsidR="000E7A5A" w:rsidRPr="00F425EA" w:rsidRDefault="00306071" w:rsidP="00E247FF">
      <w:pPr>
        <w:numPr>
          <w:ilvl w:val="0"/>
          <w:numId w:val="50"/>
        </w:numPr>
        <w:spacing w:after="0" w:line="276" w:lineRule="auto"/>
        <w:ind w:left="567" w:hanging="283"/>
        <w:jc w:val="both"/>
        <w:rPr>
          <w:rFonts w:cs="Arial"/>
        </w:rPr>
      </w:pPr>
      <w:r w:rsidRPr="00F425EA">
        <w:rPr>
          <w:rFonts w:cs="Arial"/>
        </w:rPr>
        <w:t>Center za zagovorništvo, javni razpis, ki bo predvidoma objavljen v začetku leta 2025, bo sofinanciran iz sredstev ESS+, v vrednosti približno 2 mio EUR.</w:t>
      </w:r>
    </w:p>
    <w:p w14:paraId="1ED966A7" w14:textId="77777777" w:rsidR="000E7A5A" w:rsidRPr="00F425EA" w:rsidRDefault="00306071" w:rsidP="00E247FF">
      <w:pPr>
        <w:numPr>
          <w:ilvl w:val="0"/>
          <w:numId w:val="50"/>
        </w:numPr>
        <w:spacing w:after="0" w:line="276" w:lineRule="auto"/>
        <w:ind w:left="567" w:hanging="283"/>
        <w:jc w:val="both"/>
        <w:rPr>
          <w:rFonts w:cs="Arial"/>
        </w:rPr>
      </w:pPr>
      <w:r w:rsidRPr="00F425EA">
        <w:rPr>
          <w:rFonts w:cs="Arial"/>
        </w:rPr>
        <w:t>Razvoj sistema in nadgradnja storitev v skupnosti – multidisciplinarni timi, javni razpis, ki bo predvidoma objavljen v začetku leta 2025, bo sofinanciran iz ESS+ v vrednosti približno 19 mio EUR.</w:t>
      </w:r>
    </w:p>
    <w:p w14:paraId="1543E5E5" w14:textId="77777777" w:rsidR="000E7A5A" w:rsidRPr="00F425EA" w:rsidRDefault="00306071" w:rsidP="00E247FF">
      <w:pPr>
        <w:numPr>
          <w:ilvl w:val="0"/>
          <w:numId w:val="50"/>
        </w:numPr>
        <w:spacing w:after="0" w:line="276" w:lineRule="auto"/>
        <w:ind w:left="567" w:hanging="283"/>
        <w:jc w:val="both"/>
        <w:rPr>
          <w:rFonts w:cs="Arial"/>
        </w:rPr>
      </w:pPr>
      <w:r w:rsidRPr="00F425EA">
        <w:rPr>
          <w:rFonts w:cs="Arial"/>
        </w:rPr>
        <w:lastRenderedPageBreak/>
        <w:t xml:space="preserve">Vzpostavitev stanovanjskih skupin za izvedbo </w:t>
      </w:r>
      <w:proofErr w:type="spellStart"/>
      <w:r w:rsidRPr="00F425EA">
        <w:rPr>
          <w:rFonts w:cs="Arial"/>
        </w:rPr>
        <w:t>deinstitucionalizacije</w:t>
      </w:r>
      <w:proofErr w:type="spellEnd"/>
      <w:r w:rsidRPr="00F425EA">
        <w:rPr>
          <w:rFonts w:cs="Arial"/>
        </w:rPr>
        <w:t>, javni razpis, ki bo objavljen v začetku leta 2025, sofinanciran iz ESS+ v vrednosti 5,5 mio EUR.</w:t>
      </w:r>
    </w:p>
    <w:p w14:paraId="68D731C5" w14:textId="77777777" w:rsidR="000E7A5A" w:rsidRPr="00F425EA" w:rsidRDefault="000E7A5A" w:rsidP="006620B6">
      <w:pPr>
        <w:spacing w:after="0" w:line="276" w:lineRule="auto"/>
        <w:jc w:val="both"/>
        <w:rPr>
          <w:rFonts w:cs="Arial"/>
        </w:rPr>
      </w:pPr>
    </w:p>
    <w:p w14:paraId="2876A12E" w14:textId="045EC392" w:rsidR="000E7A5A" w:rsidRDefault="00306071" w:rsidP="006620B6">
      <w:pPr>
        <w:spacing w:after="0" w:line="276" w:lineRule="auto"/>
        <w:jc w:val="both"/>
        <w:rPr>
          <w:rFonts w:cs="Arial"/>
        </w:rPr>
      </w:pPr>
      <w:proofErr w:type="spellStart"/>
      <w:r w:rsidRPr="00F425EA">
        <w:rPr>
          <w:rFonts w:cs="Arial"/>
        </w:rPr>
        <w:t>Deinstitucionalizacijo</w:t>
      </w:r>
      <w:proofErr w:type="spellEnd"/>
      <w:r w:rsidRPr="00F425EA">
        <w:rPr>
          <w:rFonts w:cs="Arial"/>
        </w:rPr>
        <w:t xml:space="preserve"> podpira tudi projekt </w:t>
      </w:r>
      <w:r w:rsidRPr="00F425EA">
        <w:rPr>
          <w:rFonts w:cs="Arial"/>
          <w:i/>
          <w:iCs/>
        </w:rPr>
        <w:t>Gradnja bivalnih enot za bivanje v skupnosti,</w:t>
      </w:r>
      <w:r w:rsidRPr="00F425EA">
        <w:rPr>
          <w:rFonts w:cs="Arial"/>
        </w:rPr>
        <w:t xml:space="preserve"> sofinanciran s posojilom v višini 60 mio EUR iz Načrta za okrevanje in odpornost.</w:t>
      </w:r>
      <w:bookmarkStart w:id="3343" w:name="_Toc530265593"/>
      <w:bookmarkStart w:id="3344" w:name="_Toc1368253198"/>
      <w:bookmarkStart w:id="3345" w:name="_Toc234293003"/>
      <w:bookmarkStart w:id="3346" w:name="_Toc192236872"/>
      <w:bookmarkStart w:id="3347" w:name="_Toc123652751"/>
      <w:bookmarkStart w:id="3348" w:name="_Toc128631054"/>
      <w:bookmarkStart w:id="3349" w:name="_Toc774747559"/>
      <w:bookmarkStart w:id="3350" w:name="_Toc1716686307"/>
      <w:bookmarkStart w:id="3351" w:name="_Toc1712555556"/>
      <w:bookmarkStart w:id="3352" w:name="_Toc147140910"/>
      <w:bookmarkStart w:id="3353" w:name="_Toc1993306137"/>
      <w:bookmarkStart w:id="3354" w:name="_Toc876544480"/>
      <w:bookmarkStart w:id="3355" w:name="_Toc1011379662"/>
      <w:bookmarkStart w:id="3356" w:name="_Toc915775833"/>
      <w:bookmarkStart w:id="3357" w:name="_Toc1255112985"/>
      <w:bookmarkStart w:id="3358" w:name="_Toc1758324786"/>
      <w:bookmarkStart w:id="3359" w:name="_Toc1247402627"/>
      <w:bookmarkStart w:id="3360" w:name="_Toc2078631557"/>
      <w:bookmarkStart w:id="3361" w:name="_Toc196182360"/>
      <w:bookmarkStart w:id="3362" w:name="_Toc1971656905"/>
      <w:bookmarkStart w:id="3363" w:name="_Toc1635410272"/>
      <w:bookmarkStart w:id="3364" w:name="_Toc868778632"/>
      <w:bookmarkStart w:id="3365" w:name="_Toc6452617"/>
      <w:bookmarkStart w:id="3366" w:name="_Toc914533526"/>
      <w:bookmarkStart w:id="3367" w:name="_Toc1871245740"/>
      <w:bookmarkStart w:id="3368" w:name="_Toc1556087305"/>
      <w:bookmarkStart w:id="3369" w:name="_Toc1714264766"/>
      <w:bookmarkStart w:id="3370" w:name="_Toc998519965"/>
      <w:bookmarkStart w:id="3371" w:name="_Toc1151245675"/>
      <w:bookmarkStart w:id="3372" w:name="_Toc1609282619"/>
      <w:bookmarkStart w:id="3373" w:name="_Toc764583168"/>
      <w:bookmarkStart w:id="3374" w:name="_Toc1320732277"/>
      <w:bookmarkStart w:id="3375" w:name="_Toc864832786"/>
      <w:bookmarkStart w:id="3376" w:name="_Toc289874224"/>
      <w:bookmarkStart w:id="3377" w:name="_Toc867466843"/>
      <w:bookmarkStart w:id="3378" w:name="_Toc1398085069"/>
      <w:bookmarkStart w:id="3379" w:name="_Toc1390403121"/>
      <w:bookmarkStart w:id="3380" w:name="_Toc815782966"/>
      <w:bookmarkStart w:id="3381" w:name="_Toc922097406"/>
      <w:bookmarkStart w:id="3382" w:name="_Toc1034276456"/>
      <w:bookmarkStart w:id="3383" w:name="_Toc2143520882"/>
      <w:bookmarkStart w:id="3384" w:name="_Toc396697037"/>
      <w:bookmarkStart w:id="3385" w:name="_Toc485510991"/>
      <w:bookmarkStart w:id="3386" w:name="_Toc1783472931"/>
      <w:bookmarkStart w:id="3387" w:name="_Toc2017950061"/>
      <w:bookmarkStart w:id="3388" w:name="_Toc1532596347"/>
      <w:bookmarkStart w:id="3389" w:name="_Toc1533229386"/>
      <w:bookmarkStart w:id="3390" w:name="_Toc552348388"/>
      <w:bookmarkStart w:id="3391" w:name="_Toc1990396772"/>
      <w:bookmarkStart w:id="3392" w:name="_Toc588546375"/>
      <w:bookmarkStart w:id="3393" w:name="_Toc1049280695"/>
      <w:bookmarkStart w:id="3394" w:name="_Toc1003700480"/>
      <w:bookmarkStart w:id="3395" w:name="_Toc561016370"/>
      <w:bookmarkStart w:id="3396" w:name="_Toc356616194"/>
      <w:bookmarkStart w:id="3397" w:name="_Toc641721114"/>
      <w:bookmarkStart w:id="3398" w:name="_Toc2109145607"/>
      <w:bookmarkStart w:id="3399" w:name="_Toc451303824"/>
      <w:bookmarkStart w:id="3400" w:name="_Toc632635829"/>
      <w:bookmarkStart w:id="3401" w:name="_Toc825658562"/>
      <w:bookmarkStart w:id="3402" w:name="_Toc999682976"/>
      <w:bookmarkStart w:id="3403" w:name="_Toc987502371"/>
      <w:bookmarkStart w:id="3404" w:name="_Toc2105641999"/>
      <w:bookmarkStart w:id="3405" w:name="_Toc1151095159"/>
      <w:bookmarkStart w:id="3406" w:name="_Toc529070150"/>
      <w:bookmarkStart w:id="3407" w:name="_Toc542009432"/>
      <w:bookmarkStart w:id="3408" w:name="_Toc2129857910"/>
      <w:bookmarkStart w:id="3409" w:name="_Toc563519887"/>
      <w:bookmarkStart w:id="3410" w:name="_Toc1774159681"/>
      <w:bookmarkStart w:id="3411" w:name="_Toc502446260"/>
      <w:bookmarkStart w:id="3412" w:name="_Toc932655829"/>
      <w:bookmarkStart w:id="3413" w:name="_Toc935963937"/>
      <w:bookmarkStart w:id="3414" w:name="_Toc1280573250"/>
      <w:bookmarkStart w:id="3415" w:name="_Toc637579597"/>
      <w:bookmarkStart w:id="3416" w:name="_Toc420279516"/>
      <w:bookmarkStart w:id="3417" w:name="_Toc1396206006"/>
      <w:bookmarkStart w:id="3418" w:name="_Toc1711842809"/>
      <w:bookmarkStart w:id="3419" w:name="_Toc1867167241"/>
      <w:bookmarkStart w:id="3420" w:name="_Toc1677272081"/>
      <w:bookmarkStart w:id="3421" w:name="_Toc857333576"/>
      <w:bookmarkStart w:id="3422" w:name="_Toc1687324024"/>
      <w:bookmarkStart w:id="3423" w:name="_Toc154100440"/>
      <w:bookmarkStart w:id="3424" w:name="_Toc1190131365"/>
      <w:bookmarkStart w:id="3425" w:name="_Toc751116170"/>
      <w:bookmarkStart w:id="3426" w:name="_Toc747130730"/>
    </w:p>
    <w:p w14:paraId="33DFFCE9" w14:textId="77777777" w:rsidR="00175399" w:rsidRDefault="00175399" w:rsidP="006620B6">
      <w:pPr>
        <w:spacing w:after="0" w:line="276" w:lineRule="auto"/>
        <w:jc w:val="both"/>
        <w:rPr>
          <w:rFonts w:cs="Arial"/>
        </w:rPr>
      </w:pPr>
    </w:p>
    <w:p w14:paraId="782A7268" w14:textId="32F656C7" w:rsidR="00175399" w:rsidRDefault="00175399">
      <w:pPr>
        <w:suppressAutoHyphens w:val="0"/>
        <w:spacing w:after="0" w:line="240" w:lineRule="auto"/>
        <w:rPr>
          <w:rFonts w:cs="Arial"/>
        </w:rPr>
      </w:pPr>
      <w:r>
        <w:rPr>
          <w:rFonts w:cs="Arial"/>
        </w:rPr>
        <w:br w:type="page"/>
      </w:r>
    </w:p>
    <w:p w14:paraId="6A122DE9" w14:textId="7F9FDD9C" w:rsidR="000E7A5A" w:rsidRPr="00F425EA" w:rsidRDefault="00306071" w:rsidP="006620B6">
      <w:pPr>
        <w:pStyle w:val="Naslov10"/>
        <w:spacing w:before="0" w:after="0"/>
      </w:pPr>
      <w:bookmarkStart w:id="3427" w:name="_Toc187739362"/>
      <w:bookmarkStart w:id="3428" w:name="_Toc187740109"/>
      <w:bookmarkStart w:id="3429" w:name="_Toc192682019"/>
      <w:r w:rsidRPr="00F425EA">
        <w:rPr>
          <w:rStyle w:val="Neenpoudarek"/>
          <w:rFonts w:cs="Arial"/>
          <w:i w:val="0"/>
          <w:iCs w:val="0"/>
          <w:color w:val="2E74B5"/>
        </w:rPr>
        <w:lastRenderedPageBreak/>
        <w:t>4.</w:t>
      </w:r>
      <w:r w:rsidRPr="00F425EA">
        <w:tab/>
      </w:r>
      <w:r w:rsidR="005A12CC" w:rsidRPr="00F425EA">
        <w:rPr>
          <w:caps w:val="0"/>
        </w:rPr>
        <w:t>NAPREDEK PRI IZVAJANJU NEPN, VKLJUČNO Z OCENO IZPOLNJEVANJA CILJEV ENERGETSKE UNIJE IN IZVAJANJA POLITIK TER UKREPOV NEPN</w:t>
      </w:r>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p>
    <w:p w14:paraId="5678396E" w14:textId="77777777" w:rsidR="000E7A5A" w:rsidRPr="00F425EA" w:rsidRDefault="000E7A5A" w:rsidP="003F61F8">
      <w:pPr>
        <w:spacing w:after="0" w:line="276" w:lineRule="auto"/>
        <w:jc w:val="both"/>
        <w:rPr>
          <w:rFonts w:cs="Arial"/>
        </w:rPr>
      </w:pPr>
    </w:p>
    <w:p w14:paraId="5D401F7B" w14:textId="77777777" w:rsidR="000E7A5A" w:rsidRDefault="00306071" w:rsidP="00234C38">
      <w:pPr>
        <w:spacing w:after="0" w:line="276" w:lineRule="auto"/>
        <w:jc w:val="both"/>
        <w:rPr>
          <w:rFonts w:cs="Arial"/>
        </w:rPr>
      </w:pPr>
      <w:r w:rsidRPr="00F425EA">
        <w:rPr>
          <w:rFonts w:cs="Arial"/>
        </w:rPr>
        <w:t>Celoviti nacionalni energetski in podnebni načrt (NEPN) za obdobje do leta 2030 (s pogledom do 2040) določa cilje, politike in ukrepe na petih razsežnostih energetske unije:</w:t>
      </w:r>
    </w:p>
    <w:p w14:paraId="0F334D2A" w14:textId="77777777" w:rsidR="00234C38" w:rsidRPr="00F425EA" w:rsidRDefault="00234C38" w:rsidP="00234C38">
      <w:pPr>
        <w:spacing w:after="0" w:line="276" w:lineRule="auto"/>
        <w:jc w:val="both"/>
        <w:rPr>
          <w:rFonts w:cs="Arial"/>
        </w:rPr>
      </w:pPr>
    </w:p>
    <w:p w14:paraId="00048874" w14:textId="77777777" w:rsidR="000E7A5A" w:rsidRPr="00F425EA" w:rsidRDefault="00306071" w:rsidP="00234C38">
      <w:pPr>
        <w:numPr>
          <w:ilvl w:val="0"/>
          <w:numId w:val="51"/>
        </w:numPr>
        <w:spacing w:after="0" w:line="276" w:lineRule="auto"/>
        <w:ind w:left="426" w:hanging="284"/>
        <w:jc w:val="both"/>
        <w:rPr>
          <w:rFonts w:cs="Arial"/>
        </w:rPr>
      </w:pPr>
      <w:r w:rsidRPr="00F425EA">
        <w:rPr>
          <w:rFonts w:cs="Arial"/>
        </w:rPr>
        <w:t>razogljičenje (emisije TGP in OVE),</w:t>
      </w:r>
    </w:p>
    <w:p w14:paraId="48F38AA7" w14:textId="77777777" w:rsidR="000E7A5A" w:rsidRPr="00F425EA" w:rsidRDefault="00306071" w:rsidP="00234C38">
      <w:pPr>
        <w:numPr>
          <w:ilvl w:val="0"/>
          <w:numId w:val="51"/>
        </w:numPr>
        <w:spacing w:after="0" w:line="276" w:lineRule="auto"/>
        <w:ind w:left="426" w:hanging="284"/>
        <w:jc w:val="both"/>
        <w:rPr>
          <w:rFonts w:cs="Arial"/>
        </w:rPr>
      </w:pPr>
      <w:r w:rsidRPr="00F425EA">
        <w:rPr>
          <w:rFonts w:cs="Arial"/>
        </w:rPr>
        <w:t>energetska učinkovitost,</w:t>
      </w:r>
    </w:p>
    <w:p w14:paraId="421B1192" w14:textId="77777777" w:rsidR="000E7A5A" w:rsidRPr="00F425EA" w:rsidRDefault="00306071" w:rsidP="00234C38">
      <w:pPr>
        <w:numPr>
          <w:ilvl w:val="0"/>
          <w:numId w:val="51"/>
        </w:numPr>
        <w:spacing w:after="0" w:line="276" w:lineRule="auto"/>
        <w:ind w:left="426" w:hanging="284"/>
        <w:jc w:val="both"/>
        <w:rPr>
          <w:rFonts w:cs="Arial"/>
        </w:rPr>
      </w:pPr>
      <w:r w:rsidRPr="00F425EA">
        <w:rPr>
          <w:rFonts w:cs="Arial"/>
        </w:rPr>
        <w:t>energetska varnost,</w:t>
      </w:r>
    </w:p>
    <w:p w14:paraId="237DDAC5" w14:textId="77777777" w:rsidR="000E7A5A" w:rsidRPr="00F425EA" w:rsidRDefault="00306071" w:rsidP="00234C38">
      <w:pPr>
        <w:numPr>
          <w:ilvl w:val="0"/>
          <w:numId w:val="51"/>
        </w:numPr>
        <w:spacing w:after="0" w:line="276" w:lineRule="auto"/>
        <w:ind w:left="426" w:hanging="284"/>
        <w:jc w:val="both"/>
        <w:rPr>
          <w:rFonts w:cs="Arial"/>
        </w:rPr>
      </w:pPr>
      <w:r w:rsidRPr="00F425EA">
        <w:rPr>
          <w:rFonts w:cs="Arial"/>
        </w:rPr>
        <w:t>notranji trg ter</w:t>
      </w:r>
    </w:p>
    <w:p w14:paraId="2E3E6B0B" w14:textId="77777777" w:rsidR="000E7A5A" w:rsidRDefault="00306071" w:rsidP="00234C38">
      <w:pPr>
        <w:numPr>
          <w:ilvl w:val="0"/>
          <w:numId w:val="51"/>
        </w:numPr>
        <w:spacing w:after="0" w:line="276" w:lineRule="auto"/>
        <w:ind w:left="426" w:hanging="284"/>
        <w:jc w:val="both"/>
        <w:rPr>
          <w:rFonts w:cs="Arial"/>
        </w:rPr>
      </w:pPr>
      <w:r w:rsidRPr="00F425EA">
        <w:rPr>
          <w:rFonts w:cs="Arial"/>
        </w:rPr>
        <w:t>raziskave, inovacije in konkurenčnost.</w:t>
      </w:r>
    </w:p>
    <w:p w14:paraId="2F6C3936" w14:textId="77777777" w:rsidR="006620B6" w:rsidRPr="00F425EA" w:rsidRDefault="006620B6" w:rsidP="00234C38">
      <w:pPr>
        <w:spacing w:after="0" w:line="276" w:lineRule="auto"/>
        <w:jc w:val="both"/>
        <w:rPr>
          <w:rFonts w:cs="Arial"/>
        </w:rPr>
      </w:pPr>
    </w:p>
    <w:p w14:paraId="2B9D56AB" w14:textId="77777777" w:rsidR="000E7A5A" w:rsidRDefault="00306071" w:rsidP="006620B6">
      <w:pPr>
        <w:spacing w:after="0" w:line="276" w:lineRule="auto"/>
        <w:jc w:val="both"/>
        <w:rPr>
          <w:rFonts w:cs="Arial"/>
        </w:rPr>
      </w:pPr>
      <w:r w:rsidRPr="00F425EA">
        <w:rPr>
          <w:rFonts w:cs="Arial"/>
        </w:rPr>
        <w:t>Zadnja posodobitev NEPN je potekala v letih 2023 in 2024. Posodobljen NEPN 2024 je bil sprejet 18. 12. 2024 na Vladi RS.</w:t>
      </w:r>
    </w:p>
    <w:p w14:paraId="7AD02D4B" w14:textId="77777777" w:rsidR="007664ED" w:rsidRDefault="007664ED" w:rsidP="006620B6">
      <w:pPr>
        <w:spacing w:after="0" w:line="276" w:lineRule="auto"/>
        <w:jc w:val="both"/>
        <w:rPr>
          <w:rFonts w:cs="Arial"/>
        </w:rPr>
      </w:pPr>
    </w:p>
    <w:p w14:paraId="75AF6023" w14:textId="1EBF5B3A" w:rsidR="007664ED" w:rsidRDefault="00306071" w:rsidP="00E247FF">
      <w:pPr>
        <w:spacing w:after="0" w:line="276" w:lineRule="auto"/>
        <w:jc w:val="both"/>
        <w:rPr>
          <w:rFonts w:cs="Arial"/>
        </w:rPr>
        <w:sectPr w:rsidR="007664ED" w:rsidSect="002E0407">
          <w:type w:val="continuous"/>
          <w:pgSz w:w="11906" w:h="16838"/>
          <w:pgMar w:top="1418" w:right="1418" w:bottom="1418" w:left="1418" w:header="708" w:footer="708" w:gutter="0"/>
          <w:cols w:space="708"/>
          <w:docGrid w:linePitch="272"/>
        </w:sectPr>
      </w:pPr>
      <w:r w:rsidRPr="00F425EA">
        <w:rPr>
          <w:rFonts w:cs="Arial"/>
        </w:rPr>
        <w:t>Spodaj podajamo tabelarni pregled doseganja glavnih ciljev na vseh petih razsežnostih NEPN v letu 202</w:t>
      </w:r>
      <w:r w:rsidR="00DC725C">
        <w:rPr>
          <w:rFonts w:cs="Arial"/>
        </w:rPr>
        <w:t>1.</w:t>
      </w:r>
    </w:p>
    <w:p w14:paraId="163117B7" w14:textId="77777777" w:rsidR="00A135C5" w:rsidRDefault="00A135C5" w:rsidP="00A135C5">
      <w:pPr>
        <w:pStyle w:val="Napis"/>
        <w:keepNext/>
        <w:spacing w:after="0"/>
        <w:jc w:val="both"/>
        <w:rPr>
          <w:rFonts w:cs="Arial"/>
          <w:b w:val="0"/>
          <w:bCs w:val="0"/>
          <w:sz w:val="18"/>
          <w:szCs w:val="18"/>
        </w:rPr>
      </w:pPr>
    </w:p>
    <w:p w14:paraId="29927777" w14:textId="44DE4F21" w:rsidR="007664ED" w:rsidRDefault="007664ED" w:rsidP="00A135C5">
      <w:pPr>
        <w:pStyle w:val="Napis"/>
        <w:keepNext/>
        <w:spacing w:after="0"/>
        <w:jc w:val="both"/>
        <w:rPr>
          <w:rFonts w:cs="Arial"/>
          <w:b w:val="0"/>
          <w:bCs w:val="0"/>
          <w:sz w:val="18"/>
          <w:szCs w:val="18"/>
        </w:rPr>
      </w:pPr>
      <w:bookmarkStart w:id="3430" w:name="_Toc191379196"/>
      <w:r w:rsidRPr="007664ED">
        <w:rPr>
          <w:rFonts w:cs="Arial"/>
          <w:b w:val="0"/>
          <w:bCs w:val="0"/>
          <w:sz w:val="18"/>
          <w:szCs w:val="18"/>
        </w:rPr>
        <w:t xml:space="preserve">Tabela </w:t>
      </w:r>
      <w:r w:rsidRPr="007664ED">
        <w:rPr>
          <w:rFonts w:cs="Arial"/>
          <w:b w:val="0"/>
          <w:bCs w:val="0"/>
          <w:sz w:val="18"/>
          <w:szCs w:val="18"/>
        </w:rPr>
        <w:fldChar w:fldCharType="begin"/>
      </w:r>
      <w:r w:rsidRPr="007664ED">
        <w:rPr>
          <w:rFonts w:cs="Arial"/>
          <w:b w:val="0"/>
          <w:bCs w:val="0"/>
          <w:sz w:val="18"/>
          <w:szCs w:val="18"/>
        </w:rPr>
        <w:instrText xml:space="preserve"> SEQ Tabela \* ARABIC </w:instrText>
      </w:r>
      <w:r w:rsidRPr="007664ED">
        <w:rPr>
          <w:rFonts w:cs="Arial"/>
          <w:b w:val="0"/>
          <w:bCs w:val="0"/>
          <w:sz w:val="18"/>
          <w:szCs w:val="18"/>
        </w:rPr>
        <w:fldChar w:fldCharType="separate"/>
      </w:r>
      <w:r w:rsidR="00064E01">
        <w:rPr>
          <w:rFonts w:cs="Arial"/>
          <w:b w:val="0"/>
          <w:bCs w:val="0"/>
          <w:noProof/>
          <w:sz w:val="18"/>
          <w:szCs w:val="18"/>
        </w:rPr>
        <w:t>7</w:t>
      </w:r>
      <w:r w:rsidRPr="007664ED">
        <w:rPr>
          <w:rFonts w:cs="Arial"/>
          <w:b w:val="0"/>
          <w:bCs w:val="0"/>
          <w:sz w:val="18"/>
          <w:szCs w:val="18"/>
        </w:rPr>
        <w:fldChar w:fldCharType="end"/>
      </w:r>
      <w:r w:rsidRPr="007664ED">
        <w:rPr>
          <w:rFonts w:cs="Arial"/>
          <w:b w:val="0"/>
          <w:bCs w:val="0"/>
          <w:sz w:val="18"/>
          <w:szCs w:val="18"/>
        </w:rPr>
        <w:t xml:space="preserve">: </w:t>
      </w:r>
      <w:r w:rsidR="008C4B1D">
        <w:rPr>
          <w:rFonts w:cs="Arial"/>
          <w:b w:val="0"/>
          <w:bCs w:val="0"/>
          <w:sz w:val="18"/>
          <w:szCs w:val="18"/>
        </w:rPr>
        <w:t>P</w:t>
      </w:r>
      <w:r w:rsidRPr="007664ED">
        <w:rPr>
          <w:rFonts w:cs="Arial"/>
          <w:b w:val="0"/>
          <w:bCs w:val="0"/>
          <w:sz w:val="18"/>
          <w:szCs w:val="18"/>
        </w:rPr>
        <w:t>regled doseganja glavnih ciljev na vseh petih razsežnostih NEPN v letu 2021</w:t>
      </w:r>
      <w:bookmarkEnd w:id="3430"/>
    </w:p>
    <w:p w14:paraId="1F0F6012" w14:textId="77777777" w:rsidR="00477072" w:rsidRPr="00477072" w:rsidRDefault="00477072" w:rsidP="00477072">
      <w:pPr>
        <w:spacing w:after="0"/>
      </w:pPr>
    </w:p>
    <w:tbl>
      <w:tblPr>
        <w:tblpPr w:leftFromText="141" w:rightFromText="141" w:vertAnchor="page" w:horzAnchor="margin" w:tblpY="1712"/>
        <w:tblW w:w="9669" w:type="dxa"/>
        <w:tblCellMar>
          <w:left w:w="10" w:type="dxa"/>
          <w:right w:w="10" w:type="dxa"/>
        </w:tblCellMar>
        <w:tblLook w:val="04A0" w:firstRow="1" w:lastRow="0" w:firstColumn="1" w:lastColumn="0" w:noHBand="0" w:noVBand="1"/>
      </w:tblPr>
      <w:tblGrid>
        <w:gridCol w:w="1271"/>
        <w:gridCol w:w="3358"/>
        <w:gridCol w:w="1236"/>
        <w:gridCol w:w="1320"/>
        <w:gridCol w:w="1238"/>
        <w:gridCol w:w="1246"/>
      </w:tblGrid>
      <w:tr w:rsidR="000E7A5A" w:rsidRPr="007664ED" w14:paraId="0CA25217" w14:textId="77777777" w:rsidTr="007664ED">
        <w:tc>
          <w:tcPr>
            <w:tcW w:w="1271" w:type="dxa"/>
            <w:tcBorders>
              <w:top w:val="single" w:sz="4" w:space="0" w:color="548DD4"/>
              <w:bottom w:val="single" w:sz="4" w:space="0" w:color="D9D9D9"/>
            </w:tcBorders>
            <w:shd w:val="clear" w:color="auto" w:fill="548DD4"/>
            <w:tcMar>
              <w:top w:w="0" w:type="dxa"/>
              <w:left w:w="108" w:type="dxa"/>
              <w:bottom w:w="0" w:type="dxa"/>
              <w:right w:w="108" w:type="dxa"/>
            </w:tcMar>
            <w:vAlign w:val="center"/>
          </w:tcPr>
          <w:p w14:paraId="6D3B1FAD" w14:textId="77777777" w:rsidR="000E7A5A" w:rsidRPr="007664ED" w:rsidRDefault="00306071" w:rsidP="00A135C5">
            <w:pPr>
              <w:spacing w:after="0" w:line="276" w:lineRule="auto"/>
              <w:jc w:val="center"/>
              <w:rPr>
                <w:rFonts w:cs="Arial"/>
                <w:b/>
                <w:bCs/>
                <w:color w:val="FFFFFF"/>
                <w:sz w:val="18"/>
                <w:szCs w:val="18"/>
              </w:rPr>
            </w:pPr>
            <w:bookmarkStart w:id="3431" w:name="_Hlk130990374"/>
            <w:r w:rsidRPr="007664ED">
              <w:rPr>
                <w:rFonts w:cs="Arial"/>
                <w:b/>
                <w:bCs/>
                <w:color w:val="FFFFFF"/>
                <w:sz w:val="18"/>
                <w:szCs w:val="18"/>
              </w:rPr>
              <w:t>Doseganje cilja 2021</w:t>
            </w:r>
          </w:p>
        </w:tc>
        <w:tc>
          <w:tcPr>
            <w:tcW w:w="3358" w:type="dxa"/>
            <w:tcBorders>
              <w:top w:val="single" w:sz="4" w:space="0" w:color="548DD4"/>
              <w:bottom w:val="single" w:sz="4" w:space="0" w:color="D9D9D9"/>
            </w:tcBorders>
            <w:shd w:val="clear" w:color="auto" w:fill="548DD4"/>
            <w:tcMar>
              <w:top w:w="0" w:type="dxa"/>
              <w:left w:w="108" w:type="dxa"/>
              <w:bottom w:w="0" w:type="dxa"/>
              <w:right w:w="108" w:type="dxa"/>
            </w:tcMar>
            <w:vAlign w:val="center"/>
          </w:tcPr>
          <w:p w14:paraId="103B2231" w14:textId="77777777" w:rsidR="000E7A5A" w:rsidRPr="007664ED" w:rsidRDefault="00306071" w:rsidP="00A135C5">
            <w:pPr>
              <w:spacing w:after="0" w:line="276" w:lineRule="auto"/>
              <w:jc w:val="center"/>
              <w:rPr>
                <w:rFonts w:cs="Arial"/>
                <w:b/>
                <w:bCs/>
                <w:color w:val="FFFFFF"/>
                <w:sz w:val="18"/>
                <w:szCs w:val="18"/>
              </w:rPr>
            </w:pPr>
            <w:r w:rsidRPr="007664ED">
              <w:rPr>
                <w:rFonts w:cs="Arial"/>
                <w:b/>
                <w:bCs/>
                <w:color w:val="FFFFFF"/>
                <w:sz w:val="18"/>
                <w:szCs w:val="18"/>
              </w:rPr>
              <w:t>Cilj</w:t>
            </w:r>
          </w:p>
        </w:tc>
        <w:tc>
          <w:tcPr>
            <w:tcW w:w="1236" w:type="dxa"/>
            <w:tcBorders>
              <w:top w:val="single" w:sz="4" w:space="0" w:color="548DD4"/>
              <w:bottom w:val="single" w:sz="4" w:space="0" w:color="D9D9D9"/>
            </w:tcBorders>
            <w:shd w:val="clear" w:color="auto" w:fill="548DD4"/>
            <w:tcMar>
              <w:top w:w="0" w:type="dxa"/>
              <w:left w:w="108" w:type="dxa"/>
              <w:bottom w:w="0" w:type="dxa"/>
              <w:right w:w="108" w:type="dxa"/>
            </w:tcMar>
            <w:vAlign w:val="center"/>
          </w:tcPr>
          <w:p w14:paraId="479B6C78" w14:textId="77777777" w:rsidR="000E7A5A" w:rsidRPr="007664ED" w:rsidRDefault="00306071" w:rsidP="00A135C5">
            <w:pPr>
              <w:spacing w:after="0" w:line="276" w:lineRule="auto"/>
              <w:jc w:val="center"/>
              <w:rPr>
                <w:rFonts w:cs="Arial"/>
                <w:b/>
                <w:bCs/>
                <w:color w:val="FFFFFF"/>
                <w:sz w:val="18"/>
                <w:szCs w:val="18"/>
              </w:rPr>
            </w:pPr>
            <w:r w:rsidRPr="007664ED">
              <w:rPr>
                <w:rFonts w:cs="Arial"/>
                <w:b/>
                <w:bCs/>
                <w:color w:val="FFFFFF"/>
                <w:sz w:val="18"/>
                <w:szCs w:val="18"/>
              </w:rPr>
              <w:t>Enota</w:t>
            </w:r>
          </w:p>
        </w:tc>
        <w:tc>
          <w:tcPr>
            <w:tcW w:w="1320" w:type="dxa"/>
            <w:tcBorders>
              <w:top w:val="single" w:sz="4" w:space="0" w:color="548DD4"/>
              <w:bottom w:val="single" w:sz="4" w:space="0" w:color="D9D9D9"/>
            </w:tcBorders>
            <w:shd w:val="clear" w:color="auto" w:fill="548DD4"/>
            <w:tcMar>
              <w:top w:w="0" w:type="dxa"/>
              <w:left w:w="108" w:type="dxa"/>
              <w:bottom w:w="0" w:type="dxa"/>
              <w:right w:w="108" w:type="dxa"/>
            </w:tcMar>
            <w:vAlign w:val="center"/>
          </w:tcPr>
          <w:p w14:paraId="309D1A0D" w14:textId="77777777" w:rsidR="000E7A5A" w:rsidRPr="007664ED" w:rsidRDefault="00306071" w:rsidP="00A135C5">
            <w:pPr>
              <w:spacing w:after="0" w:line="276" w:lineRule="auto"/>
              <w:jc w:val="center"/>
              <w:rPr>
                <w:rFonts w:cs="Arial"/>
                <w:b/>
                <w:bCs/>
                <w:color w:val="FFFFFF"/>
                <w:sz w:val="18"/>
                <w:szCs w:val="18"/>
              </w:rPr>
            </w:pPr>
            <w:r w:rsidRPr="007664ED">
              <w:rPr>
                <w:rFonts w:cs="Arial"/>
                <w:b/>
                <w:bCs/>
                <w:color w:val="FFFFFF"/>
                <w:sz w:val="18"/>
                <w:szCs w:val="18"/>
              </w:rPr>
              <w:t>Stanje leta 2021</w:t>
            </w:r>
          </w:p>
        </w:tc>
        <w:tc>
          <w:tcPr>
            <w:tcW w:w="1238" w:type="dxa"/>
            <w:tcBorders>
              <w:top w:val="single" w:sz="4" w:space="0" w:color="548DD4"/>
              <w:bottom w:val="single" w:sz="4" w:space="0" w:color="D9D9D9"/>
            </w:tcBorders>
            <w:shd w:val="clear" w:color="auto" w:fill="548DD4"/>
            <w:tcMar>
              <w:top w:w="0" w:type="dxa"/>
              <w:left w:w="108" w:type="dxa"/>
              <w:bottom w:w="0" w:type="dxa"/>
              <w:right w:w="108" w:type="dxa"/>
            </w:tcMar>
            <w:vAlign w:val="center"/>
          </w:tcPr>
          <w:p w14:paraId="15FD3220" w14:textId="77777777" w:rsidR="000E7A5A" w:rsidRPr="007664ED" w:rsidRDefault="00306071" w:rsidP="00A135C5">
            <w:pPr>
              <w:spacing w:after="0" w:line="276" w:lineRule="auto"/>
              <w:jc w:val="center"/>
              <w:rPr>
                <w:rFonts w:cs="Arial"/>
                <w:sz w:val="18"/>
                <w:szCs w:val="18"/>
              </w:rPr>
            </w:pPr>
            <w:r w:rsidRPr="007664ED">
              <w:rPr>
                <w:rFonts w:cs="Arial"/>
                <w:b/>
                <w:bCs/>
                <w:color w:val="FFFFFF"/>
                <w:sz w:val="18"/>
                <w:szCs w:val="18"/>
              </w:rPr>
              <w:t xml:space="preserve">Cilj za leto </w:t>
            </w:r>
            <w:bookmarkStart w:id="3432" w:name="_Ref104457301"/>
            <w:r w:rsidRPr="007664ED">
              <w:rPr>
                <w:rFonts w:cs="Arial"/>
                <w:b/>
                <w:bCs/>
                <w:color w:val="FFFFFF"/>
                <w:sz w:val="18"/>
                <w:szCs w:val="18"/>
              </w:rPr>
              <w:t>2021</w:t>
            </w:r>
            <w:r w:rsidRPr="007664ED">
              <w:rPr>
                <w:rFonts w:cs="Arial"/>
                <w:b/>
                <w:bCs/>
                <w:color w:val="FFFFFF"/>
                <w:sz w:val="18"/>
                <w:szCs w:val="18"/>
                <w:vertAlign w:val="superscript"/>
              </w:rPr>
              <w:footnoteReference w:id="18"/>
            </w:r>
            <w:bookmarkEnd w:id="3432"/>
          </w:p>
        </w:tc>
        <w:tc>
          <w:tcPr>
            <w:tcW w:w="1246" w:type="dxa"/>
            <w:tcBorders>
              <w:top w:val="single" w:sz="4" w:space="0" w:color="548DD4"/>
              <w:bottom w:val="single" w:sz="4" w:space="0" w:color="D9D9D9"/>
            </w:tcBorders>
            <w:shd w:val="clear" w:color="auto" w:fill="548DD4"/>
            <w:tcMar>
              <w:top w:w="0" w:type="dxa"/>
              <w:left w:w="108" w:type="dxa"/>
              <w:bottom w:w="0" w:type="dxa"/>
              <w:right w:w="108" w:type="dxa"/>
            </w:tcMar>
            <w:vAlign w:val="center"/>
          </w:tcPr>
          <w:p w14:paraId="2D78C174" w14:textId="77777777" w:rsidR="000E7A5A" w:rsidRPr="007664ED" w:rsidRDefault="00306071" w:rsidP="00A135C5">
            <w:pPr>
              <w:spacing w:after="0" w:line="276" w:lineRule="auto"/>
              <w:jc w:val="center"/>
              <w:rPr>
                <w:rFonts w:cs="Arial"/>
                <w:sz w:val="18"/>
                <w:szCs w:val="18"/>
              </w:rPr>
            </w:pPr>
            <w:r w:rsidRPr="007664ED">
              <w:rPr>
                <w:rFonts w:cs="Arial"/>
                <w:b/>
                <w:bCs/>
                <w:color w:val="FFFFFF"/>
                <w:sz w:val="18"/>
                <w:szCs w:val="18"/>
              </w:rPr>
              <w:t>Cilj NEPN za leto 203012</w:t>
            </w:r>
          </w:p>
        </w:tc>
      </w:tr>
      <w:tr w:rsidR="000E7A5A" w:rsidRPr="007664ED" w14:paraId="45F4AB02" w14:textId="77777777" w:rsidTr="007664ED">
        <w:tc>
          <w:tcPr>
            <w:tcW w:w="9669" w:type="dxa"/>
            <w:gridSpan w:val="6"/>
            <w:tcBorders>
              <w:top w:val="single" w:sz="4" w:space="0" w:color="D9D9D9"/>
              <w:bottom w:val="single" w:sz="4" w:space="0" w:color="FFFFFF"/>
              <w:right w:val="single" w:sz="4" w:space="0" w:color="40C8F4"/>
            </w:tcBorders>
            <w:shd w:val="clear" w:color="auto" w:fill="548DD4"/>
            <w:tcMar>
              <w:top w:w="0" w:type="dxa"/>
              <w:left w:w="108" w:type="dxa"/>
              <w:bottom w:w="0" w:type="dxa"/>
              <w:right w:w="108" w:type="dxa"/>
            </w:tcMar>
          </w:tcPr>
          <w:p w14:paraId="4A33F2C1" w14:textId="77777777" w:rsidR="000E7A5A" w:rsidRPr="007664ED" w:rsidRDefault="00306071" w:rsidP="00A135C5">
            <w:pPr>
              <w:numPr>
                <w:ilvl w:val="0"/>
                <w:numId w:val="52"/>
              </w:numPr>
              <w:spacing w:after="0" w:line="276" w:lineRule="auto"/>
              <w:ind w:left="313" w:hanging="313"/>
              <w:contextualSpacing/>
              <w:jc w:val="both"/>
              <w:rPr>
                <w:rFonts w:eastAsia="Calibri" w:cs="Arial"/>
                <w:b/>
                <w:bCs/>
                <w:smallCaps/>
                <w:color w:val="FFFFFF"/>
                <w:sz w:val="18"/>
                <w:szCs w:val="18"/>
              </w:rPr>
            </w:pPr>
            <w:r w:rsidRPr="007664ED">
              <w:rPr>
                <w:rFonts w:eastAsia="Calibri" w:cs="Arial"/>
                <w:b/>
                <w:bCs/>
                <w:smallCaps/>
                <w:color w:val="FFFFFF"/>
                <w:sz w:val="18"/>
                <w:szCs w:val="18"/>
              </w:rPr>
              <w:t>RAZSEŽNOST RAZOGLJIČENJE</w:t>
            </w:r>
          </w:p>
        </w:tc>
      </w:tr>
      <w:tr w:rsidR="000E7A5A" w:rsidRPr="007664ED" w14:paraId="05BE8AAC" w14:textId="77777777" w:rsidTr="007664ED">
        <w:tc>
          <w:tcPr>
            <w:tcW w:w="9669" w:type="dxa"/>
            <w:gridSpan w:val="6"/>
            <w:tcBorders>
              <w:top w:val="single" w:sz="4" w:space="0" w:color="FFFFFF"/>
              <w:bottom w:val="single" w:sz="4" w:space="0" w:color="548DD4"/>
            </w:tcBorders>
            <w:shd w:val="clear" w:color="auto" w:fill="C6D9F1"/>
            <w:tcMar>
              <w:top w:w="0" w:type="dxa"/>
              <w:left w:w="108" w:type="dxa"/>
              <w:bottom w:w="0" w:type="dxa"/>
              <w:right w:w="108" w:type="dxa"/>
            </w:tcMar>
          </w:tcPr>
          <w:p w14:paraId="56513DD9" w14:textId="77777777" w:rsidR="000E7A5A" w:rsidRPr="007664ED" w:rsidRDefault="00306071" w:rsidP="00A135C5">
            <w:pPr>
              <w:numPr>
                <w:ilvl w:val="0"/>
                <w:numId w:val="53"/>
              </w:numPr>
              <w:spacing w:after="0" w:line="276" w:lineRule="auto"/>
              <w:contextualSpacing/>
              <w:jc w:val="both"/>
              <w:rPr>
                <w:rFonts w:eastAsia="Calibri" w:cs="Arial"/>
                <w:b/>
                <w:bCs/>
                <w:smallCaps/>
                <w:sz w:val="18"/>
                <w:szCs w:val="18"/>
              </w:rPr>
            </w:pPr>
            <w:r w:rsidRPr="007664ED">
              <w:rPr>
                <w:rFonts w:eastAsia="Calibri" w:cs="Arial"/>
                <w:b/>
                <w:bCs/>
                <w:smallCaps/>
                <w:sz w:val="18"/>
                <w:szCs w:val="18"/>
              </w:rPr>
              <w:t>Emisije in ponori toplogrednih plinov (TGP)</w:t>
            </w:r>
          </w:p>
        </w:tc>
      </w:tr>
      <w:tr w:rsidR="000E7A5A" w:rsidRPr="007664ED" w14:paraId="41861EAE" w14:textId="77777777" w:rsidTr="007664ED">
        <w:tc>
          <w:tcPr>
            <w:tcW w:w="1271" w:type="dxa"/>
            <w:tcBorders>
              <w:top w:val="single" w:sz="4" w:space="0" w:color="548DD4"/>
              <w:bottom w:val="single" w:sz="4" w:space="0" w:color="D9D9D9"/>
            </w:tcBorders>
            <w:shd w:val="clear" w:color="auto" w:fill="92D050"/>
            <w:tcMar>
              <w:top w:w="0" w:type="dxa"/>
              <w:left w:w="108" w:type="dxa"/>
              <w:bottom w:w="0" w:type="dxa"/>
              <w:right w:w="108" w:type="dxa"/>
            </w:tcMar>
            <w:vAlign w:val="center"/>
          </w:tcPr>
          <w:p w14:paraId="79DA9DFB" w14:textId="77777777" w:rsidR="000E7A5A" w:rsidRPr="007664ED" w:rsidRDefault="000E7A5A" w:rsidP="00A135C5">
            <w:pPr>
              <w:spacing w:after="0" w:line="276" w:lineRule="auto"/>
              <w:jc w:val="center"/>
              <w:rPr>
                <w:rFonts w:eastAsia="Wingdings" w:cs="Arial"/>
                <w:color w:val="000000"/>
                <w:sz w:val="18"/>
                <w:szCs w:val="18"/>
              </w:rPr>
            </w:pPr>
          </w:p>
        </w:tc>
        <w:tc>
          <w:tcPr>
            <w:tcW w:w="3358" w:type="dxa"/>
            <w:tcBorders>
              <w:top w:val="single" w:sz="4" w:space="0" w:color="548DD4"/>
              <w:bottom w:val="single" w:sz="4" w:space="0" w:color="D9D9D9"/>
            </w:tcBorders>
            <w:shd w:val="clear" w:color="auto" w:fill="auto"/>
            <w:tcMar>
              <w:top w:w="0" w:type="dxa"/>
              <w:left w:w="108" w:type="dxa"/>
              <w:bottom w:w="0" w:type="dxa"/>
              <w:right w:w="108" w:type="dxa"/>
            </w:tcMar>
            <w:vAlign w:val="center"/>
          </w:tcPr>
          <w:p w14:paraId="52EB9A8C" w14:textId="77777777" w:rsidR="000E7A5A" w:rsidRPr="007664ED" w:rsidRDefault="00306071" w:rsidP="00A135C5">
            <w:pPr>
              <w:spacing w:after="0" w:line="276" w:lineRule="auto"/>
              <w:rPr>
                <w:rFonts w:cs="Arial"/>
                <w:b/>
                <w:bCs/>
                <w:sz w:val="18"/>
                <w:szCs w:val="18"/>
              </w:rPr>
            </w:pPr>
            <w:r w:rsidRPr="007664ED">
              <w:rPr>
                <w:rFonts w:cs="Arial"/>
                <w:b/>
                <w:bCs/>
                <w:sz w:val="18"/>
                <w:szCs w:val="18"/>
              </w:rPr>
              <w:t>Skupne emisije TGP</w:t>
            </w:r>
          </w:p>
        </w:tc>
        <w:tc>
          <w:tcPr>
            <w:tcW w:w="1236" w:type="dxa"/>
            <w:tcBorders>
              <w:top w:val="single" w:sz="4" w:space="0" w:color="548DD4"/>
              <w:bottom w:val="single" w:sz="4" w:space="0" w:color="D9D9D9"/>
            </w:tcBorders>
            <w:shd w:val="clear" w:color="auto" w:fill="auto"/>
            <w:tcMar>
              <w:top w:w="0" w:type="dxa"/>
              <w:left w:w="108" w:type="dxa"/>
              <w:bottom w:w="0" w:type="dxa"/>
              <w:right w:w="108" w:type="dxa"/>
            </w:tcMar>
            <w:vAlign w:val="center"/>
          </w:tcPr>
          <w:p w14:paraId="3394CA25" w14:textId="77777777" w:rsidR="000E7A5A" w:rsidRPr="007664ED" w:rsidRDefault="00306071" w:rsidP="00A135C5">
            <w:pPr>
              <w:spacing w:after="0" w:line="276" w:lineRule="auto"/>
              <w:jc w:val="center"/>
              <w:rPr>
                <w:rFonts w:cs="Arial"/>
                <w:sz w:val="18"/>
                <w:szCs w:val="18"/>
              </w:rPr>
            </w:pPr>
            <w:proofErr w:type="spellStart"/>
            <w:r w:rsidRPr="007664ED">
              <w:rPr>
                <w:rFonts w:cs="Arial"/>
                <w:sz w:val="18"/>
                <w:szCs w:val="18"/>
              </w:rPr>
              <w:t>kt</w:t>
            </w:r>
            <w:proofErr w:type="spellEnd"/>
            <w:r w:rsidRPr="007664ED">
              <w:rPr>
                <w:rFonts w:cs="Arial"/>
                <w:sz w:val="18"/>
                <w:szCs w:val="18"/>
              </w:rPr>
              <w:t xml:space="preserve"> CO</w:t>
            </w:r>
            <w:r w:rsidRPr="007664ED">
              <w:rPr>
                <w:rFonts w:cs="Arial"/>
                <w:sz w:val="18"/>
                <w:szCs w:val="18"/>
                <w:vertAlign w:val="subscript"/>
              </w:rPr>
              <w:t>2</w:t>
            </w:r>
            <w:r w:rsidRPr="007664ED">
              <w:rPr>
                <w:rFonts w:cs="Arial"/>
                <w:sz w:val="18"/>
                <w:szCs w:val="18"/>
              </w:rPr>
              <w:t xml:space="preserve"> </w:t>
            </w:r>
            <w:proofErr w:type="spellStart"/>
            <w:r w:rsidRPr="007664ED">
              <w:rPr>
                <w:rFonts w:cs="Arial"/>
                <w:sz w:val="18"/>
                <w:szCs w:val="18"/>
              </w:rPr>
              <w:t>ekv</w:t>
            </w:r>
            <w:proofErr w:type="spellEnd"/>
          </w:p>
        </w:tc>
        <w:tc>
          <w:tcPr>
            <w:tcW w:w="1320" w:type="dxa"/>
            <w:tcBorders>
              <w:top w:val="single" w:sz="4" w:space="0" w:color="548DD4"/>
              <w:bottom w:val="single" w:sz="4" w:space="0" w:color="D9D9D9"/>
            </w:tcBorders>
            <w:shd w:val="clear" w:color="auto" w:fill="auto"/>
            <w:tcMar>
              <w:top w:w="0" w:type="dxa"/>
              <w:left w:w="108" w:type="dxa"/>
              <w:bottom w:w="0" w:type="dxa"/>
              <w:right w:w="108" w:type="dxa"/>
            </w:tcMar>
            <w:vAlign w:val="center"/>
          </w:tcPr>
          <w:p w14:paraId="6E1BCCBF" w14:textId="77777777" w:rsidR="000E7A5A" w:rsidRPr="007664ED" w:rsidRDefault="00306071" w:rsidP="00A135C5">
            <w:pPr>
              <w:spacing w:after="0" w:line="276" w:lineRule="auto"/>
              <w:jc w:val="center"/>
              <w:rPr>
                <w:rFonts w:cs="Arial"/>
                <w:sz w:val="18"/>
                <w:szCs w:val="18"/>
              </w:rPr>
            </w:pPr>
            <w:r w:rsidRPr="007664ED">
              <w:rPr>
                <w:rFonts w:cs="Arial"/>
                <w:b/>
                <w:bCs/>
                <w:color w:val="000000"/>
                <w:sz w:val="18"/>
                <w:szCs w:val="18"/>
              </w:rPr>
              <w:t>16.106</w:t>
            </w:r>
          </w:p>
        </w:tc>
        <w:tc>
          <w:tcPr>
            <w:tcW w:w="1238" w:type="dxa"/>
            <w:tcBorders>
              <w:top w:val="single" w:sz="4" w:space="0" w:color="548DD4"/>
              <w:bottom w:val="single" w:sz="4" w:space="0" w:color="D9D9D9"/>
            </w:tcBorders>
            <w:shd w:val="clear" w:color="auto" w:fill="auto"/>
            <w:tcMar>
              <w:top w:w="0" w:type="dxa"/>
              <w:left w:w="108" w:type="dxa"/>
              <w:bottom w:w="0" w:type="dxa"/>
              <w:right w:w="108" w:type="dxa"/>
            </w:tcMar>
            <w:vAlign w:val="center"/>
          </w:tcPr>
          <w:p w14:paraId="3B8ABD63" w14:textId="77777777" w:rsidR="000E7A5A" w:rsidRPr="007664ED" w:rsidRDefault="00306071" w:rsidP="00A135C5">
            <w:pPr>
              <w:spacing w:after="0" w:line="276" w:lineRule="auto"/>
              <w:jc w:val="center"/>
              <w:rPr>
                <w:rFonts w:cs="Arial"/>
                <w:b/>
                <w:color w:val="000000"/>
                <w:sz w:val="18"/>
                <w:szCs w:val="18"/>
              </w:rPr>
            </w:pPr>
            <w:r w:rsidRPr="007664ED">
              <w:rPr>
                <w:rFonts w:cs="Arial"/>
                <w:b/>
                <w:color w:val="000000"/>
                <w:sz w:val="18"/>
                <w:szCs w:val="18"/>
              </w:rPr>
              <w:t>16.479</w:t>
            </w:r>
          </w:p>
        </w:tc>
        <w:tc>
          <w:tcPr>
            <w:tcW w:w="1246" w:type="dxa"/>
            <w:tcBorders>
              <w:top w:val="single" w:sz="4" w:space="0" w:color="548DD4"/>
              <w:bottom w:val="single" w:sz="4" w:space="0" w:color="D9D9D9"/>
            </w:tcBorders>
            <w:shd w:val="clear" w:color="auto" w:fill="auto"/>
            <w:tcMar>
              <w:top w:w="0" w:type="dxa"/>
              <w:left w:w="108" w:type="dxa"/>
              <w:bottom w:w="0" w:type="dxa"/>
              <w:right w:w="108" w:type="dxa"/>
            </w:tcMar>
            <w:vAlign w:val="center"/>
          </w:tcPr>
          <w:p w14:paraId="54905E7F" w14:textId="77777777" w:rsidR="000E7A5A" w:rsidRPr="007664ED" w:rsidRDefault="00306071" w:rsidP="00A135C5">
            <w:pPr>
              <w:spacing w:after="0" w:line="276" w:lineRule="auto"/>
              <w:jc w:val="center"/>
              <w:rPr>
                <w:rFonts w:cs="Arial"/>
                <w:b/>
                <w:bCs/>
                <w:sz w:val="18"/>
                <w:szCs w:val="18"/>
              </w:rPr>
            </w:pPr>
            <w:r w:rsidRPr="007664ED">
              <w:rPr>
                <w:rFonts w:cs="Arial"/>
                <w:b/>
                <w:bCs/>
                <w:sz w:val="18"/>
                <w:szCs w:val="18"/>
              </w:rPr>
              <w:t>13.212</w:t>
            </w:r>
          </w:p>
        </w:tc>
      </w:tr>
      <w:tr w:rsidR="000E7A5A" w:rsidRPr="007664ED" w14:paraId="74F2A69C" w14:textId="77777777" w:rsidTr="007664ED">
        <w:tc>
          <w:tcPr>
            <w:tcW w:w="1271" w:type="dxa"/>
            <w:tcBorders>
              <w:top w:val="single" w:sz="4" w:space="0" w:color="D9D9D9"/>
              <w:bottom w:val="single" w:sz="4" w:space="0" w:color="548DD4"/>
            </w:tcBorders>
            <w:shd w:val="clear" w:color="auto" w:fill="92D050"/>
            <w:tcMar>
              <w:top w:w="0" w:type="dxa"/>
              <w:left w:w="108" w:type="dxa"/>
              <w:bottom w:w="0" w:type="dxa"/>
              <w:right w:w="108" w:type="dxa"/>
            </w:tcMar>
            <w:vAlign w:val="center"/>
          </w:tcPr>
          <w:p w14:paraId="5153CC4E" w14:textId="77777777" w:rsidR="000E7A5A" w:rsidRPr="007664ED" w:rsidRDefault="000E7A5A" w:rsidP="00A135C5">
            <w:pPr>
              <w:spacing w:after="0" w:line="276" w:lineRule="auto"/>
              <w:jc w:val="center"/>
              <w:rPr>
                <w:rFonts w:cs="Arial"/>
                <w:sz w:val="18"/>
                <w:szCs w:val="18"/>
              </w:rPr>
            </w:pPr>
          </w:p>
        </w:tc>
        <w:tc>
          <w:tcPr>
            <w:tcW w:w="3358" w:type="dxa"/>
            <w:tcBorders>
              <w:top w:val="single" w:sz="4" w:space="0" w:color="D9D9D9"/>
              <w:bottom w:val="single" w:sz="4" w:space="0" w:color="548DD4"/>
            </w:tcBorders>
            <w:shd w:val="clear" w:color="auto" w:fill="auto"/>
            <w:tcMar>
              <w:top w:w="0" w:type="dxa"/>
              <w:left w:w="108" w:type="dxa"/>
              <w:bottom w:w="0" w:type="dxa"/>
              <w:right w:w="108" w:type="dxa"/>
            </w:tcMar>
            <w:vAlign w:val="center"/>
          </w:tcPr>
          <w:p w14:paraId="16D1B709" w14:textId="77777777" w:rsidR="000E7A5A" w:rsidRPr="007664ED" w:rsidRDefault="00306071" w:rsidP="00A135C5">
            <w:pPr>
              <w:spacing w:after="0" w:line="276" w:lineRule="auto"/>
              <w:rPr>
                <w:rFonts w:cs="Arial"/>
                <w:b/>
                <w:bCs/>
                <w:sz w:val="18"/>
                <w:szCs w:val="18"/>
              </w:rPr>
            </w:pPr>
            <w:r w:rsidRPr="007664ED">
              <w:rPr>
                <w:rFonts w:cs="Arial"/>
                <w:b/>
                <w:bCs/>
                <w:sz w:val="18"/>
                <w:szCs w:val="18"/>
              </w:rPr>
              <w:t>Letne emisije TGP po odločbi 406/2009/ES (izven ETS)</w:t>
            </w:r>
          </w:p>
        </w:tc>
        <w:tc>
          <w:tcPr>
            <w:tcW w:w="1236" w:type="dxa"/>
            <w:tcBorders>
              <w:top w:val="single" w:sz="4" w:space="0" w:color="D9D9D9"/>
              <w:bottom w:val="single" w:sz="4" w:space="0" w:color="548DD4"/>
            </w:tcBorders>
            <w:shd w:val="clear" w:color="auto" w:fill="auto"/>
            <w:tcMar>
              <w:top w:w="0" w:type="dxa"/>
              <w:left w:w="108" w:type="dxa"/>
              <w:bottom w:w="0" w:type="dxa"/>
              <w:right w:w="108" w:type="dxa"/>
            </w:tcMar>
            <w:vAlign w:val="center"/>
          </w:tcPr>
          <w:p w14:paraId="0667A0ED" w14:textId="77777777" w:rsidR="000E7A5A" w:rsidRPr="007664ED" w:rsidRDefault="00306071" w:rsidP="00A135C5">
            <w:pPr>
              <w:spacing w:after="0" w:line="276" w:lineRule="auto"/>
              <w:jc w:val="center"/>
              <w:rPr>
                <w:rFonts w:cs="Arial"/>
                <w:sz w:val="18"/>
                <w:szCs w:val="18"/>
              </w:rPr>
            </w:pPr>
            <w:proofErr w:type="spellStart"/>
            <w:r w:rsidRPr="007664ED">
              <w:rPr>
                <w:rFonts w:cs="Arial"/>
                <w:sz w:val="18"/>
                <w:szCs w:val="18"/>
              </w:rPr>
              <w:t>kt</w:t>
            </w:r>
            <w:proofErr w:type="spellEnd"/>
            <w:r w:rsidRPr="007664ED">
              <w:rPr>
                <w:rFonts w:cs="Arial"/>
                <w:sz w:val="18"/>
                <w:szCs w:val="18"/>
              </w:rPr>
              <w:t xml:space="preserve"> CO</w:t>
            </w:r>
            <w:r w:rsidRPr="007664ED">
              <w:rPr>
                <w:rFonts w:cs="Arial"/>
                <w:sz w:val="18"/>
                <w:szCs w:val="18"/>
                <w:vertAlign w:val="subscript"/>
              </w:rPr>
              <w:t>2</w:t>
            </w:r>
            <w:r w:rsidRPr="007664ED">
              <w:rPr>
                <w:rFonts w:cs="Arial"/>
                <w:sz w:val="18"/>
                <w:szCs w:val="18"/>
              </w:rPr>
              <w:t xml:space="preserve"> </w:t>
            </w:r>
            <w:proofErr w:type="spellStart"/>
            <w:r w:rsidRPr="007664ED">
              <w:rPr>
                <w:rFonts w:cs="Arial"/>
                <w:sz w:val="18"/>
                <w:szCs w:val="18"/>
              </w:rPr>
              <w:t>ekv</w:t>
            </w:r>
            <w:proofErr w:type="spellEnd"/>
          </w:p>
        </w:tc>
        <w:tc>
          <w:tcPr>
            <w:tcW w:w="1320" w:type="dxa"/>
            <w:tcBorders>
              <w:top w:val="single" w:sz="4" w:space="0" w:color="D9D9D9"/>
              <w:bottom w:val="single" w:sz="4" w:space="0" w:color="548DD4"/>
            </w:tcBorders>
            <w:shd w:val="clear" w:color="auto" w:fill="auto"/>
            <w:tcMar>
              <w:top w:w="0" w:type="dxa"/>
              <w:left w:w="108" w:type="dxa"/>
              <w:bottom w:w="0" w:type="dxa"/>
              <w:right w:w="108" w:type="dxa"/>
            </w:tcMar>
            <w:vAlign w:val="center"/>
          </w:tcPr>
          <w:p w14:paraId="5095509B" w14:textId="77777777" w:rsidR="000E7A5A" w:rsidRPr="007664ED" w:rsidRDefault="00306071" w:rsidP="00A135C5">
            <w:pPr>
              <w:spacing w:after="0" w:line="276" w:lineRule="auto"/>
              <w:jc w:val="center"/>
              <w:rPr>
                <w:rFonts w:cs="Arial"/>
                <w:color w:val="000000"/>
                <w:sz w:val="18"/>
                <w:szCs w:val="18"/>
              </w:rPr>
            </w:pPr>
            <w:r w:rsidRPr="007664ED">
              <w:rPr>
                <w:rFonts w:cs="Arial"/>
                <w:color w:val="000000"/>
                <w:sz w:val="18"/>
                <w:szCs w:val="18"/>
              </w:rPr>
              <w:t>10.424</w:t>
            </w:r>
          </w:p>
        </w:tc>
        <w:tc>
          <w:tcPr>
            <w:tcW w:w="1238" w:type="dxa"/>
            <w:tcBorders>
              <w:top w:val="single" w:sz="4" w:space="0" w:color="D9D9D9"/>
              <w:bottom w:val="single" w:sz="4" w:space="0" w:color="548DD4"/>
            </w:tcBorders>
            <w:shd w:val="clear" w:color="auto" w:fill="auto"/>
            <w:tcMar>
              <w:top w:w="0" w:type="dxa"/>
              <w:left w:w="108" w:type="dxa"/>
              <w:bottom w:w="0" w:type="dxa"/>
              <w:right w:w="108" w:type="dxa"/>
            </w:tcMar>
            <w:vAlign w:val="center"/>
          </w:tcPr>
          <w:p w14:paraId="0B42201B" w14:textId="77777777" w:rsidR="000E7A5A" w:rsidRPr="007664ED" w:rsidRDefault="00306071" w:rsidP="00A135C5">
            <w:pPr>
              <w:spacing w:after="0" w:line="276" w:lineRule="auto"/>
              <w:jc w:val="center"/>
              <w:rPr>
                <w:rFonts w:cs="Arial"/>
                <w:color w:val="000000"/>
                <w:sz w:val="18"/>
                <w:szCs w:val="18"/>
              </w:rPr>
            </w:pPr>
            <w:r w:rsidRPr="007664ED">
              <w:rPr>
                <w:rFonts w:cs="Arial"/>
                <w:color w:val="000000"/>
                <w:sz w:val="18"/>
                <w:szCs w:val="18"/>
              </w:rPr>
              <w:t>11.403</w:t>
            </w:r>
          </w:p>
        </w:tc>
        <w:tc>
          <w:tcPr>
            <w:tcW w:w="1246" w:type="dxa"/>
            <w:tcBorders>
              <w:top w:val="single" w:sz="4" w:space="0" w:color="D9D9D9"/>
              <w:bottom w:val="single" w:sz="4" w:space="0" w:color="548DD4"/>
            </w:tcBorders>
            <w:shd w:val="clear" w:color="auto" w:fill="auto"/>
            <w:tcMar>
              <w:top w:w="0" w:type="dxa"/>
              <w:left w:w="108" w:type="dxa"/>
              <w:bottom w:w="0" w:type="dxa"/>
              <w:right w:w="108" w:type="dxa"/>
            </w:tcMar>
            <w:vAlign w:val="center"/>
          </w:tcPr>
          <w:p w14:paraId="02D65E77" w14:textId="77777777" w:rsidR="000E7A5A" w:rsidRPr="007664ED" w:rsidRDefault="00306071" w:rsidP="00A135C5">
            <w:pPr>
              <w:spacing w:after="0" w:line="276" w:lineRule="auto"/>
              <w:jc w:val="center"/>
              <w:rPr>
                <w:rFonts w:cs="Arial"/>
                <w:sz w:val="18"/>
                <w:szCs w:val="18"/>
              </w:rPr>
            </w:pPr>
            <w:r w:rsidRPr="007664ED">
              <w:rPr>
                <w:rFonts w:cs="Arial"/>
                <w:sz w:val="18"/>
                <w:szCs w:val="18"/>
              </w:rPr>
              <w:t>10.175</w:t>
            </w:r>
          </w:p>
        </w:tc>
      </w:tr>
      <w:bookmarkEnd w:id="3431"/>
      <w:tr w:rsidR="000E7A5A" w:rsidRPr="007664ED" w14:paraId="2FB1C4E0" w14:textId="77777777" w:rsidTr="007664ED">
        <w:tc>
          <w:tcPr>
            <w:tcW w:w="9669" w:type="dxa"/>
            <w:gridSpan w:val="6"/>
            <w:tcBorders>
              <w:top w:val="single" w:sz="4" w:space="0" w:color="548DD4"/>
              <w:bottom w:val="single" w:sz="4" w:space="0" w:color="548DD4"/>
            </w:tcBorders>
            <w:shd w:val="clear" w:color="auto" w:fill="C6D9F1"/>
            <w:tcMar>
              <w:top w:w="0" w:type="dxa"/>
              <w:left w:w="108" w:type="dxa"/>
              <w:bottom w:w="0" w:type="dxa"/>
              <w:right w:w="108" w:type="dxa"/>
            </w:tcMar>
          </w:tcPr>
          <w:p w14:paraId="1BEEB566" w14:textId="77777777" w:rsidR="000E7A5A" w:rsidRPr="007664ED" w:rsidRDefault="00306071" w:rsidP="00A135C5">
            <w:pPr>
              <w:numPr>
                <w:ilvl w:val="0"/>
                <w:numId w:val="53"/>
              </w:numPr>
              <w:spacing w:after="0" w:line="276" w:lineRule="auto"/>
              <w:contextualSpacing/>
              <w:jc w:val="both"/>
              <w:rPr>
                <w:rFonts w:eastAsia="Calibri" w:cs="Arial"/>
                <w:b/>
                <w:bCs/>
                <w:smallCaps/>
                <w:sz w:val="18"/>
                <w:szCs w:val="18"/>
              </w:rPr>
            </w:pPr>
            <w:r w:rsidRPr="007664ED">
              <w:rPr>
                <w:rFonts w:eastAsia="Calibri" w:cs="Arial"/>
                <w:b/>
                <w:bCs/>
                <w:smallCaps/>
                <w:sz w:val="18"/>
                <w:szCs w:val="18"/>
              </w:rPr>
              <w:t>Obnovljivi viri energije (OVE)</w:t>
            </w:r>
          </w:p>
        </w:tc>
      </w:tr>
      <w:tr w:rsidR="000E7A5A" w:rsidRPr="007664ED" w14:paraId="53484DEB" w14:textId="77777777" w:rsidTr="007664ED">
        <w:tc>
          <w:tcPr>
            <w:tcW w:w="1271" w:type="dxa"/>
            <w:tcBorders>
              <w:top w:val="single" w:sz="4" w:space="0" w:color="548DD4"/>
              <w:bottom w:val="single" w:sz="4" w:space="0" w:color="D9D9D9"/>
            </w:tcBorders>
            <w:shd w:val="clear" w:color="auto" w:fill="E36C0A"/>
            <w:tcMar>
              <w:top w:w="0" w:type="dxa"/>
              <w:left w:w="108" w:type="dxa"/>
              <w:bottom w:w="0" w:type="dxa"/>
              <w:right w:w="108" w:type="dxa"/>
            </w:tcMar>
            <w:vAlign w:val="center"/>
          </w:tcPr>
          <w:p w14:paraId="51DA8F67" w14:textId="77777777" w:rsidR="000E7A5A" w:rsidRPr="007664ED" w:rsidRDefault="000E7A5A" w:rsidP="00A135C5">
            <w:pPr>
              <w:spacing w:after="0" w:line="276" w:lineRule="auto"/>
              <w:jc w:val="center"/>
              <w:rPr>
                <w:rFonts w:cs="Arial"/>
                <w:color w:val="000000"/>
                <w:sz w:val="18"/>
                <w:szCs w:val="18"/>
              </w:rPr>
            </w:pPr>
          </w:p>
        </w:tc>
        <w:tc>
          <w:tcPr>
            <w:tcW w:w="3358" w:type="dxa"/>
            <w:tcBorders>
              <w:top w:val="single" w:sz="4" w:space="0" w:color="548DD4"/>
              <w:bottom w:val="single" w:sz="4" w:space="0" w:color="D9D9D9"/>
            </w:tcBorders>
            <w:shd w:val="clear" w:color="auto" w:fill="auto"/>
            <w:tcMar>
              <w:top w:w="0" w:type="dxa"/>
              <w:left w:w="108" w:type="dxa"/>
              <w:bottom w:w="0" w:type="dxa"/>
              <w:right w:w="108" w:type="dxa"/>
            </w:tcMar>
            <w:vAlign w:val="center"/>
          </w:tcPr>
          <w:p w14:paraId="48BC4DF1" w14:textId="77777777" w:rsidR="000E7A5A" w:rsidRPr="007664ED" w:rsidRDefault="00306071" w:rsidP="00A135C5">
            <w:pPr>
              <w:spacing w:after="0" w:line="276" w:lineRule="auto"/>
              <w:rPr>
                <w:rFonts w:cs="Arial"/>
                <w:sz w:val="18"/>
                <w:szCs w:val="18"/>
              </w:rPr>
            </w:pPr>
            <w:r w:rsidRPr="007664ED">
              <w:rPr>
                <w:rFonts w:cs="Arial"/>
                <w:b/>
                <w:bCs/>
                <w:color w:val="000000"/>
                <w:sz w:val="18"/>
                <w:szCs w:val="18"/>
              </w:rPr>
              <w:t>Delež OVE v bruto rabi končne energije brez statističnega prenosa</w:t>
            </w:r>
          </w:p>
        </w:tc>
        <w:tc>
          <w:tcPr>
            <w:tcW w:w="1236" w:type="dxa"/>
            <w:tcBorders>
              <w:top w:val="single" w:sz="4" w:space="0" w:color="548DD4"/>
              <w:bottom w:val="single" w:sz="4" w:space="0" w:color="D9D9D9"/>
            </w:tcBorders>
            <w:shd w:val="clear" w:color="auto" w:fill="auto"/>
            <w:tcMar>
              <w:top w:w="0" w:type="dxa"/>
              <w:left w:w="108" w:type="dxa"/>
              <w:bottom w:w="0" w:type="dxa"/>
              <w:right w:w="108" w:type="dxa"/>
            </w:tcMar>
            <w:vAlign w:val="center"/>
          </w:tcPr>
          <w:p w14:paraId="7B06E320" w14:textId="77777777" w:rsidR="000E7A5A" w:rsidRPr="007664ED" w:rsidRDefault="00306071" w:rsidP="00A135C5">
            <w:pPr>
              <w:spacing w:after="0" w:line="276" w:lineRule="auto"/>
              <w:jc w:val="center"/>
              <w:rPr>
                <w:rFonts w:cs="Arial"/>
                <w:b/>
                <w:bCs/>
                <w:sz w:val="18"/>
                <w:szCs w:val="18"/>
              </w:rPr>
            </w:pPr>
            <w:r w:rsidRPr="007664ED">
              <w:rPr>
                <w:rFonts w:cs="Arial"/>
                <w:b/>
                <w:bCs/>
                <w:sz w:val="18"/>
                <w:szCs w:val="18"/>
              </w:rPr>
              <w:t>%</w:t>
            </w:r>
          </w:p>
        </w:tc>
        <w:tc>
          <w:tcPr>
            <w:tcW w:w="1320" w:type="dxa"/>
            <w:tcBorders>
              <w:top w:val="single" w:sz="4" w:space="0" w:color="548DD4"/>
              <w:bottom w:val="single" w:sz="4" w:space="0" w:color="D9D9D9"/>
            </w:tcBorders>
            <w:shd w:val="clear" w:color="auto" w:fill="auto"/>
            <w:tcMar>
              <w:top w:w="0" w:type="dxa"/>
              <w:left w:w="108" w:type="dxa"/>
              <w:bottom w:w="0" w:type="dxa"/>
              <w:right w:w="108" w:type="dxa"/>
            </w:tcMar>
            <w:vAlign w:val="center"/>
          </w:tcPr>
          <w:p w14:paraId="524434E4" w14:textId="77777777" w:rsidR="000E7A5A" w:rsidRPr="007664ED" w:rsidRDefault="00306071" w:rsidP="00A135C5">
            <w:pPr>
              <w:spacing w:after="0" w:line="276" w:lineRule="auto"/>
              <w:jc w:val="center"/>
              <w:rPr>
                <w:rFonts w:cs="Arial"/>
                <w:sz w:val="18"/>
                <w:szCs w:val="18"/>
              </w:rPr>
            </w:pPr>
            <w:r w:rsidRPr="007664ED">
              <w:rPr>
                <w:rFonts w:cs="Arial"/>
                <w:b/>
                <w:bCs/>
                <w:color w:val="E36C0A"/>
                <w:sz w:val="18"/>
                <w:szCs w:val="18"/>
              </w:rPr>
              <w:t>24,6</w:t>
            </w:r>
          </w:p>
        </w:tc>
        <w:tc>
          <w:tcPr>
            <w:tcW w:w="1238" w:type="dxa"/>
            <w:tcBorders>
              <w:top w:val="single" w:sz="4" w:space="0" w:color="548DD4"/>
              <w:bottom w:val="single" w:sz="4" w:space="0" w:color="D9D9D9"/>
            </w:tcBorders>
            <w:shd w:val="clear" w:color="auto" w:fill="auto"/>
            <w:tcMar>
              <w:top w:w="0" w:type="dxa"/>
              <w:left w:w="108" w:type="dxa"/>
              <w:bottom w:w="0" w:type="dxa"/>
              <w:right w:w="108" w:type="dxa"/>
            </w:tcMar>
            <w:vAlign w:val="center"/>
          </w:tcPr>
          <w:p w14:paraId="1DADE8D2" w14:textId="77777777" w:rsidR="000E7A5A" w:rsidRPr="007664ED" w:rsidRDefault="00306071" w:rsidP="00A135C5">
            <w:pPr>
              <w:spacing w:after="0" w:line="276" w:lineRule="auto"/>
              <w:jc w:val="center"/>
              <w:rPr>
                <w:rFonts w:cs="Arial"/>
                <w:b/>
                <w:bCs/>
                <w:sz w:val="18"/>
                <w:szCs w:val="18"/>
              </w:rPr>
            </w:pPr>
            <w:r w:rsidRPr="007664ED">
              <w:rPr>
                <w:rFonts w:cs="Arial"/>
                <w:b/>
                <w:bCs/>
                <w:sz w:val="18"/>
                <w:szCs w:val="18"/>
              </w:rPr>
              <w:t>25,2</w:t>
            </w:r>
          </w:p>
        </w:tc>
        <w:tc>
          <w:tcPr>
            <w:tcW w:w="1246" w:type="dxa"/>
            <w:tcBorders>
              <w:top w:val="single" w:sz="4" w:space="0" w:color="548DD4"/>
              <w:bottom w:val="single" w:sz="4" w:space="0" w:color="D9D9D9"/>
            </w:tcBorders>
            <w:shd w:val="clear" w:color="auto" w:fill="auto"/>
            <w:tcMar>
              <w:top w:w="0" w:type="dxa"/>
              <w:left w:w="108" w:type="dxa"/>
              <w:bottom w:w="0" w:type="dxa"/>
              <w:right w:w="108" w:type="dxa"/>
            </w:tcMar>
            <w:vAlign w:val="center"/>
          </w:tcPr>
          <w:p w14:paraId="33C97989" w14:textId="77777777" w:rsidR="000E7A5A" w:rsidRPr="007664ED" w:rsidRDefault="00306071" w:rsidP="00A135C5">
            <w:pPr>
              <w:spacing w:after="0" w:line="276" w:lineRule="auto"/>
              <w:jc w:val="center"/>
              <w:rPr>
                <w:rFonts w:cs="Arial"/>
                <w:b/>
                <w:bCs/>
                <w:sz w:val="18"/>
                <w:szCs w:val="18"/>
              </w:rPr>
            </w:pPr>
            <w:r w:rsidRPr="007664ED">
              <w:rPr>
                <w:rFonts w:cs="Arial"/>
                <w:b/>
                <w:bCs/>
                <w:sz w:val="18"/>
                <w:szCs w:val="18"/>
              </w:rPr>
              <w:t>27,0</w:t>
            </w:r>
          </w:p>
        </w:tc>
      </w:tr>
      <w:tr w:rsidR="000E7A5A" w:rsidRPr="007664ED" w14:paraId="4884D0DD" w14:textId="77777777" w:rsidTr="007664ED">
        <w:tc>
          <w:tcPr>
            <w:tcW w:w="1271" w:type="dxa"/>
            <w:tcBorders>
              <w:top w:val="single" w:sz="4" w:space="0" w:color="D9D9D9"/>
              <w:bottom w:val="single" w:sz="4" w:space="0" w:color="D9D9D9"/>
            </w:tcBorders>
            <w:shd w:val="clear" w:color="auto" w:fill="E36C0A"/>
            <w:tcMar>
              <w:top w:w="0" w:type="dxa"/>
              <w:left w:w="108" w:type="dxa"/>
              <w:bottom w:w="0" w:type="dxa"/>
              <w:right w:w="108" w:type="dxa"/>
            </w:tcMar>
            <w:vAlign w:val="center"/>
          </w:tcPr>
          <w:p w14:paraId="17E1FF59" w14:textId="77777777" w:rsidR="000E7A5A" w:rsidRPr="007664ED" w:rsidRDefault="000E7A5A" w:rsidP="00A135C5">
            <w:pPr>
              <w:spacing w:after="0" w:line="276" w:lineRule="auto"/>
              <w:jc w:val="center"/>
              <w:rPr>
                <w:rFonts w:eastAsia="Wingdings" w:cs="Arial"/>
                <w:color w:val="000000"/>
                <w:sz w:val="18"/>
                <w:szCs w:val="18"/>
              </w:rPr>
            </w:pPr>
          </w:p>
        </w:tc>
        <w:tc>
          <w:tcPr>
            <w:tcW w:w="3358" w:type="dxa"/>
            <w:tcBorders>
              <w:top w:val="single" w:sz="4" w:space="0" w:color="D9D9D9"/>
              <w:bottom w:val="single" w:sz="4" w:space="0" w:color="D9D9D9"/>
            </w:tcBorders>
            <w:shd w:val="clear" w:color="auto" w:fill="auto"/>
            <w:tcMar>
              <w:top w:w="0" w:type="dxa"/>
              <w:left w:w="108" w:type="dxa"/>
              <w:bottom w:w="0" w:type="dxa"/>
              <w:right w:w="108" w:type="dxa"/>
            </w:tcMar>
            <w:vAlign w:val="center"/>
          </w:tcPr>
          <w:p w14:paraId="540DBE0A" w14:textId="77777777" w:rsidR="000E7A5A" w:rsidRPr="007664ED" w:rsidRDefault="00306071" w:rsidP="00A135C5">
            <w:pPr>
              <w:spacing w:after="0" w:line="276" w:lineRule="auto"/>
              <w:rPr>
                <w:rFonts w:cs="Arial"/>
                <w:sz w:val="18"/>
                <w:szCs w:val="18"/>
              </w:rPr>
            </w:pPr>
            <w:r w:rsidRPr="007664ED">
              <w:rPr>
                <w:rFonts w:cs="Arial"/>
                <w:sz w:val="18"/>
                <w:szCs w:val="18"/>
              </w:rPr>
              <w:t>Delež OVE pri ogrevanju in hlajenju</w:t>
            </w:r>
          </w:p>
        </w:tc>
        <w:tc>
          <w:tcPr>
            <w:tcW w:w="1236" w:type="dxa"/>
            <w:tcBorders>
              <w:top w:val="single" w:sz="4" w:space="0" w:color="D9D9D9"/>
              <w:bottom w:val="single" w:sz="4" w:space="0" w:color="D9D9D9"/>
            </w:tcBorders>
            <w:shd w:val="clear" w:color="auto" w:fill="auto"/>
            <w:tcMar>
              <w:top w:w="0" w:type="dxa"/>
              <w:left w:w="108" w:type="dxa"/>
              <w:bottom w:w="0" w:type="dxa"/>
              <w:right w:w="108" w:type="dxa"/>
            </w:tcMar>
            <w:vAlign w:val="center"/>
          </w:tcPr>
          <w:p w14:paraId="2E407521" w14:textId="77777777" w:rsidR="000E7A5A" w:rsidRPr="007664ED" w:rsidRDefault="00306071" w:rsidP="00A135C5">
            <w:pPr>
              <w:spacing w:after="0" w:line="276" w:lineRule="auto"/>
              <w:jc w:val="center"/>
              <w:rPr>
                <w:rFonts w:cs="Arial"/>
                <w:sz w:val="18"/>
                <w:szCs w:val="18"/>
              </w:rPr>
            </w:pPr>
            <w:r w:rsidRPr="007664ED">
              <w:rPr>
                <w:rFonts w:cs="Arial"/>
                <w:sz w:val="18"/>
                <w:szCs w:val="18"/>
              </w:rPr>
              <w:t>%</w:t>
            </w:r>
          </w:p>
        </w:tc>
        <w:tc>
          <w:tcPr>
            <w:tcW w:w="1320" w:type="dxa"/>
            <w:tcBorders>
              <w:top w:val="single" w:sz="4" w:space="0" w:color="D9D9D9"/>
              <w:bottom w:val="single" w:sz="4" w:space="0" w:color="D9D9D9"/>
            </w:tcBorders>
            <w:shd w:val="clear" w:color="auto" w:fill="auto"/>
            <w:tcMar>
              <w:top w:w="0" w:type="dxa"/>
              <w:left w:w="108" w:type="dxa"/>
              <w:bottom w:w="0" w:type="dxa"/>
              <w:right w:w="108" w:type="dxa"/>
            </w:tcMar>
            <w:vAlign w:val="center"/>
          </w:tcPr>
          <w:p w14:paraId="79DA3140" w14:textId="77777777" w:rsidR="000E7A5A" w:rsidRPr="007664ED" w:rsidRDefault="00306071" w:rsidP="00A135C5">
            <w:pPr>
              <w:spacing w:after="0" w:line="276" w:lineRule="auto"/>
              <w:jc w:val="center"/>
              <w:rPr>
                <w:rFonts w:cs="Arial"/>
                <w:sz w:val="18"/>
                <w:szCs w:val="18"/>
              </w:rPr>
            </w:pPr>
            <w:r w:rsidRPr="007664ED">
              <w:rPr>
                <w:rFonts w:cs="Arial"/>
                <w:color w:val="E36C0A"/>
                <w:sz w:val="18"/>
                <w:szCs w:val="18"/>
              </w:rPr>
              <w:t>35,2</w:t>
            </w:r>
          </w:p>
        </w:tc>
        <w:tc>
          <w:tcPr>
            <w:tcW w:w="1238" w:type="dxa"/>
            <w:tcBorders>
              <w:top w:val="single" w:sz="4" w:space="0" w:color="D9D9D9"/>
              <w:bottom w:val="single" w:sz="4" w:space="0" w:color="D9D9D9"/>
            </w:tcBorders>
            <w:shd w:val="clear" w:color="auto" w:fill="auto"/>
            <w:tcMar>
              <w:top w:w="0" w:type="dxa"/>
              <w:left w:w="108" w:type="dxa"/>
              <w:bottom w:w="0" w:type="dxa"/>
              <w:right w:w="108" w:type="dxa"/>
            </w:tcMar>
            <w:vAlign w:val="center"/>
          </w:tcPr>
          <w:p w14:paraId="42A06248" w14:textId="77777777" w:rsidR="000E7A5A" w:rsidRPr="007664ED" w:rsidRDefault="00306071" w:rsidP="00A135C5">
            <w:pPr>
              <w:spacing w:after="0" w:line="276" w:lineRule="auto"/>
              <w:jc w:val="center"/>
              <w:rPr>
                <w:rFonts w:cs="Arial"/>
                <w:sz w:val="18"/>
                <w:szCs w:val="18"/>
              </w:rPr>
            </w:pPr>
            <w:r w:rsidRPr="007664ED">
              <w:rPr>
                <w:rFonts w:cs="Arial"/>
                <w:sz w:val="18"/>
                <w:szCs w:val="18"/>
              </w:rPr>
              <w:t>36,6</w:t>
            </w:r>
          </w:p>
        </w:tc>
        <w:tc>
          <w:tcPr>
            <w:tcW w:w="1246" w:type="dxa"/>
            <w:tcBorders>
              <w:top w:val="single" w:sz="4" w:space="0" w:color="D9D9D9"/>
              <w:bottom w:val="single" w:sz="4" w:space="0" w:color="D9D9D9"/>
            </w:tcBorders>
            <w:shd w:val="clear" w:color="auto" w:fill="auto"/>
            <w:tcMar>
              <w:top w:w="0" w:type="dxa"/>
              <w:left w:w="108" w:type="dxa"/>
              <w:bottom w:w="0" w:type="dxa"/>
              <w:right w:w="108" w:type="dxa"/>
            </w:tcMar>
            <w:vAlign w:val="center"/>
          </w:tcPr>
          <w:p w14:paraId="1DE72BB7" w14:textId="77777777" w:rsidR="000E7A5A" w:rsidRPr="007664ED" w:rsidRDefault="00306071" w:rsidP="00A135C5">
            <w:pPr>
              <w:spacing w:after="0" w:line="276" w:lineRule="auto"/>
              <w:jc w:val="center"/>
              <w:rPr>
                <w:rFonts w:cs="Arial"/>
                <w:sz w:val="18"/>
                <w:szCs w:val="18"/>
              </w:rPr>
            </w:pPr>
            <w:r w:rsidRPr="007664ED">
              <w:rPr>
                <w:rFonts w:cs="Arial"/>
                <w:sz w:val="18"/>
                <w:szCs w:val="18"/>
              </w:rPr>
              <w:t>41,4</w:t>
            </w:r>
          </w:p>
        </w:tc>
      </w:tr>
      <w:tr w:rsidR="000E7A5A" w:rsidRPr="007664ED" w14:paraId="12303355" w14:textId="77777777" w:rsidTr="007664ED">
        <w:tc>
          <w:tcPr>
            <w:tcW w:w="1271" w:type="dxa"/>
            <w:tcBorders>
              <w:top w:val="single" w:sz="4" w:space="0" w:color="D9D9D9"/>
              <w:bottom w:val="single" w:sz="4" w:space="0" w:color="D9D9D9"/>
            </w:tcBorders>
            <w:shd w:val="clear" w:color="auto" w:fill="E36C0A"/>
            <w:tcMar>
              <w:top w:w="0" w:type="dxa"/>
              <w:left w:w="108" w:type="dxa"/>
              <w:bottom w:w="0" w:type="dxa"/>
              <w:right w:w="108" w:type="dxa"/>
            </w:tcMar>
            <w:vAlign w:val="center"/>
          </w:tcPr>
          <w:p w14:paraId="2A4D8FC5" w14:textId="77777777" w:rsidR="000E7A5A" w:rsidRPr="007664ED" w:rsidRDefault="000E7A5A" w:rsidP="00A135C5">
            <w:pPr>
              <w:spacing w:after="0" w:line="276" w:lineRule="auto"/>
              <w:jc w:val="center"/>
              <w:rPr>
                <w:rFonts w:cs="Arial"/>
                <w:color w:val="000000"/>
                <w:sz w:val="18"/>
                <w:szCs w:val="18"/>
              </w:rPr>
            </w:pPr>
          </w:p>
        </w:tc>
        <w:tc>
          <w:tcPr>
            <w:tcW w:w="3358" w:type="dxa"/>
            <w:tcBorders>
              <w:top w:val="single" w:sz="4" w:space="0" w:color="D9D9D9"/>
              <w:bottom w:val="single" w:sz="4" w:space="0" w:color="D9D9D9"/>
            </w:tcBorders>
            <w:shd w:val="clear" w:color="auto" w:fill="auto"/>
            <w:tcMar>
              <w:top w:w="0" w:type="dxa"/>
              <w:left w:w="108" w:type="dxa"/>
              <w:bottom w:w="0" w:type="dxa"/>
              <w:right w:w="108" w:type="dxa"/>
            </w:tcMar>
            <w:vAlign w:val="center"/>
          </w:tcPr>
          <w:p w14:paraId="7C91381A" w14:textId="77777777" w:rsidR="000E7A5A" w:rsidRPr="007664ED" w:rsidRDefault="00306071" w:rsidP="00A135C5">
            <w:pPr>
              <w:spacing w:after="0" w:line="276" w:lineRule="auto"/>
              <w:rPr>
                <w:rFonts w:cs="Arial"/>
                <w:sz w:val="18"/>
                <w:szCs w:val="18"/>
              </w:rPr>
            </w:pPr>
            <w:r w:rsidRPr="007664ED">
              <w:rPr>
                <w:rFonts w:cs="Arial"/>
                <w:color w:val="000000"/>
                <w:sz w:val="18"/>
                <w:szCs w:val="18"/>
              </w:rPr>
              <w:t>Delež OVE v energiji goriv za pogon vozil</w:t>
            </w:r>
          </w:p>
        </w:tc>
        <w:tc>
          <w:tcPr>
            <w:tcW w:w="1236" w:type="dxa"/>
            <w:tcBorders>
              <w:top w:val="single" w:sz="4" w:space="0" w:color="D9D9D9"/>
              <w:bottom w:val="single" w:sz="4" w:space="0" w:color="D9D9D9"/>
            </w:tcBorders>
            <w:shd w:val="clear" w:color="auto" w:fill="auto"/>
            <w:tcMar>
              <w:top w:w="0" w:type="dxa"/>
              <w:left w:w="108" w:type="dxa"/>
              <w:bottom w:w="0" w:type="dxa"/>
              <w:right w:w="108" w:type="dxa"/>
            </w:tcMar>
            <w:vAlign w:val="center"/>
          </w:tcPr>
          <w:p w14:paraId="6A223ED8" w14:textId="77777777" w:rsidR="000E7A5A" w:rsidRPr="007664ED" w:rsidRDefault="00306071" w:rsidP="00A135C5">
            <w:pPr>
              <w:spacing w:after="0" w:line="276" w:lineRule="auto"/>
              <w:jc w:val="center"/>
              <w:rPr>
                <w:rFonts w:cs="Arial"/>
                <w:sz w:val="18"/>
                <w:szCs w:val="18"/>
              </w:rPr>
            </w:pPr>
            <w:r w:rsidRPr="007664ED">
              <w:rPr>
                <w:rFonts w:cs="Arial"/>
                <w:sz w:val="18"/>
                <w:szCs w:val="18"/>
              </w:rPr>
              <w:t>%</w:t>
            </w:r>
          </w:p>
        </w:tc>
        <w:tc>
          <w:tcPr>
            <w:tcW w:w="1320" w:type="dxa"/>
            <w:tcBorders>
              <w:top w:val="single" w:sz="4" w:space="0" w:color="D9D9D9"/>
              <w:bottom w:val="single" w:sz="4" w:space="0" w:color="D9D9D9"/>
            </w:tcBorders>
            <w:shd w:val="clear" w:color="auto" w:fill="auto"/>
            <w:tcMar>
              <w:top w:w="0" w:type="dxa"/>
              <w:left w:w="108" w:type="dxa"/>
              <w:bottom w:w="0" w:type="dxa"/>
              <w:right w:w="108" w:type="dxa"/>
            </w:tcMar>
            <w:vAlign w:val="center"/>
          </w:tcPr>
          <w:p w14:paraId="3ED1D8FC" w14:textId="77777777" w:rsidR="000E7A5A" w:rsidRPr="007664ED" w:rsidRDefault="00306071" w:rsidP="00A135C5">
            <w:pPr>
              <w:spacing w:after="0" w:line="276" w:lineRule="auto"/>
              <w:jc w:val="center"/>
              <w:rPr>
                <w:rFonts w:cs="Arial"/>
                <w:sz w:val="18"/>
                <w:szCs w:val="18"/>
              </w:rPr>
            </w:pPr>
            <w:r w:rsidRPr="007664ED">
              <w:rPr>
                <w:rFonts w:cs="Arial"/>
                <w:color w:val="E36C0A"/>
                <w:sz w:val="18"/>
                <w:szCs w:val="18"/>
              </w:rPr>
              <w:t>10,6</w:t>
            </w:r>
          </w:p>
        </w:tc>
        <w:tc>
          <w:tcPr>
            <w:tcW w:w="1238" w:type="dxa"/>
            <w:tcBorders>
              <w:top w:val="single" w:sz="4" w:space="0" w:color="D9D9D9"/>
              <w:bottom w:val="single" w:sz="4" w:space="0" w:color="D9D9D9"/>
            </w:tcBorders>
            <w:shd w:val="clear" w:color="auto" w:fill="auto"/>
            <w:tcMar>
              <w:top w:w="0" w:type="dxa"/>
              <w:left w:w="108" w:type="dxa"/>
              <w:bottom w:w="0" w:type="dxa"/>
              <w:right w:w="108" w:type="dxa"/>
            </w:tcMar>
            <w:vAlign w:val="center"/>
          </w:tcPr>
          <w:p w14:paraId="137E0056" w14:textId="77777777" w:rsidR="000E7A5A" w:rsidRPr="007664ED" w:rsidRDefault="00306071" w:rsidP="00A135C5">
            <w:pPr>
              <w:spacing w:after="0" w:line="276" w:lineRule="auto"/>
              <w:jc w:val="center"/>
              <w:rPr>
                <w:rFonts w:cs="Arial"/>
                <w:sz w:val="18"/>
                <w:szCs w:val="18"/>
              </w:rPr>
            </w:pPr>
            <w:r w:rsidRPr="007664ED">
              <w:rPr>
                <w:rFonts w:cs="Arial"/>
                <w:sz w:val="18"/>
                <w:szCs w:val="18"/>
              </w:rPr>
              <w:t>10,9</w:t>
            </w:r>
          </w:p>
        </w:tc>
        <w:tc>
          <w:tcPr>
            <w:tcW w:w="1246" w:type="dxa"/>
            <w:tcBorders>
              <w:top w:val="single" w:sz="4" w:space="0" w:color="D9D9D9"/>
              <w:bottom w:val="single" w:sz="4" w:space="0" w:color="D9D9D9"/>
            </w:tcBorders>
            <w:shd w:val="clear" w:color="auto" w:fill="auto"/>
            <w:tcMar>
              <w:top w:w="0" w:type="dxa"/>
              <w:left w:w="108" w:type="dxa"/>
              <w:bottom w:w="0" w:type="dxa"/>
              <w:right w:w="108" w:type="dxa"/>
            </w:tcMar>
            <w:vAlign w:val="center"/>
          </w:tcPr>
          <w:p w14:paraId="63DF8CFA" w14:textId="77777777" w:rsidR="000E7A5A" w:rsidRPr="007664ED" w:rsidRDefault="00306071" w:rsidP="00A135C5">
            <w:pPr>
              <w:spacing w:after="0" w:line="276" w:lineRule="auto"/>
              <w:jc w:val="center"/>
              <w:rPr>
                <w:rFonts w:cs="Arial"/>
                <w:sz w:val="18"/>
                <w:szCs w:val="18"/>
              </w:rPr>
            </w:pPr>
            <w:r w:rsidRPr="007664ED">
              <w:rPr>
                <w:rFonts w:cs="Arial"/>
                <w:sz w:val="18"/>
                <w:szCs w:val="18"/>
              </w:rPr>
              <w:t>20,8</w:t>
            </w:r>
          </w:p>
        </w:tc>
      </w:tr>
      <w:tr w:rsidR="000E7A5A" w:rsidRPr="007664ED" w14:paraId="33A1FC4C" w14:textId="77777777" w:rsidTr="007664ED">
        <w:tc>
          <w:tcPr>
            <w:tcW w:w="1271" w:type="dxa"/>
            <w:tcBorders>
              <w:top w:val="single" w:sz="4" w:space="0" w:color="D9D9D9"/>
              <w:bottom w:val="single" w:sz="4" w:space="0" w:color="FFFFFF"/>
            </w:tcBorders>
            <w:shd w:val="clear" w:color="auto" w:fill="92D050"/>
            <w:tcMar>
              <w:top w:w="0" w:type="dxa"/>
              <w:left w:w="108" w:type="dxa"/>
              <w:bottom w:w="0" w:type="dxa"/>
              <w:right w:w="108" w:type="dxa"/>
            </w:tcMar>
            <w:vAlign w:val="center"/>
          </w:tcPr>
          <w:p w14:paraId="5E2DF58E" w14:textId="77777777" w:rsidR="000E7A5A" w:rsidRPr="007664ED" w:rsidRDefault="000E7A5A" w:rsidP="00A135C5">
            <w:pPr>
              <w:spacing w:after="0" w:line="276" w:lineRule="auto"/>
              <w:jc w:val="center"/>
              <w:rPr>
                <w:rFonts w:eastAsia="Wingdings" w:cs="Arial"/>
                <w:color w:val="000000"/>
                <w:sz w:val="18"/>
                <w:szCs w:val="18"/>
              </w:rPr>
            </w:pPr>
          </w:p>
        </w:tc>
        <w:tc>
          <w:tcPr>
            <w:tcW w:w="3358" w:type="dxa"/>
            <w:tcBorders>
              <w:top w:val="single" w:sz="4" w:space="0" w:color="D9D9D9"/>
              <w:bottom w:val="single" w:sz="4" w:space="0" w:color="FFFFFF"/>
            </w:tcBorders>
            <w:shd w:val="clear" w:color="auto" w:fill="auto"/>
            <w:tcMar>
              <w:top w:w="0" w:type="dxa"/>
              <w:left w:w="108" w:type="dxa"/>
              <w:bottom w:w="0" w:type="dxa"/>
              <w:right w:w="108" w:type="dxa"/>
            </w:tcMar>
            <w:vAlign w:val="center"/>
          </w:tcPr>
          <w:p w14:paraId="243232D6" w14:textId="77777777" w:rsidR="000E7A5A" w:rsidRPr="007664ED" w:rsidRDefault="00306071" w:rsidP="00A135C5">
            <w:pPr>
              <w:spacing w:after="0" w:line="276" w:lineRule="auto"/>
              <w:rPr>
                <w:rFonts w:cs="Arial"/>
                <w:spacing w:val="-2"/>
                <w:sz w:val="18"/>
                <w:szCs w:val="18"/>
              </w:rPr>
            </w:pPr>
            <w:r w:rsidRPr="007664ED">
              <w:rPr>
                <w:rFonts w:cs="Arial"/>
                <w:spacing w:val="-2"/>
                <w:sz w:val="18"/>
                <w:szCs w:val="18"/>
              </w:rPr>
              <w:t>Delež OVE pri proizvodnji električne energije</w:t>
            </w:r>
          </w:p>
        </w:tc>
        <w:tc>
          <w:tcPr>
            <w:tcW w:w="1236" w:type="dxa"/>
            <w:tcBorders>
              <w:top w:val="single" w:sz="4" w:space="0" w:color="D9D9D9"/>
              <w:bottom w:val="single" w:sz="4" w:space="0" w:color="FFFFFF"/>
            </w:tcBorders>
            <w:shd w:val="clear" w:color="auto" w:fill="auto"/>
            <w:tcMar>
              <w:top w:w="0" w:type="dxa"/>
              <w:left w:w="108" w:type="dxa"/>
              <w:bottom w:w="0" w:type="dxa"/>
              <w:right w:w="108" w:type="dxa"/>
            </w:tcMar>
            <w:vAlign w:val="center"/>
          </w:tcPr>
          <w:p w14:paraId="34D504F3" w14:textId="77777777" w:rsidR="000E7A5A" w:rsidRPr="007664ED" w:rsidRDefault="00306071" w:rsidP="00A135C5">
            <w:pPr>
              <w:spacing w:after="0" w:line="276" w:lineRule="auto"/>
              <w:jc w:val="center"/>
              <w:rPr>
                <w:rFonts w:cs="Arial"/>
                <w:sz w:val="18"/>
                <w:szCs w:val="18"/>
              </w:rPr>
            </w:pPr>
            <w:r w:rsidRPr="007664ED">
              <w:rPr>
                <w:rFonts w:cs="Arial"/>
                <w:sz w:val="18"/>
                <w:szCs w:val="18"/>
              </w:rPr>
              <w:t>%</w:t>
            </w:r>
          </w:p>
        </w:tc>
        <w:tc>
          <w:tcPr>
            <w:tcW w:w="1320" w:type="dxa"/>
            <w:tcBorders>
              <w:top w:val="single" w:sz="4" w:space="0" w:color="D9D9D9"/>
              <w:bottom w:val="single" w:sz="4" w:space="0" w:color="FFFFFF"/>
            </w:tcBorders>
            <w:shd w:val="clear" w:color="auto" w:fill="auto"/>
            <w:tcMar>
              <w:top w:w="0" w:type="dxa"/>
              <w:left w:w="108" w:type="dxa"/>
              <w:bottom w:w="0" w:type="dxa"/>
              <w:right w:w="108" w:type="dxa"/>
            </w:tcMar>
            <w:vAlign w:val="center"/>
          </w:tcPr>
          <w:p w14:paraId="6B2BA382" w14:textId="77777777" w:rsidR="000E7A5A" w:rsidRPr="007664ED" w:rsidRDefault="00306071" w:rsidP="00A135C5">
            <w:pPr>
              <w:spacing w:after="0" w:line="276" w:lineRule="auto"/>
              <w:jc w:val="center"/>
              <w:rPr>
                <w:rFonts w:cs="Arial"/>
                <w:bCs/>
                <w:sz w:val="18"/>
                <w:szCs w:val="18"/>
              </w:rPr>
            </w:pPr>
            <w:r w:rsidRPr="007664ED">
              <w:rPr>
                <w:rFonts w:cs="Arial"/>
                <w:bCs/>
                <w:sz w:val="18"/>
                <w:szCs w:val="18"/>
              </w:rPr>
              <w:t>35,0</w:t>
            </w:r>
          </w:p>
        </w:tc>
        <w:tc>
          <w:tcPr>
            <w:tcW w:w="1238" w:type="dxa"/>
            <w:tcBorders>
              <w:top w:val="single" w:sz="4" w:space="0" w:color="D9D9D9"/>
              <w:bottom w:val="single" w:sz="4" w:space="0" w:color="FFFFFF"/>
            </w:tcBorders>
            <w:shd w:val="clear" w:color="auto" w:fill="auto"/>
            <w:tcMar>
              <w:top w:w="0" w:type="dxa"/>
              <w:left w:w="108" w:type="dxa"/>
              <w:bottom w:w="0" w:type="dxa"/>
              <w:right w:w="108" w:type="dxa"/>
            </w:tcMar>
            <w:vAlign w:val="center"/>
          </w:tcPr>
          <w:p w14:paraId="042CAC24" w14:textId="77777777" w:rsidR="000E7A5A" w:rsidRPr="007664ED" w:rsidRDefault="00306071" w:rsidP="00A135C5">
            <w:pPr>
              <w:spacing w:after="0" w:line="276" w:lineRule="auto"/>
              <w:jc w:val="center"/>
              <w:rPr>
                <w:rFonts w:cs="Arial"/>
                <w:sz w:val="18"/>
                <w:szCs w:val="18"/>
              </w:rPr>
            </w:pPr>
            <w:r w:rsidRPr="007664ED">
              <w:rPr>
                <w:rFonts w:cs="Arial"/>
                <w:sz w:val="18"/>
                <w:szCs w:val="18"/>
              </w:rPr>
              <w:t>34,3</w:t>
            </w:r>
          </w:p>
        </w:tc>
        <w:tc>
          <w:tcPr>
            <w:tcW w:w="1246" w:type="dxa"/>
            <w:tcBorders>
              <w:top w:val="single" w:sz="4" w:space="0" w:color="D9D9D9"/>
              <w:bottom w:val="single" w:sz="4" w:space="0" w:color="FFFFFF"/>
            </w:tcBorders>
            <w:shd w:val="clear" w:color="auto" w:fill="auto"/>
            <w:tcMar>
              <w:top w:w="0" w:type="dxa"/>
              <w:left w:w="108" w:type="dxa"/>
              <w:bottom w:w="0" w:type="dxa"/>
              <w:right w:w="108" w:type="dxa"/>
            </w:tcMar>
            <w:vAlign w:val="center"/>
          </w:tcPr>
          <w:p w14:paraId="40D48292" w14:textId="77777777" w:rsidR="000E7A5A" w:rsidRPr="007664ED" w:rsidRDefault="00306071" w:rsidP="00A135C5">
            <w:pPr>
              <w:spacing w:after="0" w:line="276" w:lineRule="auto"/>
              <w:jc w:val="center"/>
              <w:rPr>
                <w:rFonts w:cs="Arial"/>
                <w:sz w:val="18"/>
                <w:szCs w:val="18"/>
              </w:rPr>
            </w:pPr>
            <w:r w:rsidRPr="007664ED">
              <w:rPr>
                <w:rFonts w:cs="Arial"/>
                <w:sz w:val="18"/>
                <w:szCs w:val="18"/>
              </w:rPr>
              <w:t>43,3</w:t>
            </w:r>
          </w:p>
        </w:tc>
      </w:tr>
      <w:tr w:rsidR="000E7A5A" w:rsidRPr="007664ED" w14:paraId="2FE1E1B6" w14:textId="77777777" w:rsidTr="007664ED">
        <w:tc>
          <w:tcPr>
            <w:tcW w:w="9669" w:type="dxa"/>
            <w:gridSpan w:val="6"/>
            <w:tcBorders>
              <w:top w:val="single" w:sz="4" w:space="0" w:color="FFFFFF"/>
              <w:bottom w:val="single" w:sz="4" w:space="0" w:color="FFFFFF"/>
              <w:right w:val="single" w:sz="4" w:space="0" w:color="FFFFFF"/>
            </w:tcBorders>
            <w:shd w:val="clear" w:color="auto" w:fill="548DD4"/>
            <w:tcMar>
              <w:top w:w="0" w:type="dxa"/>
              <w:left w:w="108" w:type="dxa"/>
              <w:bottom w:w="0" w:type="dxa"/>
              <w:right w:w="108" w:type="dxa"/>
            </w:tcMar>
          </w:tcPr>
          <w:p w14:paraId="6858C09B" w14:textId="77777777" w:rsidR="000E7A5A" w:rsidRPr="007664ED" w:rsidRDefault="00306071" w:rsidP="00A135C5">
            <w:pPr>
              <w:numPr>
                <w:ilvl w:val="0"/>
                <w:numId w:val="52"/>
              </w:numPr>
              <w:spacing w:after="0" w:line="276" w:lineRule="auto"/>
              <w:ind w:left="313" w:hanging="313"/>
              <w:contextualSpacing/>
              <w:jc w:val="both"/>
              <w:rPr>
                <w:rFonts w:eastAsia="Calibri" w:cs="Arial"/>
                <w:b/>
                <w:bCs/>
                <w:smallCaps/>
                <w:color w:val="FFFFFF"/>
                <w:sz w:val="18"/>
                <w:szCs w:val="18"/>
              </w:rPr>
            </w:pPr>
            <w:r w:rsidRPr="007664ED">
              <w:rPr>
                <w:rFonts w:eastAsia="Calibri" w:cs="Arial"/>
                <w:b/>
                <w:bCs/>
                <w:smallCaps/>
                <w:color w:val="FFFFFF"/>
                <w:sz w:val="18"/>
                <w:szCs w:val="18"/>
              </w:rPr>
              <w:t>RAZSEŽNOST ENERGETSKA UČINKOVITOST</w:t>
            </w:r>
          </w:p>
        </w:tc>
      </w:tr>
      <w:tr w:rsidR="000E7A5A" w:rsidRPr="007664ED" w14:paraId="3306717A" w14:textId="77777777" w:rsidTr="007664ED">
        <w:tc>
          <w:tcPr>
            <w:tcW w:w="1271" w:type="dxa"/>
            <w:tcBorders>
              <w:top w:val="single" w:sz="4" w:space="0" w:color="FFFFFF"/>
              <w:bottom w:val="single" w:sz="4" w:space="0" w:color="D9D9D9"/>
            </w:tcBorders>
            <w:shd w:val="clear" w:color="auto" w:fill="92D050"/>
            <w:tcMar>
              <w:top w:w="0" w:type="dxa"/>
              <w:left w:w="108" w:type="dxa"/>
              <w:bottom w:w="0" w:type="dxa"/>
              <w:right w:w="108" w:type="dxa"/>
            </w:tcMar>
            <w:vAlign w:val="center"/>
          </w:tcPr>
          <w:p w14:paraId="079CD013" w14:textId="77777777" w:rsidR="000E7A5A" w:rsidRPr="007664ED" w:rsidRDefault="000E7A5A" w:rsidP="00A135C5">
            <w:pPr>
              <w:spacing w:after="0" w:line="276" w:lineRule="auto"/>
              <w:jc w:val="center"/>
              <w:rPr>
                <w:rFonts w:cs="Arial"/>
                <w:color w:val="000000"/>
                <w:sz w:val="18"/>
                <w:szCs w:val="18"/>
              </w:rPr>
            </w:pPr>
          </w:p>
        </w:tc>
        <w:tc>
          <w:tcPr>
            <w:tcW w:w="3358" w:type="dxa"/>
            <w:tcBorders>
              <w:top w:val="single" w:sz="4" w:space="0" w:color="FFFFFF"/>
              <w:bottom w:val="single" w:sz="4" w:space="0" w:color="D9D9D9"/>
            </w:tcBorders>
            <w:shd w:val="clear" w:color="auto" w:fill="auto"/>
            <w:tcMar>
              <w:top w:w="0" w:type="dxa"/>
              <w:left w:w="108" w:type="dxa"/>
              <w:bottom w:w="0" w:type="dxa"/>
              <w:right w:w="108" w:type="dxa"/>
            </w:tcMar>
            <w:vAlign w:val="center"/>
          </w:tcPr>
          <w:p w14:paraId="25E70AEC" w14:textId="77777777" w:rsidR="000E7A5A" w:rsidRPr="007664ED" w:rsidRDefault="00306071" w:rsidP="00A135C5">
            <w:pPr>
              <w:spacing w:after="0" w:line="276" w:lineRule="auto"/>
              <w:rPr>
                <w:rFonts w:cs="Arial"/>
                <w:b/>
                <w:bCs/>
                <w:sz w:val="18"/>
                <w:szCs w:val="18"/>
              </w:rPr>
            </w:pPr>
            <w:r w:rsidRPr="007664ED">
              <w:rPr>
                <w:rFonts w:cs="Arial"/>
                <w:b/>
                <w:bCs/>
                <w:sz w:val="18"/>
                <w:szCs w:val="18"/>
              </w:rPr>
              <w:t>Raba končne energije</w:t>
            </w:r>
          </w:p>
        </w:tc>
        <w:tc>
          <w:tcPr>
            <w:tcW w:w="1236" w:type="dxa"/>
            <w:tcBorders>
              <w:top w:val="single" w:sz="4" w:space="0" w:color="FFFFFF"/>
              <w:bottom w:val="single" w:sz="4" w:space="0" w:color="D9D9D9"/>
            </w:tcBorders>
            <w:shd w:val="clear" w:color="auto" w:fill="auto"/>
            <w:tcMar>
              <w:top w:w="0" w:type="dxa"/>
              <w:left w:w="108" w:type="dxa"/>
              <w:bottom w:w="0" w:type="dxa"/>
              <w:right w:w="108" w:type="dxa"/>
            </w:tcMar>
            <w:vAlign w:val="center"/>
          </w:tcPr>
          <w:p w14:paraId="2B9AC50B" w14:textId="77777777" w:rsidR="000E7A5A" w:rsidRPr="007664ED" w:rsidRDefault="00306071" w:rsidP="00A135C5">
            <w:pPr>
              <w:spacing w:after="0" w:line="276" w:lineRule="auto"/>
              <w:jc w:val="center"/>
              <w:rPr>
                <w:rFonts w:cs="Arial"/>
                <w:sz w:val="18"/>
                <w:szCs w:val="18"/>
              </w:rPr>
            </w:pPr>
            <w:proofErr w:type="spellStart"/>
            <w:r w:rsidRPr="007664ED">
              <w:rPr>
                <w:rFonts w:cs="Arial"/>
                <w:sz w:val="18"/>
                <w:szCs w:val="18"/>
              </w:rPr>
              <w:t>TWh</w:t>
            </w:r>
            <w:proofErr w:type="spellEnd"/>
          </w:p>
        </w:tc>
        <w:tc>
          <w:tcPr>
            <w:tcW w:w="1320" w:type="dxa"/>
            <w:tcBorders>
              <w:top w:val="single" w:sz="4" w:space="0" w:color="FFFFFF"/>
              <w:bottom w:val="single" w:sz="4" w:space="0" w:color="D9D9D9"/>
            </w:tcBorders>
            <w:shd w:val="clear" w:color="auto" w:fill="auto"/>
            <w:tcMar>
              <w:top w:w="0" w:type="dxa"/>
              <w:left w:w="108" w:type="dxa"/>
              <w:bottom w:w="0" w:type="dxa"/>
              <w:right w:w="108" w:type="dxa"/>
            </w:tcMar>
            <w:vAlign w:val="center"/>
          </w:tcPr>
          <w:p w14:paraId="6B861182" w14:textId="77777777" w:rsidR="000E7A5A" w:rsidRPr="007664ED" w:rsidRDefault="00306071" w:rsidP="00A135C5">
            <w:pPr>
              <w:spacing w:after="0" w:line="276" w:lineRule="auto"/>
              <w:jc w:val="center"/>
              <w:rPr>
                <w:rFonts w:cs="Arial"/>
                <w:b/>
                <w:bCs/>
                <w:color w:val="000000"/>
                <w:sz w:val="18"/>
                <w:szCs w:val="18"/>
              </w:rPr>
            </w:pPr>
            <w:r w:rsidRPr="007664ED">
              <w:rPr>
                <w:rFonts w:cs="Arial"/>
                <w:b/>
                <w:bCs/>
                <w:color w:val="000000"/>
                <w:sz w:val="18"/>
                <w:szCs w:val="18"/>
              </w:rPr>
              <w:t>55,6</w:t>
            </w:r>
          </w:p>
        </w:tc>
        <w:tc>
          <w:tcPr>
            <w:tcW w:w="1238" w:type="dxa"/>
            <w:tcBorders>
              <w:top w:val="single" w:sz="4" w:space="0" w:color="FFFFFF"/>
              <w:bottom w:val="single" w:sz="4" w:space="0" w:color="D9D9D9"/>
            </w:tcBorders>
            <w:shd w:val="clear" w:color="auto" w:fill="auto"/>
            <w:tcMar>
              <w:top w:w="0" w:type="dxa"/>
              <w:left w:w="108" w:type="dxa"/>
              <w:bottom w:w="0" w:type="dxa"/>
              <w:right w:w="108" w:type="dxa"/>
            </w:tcMar>
            <w:vAlign w:val="center"/>
          </w:tcPr>
          <w:p w14:paraId="115A9241" w14:textId="77777777" w:rsidR="000E7A5A" w:rsidRPr="007664ED" w:rsidRDefault="00306071" w:rsidP="00A135C5">
            <w:pPr>
              <w:spacing w:after="0" w:line="276" w:lineRule="auto"/>
              <w:jc w:val="center"/>
              <w:rPr>
                <w:rFonts w:cs="Arial"/>
                <w:b/>
                <w:bCs/>
                <w:color w:val="000000"/>
                <w:sz w:val="18"/>
                <w:szCs w:val="18"/>
              </w:rPr>
            </w:pPr>
            <w:r w:rsidRPr="007664ED">
              <w:rPr>
                <w:rFonts w:cs="Arial"/>
                <w:b/>
                <w:bCs/>
                <w:color w:val="000000"/>
                <w:sz w:val="18"/>
                <w:szCs w:val="18"/>
              </w:rPr>
              <w:t>56,9</w:t>
            </w:r>
          </w:p>
        </w:tc>
        <w:tc>
          <w:tcPr>
            <w:tcW w:w="1246" w:type="dxa"/>
            <w:tcBorders>
              <w:top w:val="single" w:sz="4" w:space="0" w:color="FFFFFF"/>
              <w:bottom w:val="single" w:sz="4" w:space="0" w:color="D9D9D9"/>
            </w:tcBorders>
            <w:shd w:val="clear" w:color="auto" w:fill="auto"/>
            <w:tcMar>
              <w:top w:w="0" w:type="dxa"/>
              <w:left w:w="108" w:type="dxa"/>
              <w:bottom w:w="0" w:type="dxa"/>
              <w:right w:w="108" w:type="dxa"/>
            </w:tcMar>
            <w:vAlign w:val="center"/>
          </w:tcPr>
          <w:p w14:paraId="5AA97BFD" w14:textId="77777777" w:rsidR="000E7A5A" w:rsidRPr="007664ED" w:rsidRDefault="00306071" w:rsidP="00A135C5">
            <w:pPr>
              <w:spacing w:after="0" w:line="276" w:lineRule="auto"/>
              <w:jc w:val="center"/>
              <w:rPr>
                <w:rFonts w:cs="Arial"/>
                <w:b/>
                <w:bCs/>
                <w:sz w:val="18"/>
                <w:szCs w:val="18"/>
              </w:rPr>
            </w:pPr>
            <w:r w:rsidRPr="007664ED">
              <w:rPr>
                <w:rFonts w:cs="Arial"/>
                <w:b/>
                <w:bCs/>
                <w:sz w:val="18"/>
                <w:szCs w:val="18"/>
              </w:rPr>
              <w:t>54,9</w:t>
            </w:r>
          </w:p>
        </w:tc>
      </w:tr>
      <w:tr w:rsidR="000E7A5A" w:rsidRPr="007664ED" w14:paraId="2AD65B77" w14:textId="77777777" w:rsidTr="007664ED">
        <w:tc>
          <w:tcPr>
            <w:tcW w:w="1271" w:type="dxa"/>
            <w:tcBorders>
              <w:top w:val="single" w:sz="4" w:space="0" w:color="D9D9D9"/>
              <w:bottom w:val="single" w:sz="4" w:space="0" w:color="D9D9D9"/>
            </w:tcBorders>
            <w:shd w:val="clear" w:color="auto" w:fill="92D050"/>
            <w:tcMar>
              <w:top w:w="0" w:type="dxa"/>
              <w:left w:w="108" w:type="dxa"/>
              <w:bottom w:w="0" w:type="dxa"/>
              <w:right w:w="108" w:type="dxa"/>
            </w:tcMar>
            <w:vAlign w:val="center"/>
          </w:tcPr>
          <w:p w14:paraId="193C23A0" w14:textId="77777777" w:rsidR="000E7A5A" w:rsidRPr="007664ED" w:rsidRDefault="000E7A5A" w:rsidP="00A135C5">
            <w:pPr>
              <w:spacing w:after="0" w:line="276" w:lineRule="auto"/>
              <w:jc w:val="center"/>
              <w:rPr>
                <w:rFonts w:cs="Arial"/>
                <w:color w:val="000000"/>
                <w:sz w:val="18"/>
                <w:szCs w:val="18"/>
              </w:rPr>
            </w:pPr>
          </w:p>
        </w:tc>
        <w:tc>
          <w:tcPr>
            <w:tcW w:w="3358" w:type="dxa"/>
            <w:tcBorders>
              <w:top w:val="single" w:sz="4" w:space="0" w:color="D9D9D9"/>
              <w:bottom w:val="single" w:sz="4" w:space="0" w:color="D9D9D9"/>
            </w:tcBorders>
            <w:shd w:val="clear" w:color="auto" w:fill="auto"/>
            <w:tcMar>
              <w:top w:w="0" w:type="dxa"/>
              <w:left w:w="108" w:type="dxa"/>
              <w:bottom w:w="0" w:type="dxa"/>
              <w:right w:w="108" w:type="dxa"/>
            </w:tcMar>
            <w:vAlign w:val="center"/>
          </w:tcPr>
          <w:p w14:paraId="332F5D7C" w14:textId="77777777" w:rsidR="000E7A5A" w:rsidRPr="007664ED" w:rsidRDefault="00306071" w:rsidP="00A135C5">
            <w:pPr>
              <w:spacing w:after="0" w:line="276" w:lineRule="auto"/>
              <w:rPr>
                <w:rFonts w:cs="Arial"/>
                <w:sz w:val="18"/>
                <w:szCs w:val="18"/>
              </w:rPr>
            </w:pPr>
            <w:r w:rsidRPr="007664ED">
              <w:rPr>
                <w:rFonts w:cs="Arial"/>
                <w:sz w:val="18"/>
                <w:szCs w:val="18"/>
              </w:rPr>
              <w:t>Raba primarne energije</w:t>
            </w:r>
          </w:p>
        </w:tc>
        <w:tc>
          <w:tcPr>
            <w:tcW w:w="1236" w:type="dxa"/>
            <w:tcBorders>
              <w:top w:val="single" w:sz="4" w:space="0" w:color="D9D9D9"/>
              <w:bottom w:val="single" w:sz="4" w:space="0" w:color="D9D9D9"/>
            </w:tcBorders>
            <w:shd w:val="clear" w:color="auto" w:fill="auto"/>
            <w:tcMar>
              <w:top w:w="0" w:type="dxa"/>
              <w:left w:w="108" w:type="dxa"/>
              <w:bottom w:w="0" w:type="dxa"/>
              <w:right w:w="108" w:type="dxa"/>
            </w:tcMar>
            <w:vAlign w:val="center"/>
          </w:tcPr>
          <w:p w14:paraId="3B2225E7" w14:textId="77777777" w:rsidR="000E7A5A" w:rsidRPr="007664ED" w:rsidRDefault="00306071" w:rsidP="00A135C5">
            <w:pPr>
              <w:spacing w:after="0" w:line="276" w:lineRule="auto"/>
              <w:jc w:val="center"/>
              <w:rPr>
                <w:rFonts w:cs="Arial"/>
                <w:sz w:val="18"/>
                <w:szCs w:val="18"/>
              </w:rPr>
            </w:pPr>
            <w:proofErr w:type="spellStart"/>
            <w:r w:rsidRPr="007664ED">
              <w:rPr>
                <w:rFonts w:cs="Arial"/>
                <w:sz w:val="18"/>
                <w:szCs w:val="18"/>
              </w:rPr>
              <w:t>TWh</w:t>
            </w:r>
            <w:proofErr w:type="spellEnd"/>
          </w:p>
        </w:tc>
        <w:tc>
          <w:tcPr>
            <w:tcW w:w="1320" w:type="dxa"/>
            <w:tcBorders>
              <w:top w:val="single" w:sz="4" w:space="0" w:color="D9D9D9"/>
              <w:bottom w:val="single" w:sz="4" w:space="0" w:color="D9D9D9"/>
            </w:tcBorders>
            <w:shd w:val="clear" w:color="auto" w:fill="auto"/>
            <w:tcMar>
              <w:top w:w="0" w:type="dxa"/>
              <w:left w:w="108" w:type="dxa"/>
              <w:bottom w:w="0" w:type="dxa"/>
              <w:right w:w="108" w:type="dxa"/>
            </w:tcMar>
            <w:vAlign w:val="center"/>
          </w:tcPr>
          <w:p w14:paraId="2814F02D" w14:textId="77777777" w:rsidR="000E7A5A" w:rsidRPr="007664ED" w:rsidRDefault="00306071" w:rsidP="00A135C5">
            <w:pPr>
              <w:spacing w:after="0" w:line="276" w:lineRule="auto"/>
              <w:jc w:val="center"/>
              <w:rPr>
                <w:rFonts w:cs="Arial"/>
                <w:color w:val="000000"/>
                <w:sz w:val="18"/>
                <w:szCs w:val="18"/>
              </w:rPr>
            </w:pPr>
            <w:r w:rsidRPr="007664ED">
              <w:rPr>
                <w:rFonts w:cs="Arial"/>
                <w:color w:val="000000"/>
                <w:sz w:val="18"/>
                <w:szCs w:val="18"/>
              </w:rPr>
              <w:t>75,2</w:t>
            </w:r>
          </w:p>
        </w:tc>
        <w:tc>
          <w:tcPr>
            <w:tcW w:w="1238" w:type="dxa"/>
            <w:tcBorders>
              <w:top w:val="single" w:sz="4" w:space="0" w:color="D9D9D9"/>
              <w:bottom w:val="single" w:sz="4" w:space="0" w:color="D9D9D9"/>
            </w:tcBorders>
            <w:shd w:val="clear" w:color="auto" w:fill="auto"/>
            <w:tcMar>
              <w:top w:w="0" w:type="dxa"/>
              <w:left w:w="108" w:type="dxa"/>
              <w:bottom w:w="0" w:type="dxa"/>
              <w:right w:w="108" w:type="dxa"/>
            </w:tcMar>
            <w:vAlign w:val="center"/>
          </w:tcPr>
          <w:p w14:paraId="464EBF58" w14:textId="77777777" w:rsidR="000E7A5A" w:rsidRPr="007664ED" w:rsidRDefault="00306071" w:rsidP="00A135C5">
            <w:pPr>
              <w:spacing w:after="0" w:line="276" w:lineRule="auto"/>
              <w:jc w:val="center"/>
              <w:rPr>
                <w:rFonts w:cs="Arial"/>
                <w:color w:val="000000"/>
                <w:sz w:val="18"/>
                <w:szCs w:val="18"/>
              </w:rPr>
            </w:pPr>
            <w:r w:rsidRPr="007664ED">
              <w:rPr>
                <w:rFonts w:cs="Arial"/>
                <w:color w:val="000000"/>
                <w:sz w:val="18"/>
                <w:szCs w:val="18"/>
              </w:rPr>
              <w:t>78,2</w:t>
            </w:r>
          </w:p>
        </w:tc>
        <w:tc>
          <w:tcPr>
            <w:tcW w:w="1246" w:type="dxa"/>
            <w:tcBorders>
              <w:top w:val="single" w:sz="4" w:space="0" w:color="D9D9D9"/>
              <w:bottom w:val="single" w:sz="4" w:space="0" w:color="D9D9D9"/>
            </w:tcBorders>
            <w:shd w:val="clear" w:color="auto" w:fill="auto"/>
            <w:tcMar>
              <w:top w:w="0" w:type="dxa"/>
              <w:left w:w="108" w:type="dxa"/>
              <w:bottom w:w="0" w:type="dxa"/>
              <w:right w:w="108" w:type="dxa"/>
            </w:tcMar>
            <w:vAlign w:val="center"/>
          </w:tcPr>
          <w:p w14:paraId="560F7A5E" w14:textId="77777777" w:rsidR="000E7A5A" w:rsidRPr="007664ED" w:rsidRDefault="00306071" w:rsidP="00A135C5">
            <w:pPr>
              <w:spacing w:after="0" w:line="276" w:lineRule="auto"/>
              <w:jc w:val="center"/>
              <w:rPr>
                <w:rFonts w:cs="Arial"/>
                <w:sz w:val="18"/>
                <w:szCs w:val="18"/>
              </w:rPr>
            </w:pPr>
            <w:r w:rsidRPr="007664ED">
              <w:rPr>
                <w:rFonts w:cs="Arial"/>
                <w:sz w:val="18"/>
                <w:szCs w:val="18"/>
              </w:rPr>
              <w:t>73,9</w:t>
            </w:r>
          </w:p>
        </w:tc>
      </w:tr>
      <w:tr w:rsidR="000E7A5A" w:rsidRPr="007664ED" w14:paraId="36D32B62" w14:textId="77777777" w:rsidTr="007664ED">
        <w:tc>
          <w:tcPr>
            <w:tcW w:w="1271" w:type="dxa"/>
            <w:tcBorders>
              <w:top w:val="single" w:sz="4" w:space="0" w:color="D9D9D9"/>
              <w:bottom w:val="single" w:sz="4" w:space="0" w:color="D9D9D9"/>
            </w:tcBorders>
            <w:shd w:val="clear" w:color="auto" w:fill="E36C0A"/>
            <w:tcMar>
              <w:top w:w="0" w:type="dxa"/>
              <w:left w:w="108" w:type="dxa"/>
              <w:bottom w:w="0" w:type="dxa"/>
              <w:right w:w="108" w:type="dxa"/>
            </w:tcMar>
            <w:vAlign w:val="center"/>
          </w:tcPr>
          <w:p w14:paraId="7C7FAC9C" w14:textId="77777777" w:rsidR="000E7A5A" w:rsidRPr="007664ED" w:rsidRDefault="000E7A5A" w:rsidP="00A135C5">
            <w:pPr>
              <w:spacing w:after="0" w:line="276" w:lineRule="auto"/>
              <w:jc w:val="center"/>
              <w:rPr>
                <w:rFonts w:cs="Arial"/>
                <w:color w:val="000000"/>
                <w:sz w:val="18"/>
                <w:szCs w:val="18"/>
              </w:rPr>
            </w:pPr>
          </w:p>
        </w:tc>
        <w:tc>
          <w:tcPr>
            <w:tcW w:w="3358" w:type="dxa"/>
            <w:tcBorders>
              <w:top w:val="single" w:sz="4" w:space="0" w:color="D9D9D9"/>
              <w:bottom w:val="single" w:sz="4" w:space="0" w:color="D9D9D9"/>
            </w:tcBorders>
            <w:shd w:val="clear" w:color="auto" w:fill="auto"/>
            <w:tcMar>
              <w:top w:w="0" w:type="dxa"/>
              <w:left w:w="108" w:type="dxa"/>
              <w:bottom w:w="0" w:type="dxa"/>
              <w:right w:w="108" w:type="dxa"/>
            </w:tcMar>
            <w:vAlign w:val="center"/>
          </w:tcPr>
          <w:p w14:paraId="490DC858" w14:textId="77777777" w:rsidR="000E7A5A" w:rsidRPr="007664ED" w:rsidRDefault="00306071" w:rsidP="00A135C5">
            <w:pPr>
              <w:spacing w:after="0" w:line="276" w:lineRule="auto"/>
              <w:rPr>
                <w:rFonts w:cs="Arial"/>
                <w:sz w:val="18"/>
                <w:szCs w:val="18"/>
              </w:rPr>
            </w:pPr>
            <w:r w:rsidRPr="007664ED">
              <w:rPr>
                <w:rFonts w:cs="Arial"/>
                <w:sz w:val="18"/>
                <w:szCs w:val="18"/>
              </w:rPr>
              <w:t>Prenova 3 % površine stavb osrednje vlade letno – kumulativno</w:t>
            </w:r>
          </w:p>
        </w:tc>
        <w:tc>
          <w:tcPr>
            <w:tcW w:w="1236" w:type="dxa"/>
            <w:tcBorders>
              <w:top w:val="single" w:sz="4" w:space="0" w:color="D9D9D9"/>
              <w:bottom w:val="single" w:sz="4" w:space="0" w:color="D9D9D9"/>
            </w:tcBorders>
            <w:shd w:val="clear" w:color="auto" w:fill="auto"/>
            <w:tcMar>
              <w:top w:w="0" w:type="dxa"/>
              <w:left w:w="108" w:type="dxa"/>
              <w:bottom w:w="0" w:type="dxa"/>
              <w:right w:w="108" w:type="dxa"/>
            </w:tcMar>
            <w:vAlign w:val="center"/>
          </w:tcPr>
          <w:p w14:paraId="30CBB28F" w14:textId="77777777" w:rsidR="000E7A5A" w:rsidRPr="007664ED" w:rsidRDefault="00306071" w:rsidP="00A135C5">
            <w:pPr>
              <w:spacing w:after="0" w:line="276" w:lineRule="auto"/>
              <w:jc w:val="center"/>
              <w:rPr>
                <w:rFonts w:cs="Arial"/>
                <w:sz w:val="18"/>
                <w:szCs w:val="18"/>
              </w:rPr>
            </w:pPr>
            <w:r w:rsidRPr="007664ED">
              <w:rPr>
                <w:rFonts w:cs="Arial"/>
                <w:sz w:val="18"/>
                <w:szCs w:val="18"/>
              </w:rPr>
              <w:t>m</w:t>
            </w:r>
            <w:r w:rsidRPr="007664ED">
              <w:rPr>
                <w:rFonts w:cs="Arial"/>
                <w:sz w:val="18"/>
                <w:szCs w:val="18"/>
                <w:vertAlign w:val="superscript"/>
              </w:rPr>
              <w:t>2</w:t>
            </w:r>
          </w:p>
        </w:tc>
        <w:tc>
          <w:tcPr>
            <w:tcW w:w="1320" w:type="dxa"/>
            <w:tcBorders>
              <w:top w:val="single" w:sz="4" w:space="0" w:color="D9D9D9"/>
              <w:bottom w:val="single" w:sz="4" w:space="0" w:color="D9D9D9"/>
            </w:tcBorders>
            <w:shd w:val="clear" w:color="auto" w:fill="auto"/>
            <w:tcMar>
              <w:top w:w="0" w:type="dxa"/>
              <w:left w:w="108" w:type="dxa"/>
              <w:bottom w:w="0" w:type="dxa"/>
              <w:right w:w="108" w:type="dxa"/>
            </w:tcMar>
            <w:vAlign w:val="center"/>
          </w:tcPr>
          <w:p w14:paraId="118DE295" w14:textId="77777777" w:rsidR="000E7A5A" w:rsidRPr="007664ED" w:rsidRDefault="00306071" w:rsidP="00A135C5">
            <w:pPr>
              <w:spacing w:after="0" w:line="276" w:lineRule="auto"/>
              <w:jc w:val="center"/>
              <w:rPr>
                <w:rFonts w:cs="Arial"/>
                <w:sz w:val="18"/>
                <w:szCs w:val="18"/>
              </w:rPr>
            </w:pPr>
            <w:r w:rsidRPr="007664ED">
              <w:rPr>
                <w:rFonts w:cs="Arial"/>
                <w:b/>
                <w:bCs/>
                <w:color w:val="E36C0A"/>
                <w:sz w:val="18"/>
                <w:szCs w:val="18"/>
              </w:rPr>
              <w:t>66.022</w:t>
            </w:r>
          </w:p>
        </w:tc>
        <w:tc>
          <w:tcPr>
            <w:tcW w:w="1238" w:type="dxa"/>
            <w:tcBorders>
              <w:top w:val="single" w:sz="4" w:space="0" w:color="D9D9D9"/>
              <w:bottom w:val="single" w:sz="4" w:space="0" w:color="D9D9D9"/>
            </w:tcBorders>
            <w:shd w:val="clear" w:color="auto" w:fill="auto"/>
            <w:tcMar>
              <w:top w:w="0" w:type="dxa"/>
              <w:left w:w="108" w:type="dxa"/>
              <w:bottom w:w="0" w:type="dxa"/>
              <w:right w:w="108" w:type="dxa"/>
            </w:tcMar>
            <w:vAlign w:val="center"/>
          </w:tcPr>
          <w:p w14:paraId="0B3A1E50" w14:textId="77777777" w:rsidR="000E7A5A" w:rsidRPr="007664ED" w:rsidRDefault="00306071" w:rsidP="00A135C5">
            <w:pPr>
              <w:spacing w:after="0" w:line="276" w:lineRule="auto"/>
              <w:jc w:val="center"/>
              <w:rPr>
                <w:rFonts w:cs="Arial"/>
                <w:sz w:val="18"/>
                <w:szCs w:val="18"/>
              </w:rPr>
            </w:pPr>
            <w:r w:rsidRPr="007664ED">
              <w:rPr>
                <w:rFonts w:cs="Arial"/>
                <w:color w:val="000000"/>
                <w:sz w:val="18"/>
                <w:szCs w:val="18"/>
              </w:rPr>
              <w:t>223.321</w:t>
            </w:r>
          </w:p>
        </w:tc>
        <w:tc>
          <w:tcPr>
            <w:tcW w:w="1246" w:type="dxa"/>
            <w:tcBorders>
              <w:top w:val="single" w:sz="4" w:space="0" w:color="D9D9D9"/>
              <w:bottom w:val="single" w:sz="4" w:space="0" w:color="D9D9D9"/>
            </w:tcBorders>
            <w:shd w:val="clear" w:color="auto" w:fill="auto"/>
            <w:tcMar>
              <w:top w:w="0" w:type="dxa"/>
              <w:left w:w="108" w:type="dxa"/>
              <w:bottom w:w="0" w:type="dxa"/>
              <w:right w:w="108" w:type="dxa"/>
            </w:tcMar>
            <w:vAlign w:val="center"/>
          </w:tcPr>
          <w:p w14:paraId="4FA98EAC" w14:textId="77777777" w:rsidR="000E7A5A" w:rsidRPr="007664ED" w:rsidRDefault="00306071" w:rsidP="00A135C5">
            <w:pPr>
              <w:spacing w:after="0" w:line="276" w:lineRule="auto"/>
              <w:jc w:val="center"/>
              <w:rPr>
                <w:rFonts w:cs="Arial"/>
                <w:sz w:val="18"/>
                <w:szCs w:val="18"/>
              </w:rPr>
            </w:pPr>
            <w:r w:rsidRPr="007664ED">
              <w:rPr>
                <w:rFonts w:cs="Arial"/>
                <w:color w:val="000000"/>
                <w:sz w:val="18"/>
                <w:szCs w:val="18"/>
              </w:rPr>
              <w:t>453.435</w:t>
            </w:r>
          </w:p>
        </w:tc>
      </w:tr>
      <w:tr w:rsidR="000E7A5A" w:rsidRPr="007664ED" w14:paraId="2C96A085" w14:textId="77777777" w:rsidTr="007664ED">
        <w:tc>
          <w:tcPr>
            <w:tcW w:w="1271" w:type="dxa"/>
            <w:tcBorders>
              <w:top w:val="single" w:sz="4" w:space="0" w:color="D9D9D9"/>
              <w:bottom w:val="single" w:sz="4" w:space="0" w:color="FFFFFF"/>
            </w:tcBorders>
            <w:shd w:val="clear" w:color="auto" w:fill="92D050"/>
            <w:tcMar>
              <w:top w:w="0" w:type="dxa"/>
              <w:left w:w="108" w:type="dxa"/>
              <w:bottom w:w="0" w:type="dxa"/>
              <w:right w:w="108" w:type="dxa"/>
            </w:tcMar>
            <w:vAlign w:val="center"/>
          </w:tcPr>
          <w:p w14:paraId="5E3432B4" w14:textId="77777777" w:rsidR="000E7A5A" w:rsidRPr="007664ED" w:rsidRDefault="000E7A5A" w:rsidP="00A135C5">
            <w:pPr>
              <w:spacing w:after="0" w:line="276" w:lineRule="auto"/>
              <w:jc w:val="center"/>
              <w:rPr>
                <w:rFonts w:cs="Arial"/>
                <w:color w:val="000000"/>
                <w:sz w:val="18"/>
                <w:szCs w:val="18"/>
              </w:rPr>
            </w:pPr>
          </w:p>
        </w:tc>
        <w:tc>
          <w:tcPr>
            <w:tcW w:w="3358" w:type="dxa"/>
            <w:tcBorders>
              <w:top w:val="single" w:sz="4" w:space="0" w:color="D9D9D9"/>
              <w:bottom w:val="single" w:sz="4" w:space="0" w:color="FFFFFF"/>
            </w:tcBorders>
            <w:shd w:val="clear" w:color="auto" w:fill="auto"/>
            <w:tcMar>
              <w:top w:w="0" w:type="dxa"/>
              <w:left w:w="108" w:type="dxa"/>
              <w:bottom w:w="0" w:type="dxa"/>
              <w:right w:w="108" w:type="dxa"/>
            </w:tcMar>
            <w:vAlign w:val="center"/>
          </w:tcPr>
          <w:p w14:paraId="138A1702" w14:textId="77777777" w:rsidR="000E7A5A" w:rsidRPr="007664ED" w:rsidRDefault="00306071" w:rsidP="00A135C5">
            <w:pPr>
              <w:spacing w:after="0" w:line="276" w:lineRule="auto"/>
              <w:rPr>
                <w:rFonts w:cs="Arial"/>
                <w:sz w:val="18"/>
                <w:szCs w:val="18"/>
              </w:rPr>
            </w:pPr>
            <w:r w:rsidRPr="007664ED">
              <w:rPr>
                <w:rFonts w:cs="Arial"/>
                <w:sz w:val="18"/>
                <w:szCs w:val="18"/>
              </w:rPr>
              <w:t>Sistem obveznosti energetske učinkovitosti – kumulativno</w:t>
            </w:r>
          </w:p>
        </w:tc>
        <w:tc>
          <w:tcPr>
            <w:tcW w:w="1236" w:type="dxa"/>
            <w:tcBorders>
              <w:top w:val="single" w:sz="4" w:space="0" w:color="D9D9D9"/>
              <w:bottom w:val="single" w:sz="4" w:space="0" w:color="FFFFFF"/>
            </w:tcBorders>
            <w:shd w:val="clear" w:color="auto" w:fill="auto"/>
            <w:tcMar>
              <w:top w:w="0" w:type="dxa"/>
              <w:left w:w="108" w:type="dxa"/>
              <w:bottom w:w="0" w:type="dxa"/>
              <w:right w:w="108" w:type="dxa"/>
            </w:tcMar>
            <w:vAlign w:val="center"/>
          </w:tcPr>
          <w:p w14:paraId="33A1659E" w14:textId="77777777" w:rsidR="000E7A5A" w:rsidRPr="007664ED" w:rsidRDefault="00306071" w:rsidP="00A135C5">
            <w:pPr>
              <w:spacing w:after="0" w:line="276" w:lineRule="auto"/>
              <w:jc w:val="center"/>
              <w:rPr>
                <w:rFonts w:cs="Arial"/>
                <w:sz w:val="18"/>
                <w:szCs w:val="18"/>
              </w:rPr>
            </w:pPr>
            <w:r w:rsidRPr="007664ED">
              <w:rPr>
                <w:rFonts w:cs="Arial"/>
                <w:sz w:val="18"/>
                <w:szCs w:val="18"/>
              </w:rPr>
              <w:t>GWh</w:t>
            </w:r>
          </w:p>
        </w:tc>
        <w:tc>
          <w:tcPr>
            <w:tcW w:w="1320" w:type="dxa"/>
            <w:tcBorders>
              <w:top w:val="single" w:sz="4" w:space="0" w:color="D9D9D9"/>
              <w:bottom w:val="single" w:sz="4" w:space="0" w:color="FFFFFF"/>
            </w:tcBorders>
            <w:shd w:val="clear" w:color="auto" w:fill="auto"/>
            <w:tcMar>
              <w:top w:w="0" w:type="dxa"/>
              <w:left w:w="108" w:type="dxa"/>
              <w:bottom w:w="0" w:type="dxa"/>
              <w:right w:w="108" w:type="dxa"/>
            </w:tcMar>
            <w:vAlign w:val="center"/>
          </w:tcPr>
          <w:p w14:paraId="51C43996" w14:textId="77777777" w:rsidR="000E7A5A" w:rsidRPr="007664ED" w:rsidRDefault="00306071" w:rsidP="00A135C5">
            <w:pPr>
              <w:spacing w:after="0" w:line="276" w:lineRule="auto"/>
              <w:jc w:val="center"/>
              <w:rPr>
                <w:rFonts w:cs="Arial"/>
                <w:sz w:val="18"/>
                <w:szCs w:val="18"/>
              </w:rPr>
            </w:pPr>
            <w:r w:rsidRPr="007664ED">
              <w:rPr>
                <w:rFonts w:cs="Arial"/>
                <w:color w:val="000000"/>
                <w:sz w:val="18"/>
                <w:szCs w:val="18"/>
              </w:rPr>
              <w:t>610,4</w:t>
            </w:r>
          </w:p>
        </w:tc>
        <w:tc>
          <w:tcPr>
            <w:tcW w:w="1238" w:type="dxa"/>
            <w:tcBorders>
              <w:top w:val="single" w:sz="4" w:space="0" w:color="D9D9D9"/>
              <w:bottom w:val="single" w:sz="4" w:space="0" w:color="FFFFFF"/>
            </w:tcBorders>
            <w:shd w:val="clear" w:color="auto" w:fill="auto"/>
            <w:tcMar>
              <w:top w:w="0" w:type="dxa"/>
              <w:left w:w="108" w:type="dxa"/>
              <w:bottom w:w="0" w:type="dxa"/>
              <w:right w:w="108" w:type="dxa"/>
            </w:tcMar>
            <w:vAlign w:val="center"/>
          </w:tcPr>
          <w:p w14:paraId="6FE20B80" w14:textId="77777777" w:rsidR="000E7A5A" w:rsidRPr="007664ED" w:rsidRDefault="00306071" w:rsidP="00A135C5">
            <w:pPr>
              <w:spacing w:after="0" w:line="276" w:lineRule="auto"/>
              <w:jc w:val="center"/>
              <w:rPr>
                <w:rFonts w:cs="Arial"/>
                <w:sz w:val="18"/>
                <w:szCs w:val="18"/>
              </w:rPr>
            </w:pPr>
            <w:r w:rsidRPr="007664ED">
              <w:rPr>
                <w:rFonts w:cs="Arial"/>
                <w:color w:val="000000"/>
                <w:sz w:val="18"/>
                <w:szCs w:val="18"/>
              </w:rPr>
              <w:t>458,7</w:t>
            </w:r>
          </w:p>
        </w:tc>
        <w:tc>
          <w:tcPr>
            <w:tcW w:w="1246" w:type="dxa"/>
            <w:tcBorders>
              <w:top w:val="single" w:sz="4" w:space="0" w:color="D9D9D9"/>
              <w:bottom w:val="single" w:sz="4" w:space="0" w:color="FFFFFF"/>
            </w:tcBorders>
            <w:shd w:val="clear" w:color="auto" w:fill="auto"/>
            <w:tcMar>
              <w:top w:w="0" w:type="dxa"/>
              <w:left w:w="108" w:type="dxa"/>
              <w:bottom w:w="0" w:type="dxa"/>
              <w:right w:w="108" w:type="dxa"/>
            </w:tcMar>
            <w:vAlign w:val="center"/>
          </w:tcPr>
          <w:p w14:paraId="4DE02FCD" w14:textId="77777777" w:rsidR="000E7A5A" w:rsidRPr="007664ED" w:rsidRDefault="00306071" w:rsidP="00A135C5">
            <w:pPr>
              <w:spacing w:after="0" w:line="276" w:lineRule="auto"/>
              <w:jc w:val="center"/>
              <w:rPr>
                <w:rFonts w:cs="Arial"/>
                <w:sz w:val="18"/>
                <w:szCs w:val="18"/>
              </w:rPr>
            </w:pPr>
            <w:r w:rsidRPr="007664ED">
              <w:rPr>
                <w:rFonts w:cs="Arial"/>
                <w:color w:val="000000"/>
                <w:sz w:val="18"/>
                <w:szCs w:val="18"/>
              </w:rPr>
              <w:t>25.230</w:t>
            </w:r>
          </w:p>
        </w:tc>
      </w:tr>
      <w:tr w:rsidR="000E7A5A" w:rsidRPr="007664ED" w14:paraId="653DEFAF" w14:textId="77777777" w:rsidTr="007664ED">
        <w:tc>
          <w:tcPr>
            <w:tcW w:w="9669" w:type="dxa"/>
            <w:gridSpan w:val="6"/>
            <w:tcBorders>
              <w:top w:val="single" w:sz="4" w:space="0" w:color="FFFFFF"/>
              <w:bottom w:val="single" w:sz="4" w:space="0" w:color="FFFFFF"/>
              <w:right w:val="single" w:sz="4" w:space="0" w:color="FFFFFF"/>
            </w:tcBorders>
            <w:shd w:val="clear" w:color="auto" w:fill="548DD4"/>
            <w:tcMar>
              <w:top w:w="0" w:type="dxa"/>
              <w:left w:w="108" w:type="dxa"/>
              <w:bottom w:w="0" w:type="dxa"/>
              <w:right w:w="108" w:type="dxa"/>
            </w:tcMar>
          </w:tcPr>
          <w:p w14:paraId="2998C803" w14:textId="77777777" w:rsidR="000E7A5A" w:rsidRPr="007664ED" w:rsidRDefault="00306071" w:rsidP="00A135C5">
            <w:pPr>
              <w:numPr>
                <w:ilvl w:val="0"/>
                <w:numId w:val="52"/>
              </w:numPr>
              <w:spacing w:after="0" w:line="276" w:lineRule="auto"/>
              <w:ind w:left="313" w:hanging="313"/>
              <w:contextualSpacing/>
              <w:jc w:val="both"/>
              <w:rPr>
                <w:rFonts w:eastAsia="Calibri" w:cs="Arial"/>
                <w:b/>
                <w:bCs/>
                <w:smallCaps/>
                <w:color w:val="FFFFFF"/>
                <w:sz w:val="18"/>
                <w:szCs w:val="18"/>
              </w:rPr>
            </w:pPr>
            <w:r w:rsidRPr="007664ED">
              <w:rPr>
                <w:rFonts w:eastAsia="Calibri" w:cs="Arial"/>
                <w:b/>
                <w:bCs/>
                <w:smallCaps/>
                <w:color w:val="FFFFFF"/>
                <w:sz w:val="18"/>
                <w:szCs w:val="18"/>
              </w:rPr>
              <w:t>RAZSEŽNOST ENERGETSKA VARNOST</w:t>
            </w:r>
          </w:p>
        </w:tc>
      </w:tr>
      <w:tr w:rsidR="000E7A5A" w:rsidRPr="007664ED" w14:paraId="55516E50" w14:textId="77777777" w:rsidTr="007664ED">
        <w:tc>
          <w:tcPr>
            <w:tcW w:w="1271" w:type="dxa"/>
            <w:tcBorders>
              <w:top w:val="single" w:sz="4" w:space="0" w:color="FFFFFF"/>
              <w:bottom w:val="single" w:sz="4" w:space="0" w:color="FFFFFF"/>
            </w:tcBorders>
            <w:shd w:val="clear" w:color="auto" w:fill="92D050"/>
            <w:tcMar>
              <w:top w:w="0" w:type="dxa"/>
              <w:left w:w="108" w:type="dxa"/>
              <w:bottom w:w="0" w:type="dxa"/>
              <w:right w:w="108" w:type="dxa"/>
            </w:tcMar>
            <w:vAlign w:val="center"/>
          </w:tcPr>
          <w:p w14:paraId="1420E930" w14:textId="77777777" w:rsidR="000E7A5A" w:rsidRPr="007664ED" w:rsidRDefault="000E7A5A" w:rsidP="00A135C5">
            <w:pPr>
              <w:spacing w:after="0" w:line="276" w:lineRule="auto"/>
              <w:jc w:val="center"/>
              <w:rPr>
                <w:rFonts w:cs="Arial"/>
                <w:color w:val="000000"/>
                <w:sz w:val="18"/>
                <w:szCs w:val="18"/>
              </w:rPr>
            </w:pPr>
          </w:p>
        </w:tc>
        <w:tc>
          <w:tcPr>
            <w:tcW w:w="3358" w:type="dxa"/>
            <w:tcBorders>
              <w:top w:val="single" w:sz="4" w:space="0" w:color="FFFFFF"/>
              <w:bottom w:val="single" w:sz="4" w:space="0" w:color="FFFFFF"/>
            </w:tcBorders>
            <w:shd w:val="clear" w:color="auto" w:fill="auto"/>
            <w:tcMar>
              <w:top w:w="0" w:type="dxa"/>
              <w:left w:w="108" w:type="dxa"/>
              <w:bottom w:w="0" w:type="dxa"/>
              <w:right w:w="108" w:type="dxa"/>
            </w:tcMar>
            <w:vAlign w:val="center"/>
          </w:tcPr>
          <w:p w14:paraId="4D9E9D65" w14:textId="77777777" w:rsidR="000E7A5A" w:rsidRPr="007664ED" w:rsidRDefault="00306071" w:rsidP="00A135C5">
            <w:pPr>
              <w:spacing w:after="0" w:line="276" w:lineRule="auto"/>
              <w:rPr>
                <w:rFonts w:cs="Arial"/>
                <w:b/>
                <w:bCs/>
                <w:sz w:val="18"/>
                <w:szCs w:val="18"/>
              </w:rPr>
            </w:pPr>
            <w:r w:rsidRPr="007664ED">
              <w:rPr>
                <w:rFonts w:cs="Arial"/>
                <w:b/>
                <w:bCs/>
                <w:sz w:val="18"/>
                <w:szCs w:val="18"/>
              </w:rPr>
              <w:t>Vsaj 75 % oskrba z električno energijo iz virov v Sloveniji</w:t>
            </w:r>
          </w:p>
        </w:tc>
        <w:tc>
          <w:tcPr>
            <w:tcW w:w="1236" w:type="dxa"/>
            <w:tcBorders>
              <w:top w:val="single" w:sz="4" w:space="0" w:color="FFFFFF"/>
              <w:bottom w:val="single" w:sz="4" w:space="0" w:color="FFFFFF"/>
            </w:tcBorders>
            <w:shd w:val="clear" w:color="auto" w:fill="auto"/>
            <w:tcMar>
              <w:top w:w="0" w:type="dxa"/>
              <w:left w:w="108" w:type="dxa"/>
              <w:bottom w:w="0" w:type="dxa"/>
              <w:right w:w="108" w:type="dxa"/>
            </w:tcMar>
            <w:vAlign w:val="center"/>
          </w:tcPr>
          <w:p w14:paraId="5909060E" w14:textId="77777777" w:rsidR="000E7A5A" w:rsidRPr="007664ED" w:rsidRDefault="00306071" w:rsidP="00A135C5">
            <w:pPr>
              <w:spacing w:after="0" w:line="276" w:lineRule="auto"/>
              <w:jc w:val="center"/>
              <w:rPr>
                <w:rFonts w:cs="Arial"/>
                <w:b/>
                <w:bCs/>
                <w:sz w:val="18"/>
                <w:szCs w:val="18"/>
              </w:rPr>
            </w:pPr>
            <w:r w:rsidRPr="007664ED">
              <w:rPr>
                <w:rFonts w:cs="Arial"/>
                <w:b/>
                <w:bCs/>
                <w:sz w:val="18"/>
                <w:szCs w:val="18"/>
              </w:rPr>
              <w:t>%</w:t>
            </w:r>
          </w:p>
        </w:tc>
        <w:tc>
          <w:tcPr>
            <w:tcW w:w="1320" w:type="dxa"/>
            <w:tcBorders>
              <w:top w:val="single" w:sz="4" w:space="0" w:color="FFFFFF"/>
              <w:bottom w:val="single" w:sz="4" w:space="0" w:color="FFFFFF"/>
            </w:tcBorders>
            <w:shd w:val="clear" w:color="auto" w:fill="auto"/>
            <w:tcMar>
              <w:top w:w="0" w:type="dxa"/>
              <w:left w:w="108" w:type="dxa"/>
              <w:bottom w:w="0" w:type="dxa"/>
              <w:right w:w="108" w:type="dxa"/>
            </w:tcMar>
            <w:vAlign w:val="center"/>
          </w:tcPr>
          <w:p w14:paraId="4A3A232C" w14:textId="77777777" w:rsidR="000E7A5A" w:rsidRPr="007664ED" w:rsidRDefault="00306071" w:rsidP="00A135C5">
            <w:pPr>
              <w:spacing w:after="0" w:line="276" w:lineRule="auto"/>
              <w:jc w:val="center"/>
              <w:rPr>
                <w:rFonts w:cs="Arial"/>
                <w:b/>
                <w:bCs/>
                <w:color w:val="000000"/>
                <w:sz w:val="18"/>
                <w:szCs w:val="18"/>
              </w:rPr>
            </w:pPr>
            <w:r w:rsidRPr="007664ED">
              <w:rPr>
                <w:rFonts w:cs="Arial"/>
                <w:b/>
                <w:bCs/>
                <w:color w:val="000000"/>
                <w:sz w:val="18"/>
                <w:szCs w:val="18"/>
              </w:rPr>
              <w:t>83</w:t>
            </w:r>
          </w:p>
        </w:tc>
        <w:tc>
          <w:tcPr>
            <w:tcW w:w="1238" w:type="dxa"/>
            <w:tcBorders>
              <w:top w:val="single" w:sz="4" w:space="0" w:color="FFFFFF"/>
              <w:bottom w:val="single" w:sz="4" w:space="0" w:color="FFFFFF"/>
            </w:tcBorders>
            <w:shd w:val="clear" w:color="auto" w:fill="auto"/>
            <w:tcMar>
              <w:top w:w="0" w:type="dxa"/>
              <w:left w:w="108" w:type="dxa"/>
              <w:bottom w:w="0" w:type="dxa"/>
              <w:right w:w="108" w:type="dxa"/>
            </w:tcMar>
            <w:vAlign w:val="center"/>
          </w:tcPr>
          <w:p w14:paraId="336431E4" w14:textId="77777777" w:rsidR="000E7A5A" w:rsidRPr="007664ED" w:rsidRDefault="000E7A5A" w:rsidP="00A135C5">
            <w:pPr>
              <w:spacing w:after="0" w:line="276" w:lineRule="auto"/>
              <w:jc w:val="center"/>
              <w:rPr>
                <w:rFonts w:cs="Arial"/>
                <w:b/>
                <w:bCs/>
                <w:color w:val="000000"/>
                <w:sz w:val="18"/>
                <w:szCs w:val="18"/>
              </w:rPr>
            </w:pPr>
          </w:p>
        </w:tc>
        <w:tc>
          <w:tcPr>
            <w:tcW w:w="1246" w:type="dxa"/>
            <w:tcBorders>
              <w:top w:val="single" w:sz="4" w:space="0" w:color="FFFFFF"/>
              <w:bottom w:val="single" w:sz="4" w:space="0" w:color="FFFFFF"/>
            </w:tcBorders>
            <w:shd w:val="clear" w:color="auto" w:fill="auto"/>
            <w:tcMar>
              <w:top w:w="0" w:type="dxa"/>
              <w:left w:w="108" w:type="dxa"/>
              <w:bottom w:w="0" w:type="dxa"/>
              <w:right w:w="108" w:type="dxa"/>
            </w:tcMar>
            <w:vAlign w:val="center"/>
          </w:tcPr>
          <w:p w14:paraId="25DAC8AD" w14:textId="77777777" w:rsidR="000E7A5A" w:rsidRPr="007664ED" w:rsidRDefault="00306071" w:rsidP="00A135C5">
            <w:pPr>
              <w:spacing w:after="0" w:line="276" w:lineRule="auto"/>
              <w:jc w:val="center"/>
              <w:rPr>
                <w:rFonts w:cs="Arial"/>
                <w:b/>
                <w:bCs/>
                <w:sz w:val="18"/>
                <w:szCs w:val="18"/>
              </w:rPr>
            </w:pPr>
            <w:r w:rsidRPr="007664ED">
              <w:rPr>
                <w:rFonts w:cs="Arial"/>
                <w:b/>
                <w:bCs/>
                <w:sz w:val="18"/>
                <w:szCs w:val="18"/>
              </w:rPr>
              <w:t>≥ 75</w:t>
            </w:r>
          </w:p>
        </w:tc>
      </w:tr>
      <w:tr w:rsidR="000E7A5A" w:rsidRPr="007664ED" w14:paraId="4F6C539B" w14:textId="77777777" w:rsidTr="007664ED">
        <w:tc>
          <w:tcPr>
            <w:tcW w:w="9669" w:type="dxa"/>
            <w:gridSpan w:val="6"/>
            <w:tcBorders>
              <w:top w:val="single" w:sz="4" w:space="0" w:color="FFFFFF"/>
              <w:bottom w:val="single" w:sz="4" w:space="0" w:color="FFFFFF"/>
              <w:right w:val="single" w:sz="4" w:space="0" w:color="FFFFFF"/>
            </w:tcBorders>
            <w:shd w:val="clear" w:color="auto" w:fill="548DD4"/>
            <w:tcMar>
              <w:top w:w="0" w:type="dxa"/>
              <w:left w:w="108" w:type="dxa"/>
              <w:bottom w:w="0" w:type="dxa"/>
              <w:right w:w="108" w:type="dxa"/>
            </w:tcMar>
          </w:tcPr>
          <w:p w14:paraId="3001C842" w14:textId="77777777" w:rsidR="000E7A5A" w:rsidRPr="007664ED" w:rsidRDefault="00306071" w:rsidP="00A135C5">
            <w:pPr>
              <w:numPr>
                <w:ilvl w:val="0"/>
                <w:numId w:val="52"/>
              </w:numPr>
              <w:spacing w:after="0" w:line="276" w:lineRule="auto"/>
              <w:ind w:left="313" w:hanging="313"/>
              <w:contextualSpacing/>
              <w:jc w:val="both"/>
              <w:rPr>
                <w:rFonts w:eastAsia="Calibri" w:cs="Arial"/>
                <w:b/>
                <w:bCs/>
                <w:smallCaps/>
                <w:color w:val="FFFFFF"/>
                <w:sz w:val="18"/>
                <w:szCs w:val="18"/>
              </w:rPr>
            </w:pPr>
            <w:r w:rsidRPr="007664ED">
              <w:rPr>
                <w:rFonts w:eastAsia="Calibri" w:cs="Arial"/>
                <w:b/>
                <w:bCs/>
                <w:smallCaps/>
                <w:color w:val="FFFFFF"/>
                <w:sz w:val="18"/>
                <w:szCs w:val="18"/>
              </w:rPr>
              <w:t>RAZSEŽNOST NOTRANJI TRG ENERGIJE</w:t>
            </w:r>
          </w:p>
        </w:tc>
      </w:tr>
      <w:tr w:rsidR="000E7A5A" w:rsidRPr="007664ED" w14:paraId="72DEE23C" w14:textId="77777777" w:rsidTr="007664ED">
        <w:tc>
          <w:tcPr>
            <w:tcW w:w="1271" w:type="dxa"/>
            <w:tcBorders>
              <w:top w:val="single" w:sz="4" w:space="0" w:color="FFFFFF"/>
              <w:bottom w:val="single" w:sz="4" w:space="0" w:color="FFFFFF"/>
            </w:tcBorders>
            <w:shd w:val="clear" w:color="auto" w:fill="E36C0A"/>
            <w:tcMar>
              <w:top w:w="0" w:type="dxa"/>
              <w:left w:w="108" w:type="dxa"/>
              <w:bottom w:w="0" w:type="dxa"/>
              <w:right w:w="108" w:type="dxa"/>
            </w:tcMar>
            <w:vAlign w:val="center"/>
          </w:tcPr>
          <w:p w14:paraId="09D05407" w14:textId="77777777" w:rsidR="000E7A5A" w:rsidRPr="007664ED" w:rsidRDefault="000E7A5A" w:rsidP="00A135C5">
            <w:pPr>
              <w:spacing w:after="0" w:line="276" w:lineRule="auto"/>
              <w:jc w:val="center"/>
              <w:rPr>
                <w:rFonts w:cs="Arial"/>
                <w:color w:val="000000"/>
                <w:sz w:val="18"/>
                <w:szCs w:val="18"/>
              </w:rPr>
            </w:pPr>
          </w:p>
        </w:tc>
        <w:tc>
          <w:tcPr>
            <w:tcW w:w="3358" w:type="dxa"/>
            <w:tcBorders>
              <w:top w:val="single" w:sz="4" w:space="0" w:color="FFFFFF"/>
              <w:bottom w:val="single" w:sz="4" w:space="0" w:color="FFFFFF"/>
            </w:tcBorders>
            <w:shd w:val="clear" w:color="auto" w:fill="auto"/>
            <w:tcMar>
              <w:top w:w="0" w:type="dxa"/>
              <w:left w:w="108" w:type="dxa"/>
              <w:bottom w:w="0" w:type="dxa"/>
              <w:right w:w="108" w:type="dxa"/>
            </w:tcMar>
            <w:vAlign w:val="center"/>
          </w:tcPr>
          <w:p w14:paraId="1834478B" w14:textId="77777777" w:rsidR="000E7A5A" w:rsidRPr="007664ED" w:rsidRDefault="00306071" w:rsidP="00A135C5">
            <w:pPr>
              <w:spacing w:after="0" w:line="276" w:lineRule="auto"/>
              <w:rPr>
                <w:rFonts w:cs="Arial"/>
                <w:b/>
                <w:bCs/>
                <w:sz w:val="18"/>
                <w:szCs w:val="18"/>
              </w:rPr>
            </w:pPr>
            <w:r w:rsidRPr="007664ED">
              <w:rPr>
                <w:rFonts w:cs="Arial"/>
                <w:b/>
                <w:bCs/>
                <w:sz w:val="18"/>
                <w:szCs w:val="18"/>
              </w:rPr>
              <w:t>Zagotoviti dodatne finančne, človeške in tehnične vire razvoj omrežja za distribucijo električne energije</w:t>
            </w:r>
          </w:p>
        </w:tc>
        <w:tc>
          <w:tcPr>
            <w:tcW w:w="1236" w:type="dxa"/>
            <w:tcBorders>
              <w:top w:val="single" w:sz="4" w:space="0" w:color="FFFFFF"/>
              <w:bottom w:val="single" w:sz="4" w:space="0" w:color="FFFFFF"/>
            </w:tcBorders>
            <w:shd w:val="clear" w:color="auto" w:fill="auto"/>
            <w:tcMar>
              <w:top w:w="0" w:type="dxa"/>
              <w:left w:w="108" w:type="dxa"/>
              <w:bottom w:w="0" w:type="dxa"/>
              <w:right w:w="108" w:type="dxa"/>
            </w:tcMar>
            <w:vAlign w:val="center"/>
          </w:tcPr>
          <w:p w14:paraId="28A95F69" w14:textId="77777777" w:rsidR="000E7A5A" w:rsidRPr="007664ED" w:rsidRDefault="00306071" w:rsidP="00A135C5">
            <w:pPr>
              <w:spacing w:after="0" w:line="276" w:lineRule="auto"/>
              <w:jc w:val="center"/>
              <w:rPr>
                <w:rFonts w:cs="Arial"/>
                <w:sz w:val="18"/>
                <w:szCs w:val="18"/>
              </w:rPr>
            </w:pPr>
            <w:r w:rsidRPr="007664ED">
              <w:rPr>
                <w:rFonts w:cs="Arial"/>
                <w:sz w:val="18"/>
                <w:szCs w:val="18"/>
              </w:rPr>
              <w:t>-</w:t>
            </w:r>
          </w:p>
        </w:tc>
        <w:tc>
          <w:tcPr>
            <w:tcW w:w="1320" w:type="dxa"/>
            <w:tcBorders>
              <w:top w:val="single" w:sz="4" w:space="0" w:color="FFFFFF"/>
              <w:bottom w:val="single" w:sz="4" w:space="0" w:color="FFFFFF"/>
            </w:tcBorders>
            <w:shd w:val="clear" w:color="auto" w:fill="auto"/>
            <w:tcMar>
              <w:top w:w="0" w:type="dxa"/>
              <w:left w:w="108" w:type="dxa"/>
              <w:bottom w:w="0" w:type="dxa"/>
              <w:right w:w="108" w:type="dxa"/>
            </w:tcMar>
            <w:vAlign w:val="center"/>
          </w:tcPr>
          <w:p w14:paraId="04BE16AA" w14:textId="77777777" w:rsidR="000E7A5A" w:rsidRPr="007664ED" w:rsidRDefault="00306071" w:rsidP="00A135C5">
            <w:pPr>
              <w:spacing w:after="0" w:line="276" w:lineRule="auto"/>
              <w:jc w:val="center"/>
              <w:rPr>
                <w:rFonts w:cs="Arial"/>
                <w:sz w:val="18"/>
                <w:szCs w:val="18"/>
              </w:rPr>
            </w:pPr>
            <w:r w:rsidRPr="007664ED">
              <w:rPr>
                <w:rFonts w:cs="Arial"/>
                <w:b/>
                <w:bCs/>
                <w:color w:val="E36C0A"/>
                <w:sz w:val="18"/>
                <w:szCs w:val="18"/>
              </w:rPr>
              <w:t>zmanjšanje</w:t>
            </w:r>
            <w:r w:rsidRPr="007664ED">
              <w:rPr>
                <w:rFonts w:cs="Arial"/>
                <w:b/>
                <w:bCs/>
                <w:color w:val="E36C0A"/>
                <w:sz w:val="18"/>
                <w:szCs w:val="18"/>
                <w:vertAlign w:val="superscript"/>
              </w:rPr>
              <w:footnoteReference w:id="19"/>
            </w:r>
          </w:p>
        </w:tc>
        <w:tc>
          <w:tcPr>
            <w:tcW w:w="1238" w:type="dxa"/>
            <w:tcBorders>
              <w:top w:val="single" w:sz="4" w:space="0" w:color="FFFFFF"/>
              <w:bottom w:val="single" w:sz="4" w:space="0" w:color="FFFFFF"/>
            </w:tcBorders>
            <w:shd w:val="clear" w:color="auto" w:fill="auto"/>
            <w:tcMar>
              <w:top w:w="0" w:type="dxa"/>
              <w:left w:w="108" w:type="dxa"/>
              <w:bottom w:w="0" w:type="dxa"/>
              <w:right w:w="108" w:type="dxa"/>
            </w:tcMar>
            <w:vAlign w:val="center"/>
          </w:tcPr>
          <w:p w14:paraId="0B78313B" w14:textId="77777777" w:rsidR="000E7A5A" w:rsidRPr="007664ED" w:rsidRDefault="000E7A5A" w:rsidP="00A135C5">
            <w:pPr>
              <w:spacing w:after="0" w:line="276" w:lineRule="auto"/>
              <w:jc w:val="center"/>
              <w:rPr>
                <w:rFonts w:cs="Arial"/>
                <w:color w:val="000000"/>
                <w:sz w:val="18"/>
                <w:szCs w:val="18"/>
              </w:rPr>
            </w:pPr>
          </w:p>
        </w:tc>
        <w:tc>
          <w:tcPr>
            <w:tcW w:w="1246" w:type="dxa"/>
            <w:tcBorders>
              <w:top w:val="single" w:sz="4" w:space="0" w:color="FFFFFF"/>
              <w:bottom w:val="single" w:sz="4" w:space="0" w:color="FFFFFF"/>
            </w:tcBorders>
            <w:shd w:val="clear" w:color="auto" w:fill="auto"/>
            <w:tcMar>
              <w:top w:w="0" w:type="dxa"/>
              <w:left w:w="108" w:type="dxa"/>
              <w:bottom w:w="0" w:type="dxa"/>
              <w:right w:w="108" w:type="dxa"/>
            </w:tcMar>
            <w:vAlign w:val="center"/>
          </w:tcPr>
          <w:p w14:paraId="1D056420" w14:textId="77777777" w:rsidR="000E7A5A" w:rsidRPr="007664ED" w:rsidRDefault="00306071" w:rsidP="00A135C5">
            <w:pPr>
              <w:spacing w:after="0" w:line="276" w:lineRule="auto"/>
              <w:jc w:val="center"/>
              <w:rPr>
                <w:rFonts w:cs="Arial"/>
                <w:b/>
                <w:bCs/>
                <w:color w:val="000000"/>
                <w:sz w:val="18"/>
                <w:szCs w:val="18"/>
              </w:rPr>
            </w:pPr>
            <w:r w:rsidRPr="007664ED">
              <w:rPr>
                <w:rFonts w:cs="Arial"/>
                <w:b/>
                <w:bCs/>
                <w:color w:val="000000"/>
                <w:sz w:val="18"/>
                <w:szCs w:val="18"/>
              </w:rPr>
              <w:t>povečanje</w:t>
            </w:r>
          </w:p>
        </w:tc>
      </w:tr>
      <w:tr w:rsidR="000E7A5A" w:rsidRPr="007664ED" w14:paraId="0E980C35" w14:textId="77777777" w:rsidTr="007664ED">
        <w:tc>
          <w:tcPr>
            <w:tcW w:w="9669" w:type="dxa"/>
            <w:gridSpan w:val="6"/>
            <w:tcBorders>
              <w:top w:val="single" w:sz="4" w:space="0" w:color="FFFFFF"/>
              <w:bottom w:val="single" w:sz="4" w:space="0" w:color="FFFFFF"/>
              <w:right w:val="single" w:sz="4" w:space="0" w:color="FFFFFF"/>
            </w:tcBorders>
            <w:shd w:val="clear" w:color="auto" w:fill="548DD4"/>
            <w:tcMar>
              <w:top w:w="0" w:type="dxa"/>
              <w:left w:w="108" w:type="dxa"/>
              <w:bottom w:w="0" w:type="dxa"/>
              <w:right w:w="108" w:type="dxa"/>
            </w:tcMar>
          </w:tcPr>
          <w:p w14:paraId="6B9A03FE" w14:textId="77777777" w:rsidR="000E7A5A" w:rsidRPr="007664ED" w:rsidRDefault="00306071" w:rsidP="00A135C5">
            <w:pPr>
              <w:numPr>
                <w:ilvl w:val="0"/>
                <w:numId w:val="52"/>
              </w:numPr>
              <w:spacing w:after="0" w:line="276" w:lineRule="auto"/>
              <w:ind w:left="313" w:hanging="313"/>
              <w:contextualSpacing/>
              <w:jc w:val="both"/>
              <w:rPr>
                <w:rFonts w:eastAsia="Calibri" w:cs="Arial"/>
                <w:b/>
                <w:bCs/>
                <w:smallCaps/>
                <w:color w:val="FFFFFF"/>
                <w:sz w:val="18"/>
                <w:szCs w:val="18"/>
              </w:rPr>
            </w:pPr>
            <w:r w:rsidRPr="007664ED">
              <w:rPr>
                <w:rFonts w:eastAsia="Calibri" w:cs="Arial"/>
                <w:b/>
                <w:bCs/>
                <w:smallCaps/>
                <w:color w:val="FFFFFF"/>
                <w:sz w:val="18"/>
                <w:szCs w:val="18"/>
              </w:rPr>
              <w:t>RAZSEŽNOST RAZISKAVE, INOVACIJE IN KONKURENČNOST</w:t>
            </w:r>
          </w:p>
        </w:tc>
      </w:tr>
      <w:tr w:rsidR="000E7A5A" w:rsidRPr="007664ED" w14:paraId="723652F2" w14:textId="77777777" w:rsidTr="007664ED">
        <w:tc>
          <w:tcPr>
            <w:tcW w:w="1271" w:type="dxa"/>
            <w:tcBorders>
              <w:top w:val="single" w:sz="4" w:space="0" w:color="FFFFFF"/>
              <w:bottom w:val="single" w:sz="4" w:space="0" w:color="D9D9D9"/>
            </w:tcBorders>
            <w:shd w:val="clear" w:color="auto" w:fill="E36C0A"/>
            <w:tcMar>
              <w:top w:w="0" w:type="dxa"/>
              <w:left w:w="108" w:type="dxa"/>
              <w:bottom w:w="0" w:type="dxa"/>
              <w:right w:w="108" w:type="dxa"/>
            </w:tcMar>
            <w:vAlign w:val="center"/>
          </w:tcPr>
          <w:p w14:paraId="7A18F423" w14:textId="77777777" w:rsidR="000E7A5A" w:rsidRPr="007664ED" w:rsidRDefault="000E7A5A" w:rsidP="00A135C5">
            <w:pPr>
              <w:spacing w:after="0" w:line="276" w:lineRule="auto"/>
              <w:jc w:val="center"/>
              <w:rPr>
                <w:rFonts w:cs="Arial"/>
                <w:color w:val="000000"/>
                <w:sz w:val="18"/>
                <w:szCs w:val="18"/>
              </w:rPr>
            </w:pPr>
          </w:p>
        </w:tc>
        <w:tc>
          <w:tcPr>
            <w:tcW w:w="3358" w:type="dxa"/>
            <w:tcBorders>
              <w:top w:val="single" w:sz="4" w:space="0" w:color="FFFFFF"/>
              <w:bottom w:val="single" w:sz="4" w:space="0" w:color="D9D9D9"/>
            </w:tcBorders>
            <w:shd w:val="clear" w:color="auto" w:fill="auto"/>
            <w:tcMar>
              <w:top w:w="0" w:type="dxa"/>
              <w:left w:w="108" w:type="dxa"/>
              <w:bottom w:w="0" w:type="dxa"/>
              <w:right w:w="108" w:type="dxa"/>
            </w:tcMar>
            <w:vAlign w:val="center"/>
          </w:tcPr>
          <w:p w14:paraId="2A5AED55" w14:textId="77777777" w:rsidR="000E7A5A" w:rsidRPr="007664ED" w:rsidRDefault="00306071" w:rsidP="00A135C5">
            <w:pPr>
              <w:spacing w:after="0" w:line="276" w:lineRule="auto"/>
              <w:rPr>
                <w:rFonts w:cs="Arial"/>
                <w:b/>
                <w:bCs/>
                <w:sz w:val="18"/>
                <w:szCs w:val="18"/>
              </w:rPr>
            </w:pPr>
            <w:r w:rsidRPr="007664ED">
              <w:rPr>
                <w:rFonts w:cs="Arial"/>
                <w:b/>
                <w:bCs/>
                <w:sz w:val="18"/>
                <w:szCs w:val="18"/>
              </w:rPr>
              <w:t>Povečati vlaganja v raziskave in razvoj – najmanj 3 % BDP do leta 2030 (od tega 1 % BDP javnih sredstev)</w:t>
            </w:r>
          </w:p>
        </w:tc>
        <w:tc>
          <w:tcPr>
            <w:tcW w:w="1236" w:type="dxa"/>
            <w:tcBorders>
              <w:top w:val="single" w:sz="4" w:space="0" w:color="FFFFFF"/>
              <w:bottom w:val="single" w:sz="4" w:space="0" w:color="D9D9D9"/>
            </w:tcBorders>
            <w:shd w:val="clear" w:color="auto" w:fill="auto"/>
            <w:tcMar>
              <w:top w:w="0" w:type="dxa"/>
              <w:left w:w="108" w:type="dxa"/>
              <w:bottom w:w="0" w:type="dxa"/>
              <w:right w:w="108" w:type="dxa"/>
            </w:tcMar>
            <w:vAlign w:val="center"/>
          </w:tcPr>
          <w:p w14:paraId="7D4FB137" w14:textId="77777777" w:rsidR="000E7A5A" w:rsidRPr="007664ED" w:rsidRDefault="00306071" w:rsidP="00A135C5">
            <w:pPr>
              <w:spacing w:after="0" w:line="276" w:lineRule="auto"/>
              <w:jc w:val="center"/>
              <w:rPr>
                <w:rFonts w:cs="Arial"/>
                <w:sz w:val="18"/>
                <w:szCs w:val="18"/>
              </w:rPr>
            </w:pPr>
            <w:r w:rsidRPr="007664ED">
              <w:rPr>
                <w:rFonts w:cs="Arial"/>
                <w:sz w:val="18"/>
                <w:szCs w:val="18"/>
              </w:rPr>
              <w:t>%</w:t>
            </w:r>
          </w:p>
        </w:tc>
        <w:tc>
          <w:tcPr>
            <w:tcW w:w="1320" w:type="dxa"/>
            <w:tcBorders>
              <w:top w:val="single" w:sz="4" w:space="0" w:color="FFFFFF"/>
              <w:bottom w:val="single" w:sz="4" w:space="0" w:color="D9D9D9"/>
            </w:tcBorders>
            <w:shd w:val="clear" w:color="auto" w:fill="auto"/>
            <w:tcMar>
              <w:top w:w="0" w:type="dxa"/>
              <w:left w:w="108" w:type="dxa"/>
              <w:bottom w:w="0" w:type="dxa"/>
              <w:right w:w="108" w:type="dxa"/>
            </w:tcMar>
            <w:vAlign w:val="center"/>
          </w:tcPr>
          <w:p w14:paraId="754E74ED" w14:textId="77777777" w:rsidR="000E7A5A" w:rsidRPr="007664ED" w:rsidRDefault="00306071" w:rsidP="00A135C5">
            <w:pPr>
              <w:spacing w:after="0" w:line="276" w:lineRule="auto"/>
              <w:jc w:val="center"/>
              <w:rPr>
                <w:rFonts w:cs="Arial"/>
                <w:sz w:val="18"/>
                <w:szCs w:val="18"/>
              </w:rPr>
            </w:pPr>
            <w:r w:rsidRPr="007664ED">
              <w:rPr>
                <w:rFonts w:cs="Arial"/>
                <w:b/>
                <w:color w:val="E36C0A"/>
                <w:sz w:val="18"/>
                <w:szCs w:val="18"/>
              </w:rPr>
              <w:t>2,</w:t>
            </w:r>
            <w:r w:rsidRPr="007664ED">
              <w:rPr>
                <w:rFonts w:cs="Arial"/>
                <w:b/>
                <w:bCs/>
                <w:color w:val="E36C0A"/>
                <w:sz w:val="18"/>
                <w:szCs w:val="18"/>
              </w:rPr>
              <w:t>14</w:t>
            </w:r>
            <w:r w:rsidRPr="007664ED">
              <w:rPr>
                <w:rFonts w:cs="Arial"/>
                <w:b/>
                <w:color w:val="E36C0A"/>
                <w:sz w:val="18"/>
                <w:szCs w:val="18"/>
              </w:rPr>
              <w:t xml:space="preserve"> (0,</w:t>
            </w:r>
            <w:r w:rsidRPr="007664ED">
              <w:rPr>
                <w:rFonts w:cs="Arial"/>
                <w:b/>
                <w:bCs/>
                <w:color w:val="E36C0A"/>
                <w:sz w:val="18"/>
                <w:szCs w:val="18"/>
              </w:rPr>
              <w:t>57</w:t>
            </w:r>
            <w:r w:rsidRPr="007664ED">
              <w:rPr>
                <w:rFonts w:cs="Arial"/>
                <w:b/>
                <w:color w:val="E36C0A"/>
                <w:sz w:val="18"/>
                <w:szCs w:val="18"/>
              </w:rPr>
              <w:t>)</w:t>
            </w:r>
          </w:p>
        </w:tc>
        <w:tc>
          <w:tcPr>
            <w:tcW w:w="1238" w:type="dxa"/>
            <w:tcBorders>
              <w:top w:val="single" w:sz="4" w:space="0" w:color="FFFFFF"/>
              <w:bottom w:val="single" w:sz="4" w:space="0" w:color="D9D9D9"/>
            </w:tcBorders>
            <w:shd w:val="clear" w:color="auto" w:fill="auto"/>
            <w:tcMar>
              <w:top w:w="0" w:type="dxa"/>
              <w:left w:w="108" w:type="dxa"/>
              <w:bottom w:w="0" w:type="dxa"/>
              <w:right w:w="108" w:type="dxa"/>
            </w:tcMar>
            <w:vAlign w:val="center"/>
          </w:tcPr>
          <w:p w14:paraId="5DE8A24E" w14:textId="77777777" w:rsidR="000E7A5A" w:rsidRPr="007664ED" w:rsidRDefault="000E7A5A" w:rsidP="00A135C5">
            <w:pPr>
              <w:spacing w:after="0" w:line="276" w:lineRule="auto"/>
              <w:jc w:val="center"/>
              <w:rPr>
                <w:rFonts w:cs="Arial"/>
                <w:color w:val="000000"/>
                <w:sz w:val="18"/>
                <w:szCs w:val="18"/>
              </w:rPr>
            </w:pPr>
          </w:p>
        </w:tc>
        <w:tc>
          <w:tcPr>
            <w:tcW w:w="1246" w:type="dxa"/>
            <w:tcBorders>
              <w:top w:val="single" w:sz="4" w:space="0" w:color="FFFFFF"/>
              <w:bottom w:val="single" w:sz="4" w:space="0" w:color="D9D9D9"/>
            </w:tcBorders>
            <w:shd w:val="clear" w:color="auto" w:fill="auto"/>
            <w:tcMar>
              <w:top w:w="0" w:type="dxa"/>
              <w:left w:w="108" w:type="dxa"/>
              <w:bottom w:w="0" w:type="dxa"/>
              <w:right w:w="108" w:type="dxa"/>
            </w:tcMar>
            <w:vAlign w:val="center"/>
          </w:tcPr>
          <w:p w14:paraId="40A76E11" w14:textId="77777777" w:rsidR="000E7A5A" w:rsidRPr="007664ED" w:rsidRDefault="00306071" w:rsidP="00A135C5">
            <w:pPr>
              <w:spacing w:after="0" w:line="276" w:lineRule="auto"/>
              <w:jc w:val="center"/>
              <w:rPr>
                <w:rFonts w:cs="Arial"/>
                <w:sz w:val="18"/>
                <w:szCs w:val="18"/>
              </w:rPr>
            </w:pPr>
            <w:r w:rsidRPr="007664ED">
              <w:rPr>
                <w:rFonts w:cs="Arial"/>
                <w:b/>
                <w:bCs/>
                <w:sz w:val="18"/>
                <w:szCs w:val="18"/>
              </w:rPr>
              <w:t xml:space="preserve">≥ </w:t>
            </w:r>
            <w:r w:rsidRPr="007664ED">
              <w:rPr>
                <w:rFonts w:cs="Arial"/>
                <w:b/>
                <w:bCs/>
                <w:color w:val="000000"/>
                <w:sz w:val="18"/>
                <w:szCs w:val="18"/>
              </w:rPr>
              <w:t>3 (1)</w:t>
            </w:r>
          </w:p>
        </w:tc>
      </w:tr>
    </w:tbl>
    <w:p w14:paraId="39E3D05A" w14:textId="77777777" w:rsidR="00477072" w:rsidRDefault="00477072" w:rsidP="00F7FCEE">
      <w:pPr>
        <w:spacing w:after="0" w:line="276" w:lineRule="auto"/>
        <w:jc w:val="both"/>
        <w:rPr>
          <w:rFonts w:cs="Arial"/>
        </w:rPr>
      </w:pPr>
      <w:bookmarkStart w:id="3433" w:name="_Hlk187758903"/>
    </w:p>
    <w:p w14:paraId="77CC56CC" w14:textId="77777777" w:rsidR="00477072" w:rsidRDefault="00477072" w:rsidP="00F7FCEE">
      <w:pPr>
        <w:spacing w:after="0" w:line="276" w:lineRule="auto"/>
        <w:jc w:val="both"/>
        <w:rPr>
          <w:rFonts w:cs="Arial"/>
        </w:rPr>
      </w:pPr>
    </w:p>
    <w:p w14:paraId="02A6AB81" w14:textId="77777777" w:rsidR="00477072" w:rsidRDefault="00477072" w:rsidP="00F7FCEE">
      <w:pPr>
        <w:spacing w:after="0" w:line="276" w:lineRule="auto"/>
        <w:jc w:val="both"/>
        <w:rPr>
          <w:rFonts w:cs="Arial"/>
        </w:rPr>
      </w:pPr>
    </w:p>
    <w:p w14:paraId="03D18904" w14:textId="77777777" w:rsidR="00477072" w:rsidRDefault="00477072" w:rsidP="00F7FCEE">
      <w:pPr>
        <w:spacing w:after="0" w:line="276" w:lineRule="auto"/>
        <w:jc w:val="both"/>
        <w:rPr>
          <w:rFonts w:cs="Arial"/>
        </w:rPr>
      </w:pPr>
    </w:p>
    <w:p w14:paraId="72BBF1FE" w14:textId="77777777" w:rsidR="00477072" w:rsidRDefault="00477072" w:rsidP="00F7FCEE">
      <w:pPr>
        <w:spacing w:after="0" w:line="276" w:lineRule="auto"/>
        <w:jc w:val="both"/>
        <w:rPr>
          <w:rFonts w:cs="Arial"/>
        </w:rPr>
      </w:pPr>
    </w:p>
    <w:p w14:paraId="350DB424" w14:textId="77777777" w:rsidR="00477072" w:rsidRDefault="00477072" w:rsidP="00F7FCEE">
      <w:pPr>
        <w:spacing w:after="0" w:line="276" w:lineRule="auto"/>
        <w:jc w:val="both"/>
        <w:rPr>
          <w:rFonts w:cs="Arial"/>
        </w:rPr>
      </w:pPr>
    </w:p>
    <w:p w14:paraId="33EDAE1C" w14:textId="77777777" w:rsidR="00477072" w:rsidRDefault="00477072" w:rsidP="00F7FCEE">
      <w:pPr>
        <w:spacing w:after="0" w:line="276" w:lineRule="auto"/>
        <w:jc w:val="both"/>
        <w:rPr>
          <w:rFonts w:cs="Arial"/>
        </w:rPr>
      </w:pPr>
    </w:p>
    <w:p w14:paraId="07B8AEAC" w14:textId="77777777" w:rsidR="00477072" w:rsidRDefault="00477072" w:rsidP="00F7FCEE">
      <w:pPr>
        <w:spacing w:after="0" w:line="276" w:lineRule="auto"/>
        <w:jc w:val="both"/>
        <w:rPr>
          <w:rFonts w:cs="Arial"/>
        </w:rPr>
      </w:pPr>
    </w:p>
    <w:p w14:paraId="69C054B7" w14:textId="77777777" w:rsidR="00477072" w:rsidRDefault="00477072" w:rsidP="00F7FCEE">
      <w:pPr>
        <w:spacing w:after="0" w:line="276" w:lineRule="auto"/>
        <w:jc w:val="both"/>
        <w:rPr>
          <w:rFonts w:cs="Arial"/>
        </w:rPr>
      </w:pPr>
    </w:p>
    <w:p w14:paraId="2A74204B" w14:textId="77777777" w:rsidR="00477072" w:rsidRDefault="00477072" w:rsidP="00F7FCEE">
      <w:pPr>
        <w:spacing w:after="0" w:line="276" w:lineRule="auto"/>
        <w:jc w:val="both"/>
        <w:rPr>
          <w:rFonts w:cs="Arial"/>
        </w:rPr>
      </w:pPr>
    </w:p>
    <w:p w14:paraId="724D6F1C" w14:textId="77777777" w:rsidR="00477072" w:rsidRDefault="00477072" w:rsidP="00F7FCEE">
      <w:pPr>
        <w:spacing w:after="0" w:line="276" w:lineRule="auto"/>
        <w:jc w:val="both"/>
        <w:rPr>
          <w:rFonts w:cs="Arial"/>
        </w:rPr>
      </w:pPr>
    </w:p>
    <w:p w14:paraId="33FF19AB" w14:textId="77777777" w:rsidR="00477072" w:rsidRDefault="00477072" w:rsidP="00F7FCEE">
      <w:pPr>
        <w:spacing w:after="0" w:line="276" w:lineRule="auto"/>
        <w:jc w:val="both"/>
        <w:rPr>
          <w:rFonts w:cs="Arial"/>
        </w:rPr>
      </w:pPr>
    </w:p>
    <w:p w14:paraId="79BC94C2" w14:textId="77777777" w:rsidR="00477072" w:rsidRDefault="00477072" w:rsidP="00F7FCEE">
      <w:pPr>
        <w:spacing w:after="0" w:line="276" w:lineRule="auto"/>
        <w:jc w:val="both"/>
        <w:rPr>
          <w:rFonts w:cs="Arial"/>
        </w:rPr>
      </w:pPr>
    </w:p>
    <w:p w14:paraId="704A9B95" w14:textId="77777777" w:rsidR="00477072" w:rsidRDefault="00477072" w:rsidP="00F7FCEE">
      <w:pPr>
        <w:spacing w:after="0" w:line="276" w:lineRule="auto"/>
        <w:jc w:val="both"/>
        <w:rPr>
          <w:rFonts w:cs="Arial"/>
        </w:rPr>
      </w:pPr>
    </w:p>
    <w:p w14:paraId="1692866C" w14:textId="77777777" w:rsidR="00477072" w:rsidRDefault="00477072" w:rsidP="00F7FCEE">
      <w:pPr>
        <w:spacing w:after="0" w:line="276" w:lineRule="auto"/>
        <w:jc w:val="both"/>
        <w:rPr>
          <w:rFonts w:cs="Arial"/>
        </w:rPr>
      </w:pPr>
    </w:p>
    <w:p w14:paraId="2139449D" w14:textId="77777777" w:rsidR="00477072" w:rsidRDefault="00477072" w:rsidP="00F7FCEE">
      <w:pPr>
        <w:spacing w:after="0" w:line="276" w:lineRule="auto"/>
        <w:jc w:val="both"/>
        <w:rPr>
          <w:rFonts w:cs="Arial"/>
        </w:rPr>
      </w:pPr>
    </w:p>
    <w:p w14:paraId="757C764E" w14:textId="77777777" w:rsidR="00477072" w:rsidRDefault="00477072" w:rsidP="00F7FCEE">
      <w:pPr>
        <w:spacing w:after="0" w:line="276" w:lineRule="auto"/>
        <w:jc w:val="both"/>
        <w:rPr>
          <w:rFonts w:cs="Arial"/>
        </w:rPr>
      </w:pPr>
    </w:p>
    <w:p w14:paraId="4721AC20" w14:textId="77777777" w:rsidR="00477072" w:rsidRDefault="00477072" w:rsidP="00F7FCEE">
      <w:pPr>
        <w:spacing w:after="0" w:line="276" w:lineRule="auto"/>
        <w:jc w:val="both"/>
        <w:rPr>
          <w:rFonts w:cs="Arial"/>
        </w:rPr>
      </w:pPr>
    </w:p>
    <w:p w14:paraId="16695B50" w14:textId="77777777" w:rsidR="00477072" w:rsidRDefault="00477072" w:rsidP="00F7FCEE">
      <w:pPr>
        <w:spacing w:after="0" w:line="276" w:lineRule="auto"/>
        <w:jc w:val="both"/>
        <w:rPr>
          <w:rFonts w:cs="Arial"/>
        </w:rPr>
      </w:pPr>
    </w:p>
    <w:p w14:paraId="659F0618" w14:textId="77777777" w:rsidR="00477072" w:rsidRDefault="00477072" w:rsidP="00F7FCEE">
      <w:pPr>
        <w:spacing w:after="0" w:line="276" w:lineRule="auto"/>
        <w:jc w:val="both"/>
        <w:rPr>
          <w:rFonts w:cs="Arial"/>
        </w:rPr>
      </w:pPr>
    </w:p>
    <w:p w14:paraId="0D205650" w14:textId="77777777" w:rsidR="00477072" w:rsidRDefault="00477072" w:rsidP="00F7FCEE">
      <w:pPr>
        <w:spacing w:after="0" w:line="276" w:lineRule="auto"/>
        <w:jc w:val="both"/>
        <w:rPr>
          <w:rFonts w:cs="Arial"/>
        </w:rPr>
      </w:pPr>
    </w:p>
    <w:p w14:paraId="7690A4FD" w14:textId="77777777" w:rsidR="00477072" w:rsidRDefault="00477072" w:rsidP="00F7FCEE">
      <w:pPr>
        <w:spacing w:after="0" w:line="276" w:lineRule="auto"/>
        <w:jc w:val="both"/>
        <w:rPr>
          <w:rFonts w:cs="Arial"/>
        </w:rPr>
      </w:pPr>
    </w:p>
    <w:p w14:paraId="48136EBB" w14:textId="77777777" w:rsidR="00477072" w:rsidRDefault="00477072" w:rsidP="00F7FCEE">
      <w:pPr>
        <w:spacing w:after="0" w:line="276" w:lineRule="auto"/>
        <w:jc w:val="both"/>
        <w:rPr>
          <w:rFonts w:cs="Arial"/>
        </w:rPr>
      </w:pPr>
    </w:p>
    <w:p w14:paraId="0AE5867E" w14:textId="77777777" w:rsidR="00477072" w:rsidRDefault="00477072" w:rsidP="00F7FCEE">
      <w:pPr>
        <w:spacing w:after="0" w:line="276" w:lineRule="auto"/>
        <w:jc w:val="both"/>
        <w:rPr>
          <w:rFonts w:cs="Arial"/>
        </w:rPr>
      </w:pPr>
    </w:p>
    <w:p w14:paraId="24EDFC1A" w14:textId="77777777" w:rsidR="00477072" w:rsidRDefault="00477072" w:rsidP="00F7FCEE">
      <w:pPr>
        <w:spacing w:after="0" w:line="276" w:lineRule="auto"/>
        <w:jc w:val="both"/>
        <w:rPr>
          <w:rFonts w:cs="Arial"/>
        </w:rPr>
      </w:pPr>
    </w:p>
    <w:p w14:paraId="1E045405" w14:textId="77777777" w:rsidR="00477072" w:rsidRDefault="00477072" w:rsidP="00F7FCEE">
      <w:pPr>
        <w:spacing w:after="0" w:line="276" w:lineRule="auto"/>
        <w:jc w:val="both"/>
        <w:rPr>
          <w:rFonts w:cs="Arial"/>
        </w:rPr>
      </w:pPr>
    </w:p>
    <w:p w14:paraId="5EA49C56" w14:textId="77777777" w:rsidR="00477072" w:rsidRDefault="00477072" w:rsidP="00F7FCEE">
      <w:pPr>
        <w:spacing w:after="0" w:line="276" w:lineRule="auto"/>
        <w:jc w:val="both"/>
        <w:rPr>
          <w:rFonts w:cs="Arial"/>
        </w:rPr>
      </w:pPr>
    </w:p>
    <w:p w14:paraId="5FA9CE02" w14:textId="77777777" w:rsidR="00477072" w:rsidRDefault="00477072" w:rsidP="00F7FCEE">
      <w:pPr>
        <w:spacing w:after="0" w:line="276" w:lineRule="auto"/>
        <w:jc w:val="both"/>
        <w:rPr>
          <w:rFonts w:cs="Arial"/>
        </w:rPr>
      </w:pPr>
    </w:p>
    <w:p w14:paraId="6551337C" w14:textId="77777777" w:rsidR="00477072" w:rsidRDefault="00477072" w:rsidP="00F7FCEE">
      <w:pPr>
        <w:spacing w:after="0" w:line="276" w:lineRule="auto"/>
        <w:jc w:val="both"/>
        <w:rPr>
          <w:rFonts w:cs="Arial"/>
        </w:rPr>
      </w:pPr>
    </w:p>
    <w:p w14:paraId="0ACD51EA" w14:textId="77777777" w:rsidR="00477072" w:rsidRDefault="00477072" w:rsidP="00F7FCEE">
      <w:pPr>
        <w:spacing w:after="0" w:line="276" w:lineRule="auto"/>
        <w:jc w:val="both"/>
        <w:rPr>
          <w:rFonts w:cs="Arial"/>
        </w:rPr>
      </w:pPr>
    </w:p>
    <w:p w14:paraId="2BDDCFA7" w14:textId="77777777" w:rsidR="00477072" w:rsidRDefault="00477072" w:rsidP="00F7FCEE">
      <w:pPr>
        <w:spacing w:after="0" w:line="276" w:lineRule="auto"/>
        <w:jc w:val="both"/>
        <w:rPr>
          <w:rFonts w:cs="Arial"/>
        </w:rPr>
      </w:pPr>
    </w:p>
    <w:p w14:paraId="45989DD0" w14:textId="77777777" w:rsidR="00477072" w:rsidRDefault="00477072" w:rsidP="00F7FCEE">
      <w:pPr>
        <w:spacing w:after="0" w:line="276" w:lineRule="auto"/>
        <w:jc w:val="both"/>
        <w:rPr>
          <w:rFonts w:cs="Arial"/>
        </w:rPr>
      </w:pPr>
    </w:p>
    <w:p w14:paraId="5AF86D10" w14:textId="77777777" w:rsidR="00477072" w:rsidRDefault="00477072" w:rsidP="00F7FCEE">
      <w:pPr>
        <w:spacing w:after="0" w:line="276" w:lineRule="auto"/>
        <w:jc w:val="both"/>
        <w:rPr>
          <w:rFonts w:cs="Arial"/>
        </w:rPr>
      </w:pPr>
    </w:p>
    <w:p w14:paraId="63B9C924" w14:textId="77777777" w:rsidR="00477072" w:rsidRDefault="00477072" w:rsidP="00F7FCEE">
      <w:pPr>
        <w:spacing w:after="0" w:line="276" w:lineRule="auto"/>
        <w:jc w:val="both"/>
        <w:rPr>
          <w:rFonts w:cs="Arial"/>
        </w:rPr>
      </w:pPr>
    </w:p>
    <w:p w14:paraId="5EE6EA53" w14:textId="73664CE9" w:rsidR="007664ED" w:rsidRDefault="4EE128E9" w:rsidP="00F7FCEE">
      <w:pPr>
        <w:spacing w:after="0" w:line="276" w:lineRule="auto"/>
        <w:jc w:val="both"/>
        <w:rPr>
          <w:rStyle w:val="Hiperpovezava"/>
          <w:rFonts w:eastAsia="Arial" w:cs="Arial"/>
          <w:szCs w:val="20"/>
        </w:rPr>
      </w:pPr>
      <w:r w:rsidRPr="00F7FCEE">
        <w:rPr>
          <w:rFonts w:cs="Arial"/>
        </w:rPr>
        <w:t xml:space="preserve">Vir: </w:t>
      </w:r>
      <w:hyperlink r:id="rId41" w:history="1">
        <w:r w:rsidR="375E5E96" w:rsidRPr="00F7FCEE">
          <w:rPr>
            <w:rStyle w:val="Hiperpovezava"/>
            <w:rFonts w:eastAsia="Arial" w:cs="Arial"/>
            <w:szCs w:val="20"/>
          </w:rPr>
          <w:t>Posodobljeni Celoviti nacionalni energetski in podnebni načrt Republike Slovenije 2024, december 2024</w:t>
        </w:r>
      </w:hyperlink>
    </w:p>
    <w:bookmarkEnd w:id="3433"/>
    <w:p w14:paraId="4BB1F9A1" w14:textId="77777777" w:rsidR="007664ED" w:rsidRDefault="007664ED" w:rsidP="00E247FF">
      <w:pPr>
        <w:spacing w:after="0" w:line="276" w:lineRule="auto"/>
        <w:jc w:val="both"/>
        <w:rPr>
          <w:rFonts w:cs="Arial"/>
        </w:rPr>
      </w:pPr>
    </w:p>
    <w:p w14:paraId="3C014FDC" w14:textId="77777777" w:rsidR="007664ED" w:rsidRDefault="007664ED" w:rsidP="00E247FF">
      <w:pPr>
        <w:spacing w:after="0" w:line="276" w:lineRule="auto"/>
        <w:jc w:val="both"/>
        <w:rPr>
          <w:rFonts w:cs="Arial"/>
        </w:rPr>
      </w:pPr>
    </w:p>
    <w:p w14:paraId="4B37F525" w14:textId="77777777" w:rsidR="007664ED" w:rsidRDefault="007664ED" w:rsidP="00E247FF">
      <w:pPr>
        <w:spacing w:after="0" w:line="276" w:lineRule="auto"/>
        <w:jc w:val="both"/>
        <w:rPr>
          <w:rFonts w:cs="Arial"/>
        </w:rPr>
      </w:pPr>
    </w:p>
    <w:p w14:paraId="545B57EC" w14:textId="77777777" w:rsidR="007664ED" w:rsidRDefault="007664ED" w:rsidP="00E247FF">
      <w:pPr>
        <w:spacing w:after="0" w:line="276" w:lineRule="auto"/>
        <w:jc w:val="both"/>
        <w:rPr>
          <w:rFonts w:cs="Arial"/>
        </w:rPr>
      </w:pPr>
    </w:p>
    <w:p w14:paraId="3BC554E8" w14:textId="77777777" w:rsidR="007664ED" w:rsidRDefault="007664ED" w:rsidP="00E247FF">
      <w:pPr>
        <w:spacing w:after="0" w:line="276" w:lineRule="auto"/>
        <w:jc w:val="both"/>
        <w:rPr>
          <w:rFonts w:cs="Arial"/>
        </w:rPr>
      </w:pPr>
    </w:p>
    <w:p w14:paraId="4A4A9A7B" w14:textId="77777777" w:rsidR="007664ED" w:rsidRDefault="007664ED" w:rsidP="00E247FF">
      <w:pPr>
        <w:spacing w:after="0" w:line="276" w:lineRule="auto"/>
        <w:jc w:val="both"/>
        <w:rPr>
          <w:rFonts w:cs="Arial"/>
        </w:rPr>
        <w:sectPr w:rsidR="007664ED" w:rsidSect="007664ED">
          <w:headerReference w:type="even" r:id="rId42"/>
          <w:headerReference w:type="default" r:id="rId43"/>
          <w:headerReference w:type="first" r:id="rId44"/>
          <w:pgSz w:w="11906" w:h="16838"/>
          <w:pgMar w:top="737" w:right="737" w:bottom="737" w:left="737" w:header="709" w:footer="709" w:gutter="0"/>
          <w:cols w:space="708"/>
          <w:docGrid w:linePitch="272"/>
        </w:sectPr>
      </w:pPr>
    </w:p>
    <w:p w14:paraId="015D1F05" w14:textId="542E6FFF" w:rsidR="000E7A5A" w:rsidRPr="006620B6" w:rsidRDefault="00306071" w:rsidP="00E247FF">
      <w:pPr>
        <w:spacing w:after="0" w:line="276" w:lineRule="auto"/>
        <w:jc w:val="both"/>
        <w:rPr>
          <w:rFonts w:cs="Arial"/>
        </w:rPr>
      </w:pPr>
      <w:r w:rsidRPr="00F425EA">
        <w:rPr>
          <w:rFonts w:cs="Arial"/>
          <w:b/>
          <w:bCs/>
        </w:rPr>
        <w:lastRenderedPageBreak/>
        <w:t>Glede: (i) ciljev iz posodobljenega NEPN, zlasti na področju energije iz obnovljivih virov in energijske učinkovitosti</w:t>
      </w:r>
    </w:p>
    <w:p w14:paraId="6C7BA834" w14:textId="77777777" w:rsidR="000E7A5A" w:rsidRPr="00F425EA" w:rsidRDefault="000E7A5A" w:rsidP="00E247FF">
      <w:pPr>
        <w:spacing w:after="0" w:line="276" w:lineRule="auto"/>
        <w:jc w:val="both"/>
        <w:rPr>
          <w:rFonts w:cs="Arial"/>
        </w:rPr>
      </w:pPr>
    </w:p>
    <w:p w14:paraId="5EF0C53B" w14:textId="3A2690E1" w:rsidR="000E7A5A" w:rsidRPr="00F425EA" w:rsidRDefault="79F683D0" w:rsidP="00E247FF">
      <w:pPr>
        <w:spacing w:after="0" w:line="276" w:lineRule="auto"/>
        <w:jc w:val="both"/>
        <w:rPr>
          <w:rFonts w:cs="Arial"/>
        </w:rPr>
      </w:pPr>
      <w:r w:rsidRPr="00F7FCEE">
        <w:rPr>
          <w:rFonts w:cs="Arial"/>
        </w:rPr>
        <w:t>Posodobljeni NEPN 2024 je bil sprejet 18. 12. 2024 na Vladi RS.</w:t>
      </w:r>
    </w:p>
    <w:p w14:paraId="55CB54DB" w14:textId="77777777" w:rsidR="000E7A5A" w:rsidRPr="00F425EA" w:rsidRDefault="000E7A5A" w:rsidP="00E247FF">
      <w:pPr>
        <w:spacing w:after="0" w:line="276" w:lineRule="auto"/>
        <w:jc w:val="both"/>
        <w:rPr>
          <w:rFonts w:cs="Arial"/>
        </w:rPr>
      </w:pPr>
    </w:p>
    <w:p w14:paraId="74832907" w14:textId="77777777" w:rsidR="000E7A5A" w:rsidRPr="00F425EA" w:rsidRDefault="00306071" w:rsidP="00E247FF">
      <w:pPr>
        <w:spacing w:after="0" w:line="276" w:lineRule="auto"/>
        <w:jc w:val="both"/>
        <w:rPr>
          <w:rFonts w:cs="Arial"/>
          <w:b/>
          <w:bCs/>
          <w:i/>
          <w:iCs/>
        </w:rPr>
      </w:pPr>
      <w:r w:rsidRPr="00F425EA">
        <w:rPr>
          <w:rFonts w:cs="Arial"/>
          <w:b/>
          <w:bCs/>
          <w:i/>
          <w:iCs/>
        </w:rPr>
        <w:t>Področje obnovljivih virov energije</w:t>
      </w:r>
    </w:p>
    <w:p w14:paraId="66C9D8B8" w14:textId="578A4FCB" w:rsidR="000E7A5A" w:rsidRPr="00F425EA" w:rsidRDefault="4EE128E9" w:rsidP="00F7FCEE">
      <w:pPr>
        <w:spacing w:after="0" w:line="276" w:lineRule="auto"/>
        <w:jc w:val="both"/>
        <w:rPr>
          <w:rFonts w:cs="Arial"/>
          <w:i/>
          <w:iCs/>
        </w:rPr>
      </w:pPr>
      <w:r w:rsidRPr="00F7FCEE">
        <w:rPr>
          <w:rFonts w:cs="Arial"/>
          <w:i/>
          <w:iCs/>
        </w:rPr>
        <w:t>Direktiva o spodbujanju uporabe energije iz obnovljivih virov je zavezala Slovenijo k doseganju 25-odstotnega deleža energije iz obnovljivih virov v bruto končni rabi energije za leto 202</w:t>
      </w:r>
      <w:r w:rsidR="24AA4ED1" w:rsidRPr="00F7FCEE">
        <w:rPr>
          <w:rFonts w:cs="Arial"/>
          <w:i/>
          <w:iCs/>
        </w:rPr>
        <w:t>0.</w:t>
      </w:r>
      <w:r w:rsidRPr="00F7FCEE">
        <w:rPr>
          <w:rFonts w:cs="Arial"/>
          <w:i/>
          <w:iCs/>
        </w:rPr>
        <w:t xml:space="preserve"> </w:t>
      </w:r>
      <w:r w:rsidR="5F337EAB" w:rsidRPr="00F7FCEE">
        <w:rPr>
          <w:rFonts w:cs="Arial"/>
          <w:i/>
          <w:iCs/>
        </w:rPr>
        <w:t>Za leto 2030 je NEPN (2020) določil cilj vsaj 27 %, ki je bil s posodobljenim NEPN (2024) povišan na vsaj 33 % leta 2030.</w:t>
      </w:r>
    </w:p>
    <w:p w14:paraId="688BE954" w14:textId="77777777" w:rsidR="000E7A5A" w:rsidRPr="00F425EA" w:rsidRDefault="000E7A5A" w:rsidP="00E247FF">
      <w:pPr>
        <w:spacing w:after="0" w:line="276" w:lineRule="auto"/>
        <w:jc w:val="both"/>
        <w:rPr>
          <w:rFonts w:cs="Arial"/>
          <w:i/>
          <w:iCs/>
        </w:rPr>
      </w:pPr>
    </w:p>
    <w:p w14:paraId="5A83173A" w14:textId="515314D3" w:rsidR="000E7A5A" w:rsidRPr="00F425EA" w:rsidRDefault="4EE128E9" w:rsidP="00F7FCEE">
      <w:pPr>
        <w:spacing w:after="0" w:line="276" w:lineRule="auto"/>
        <w:jc w:val="both"/>
        <w:rPr>
          <w:rFonts w:cs="Arial"/>
          <w:i/>
          <w:iCs/>
        </w:rPr>
      </w:pPr>
      <w:r w:rsidRPr="00F7FCEE">
        <w:rPr>
          <w:rFonts w:cs="Arial"/>
          <w:i/>
          <w:iCs/>
        </w:rPr>
        <w:t xml:space="preserve">Doseženi delež energije iz obnovljivih virov (OVE) v bruto končni rabi energije v Sloveniji je bil </w:t>
      </w:r>
      <w:r w:rsidR="19CC8E13" w:rsidRPr="00F7FCEE">
        <w:rPr>
          <w:rFonts w:cs="Arial"/>
          <w:i/>
          <w:iCs/>
        </w:rPr>
        <w:t>v letu 2023</w:t>
      </w:r>
      <w:r w:rsidRPr="00F7FCEE">
        <w:rPr>
          <w:rFonts w:cs="Arial"/>
          <w:i/>
          <w:iCs/>
        </w:rPr>
        <w:t xml:space="preserve"> 25,07-odstoten, kar je bilo za 0,07 odstotne točke več kot leta 2022, ko je Slovenija ciljni delež dosegla z uporabo mehanizma statističnega prenosa obnovljivih virov energije iz Hrvaške.</w:t>
      </w:r>
    </w:p>
    <w:p w14:paraId="721EF27F" w14:textId="77777777" w:rsidR="000E7A5A" w:rsidRPr="00F425EA" w:rsidRDefault="000E7A5A" w:rsidP="00E247FF">
      <w:pPr>
        <w:spacing w:after="0" w:line="276" w:lineRule="auto"/>
        <w:jc w:val="both"/>
        <w:rPr>
          <w:rFonts w:cs="Arial"/>
          <w:i/>
          <w:iCs/>
        </w:rPr>
      </w:pPr>
    </w:p>
    <w:p w14:paraId="2849D797" w14:textId="5F6CA99E" w:rsidR="000E7A5A" w:rsidRPr="00F425EA" w:rsidRDefault="4EE128E9" w:rsidP="00F7FCEE">
      <w:pPr>
        <w:spacing w:after="0" w:line="276" w:lineRule="auto"/>
        <w:jc w:val="both"/>
        <w:rPr>
          <w:rFonts w:cs="Arial"/>
          <w:i/>
          <w:iCs/>
        </w:rPr>
      </w:pPr>
      <w:r w:rsidRPr="00F7FCEE">
        <w:rPr>
          <w:rFonts w:cs="Arial"/>
          <w:i/>
          <w:iCs/>
        </w:rPr>
        <w:t xml:space="preserve">V sektorju električne energije se je delež OVE </w:t>
      </w:r>
      <w:r w:rsidR="03E46EED" w:rsidRPr="00F7FCEE">
        <w:rPr>
          <w:rFonts w:cs="Arial"/>
          <w:i/>
          <w:iCs/>
        </w:rPr>
        <w:t>v letu 2023</w:t>
      </w:r>
      <w:r w:rsidRPr="00F7FCEE">
        <w:rPr>
          <w:rFonts w:cs="Arial"/>
          <w:i/>
          <w:iCs/>
        </w:rPr>
        <w:t xml:space="preserve"> na letni ravni povečal za 4,88 odstotne točke, na 41,89 %, predvsem zaradi velikega porasta proizvodnje v sončnih elektrarnah (za 52,48 %).</w:t>
      </w:r>
    </w:p>
    <w:p w14:paraId="33E09399" w14:textId="77777777" w:rsidR="000E7A5A" w:rsidRPr="00F425EA" w:rsidRDefault="000E7A5A" w:rsidP="00E247FF">
      <w:pPr>
        <w:spacing w:after="0" w:line="276" w:lineRule="auto"/>
        <w:jc w:val="both"/>
        <w:rPr>
          <w:rFonts w:cs="Arial"/>
          <w:i/>
          <w:iCs/>
        </w:rPr>
      </w:pPr>
    </w:p>
    <w:p w14:paraId="498B22F5" w14:textId="77777777" w:rsidR="000E7A5A" w:rsidRPr="00F425EA" w:rsidRDefault="00306071" w:rsidP="00E247FF">
      <w:pPr>
        <w:spacing w:after="0" w:line="276" w:lineRule="auto"/>
        <w:jc w:val="both"/>
        <w:rPr>
          <w:rFonts w:cs="Arial"/>
          <w:i/>
          <w:iCs/>
        </w:rPr>
      </w:pPr>
      <w:r w:rsidRPr="00F425EA">
        <w:rPr>
          <w:rFonts w:cs="Arial"/>
          <w:i/>
          <w:iCs/>
        </w:rPr>
        <w:t xml:space="preserve">Delež OVE v sektorju transporta se je povečal za 2,19 odstotne točke, na 10,02 %. Celotna poraba energije v prometu se je zmanjšala za 6,12 %, po drugi strani pa sta se povečali poraba obnovljive električne energije v cestnem prometu (za 49,09 %) in poraba </w:t>
      </w:r>
      <w:proofErr w:type="spellStart"/>
      <w:r w:rsidRPr="00F425EA">
        <w:rPr>
          <w:rFonts w:cs="Arial"/>
          <w:i/>
          <w:iCs/>
        </w:rPr>
        <w:t>biogoriv</w:t>
      </w:r>
      <w:proofErr w:type="spellEnd"/>
      <w:r w:rsidRPr="00F425EA">
        <w:rPr>
          <w:rFonts w:cs="Arial"/>
          <w:i/>
          <w:iCs/>
        </w:rPr>
        <w:t xml:space="preserve"> (za 19,86 %).</w:t>
      </w:r>
    </w:p>
    <w:p w14:paraId="79C8EAB1" w14:textId="77777777" w:rsidR="000E7A5A" w:rsidRPr="00F425EA" w:rsidRDefault="000E7A5A" w:rsidP="00E247FF">
      <w:pPr>
        <w:spacing w:after="0" w:line="276" w:lineRule="auto"/>
        <w:jc w:val="both"/>
        <w:rPr>
          <w:rFonts w:cs="Arial"/>
          <w:i/>
          <w:iCs/>
        </w:rPr>
      </w:pPr>
    </w:p>
    <w:p w14:paraId="2BE07267" w14:textId="49D1953B" w:rsidR="000E7A5A" w:rsidRPr="00F425EA" w:rsidRDefault="00306071" w:rsidP="00E247FF">
      <w:pPr>
        <w:spacing w:after="0" w:line="276" w:lineRule="auto"/>
        <w:jc w:val="both"/>
        <w:rPr>
          <w:rFonts w:cs="Arial"/>
          <w:i/>
          <w:iCs/>
        </w:rPr>
      </w:pPr>
      <w:r w:rsidRPr="00F425EA">
        <w:rPr>
          <w:rFonts w:cs="Arial"/>
          <w:i/>
          <w:iCs/>
        </w:rPr>
        <w:t>V sektorju ogrevanja in hlajenja se je delež OVE povečal za 0,31 odstotne točke in je znašal 34,30 %. Skupna poraba vseh energentov za ogrevanje in hlajenje se je zmanjšala za 1,87 %, poraba obnovljivih virov energije za ogrevanje in hlajenje pa za 0,96 %. K deležu OVE v sektorju ogrevanja in hlajenja sicer največ prispevajo lesna goriva za ogrevanje, predvsem v gospodinjstvih, kjer pa se je njihova poraba v primerjavi z letom prej zmanjšala za 6,52 %.</w:t>
      </w:r>
      <w:r w:rsidR="006D6687">
        <w:rPr>
          <w:rStyle w:val="Sprotnaopomba-sklic"/>
          <w:rFonts w:cs="Arial"/>
          <w:i/>
          <w:iCs/>
        </w:rPr>
        <w:footnoteReference w:id="20"/>
      </w:r>
      <w:r w:rsidRPr="00F425EA">
        <w:rPr>
          <w:rFonts w:cs="Arial"/>
          <w:i/>
          <w:iCs/>
        </w:rPr>
        <w:t xml:space="preserve"> </w:t>
      </w:r>
    </w:p>
    <w:p w14:paraId="5801F16A" w14:textId="77777777" w:rsidR="000E7A5A" w:rsidRPr="00F425EA" w:rsidRDefault="000E7A5A" w:rsidP="00E247FF">
      <w:pPr>
        <w:spacing w:after="0" w:line="276" w:lineRule="auto"/>
        <w:jc w:val="both"/>
        <w:rPr>
          <w:rFonts w:cs="Arial"/>
        </w:rPr>
      </w:pPr>
    </w:p>
    <w:p w14:paraId="779DA8F7" w14:textId="1BDDD145" w:rsidR="00A135C5" w:rsidRPr="008C4B1D" w:rsidRDefault="00A135C5" w:rsidP="00A135C5">
      <w:pPr>
        <w:pStyle w:val="Napis"/>
        <w:keepNext/>
        <w:spacing w:after="0"/>
        <w:jc w:val="both"/>
        <w:rPr>
          <w:rFonts w:cs="Arial"/>
          <w:b w:val="0"/>
          <w:bCs w:val="0"/>
          <w:color w:val="auto"/>
          <w:sz w:val="18"/>
          <w:szCs w:val="18"/>
        </w:rPr>
      </w:pPr>
      <w:bookmarkStart w:id="3434" w:name="_Toc191379197"/>
      <w:r w:rsidRPr="008C4B1D">
        <w:rPr>
          <w:rFonts w:cs="Arial"/>
          <w:b w:val="0"/>
          <w:bCs w:val="0"/>
          <w:color w:val="auto"/>
          <w:sz w:val="18"/>
          <w:szCs w:val="18"/>
        </w:rPr>
        <w:t xml:space="preserve">Tabela </w:t>
      </w:r>
      <w:r w:rsidRPr="008C4B1D">
        <w:rPr>
          <w:rFonts w:cs="Arial"/>
          <w:b w:val="0"/>
          <w:bCs w:val="0"/>
          <w:color w:val="auto"/>
          <w:sz w:val="18"/>
          <w:szCs w:val="18"/>
        </w:rPr>
        <w:fldChar w:fldCharType="begin"/>
      </w:r>
      <w:r w:rsidRPr="008C4B1D">
        <w:rPr>
          <w:rFonts w:cs="Arial"/>
          <w:b w:val="0"/>
          <w:bCs w:val="0"/>
          <w:color w:val="auto"/>
          <w:sz w:val="18"/>
          <w:szCs w:val="18"/>
        </w:rPr>
        <w:instrText xml:space="preserve"> SEQ Tabela \* ARABIC </w:instrText>
      </w:r>
      <w:r w:rsidRPr="008C4B1D">
        <w:rPr>
          <w:rFonts w:cs="Arial"/>
          <w:b w:val="0"/>
          <w:bCs w:val="0"/>
          <w:color w:val="auto"/>
          <w:sz w:val="18"/>
          <w:szCs w:val="18"/>
        </w:rPr>
        <w:fldChar w:fldCharType="separate"/>
      </w:r>
      <w:r w:rsidR="00064E01">
        <w:rPr>
          <w:rFonts w:cs="Arial"/>
          <w:b w:val="0"/>
          <w:bCs w:val="0"/>
          <w:noProof/>
          <w:color w:val="auto"/>
          <w:sz w:val="18"/>
          <w:szCs w:val="18"/>
        </w:rPr>
        <w:t>8</w:t>
      </w:r>
      <w:r w:rsidRPr="008C4B1D">
        <w:rPr>
          <w:rFonts w:cs="Arial"/>
          <w:b w:val="0"/>
          <w:bCs w:val="0"/>
          <w:color w:val="auto"/>
          <w:sz w:val="18"/>
          <w:szCs w:val="18"/>
        </w:rPr>
        <w:fldChar w:fldCharType="end"/>
      </w:r>
      <w:r w:rsidRPr="008C4B1D">
        <w:rPr>
          <w:rFonts w:cs="Arial"/>
          <w:b w:val="0"/>
          <w:bCs w:val="0"/>
          <w:color w:val="auto"/>
          <w:sz w:val="18"/>
          <w:szCs w:val="18"/>
        </w:rPr>
        <w:t>: Delež OVE</w:t>
      </w:r>
      <w:r w:rsidR="006D6687" w:rsidRPr="008C4B1D">
        <w:rPr>
          <w:rStyle w:val="Sprotnaopomba-sklic"/>
          <w:rFonts w:cs="Arial"/>
          <w:b w:val="0"/>
          <w:bCs w:val="0"/>
          <w:color w:val="auto"/>
          <w:sz w:val="18"/>
          <w:szCs w:val="18"/>
        </w:rPr>
        <w:footnoteReference w:id="21"/>
      </w:r>
      <w:bookmarkEnd w:id="3434"/>
      <w:r w:rsidRPr="008C4B1D">
        <w:rPr>
          <w:rFonts w:cs="Arial"/>
          <w:b w:val="0"/>
          <w:bCs w:val="0"/>
          <w:color w:val="auto"/>
          <w:sz w:val="18"/>
          <w:szCs w:val="18"/>
        </w:rPr>
        <w:t xml:space="preserve">  </w:t>
      </w:r>
    </w:p>
    <w:p w14:paraId="0C810EE6" w14:textId="77777777" w:rsidR="00D862E1" w:rsidRPr="00D862E1" w:rsidRDefault="00D862E1" w:rsidP="00D862E1">
      <w:pPr>
        <w:spacing w:after="0"/>
      </w:pPr>
    </w:p>
    <w:tbl>
      <w:tblPr>
        <w:tblW w:w="7080" w:type="dxa"/>
        <w:tblCellMar>
          <w:left w:w="10" w:type="dxa"/>
          <w:right w:w="10" w:type="dxa"/>
        </w:tblCellMar>
        <w:tblLook w:val="04A0" w:firstRow="1" w:lastRow="0" w:firstColumn="1" w:lastColumn="0" w:noHBand="0" w:noVBand="1"/>
      </w:tblPr>
      <w:tblGrid>
        <w:gridCol w:w="4005"/>
        <w:gridCol w:w="765"/>
        <w:gridCol w:w="825"/>
        <w:gridCol w:w="735"/>
        <w:gridCol w:w="750"/>
      </w:tblGrid>
      <w:tr w:rsidR="000E7A5A" w:rsidRPr="00F425EA" w14:paraId="7A3F66EF" w14:textId="77777777" w:rsidTr="001126C1">
        <w:trPr>
          <w:trHeight w:val="300"/>
        </w:trPr>
        <w:tc>
          <w:tcPr>
            <w:tcW w:w="40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noWrap/>
            <w:tcMar>
              <w:top w:w="0" w:type="dxa"/>
              <w:left w:w="108" w:type="dxa"/>
              <w:bottom w:w="0" w:type="dxa"/>
              <w:right w:w="108" w:type="dxa"/>
            </w:tcMar>
            <w:vAlign w:val="bottom"/>
          </w:tcPr>
          <w:p w14:paraId="5D97424D" w14:textId="4D45CE76" w:rsidR="000E7A5A" w:rsidRPr="00F425EA" w:rsidRDefault="00A135C5" w:rsidP="00E247FF">
            <w:pPr>
              <w:spacing w:after="0" w:line="276" w:lineRule="auto"/>
              <w:rPr>
                <w:rFonts w:cs="Arial"/>
                <w:b/>
                <w:bCs/>
                <w:sz w:val="24"/>
                <w:szCs w:val="24"/>
                <w:lang w:val="en-GB" w:eastAsia="en-GB"/>
              </w:rPr>
            </w:pPr>
            <w:r w:rsidRPr="00A135C5">
              <w:rPr>
                <w:rFonts w:cs="Arial"/>
                <w:b/>
                <w:bCs/>
                <w:szCs w:val="20"/>
                <w:lang w:val="en-GB" w:eastAsia="en-GB"/>
              </w:rPr>
              <w:t>Leto/ OVE</w:t>
            </w:r>
          </w:p>
        </w:tc>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noWrap/>
            <w:tcMar>
              <w:top w:w="0" w:type="dxa"/>
              <w:left w:w="108" w:type="dxa"/>
              <w:bottom w:w="0" w:type="dxa"/>
              <w:right w:w="108" w:type="dxa"/>
            </w:tcMar>
            <w:vAlign w:val="bottom"/>
          </w:tcPr>
          <w:p w14:paraId="0ED7792A" w14:textId="77777777" w:rsidR="000E7A5A" w:rsidRPr="00F425EA" w:rsidRDefault="00306071" w:rsidP="00E247FF">
            <w:pPr>
              <w:spacing w:after="0" w:line="276" w:lineRule="auto"/>
              <w:jc w:val="center"/>
              <w:rPr>
                <w:rFonts w:cs="Arial"/>
                <w:b/>
                <w:bCs/>
                <w:szCs w:val="20"/>
                <w:lang w:val="en-GB" w:eastAsia="en-GB"/>
              </w:rPr>
            </w:pPr>
            <w:r w:rsidRPr="00F425EA">
              <w:rPr>
                <w:rFonts w:cs="Arial"/>
                <w:b/>
                <w:bCs/>
                <w:szCs w:val="20"/>
                <w:lang w:val="en-GB" w:eastAsia="en-GB"/>
              </w:rPr>
              <w:t>2020</w:t>
            </w:r>
          </w:p>
        </w:tc>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noWrap/>
            <w:tcMar>
              <w:top w:w="0" w:type="dxa"/>
              <w:left w:w="108" w:type="dxa"/>
              <w:bottom w:w="0" w:type="dxa"/>
              <w:right w:w="108" w:type="dxa"/>
            </w:tcMar>
            <w:vAlign w:val="bottom"/>
          </w:tcPr>
          <w:p w14:paraId="7B4FF707" w14:textId="77777777" w:rsidR="000E7A5A" w:rsidRPr="00F425EA" w:rsidRDefault="00306071" w:rsidP="00E247FF">
            <w:pPr>
              <w:spacing w:after="0" w:line="276" w:lineRule="auto"/>
              <w:jc w:val="center"/>
              <w:rPr>
                <w:rFonts w:cs="Arial"/>
                <w:b/>
                <w:bCs/>
                <w:szCs w:val="20"/>
                <w:lang w:val="en-GB" w:eastAsia="en-GB"/>
              </w:rPr>
            </w:pPr>
            <w:r w:rsidRPr="00F425EA">
              <w:rPr>
                <w:rFonts w:cs="Arial"/>
                <w:b/>
                <w:bCs/>
                <w:szCs w:val="20"/>
                <w:lang w:val="en-GB" w:eastAsia="en-GB"/>
              </w:rPr>
              <w:t>2021</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noWrap/>
            <w:tcMar>
              <w:top w:w="0" w:type="dxa"/>
              <w:left w:w="108" w:type="dxa"/>
              <w:bottom w:w="0" w:type="dxa"/>
              <w:right w:w="108" w:type="dxa"/>
            </w:tcMar>
            <w:vAlign w:val="bottom"/>
          </w:tcPr>
          <w:p w14:paraId="45C4BF47" w14:textId="77777777" w:rsidR="000E7A5A" w:rsidRPr="00F425EA" w:rsidRDefault="00306071" w:rsidP="00E247FF">
            <w:pPr>
              <w:spacing w:after="0" w:line="276" w:lineRule="auto"/>
              <w:jc w:val="center"/>
              <w:rPr>
                <w:rFonts w:cs="Arial"/>
                <w:b/>
                <w:bCs/>
                <w:szCs w:val="20"/>
                <w:lang w:val="en-GB" w:eastAsia="en-GB"/>
              </w:rPr>
            </w:pPr>
            <w:r w:rsidRPr="00F425EA">
              <w:rPr>
                <w:rFonts w:cs="Arial"/>
                <w:b/>
                <w:bCs/>
                <w:szCs w:val="20"/>
                <w:lang w:val="en-GB" w:eastAsia="en-GB"/>
              </w:rPr>
              <w:t>2022</w:t>
            </w:r>
          </w:p>
        </w:tc>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noWrap/>
            <w:tcMar>
              <w:top w:w="0" w:type="dxa"/>
              <w:left w:w="108" w:type="dxa"/>
              <w:bottom w:w="0" w:type="dxa"/>
              <w:right w:w="108" w:type="dxa"/>
            </w:tcMar>
            <w:vAlign w:val="bottom"/>
          </w:tcPr>
          <w:p w14:paraId="27EAEAD3" w14:textId="77777777" w:rsidR="000E7A5A" w:rsidRPr="00F425EA" w:rsidRDefault="00306071" w:rsidP="00E247FF">
            <w:pPr>
              <w:spacing w:after="0" w:line="276" w:lineRule="auto"/>
              <w:jc w:val="center"/>
              <w:rPr>
                <w:rFonts w:cs="Arial"/>
                <w:b/>
                <w:bCs/>
                <w:szCs w:val="20"/>
                <w:lang w:val="en-GB" w:eastAsia="en-GB"/>
              </w:rPr>
            </w:pPr>
            <w:r w:rsidRPr="00F425EA">
              <w:rPr>
                <w:rFonts w:cs="Arial"/>
                <w:b/>
                <w:bCs/>
                <w:szCs w:val="20"/>
                <w:lang w:val="en-GB" w:eastAsia="en-GB"/>
              </w:rPr>
              <w:t>2023</w:t>
            </w:r>
          </w:p>
        </w:tc>
      </w:tr>
      <w:tr w:rsidR="000E7A5A" w:rsidRPr="00F425EA" w14:paraId="48C79DCF" w14:textId="77777777" w:rsidTr="00F75E25">
        <w:trPr>
          <w:trHeight w:val="300"/>
        </w:trPr>
        <w:tc>
          <w:tcPr>
            <w:tcW w:w="40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14:paraId="6D5CC732" w14:textId="77777777" w:rsidR="000E7A5A" w:rsidRPr="00F425EA" w:rsidRDefault="00306071" w:rsidP="00E247FF">
            <w:pPr>
              <w:spacing w:after="0" w:line="276" w:lineRule="auto"/>
              <w:rPr>
                <w:rFonts w:cs="Arial"/>
                <w:szCs w:val="20"/>
                <w:lang w:val="en-GB" w:eastAsia="en-GB"/>
              </w:rPr>
            </w:pPr>
            <w:r w:rsidRPr="00F425EA">
              <w:rPr>
                <w:rFonts w:cs="Arial"/>
                <w:szCs w:val="20"/>
                <w:lang w:val="en-GB" w:eastAsia="en-GB"/>
              </w:rPr>
              <w:t xml:space="preserve">OVE </w:t>
            </w:r>
            <w:proofErr w:type="spellStart"/>
            <w:r w:rsidRPr="00F425EA">
              <w:rPr>
                <w:rFonts w:cs="Arial"/>
                <w:szCs w:val="20"/>
                <w:lang w:val="en-GB" w:eastAsia="en-GB"/>
              </w:rPr>
              <w:t>ogrevanje</w:t>
            </w:r>
            <w:proofErr w:type="spellEnd"/>
            <w:r w:rsidRPr="00F425EA">
              <w:rPr>
                <w:rFonts w:cs="Arial"/>
                <w:szCs w:val="20"/>
                <w:lang w:val="en-GB" w:eastAsia="en-GB"/>
              </w:rPr>
              <w:t xml:space="preserve"> in </w:t>
            </w:r>
            <w:proofErr w:type="spellStart"/>
            <w:r w:rsidRPr="00F425EA">
              <w:rPr>
                <w:rFonts w:cs="Arial"/>
                <w:szCs w:val="20"/>
                <w:lang w:val="en-GB" w:eastAsia="en-GB"/>
              </w:rPr>
              <w:t>hlajenje</w:t>
            </w:r>
            <w:proofErr w:type="spellEnd"/>
            <w:r w:rsidRPr="00F425EA">
              <w:rPr>
                <w:rFonts w:cs="Arial"/>
                <w:szCs w:val="20"/>
                <w:lang w:val="en-GB" w:eastAsia="en-GB"/>
              </w:rPr>
              <w:t xml:space="preserve"> (%)</w:t>
            </w:r>
          </w:p>
        </w:tc>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14:paraId="1B52CA6B" w14:textId="77777777" w:rsidR="000E7A5A" w:rsidRPr="00F425EA" w:rsidRDefault="00306071" w:rsidP="00E247FF">
            <w:pPr>
              <w:spacing w:after="0" w:line="276" w:lineRule="auto"/>
              <w:jc w:val="center"/>
              <w:rPr>
                <w:rFonts w:cs="Arial"/>
                <w:szCs w:val="20"/>
                <w:lang w:val="en-GB" w:eastAsia="en-GB"/>
              </w:rPr>
            </w:pPr>
            <w:r w:rsidRPr="00F425EA">
              <w:rPr>
                <w:rFonts w:cs="Arial"/>
                <w:szCs w:val="20"/>
                <w:lang w:val="en-GB" w:eastAsia="en-GB"/>
              </w:rPr>
              <w:t>32,14</w:t>
            </w:r>
          </w:p>
        </w:tc>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14:paraId="522C2B15" w14:textId="77777777" w:rsidR="000E7A5A" w:rsidRPr="00F425EA" w:rsidRDefault="00306071" w:rsidP="00E247FF">
            <w:pPr>
              <w:spacing w:after="0" w:line="276" w:lineRule="auto"/>
              <w:jc w:val="center"/>
              <w:rPr>
                <w:rFonts w:cs="Arial"/>
                <w:szCs w:val="20"/>
                <w:lang w:val="en-GB" w:eastAsia="en-GB"/>
              </w:rPr>
            </w:pPr>
            <w:r w:rsidRPr="00F425EA">
              <w:rPr>
                <w:rFonts w:cs="Arial"/>
                <w:szCs w:val="20"/>
                <w:lang w:val="en-GB" w:eastAsia="en-GB"/>
              </w:rPr>
              <w:t>35,22</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14:paraId="037DB806" w14:textId="77777777" w:rsidR="000E7A5A" w:rsidRPr="00F425EA" w:rsidRDefault="00306071" w:rsidP="00E247FF">
            <w:pPr>
              <w:spacing w:after="0" w:line="276" w:lineRule="auto"/>
              <w:jc w:val="center"/>
              <w:rPr>
                <w:rFonts w:cs="Arial"/>
                <w:szCs w:val="20"/>
                <w:lang w:val="en-GB" w:eastAsia="en-GB"/>
              </w:rPr>
            </w:pPr>
            <w:r w:rsidRPr="00F425EA">
              <w:rPr>
                <w:rFonts w:cs="Arial"/>
                <w:szCs w:val="20"/>
                <w:lang w:val="en-GB" w:eastAsia="en-GB"/>
              </w:rPr>
              <w:t>33,99</w:t>
            </w:r>
          </w:p>
        </w:tc>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14:paraId="0909672B" w14:textId="77777777" w:rsidR="000E7A5A" w:rsidRPr="00F425EA" w:rsidRDefault="00306071" w:rsidP="00E247FF">
            <w:pPr>
              <w:spacing w:after="0" w:line="276" w:lineRule="auto"/>
              <w:jc w:val="center"/>
              <w:rPr>
                <w:rFonts w:cs="Arial"/>
                <w:szCs w:val="20"/>
                <w:lang w:val="en-GB" w:eastAsia="en-GB"/>
              </w:rPr>
            </w:pPr>
            <w:r w:rsidRPr="00F425EA">
              <w:rPr>
                <w:rFonts w:cs="Arial"/>
                <w:szCs w:val="20"/>
                <w:lang w:val="en-GB" w:eastAsia="en-GB"/>
              </w:rPr>
              <w:t>34,3</w:t>
            </w:r>
          </w:p>
        </w:tc>
      </w:tr>
      <w:tr w:rsidR="000E7A5A" w:rsidRPr="00F425EA" w14:paraId="313C86C5" w14:textId="77777777" w:rsidTr="00F75E25">
        <w:trPr>
          <w:trHeight w:val="300"/>
        </w:trPr>
        <w:tc>
          <w:tcPr>
            <w:tcW w:w="40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14:paraId="2CFDE917" w14:textId="77777777" w:rsidR="000E7A5A" w:rsidRPr="00F425EA" w:rsidRDefault="00306071" w:rsidP="00E247FF">
            <w:pPr>
              <w:spacing w:after="0" w:line="276" w:lineRule="auto"/>
              <w:rPr>
                <w:rFonts w:cs="Arial"/>
                <w:szCs w:val="20"/>
                <w:lang w:val="en-GB" w:eastAsia="en-GB"/>
              </w:rPr>
            </w:pPr>
            <w:r w:rsidRPr="00F425EA">
              <w:rPr>
                <w:rFonts w:cs="Arial"/>
                <w:szCs w:val="20"/>
                <w:lang w:val="en-GB" w:eastAsia="en-GB"/>
              </w:rPr>
              <w:t xml:space="preserve">OVE </w:t>
            </w:r>
            <w:proofErr w:type="spellStart"/>
            <w:r w:rsidRPr="00F425EA">
              <w:rPr>
                <w:rFonts w:cs="Arial"/>
                <w:szCs w:val="20"/>
                <w:lang w:val="en-GB" w:eastAsia="en-GB"/>
              </w:rPr>
              <w:t>električna</w:t>
            </w:r>
            <w:proofErr w:type="spellEnd"/>
            <w:r w:rsidRPr="00F425EA">
              <w:rPr>
                <w:rFonts w:cs="Arial"/>
                <w:szCs w:val="20"/>
                <w:lang w:val="en-GB" w:eastAsia="en-GB"/>
              </w:rPr>
              <w:t xml:space="preserve"> </w:t>
            </w:r>
            <w:proofErr w:type="spellStart"/>
            <w:r w:rsidRPr="00F425EA">
              <w:rPr>
                <w:rFonts w:cs="Arial"/>
                <w:szCs w:val="20"/>
                <w:lang w:val="en-GB" w:eastAsia="en-GB"/>
              </w:rPr>
              <w:t>energija</w:t>
            </w:r>
            <w:proofErr w:type="spellEnd"/>
            <w:r w:rsidRPr="00F425EA">
              <w:rPr>
                <w:rFonts w:cs="Arial"/>
                <w:szCs w:val="20"/>
                <w:lang w:val="en-GB" w:eastAsia="en-GB"/>
              </w:rPr>
              <w:t xml:space="preserve"> (%)</w:t>
            </w:r>
          </w:p>
        </w:tc>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14:paraId="23E3D77F" w14:textId="77777777" w:rsidR="000E7A5A" w:rsidRPr="00F425EA" w:rsidRDefault="00306071" w:rsidP="00E247FF">
            <w:pPr>
              <w:spacing w:after="0" w:line="276" w:lineRule="auto"/>
              <w:jc w:val="center"/>
              <w:rPr>
                <w:rFonts w:cs="Arial"/>
                <w:szCs w:val="20"/>
                <w:lang w:val="en-GB" w:eastAsia="en-GB"/>
              </w:rPr>
            </w:pPr>
            <w:r w:rsidRPr="00F425EA">
              <w:rPr>
                <w:rFonts w:cs="Arial"/>
                <w:szCs w:val="20"/>
                <w:lang w:val="en-GB" w:eastAsia="en-GB"/>
              </w:rPr>
              <w:t>35,09</w:t>
            </w:r>
          </w:p>
        </w:tc>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14:paraId="76CEE931" w14:textId="77777777" w:rsidR="000E7A5A" w:rsidRPr="00F425EA" w:rsidRDefault="00306071" w:rsidP="00E247FF">
            <w:pPr>
              <w:spacing w:after="0" w:line="276" w:lineRule="auto"/>
              <w:jc w:val="center"/>
              <w:rPr>
                <w:rFonts w:cs="Arial"/>
                <w:szCs w:val="20"/>
                <w:lang w:val="en-GB" w:eastAsia="en-GB"/>
              </w:rPr>
            </w:pPr>
            <w:r w:rsidRPr="00F425EA">
              <w:rPr>
                <w:rFonts w:cs="Arial"/>
                <w:szCs w:val="20"/>
                <w:lang w:val="en-GB" w:eastAsia="en-GB"/>
              </w:rPr>
              <w:t>34,98</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14:paraId="7AD4F6A2" w14:textId="77777777" w:rsidR="000E7A5A" w:rsidRPr="00F425EA" w:rsidRDefault="00306071" w:rsidP="00E247FF">
            <w:pPr>
              <w:spacing w:after="0" w:line="276" w:lineRule="auto"/>
              <w:jc w:val="center"/>
              <w:rPr>
                <w:rFonts w:cs="Arial"/>
                <w:szCs w:val="20"/>
                <w:lang w:val="en-GB" w:eastAsia="en-GB"/>
              </w:rPr>
            </w:pPr>
            <w:r w:rsidRPr="00F425EA">
              <w:rPr>
                <w:rFonts w:cs="Arial"/>
                <w:szCs w:val="20"/>
                <w:lang w:val="en-GB" w:eastAsia="en-GB"/>
              </w:rPr>
              <w:t>37,01</w:t>
            </w:r>
          </w:p>
        </w:tc>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14:paraId="57068C2D" w14:textId="77777777" w:rsidR="000E7A5A" w:rsidRPr="00F425EA" w:rsidRDefault="00306071" w:rsidP="00E247FF">
            <w:pPr>
              <w:spacing w:after="0" w:line="276" w:lineRule="auto"/>
              <w:jc w:val="center"/>
              <w:rPr>
                <w:rFonts w:cs="Arial"/>
                <w:szCs w:val="20"/>
                <w:lang w:val="en-GB" w:eastAsia="en-GB"/>
              </w:rPr>
            </w:pPr>
            <w:r w:rsidRPr="00F425EA">
              <w:rPr>
                <w:rFonts w:cs="Arial"/>
                <w:szCs w:val="20"/>
                <w:lang w:val="en-GB" w:eastAsia="en-GB"/>
              </w:rPr>
              <w:t>41,89</w:t>
            </w:r>
          </w:p>
        </w:tc>
      </w:tr>
      <w:tr w:rsidR="000E7A5A" w:rsidRPr="00F425EA" w14:paraId="7577D770" w14:textId="77777777" w:rsidTr="00F75E25">
        <w:trPr>
          <w:trHeight w:val="300"/>
        </w:trPr>
        <w:tc>
          <w:tcPr>
            <w:tcW w:w="40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14:paraId="7A0B0709" w14:textId="77777777" w:rsidR="000E7A5A" w:rsidRPr="00F425EA" w:rsidRDefault="00306071" w:rsidP="00E247FF">
            <w:pPr>
              <w:spacing w:after="0" w:line="276" w:lineRule="auto"/>
              <w:rPr>
                <w:rFonts w:cs="Arial"/>
                <w:szCs w:val="20"/>
                <w:lang w:val="en-GB" w:eastAsia="en-GB"/>
              </w:rPr>
            </w:pPr>
            <w:r w:rsidRPr="00F425EA">
              <w:rPr>
                <w:rFonts w:cs="Arial"/>
                <w:szCs w:val="20"/>
                <w:lang w:val="en-GB" w:eastAsia="en-GB"/>
              </w:rPr>
              <w:t>OVE transport (%)</w:t>
            </w:r>
          </w:p>
        </w:tc>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14:paraId="1419CB73" w14:textId="77777777" w:rsidR="000E7A5A" w:rsidRPr="00F425EA" w:rsidRDefault="00306071" w:rsidP="00E247FF">
            <w:pPr>
              <w:spacing w:after="0" w:line="276" w:lineRule="auto"/>
              <w:jc w:val="center"/>
              <w:rPr>
                <w:rFonts w:cs="Arial"/>
                <w:szCs w:val="20"/>
                <w:lang w:val="en-GB" w:eastAsia="en-GB"/>
              </w:rPr>
            </w:pPr>
            <w:r w:rsidRPr="00F425EA">
              <w:rPr>
                <w:rFonts w:cs="Arial"/>
                <w:szCs w:val="20"/>
                <w:lang w:val="en-GB" w:eastAsia="en-GB"/>
              </w:rPr>
              <w:t>10,91</w:t>
            </w:r>
          </w:p>
        </w:tc>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14:paraId="3C9EB2E6" w14:textId="77777777" w:rsidR="000E7A5A" w:rsidRPr="00F425EA" w:rsidRDefault="00306071" w:rsidP="00E247FF">
            <w:pPr>
              <w:spacing w:after="0" w:line="276" w:lineRule="auto"/>
              <w:jc w:val="center"/>
              <w:rPr>
                <w:rFonts w:cs="Arial"/>
                <w:szCs w:val="20"/>
                <w:lang w:val="en-GB" w:eastAsia="en-GB"/>
              </w:rPr>
            </w:pPr>
            <w:r w:rsidRPr="00F425EA">
              <w:rPr>
                <w:rFonts w:cs="Arial"/>
                <w:szCs w:val="20"/>
                <w:lang w:val="en-GB" w:eastAsia="en-GB"/>
              </w:rPr>
              <w:t>10,64</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14:paraId="2F41FD45" w14:textId="77777777" w:rsidR="000E7A5A" w:rsidRPr="00F425EA" w:rsidRDefault="00306071" w:rsidP="00E247FF">
            <w:pPr>
              <w:spacing w:after="0" w:line="276" w:lineRule="auto"/>
              <w:jc w:val="center"/>
              <w:rPr>
                <w:rFonts w:cs="Arial"/>
                <w:szCs w:val="20"/>
                <w:lang w:val="en-GB" w:eastAsia="en-GB"/>
              </w:rPr>
            </w:pPr>
            <w:r w:rsidRPr="00F425EA">
              <w:rPr>
                <w:rFonts w:cs="Arial"/>
                <w:szCs w:val="20"/>
                <w:lang w:val="en-GB" w:eastAsia="en-GB"/>
              </w:rPr>
              <w:t>7,83</w:t>
            </w:r>
          </w:p>
        </w:tc>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14:paraId="119E0022" w14:textId="77777777" w:rsidR="000E7A5A" w:rsidRPr="00F425EA" w:rsidRDefault="00306071" w:rsidP="00E247FF">
            <w:pPr>
              <w:spacing w:after="0" w:line="276" w:lineRule="auto"/>
              <w:jc w:val="center"/>
              <w:rPr>
                <w:rFonts w:cs="Arial"/>
                <w:szCs w:val="20"/>
                <w:lang w:val="en-GB" w:eastAsia="en-GB"/>
              </w:rPr>
            </w:pPr>
            <w:r w:rsidRPr="00F425EA">
              <w:rPr>
                <w:rFonts w:cs="Arial"/>
                <w:szCs w:val="20"/>
                <w:lang w:val="en-GB" w:eastAsia="en-GB"/>
              </w:rPr>
              <w:t>10,02</w:t>
            </w:r>
          </w:p>
        </w:tc>
      </w:tr>
      <w:tr w:rsidR="000E7A5A" w:rsidRPr="00F425EA" w14:paraId="5B775F68" w14:textId="77777777" w:rsidTr="00F75E25">
        <w:trPr>
          <w:trHeight w:val="300"/>
        </w:trPr>
        <w:tc>
          <w:tcPr>
            <w:tcW w:w="40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14:paraId="1190E1A5" w14:textId="77777777" w:rsidR="000E7A5A" w:rsidRPr="00F425EA" w:rsidRDefault="00306071" w:rsidP="00E247FF">
            <w:pPr>
              <w:spacing w:after="0" w:line="276" w:lineRule="auto"/>
              <w:rPr>
                <w:rFonts w:cs="Arial"/>
                <w:b/>
                <w:bCs/>
                <w:szCs w:val="20"/>
                <w:lang w:val="en-GB" w:eastAsia="en-GB"/>
              </w:rPr>
            </w:pPr>
            <w:r w:rsidRPr="00F425EA">
              <w:rPr>
                <w:rFonts w:cs="Arial"/>
                <w:b/>
                <w:bCs/>
                <w:szCs w:val="20"/>
                <w:lang w:val="en-GB" w:eastAsia="en-GB"/>
              </w:rPr>
              <w:t xml:space="preserve">OVE </w:t>
            </w:r>
            <w:proofErr w:type="spellStart"/>
            <w:r w:rsidRPr="00F425EA">
              <w:rPr>
                <w:rFonts w:cs="Arial"/>
                <w:b/>
                <w:bCs/>
                <w:szCs w:val="20"/>
                <w:lang w:val="en-GB" w:eastAsia="en-GB"/>
              </w:rPr>
              <w:t>skupni</w:t>
            </w:r>
            <w:proofErr w:type="spellEnd"/>
            <w:r w:rsidRPr="00F425EA">
              <w:rPr>
                <w:rFonts w:cs="Arial"/>
                <w:b/>
                <w:bCs/>
                <w:szCs w:val="20"/>
                <w:lang w:val="en-GB" w:eastAsia="en-GB"/>
              </w:rPr>
              <w:t xml:space="preserve"> </w:t>
            </w:r>
            <w:proofErr w:type="spellStart"/>
            <w:r w:rsidRPr="00F425EA">
              <w:rPr>
                <w:rFonts w:cs="Arial"/>
                <w:b/>
                <w:bCs/>
                <w:szCs w:val="20"/>
                <w:lang w:val="en-GB" w:eastAsia="en-GB"/>
              </w:rPr>
              <w:t>delež</w:t>
            </w:r>
            <w:proofErr w:type="spellEnd"/>
            <w:r w:rsidRPr="00F425EA">
              <w:rPr>
                <w:rFonts w:cs="Arial"/>
                <w:b/>
                <w:bCs/>
                <w:szCs w:val="20"/>
                <w:lang w:val="en-GB" w:eastAsia="en-GB"/>
              </w:rPr>
              <w:t xml:space="preserve"> (%)</w:t>
            </w:r>
          </w:p>
        </w:tc>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14:paraId="7E2D3774" w14:textId="77777777" w:rsidR="000E7A5A" w:rsidRPr="00F425EA" w:rsidRDefault="00306071" w:rsidP="00E247FF">
            <w:pPr>
              <w:spacing w:after="0" w:line="276" w:lineRule="auto"/>
              <w:jc w:val="center"/>
              <w:rPr>
                <w:rFonts w:cs="Arial"/>
                <w:b/>
                <w:bCs/>
                <w:szCs w:val="20"/>
                <w:lang w:val="en-GB" w:eastAsia="en-GB"/>
              </w:rPr>
            </w:pPr>
            <w:r w:rsidRPr="00F425EA">
              <w:rPr>
                <w:rFonts w:cs="Arial"/>
                <w:b/>
                <w:bCs/>
                <w:szCs w:val="20"/>
                <w:lang w:val="en-GB" w:eastAsia="en-GB"/>
              </w:rPr>
              <w:t>25</w:t>
            </w:r>
          </w:p>
        </w:tc>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14:paraId="27B5460B" w14:textId="77777777" w:rsidR="000E7A5A" w:rsidRPr="00F425EA" w:rsidRDefault="00306071" w:rsidP="00E247FF">
            <w:pPr>
              <w:spacing w:after="0" w:line="276" w:lineRule="auto"/>
              <w:jc w:val="center"/>
              <w:rPr>
                <w:rFonts w:cs="Arial"/>
                <w:b/>
                <w:bCs/>
                <w:szCs w:val="20"/>
                <w:lang w:val="en-GB" w:eastAsia="en-GB"/>
              </w:rPr>
            </w:pPr>
            <w:r w:rsidRPr="00F425EA">
              <w:rPr>
                <w:rFonts w:cs="Arial"/>
                <w:b/>
                <w:bCs/>
                <w:szCs w:val="20"/>
                <w:lang w:val="en-GB" w:eastAsia="en-GB"/>
              </w:rPr>
              <w:t>25</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14:paraId="704CD2DC" w14:textId="77777777" w:rsidR="000E7A5A" w:rsidRPr="00F425EA" w:rsidRDefault="00306071" w:rsidP="00E247FF">
            <w:pPr>
              <w:spacing w:after="0" w:line="276" w:lineRule="auto"/>
              <w:jc w:val="center"/>
              <w:rPr>
                <w:rFonts w:cs="Arial"/>
                <w:b/>
                <w:bCs/>
                <w:szCs w:val="20"/>
                <w:lang w:val="en-GB" w:eastAsia="en-GB"/>
              </w:rPr>
            </w:pPr>
            <w:r w:rsidRPr="00F425EA">
              <w:rPr>
                <w:rFonts w:cs="Arial"/>
                <w:b/>
                <w:bCs/>
                <w:szCs w:val="20"/>
                <w:lang w:val="en-GB" w:eastAsia="en-GB"/>
              </w:rPr>
              <w:t>25</w:t>
            </w:r>
          </w:p>
        </w:tc>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14:paraId="4E422AF9" w14:textId="77777777" w:rsidR="000E7A5A" w:rsidRPr="00F425EA" w:rsidRDefault="00306071" w:rsidP="00E247FF">
            <w:pPr>
              <w:spacing w:after="0" w:line="276" w:lineRule="auto"/>
              <w:jc w:val="center"/>
              <w:rPr>
                <w:rFonts w:cs="Arial"/>
                <w:b/>
                <w:bCs/>
                <w:szCs w:val="20"/>
                <w:lang w:val="en-GB" w:eastAsia="en-GB"/>
              </w:rPr>
            </w:pPr>
            <w:r w:rsidRPr="00F425EA">
              <w:rPr>
                <w:rFonts w:cs="Arial"/>
                <w:b/>
                <w:bCs/>
                <w:szCs w:val="20"/>
                <w:lang w:val="en-GB" w:eastAsia="en-GB"/>
              </w:rPr>
              <w:t>25,07</w:t>
            </w:r>
          </w:p>
        </w:tc>
      </w:tr>
      <w:tr w:rsidR="000E7A5A" w:rsidRPr="00F425EA" w14:paraId="47775D6C" w14:textId="77777777" w:rsidTr="00F75E25">
        <w:trPr>
          <w:trHeight w:val="300"/>
        </w:trPr>
        <w:tc>
          <w:tcPr>
            <w:tcW w:w="40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14:paraId="0D940787" w14:textId="77777777" w:rsidR="000E7A5A" w:rsidRPr="00F425EA" w:rsidRDefault="00306071" w:rsidP="00E247FF">
            <w:pPr>
              <w:spacing w:after="0" w:line="276" w:lineRule="auto"/>
              <w:rPr>
                <w:rFonts w:cs="Arial"/>
                <w:szCs w:val="20"/>
                <w:lang w:val="pl-PL" w:eastAsia="en-GB"/>
              </w:rPr>
            </w:pPr>
            <w:r w:rsidRPr="00F425EA">
              <w:rPr>
                <w:rFonts w:cs="Arial"/>
                <w:szCs w:val="20"/>
                <w:lang w:val="pl-PL" w:eastAsia="en-GB"/>
              </w:rPr>
              <w:t>... od tega iz mehanizma sodelovanja (%)</w:t>
            </w:r>
          </w:p>
        </w:tc>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14:paraId="02F18B5B" w14:textId="77777777" w:rsidR="000E7A5A" w:rsidRPr="00F425EA" w:rsidRDefault="00306071" w:rsidP="00E247FF">
            <w:pPr>
              <w:spacing w:after="0" w:line="276" w:lineRule="auto"/>
              <w:jc w:val="center"/>
              <w:rPr>
                <w:rFonts w:cs="Arial"/>
                <w:szCs w:val="20"/>
                <w:lang w:val="en-GB" w:eastAsia="en-GB"/>
              </w:rPr>
            </w:pPr>
            <w:r w:rsidRPr="00F425EA">
              <w:rPr>
                <w:rFonts w:cs="Arial"/>
                <w:szCs w:val="20"/>
                <w:lang w:val="en-GB" w:eastAsia="en-GB"/>
              </w:rPr>
              <w:t>0,86</w:t>
            </w:r>
          </w:p>
        </w:tc>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14:paraId="077BD636" w14:textId="77777777" w:rsidR="000E7A5A" w:rsidRPr="00F425EA" w:rsidRDefault="00306071" w:rsidP="00E247FF">
            <w:pPr>
              <w:spacing w:after="0" w:line="276" w:lineRule="auto"/>
              <w:jc w:val="center"/>
              <w:rPr>
                <w:rFonts w:cs="Arial"/>
                <w:szCs w:val="20"/>
                <w:lang w:val="en-GB" w:eastAsia="en-GB"/>
              </w:rPr>
            </w:pPr>
            <w:r w:rsidRPr="00F425EA">
              <w:rPr>
                <w:rFonts w:cs="Arial"/>
                <w:szCs w:val="20"/>
                <w:lang w:val="en-GB" w:eastAsia="en-GB"/>
              </w:rPr>
              <w:t>0,36</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14:paraId="34D59948" w14:textId="77777777" w:rsidR="000E7A5A" w:rsidRPr="00F425EA" w:rsidRDefault="00306071" w:rsidP="00E247FF">
            <w:pPr>
              <w:spacing w:after="0" w:line="276" w:lineRule="auto"/>
              <w:jc w:val="center"/>
              <w:rPr>
                <w:rFonts w:cs="Arial"/>
                <w:szCs w:val="20"/>
                <w:lang w:val="en-GB" w:eastAsia="en-GB"/>
              </w:rPr>
            </w:pPr>
            <w:r w:rsidRPr="00F425EA">
              <w:rPr>
                <w:rFonts w:cs="Arial"/>
                <w:szCs w:val="20"/>
                <w:lang w:val="en-GB" w:eastAsia="en-GB"/>
              </w:rPr>
              <w:t>2,06</w:t>
            </w:r>
          </w:p>
        </w:tc>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14:paraId="01662A74" w14:textId="77777777" w:rsidR="000E7A5A" w:rsidRPr="00F425EA" w:rsidRDefault="00306071" w:rsidP="00E247FF">
            <w:pPr>
              <w:spacing w:after="0" w:line="276" w:lineRule="auto"/>
              <w:jc w:val="center"/>
              <w:rPr>
                <w:rFonts w:cs="Arial"/>
                <w:szCs w:val="20"/>
                <w:lang w:val="en-GB" w:eastAsia="en-GB"/>
              </w:rPr>
            </w:pPr>
            <w:r w:rsidRPr="00F425EA">
              <w:rPr>
                <w:rFonts w:cs="Arial"/>
                <w:szCs w:val="20"/>
                <w:lang w:val="en-GB" w:eastAsia="en-GB"/>
              </w:rPr>
              <w:t>0</w:t>
            </w:r>
          </w:p>
        </w:tc>
      </w:tr>
    </w:tbl>
    <w:p w14:paraId="4947E00C" w14:textId="36A177B6" w:rsidR="000E7A5A" w:rsidRPr="006D6687" w:rsidRDefault="1ECD1B8B" w:rsidP="00E247FF">
      <w:pPr>
        <w:spacing w:after="0" w:line="276" w:lineRule="auto"/>
        <w:jc w:val="both"/>
        <w:rPr>
          <w:rFonts w:cs="Arial"/>
        </w:rPr>
      </w:pPr>
      <w:r w:rsidRPr="00F7FCEE">
        <w:rPr>
          <w:rFonts w:cs="Arial"/>
        </w:rPr>
        <w:t>Vir:</w:t>
      </w:r>
      <w:r w:rsidR="05EA3AD0" w:rsidRPr="00F7FCEE">
        <w:rPr>
          <w:rStyle w:val="Hiperpovezava"/>
          <w:rFonts w:cs="Arial"/>
          <w:color w:val="auto"/>
          <w:u w:val="none"/>
        </w:rPr>
        <w:t xml:space="preserve"> SURS, 2024</w:t>
      </w:r>
    </w:p>
    <w:p w14:paraId="656B17F4" w14:textId="77777777" w:rsidR="000E7A5A" w:rsidRPr="00F425EA" w:rsidRDefault="000E7A5A" w:rsidP="00E247FF">
      <w:pPr>
        <w:spacing w:after="0" w:line="276" w:lineRule="auto"/>
        <w:jc w:val="both"/>
        <w:rPr>
          <w:rFonts w:cs="Arial"/>
        </w:rPr>
      </w:pPr>
    </w:p>
    <w:p w14:paraId="5882E58C" w14:textId="77777777" w:rsidR="000E7A5A" w:rsidRPr="00F425EA" w:rsidRDefault="00306071" w:rsidP="00E247FF">
      <w:pPr>
        <w:spacing w:after="0" w:line="276" w:lineRule="auto"/>
        <w:jc w:val="both"/>
        <w:rPr>
          <w:rFonts w:cs="Arial"/>
          <w:b/>
          <w:bCs/>
        </w:rPr>
      </w:pPr>
      <w:r w:rsidRPr="00F425EA">
        <w:rPr>
          <w:rFonts w:cs="Arial"/>
          <w:b/>
          <w:bCs/>
        </w:rPr>
        <w:t>Področje energijske učinkovitosti</w:t>
      </w:r>
    </w:p>
    <w:p w14:paraId="30AD1A01" w14:textId="77777777" w:rsidR="000E7A5A" w:rsidRPr="00F425EA" w:rsidRDefault="000E7A5A" w:rsidP="00E247FF">
      <w:pPr>
        <w:spacing w:after="0" w:line="276" w:lineRule="auto"/>
        <w:jc w:val="both"/>
        <w:rPr>
          <w:rFonts w:cs="Arial"/>
        </w:rPr>
      </w:pPr>
    </w:p>
    <w:p w14:paraId="64D4E1C0" w14:textId="7A88AFF1" w:rsidR="2ACC9F65" w:rsidRDefault="56818451" w:rsidP="2EA23F19">
      <w:pPr>
        <w:spacing w:after="0" w:line="276" w:lineRule="auto"/>
        <w:jc w:val="both"/>
        <w:rPr>
          <w:rFonts w:cs="Arial"/>
        </w:rPr>
      </w:pPr>
      <w:r w:rsidRPr="00F7FCEE">
        <w:rPr>
          <w:rFonts w:cs="Arial"/>
        </w:rPr>
        <w:t xml:space="preserve">Cilj </w:t>
      </w:r>
      <w:r w:rsidRPr="00F75E25">
        <w:rPr>
          <w:rFonts w:cs="Arial"/>
          <w:i/>
          <w:iCs/>
        </w:rPr>
        <w:t>Slovenije</w:t>
      </w:r>
      <w:r w:rsidRPr="00F7FCEE">
        <w:rPr>
          <w:rFonts w:cs="Arial"/>
        </w:rPr>
        <w:t xml:space="preserve"> na področju energijske učinkovitosti za leto 2030 je bil s Posodobljenim NEPN zvišan in sicer je sprejeti cilj zagotoviti sistematično izvajanje sprejetih politik in ukrepov, da raba končne energije ne bo presegla 50,2 </w:t>
      </w:r>
      <w:proofErr w:type="spellStart"/>
      <w:r w:rsidRPr="00F7FCEE">
        <w:rPr>
          <w:rFonts w:cs="Arial"/>
        </w:rPr>
        <w:t>TWh</w:t>
      </w:r>
      <w:proofErr w:type="spellEnd"/>
      <w:r w:rsidRPr="00F7FCEE">
        <w:rPr>
          <w:rFonts w:cs="Arial"/>
        </w:rPr>
        <w:t xml:space="preserve"> (4320 </w:t>
      </w:r>
      <w:proofErr w:type="spellStart"/>
      <w:r w:rsidRPr="00F7FCEE">
        <w:rPr>
          <w:rFonts w:cs="Arial"/>
        </w:rPr>
        <w:t>ktoe</w:t>
      </w:r>
      <w:proofErr w:type="spellEnd"/>
      <w:r w:rsidRPr="00F7FCEE">
        <w:rPr>
          <w:rFonts w:cs="Arial"/>
        </w:rPr>
        <w:t>).</w:t>
      </w:r>
    </w:p>
    <w:p w14:paraId="56206316" w14:textId="7C16D764" w:rsidR="2EA23F19" w:rsidRDefault="2EA23F19" w:rsidP="2EA23F19">
      <w:pPr>
        <w:spacing w:after="0" w:line="276" w:lineRule="auto"/>
        <w:jc w:val="both"/>
        <w:rPr>
          <w:rFonts w:cs="Arial"/>
        </w:rPr>
      </w:pPr>
    </w:p>
    <w:p w14:paraId="7BCB72A6" w14:textId="77777777" w:rsidR="000E7A5A" w:rsidRPr="00F425EA" w:rsidRDefault="00306071" w:rsidP="00E247FF">
      <w:pPr>
        <w:spacing w:after="0" w:line="276" w:lineRule="auto"/>
        <w:jc w:val="both"/>
        <w:rPr>
          <w:rFonts w:cs="Arial"/>
        </w:rPr>
      </w:pPr>
      <w:r w:rsidRPr="00F425EA">
        <w:rPr>
          <w:rFonts w:cs="Arial"/>
        </w:rPr>
        <w:t>Zadnji podatki SURS o rabi končne energije (november, 2024) so prikazani v tabeli spodaj.</w:t>
      </w:r>
    </w:p>
    <w:p w14:paraId="46FA45C9" w14:textId="77777777" w:rsidR="000E7A5A" w:rsidRDefault="000E7A5A" w:rsidP="00E247FF">
      <w:pPr>
        <w:spacing w:after="0" w:line="276" w:lineRule="auto"/>
        <w:jc w:val="both"/>
        <w:rPr>
          <w:rFonts w:cs="Arial"/>
        </w:rPr>
      </w:pPr>
    </w:p>
    <w:p w14:paraId="2CE072AD" w14:textId="77777777" w:rsidR="00B70959" w:rsidRPr="00F425EA" w:rsidRDefault="00B70959" w:rsidP="00E247FF">
      <w:pPr>
        <w:spacing w:after="0" w:line="276" w:lineRule="auto"/>
        <w:jc w:val="both"/>
        <w:rPr>
          <w:rFonts w:cs="Arial"/>
        </w:rPr>
      </w:pPr>
    </w:p>
    <w:p w14:paraId="39AF708A" w14:textId="39DA87B8" w:rsidR="00A135C5" w:rsidRPr="008C4B1D" w:rsidRDefault="00A135C5" w:rsidP="00A135C5">
      <w:pPr>
        <w:pStyle w:val="Napis"/>
        <w:keepNext/>
        <w:spacing w:after="0"/>
        <w:rPr>
          <w:rFonts w:cs="Arial"/>
          <w:b w:val="0"/>
          <w:bCs w:val="0"/>
          <w:color w:val="auto"/>
          <w:sz w:val="18"/>
          <w:szCs w:val="18"/>
        </w:rPr>
      </w:pPr>
      <w:bookmarkStart w:id="3435" w:name="_Toc191379198"/>
      <w:r w:rsidRPr="008C4B1D">
        <w:rPr>
          <w:rFonts w:cs="Arial"/>
          <w:b w:val="0"/>
          <w:bCs w:val="0"/>
          <w:color w:val="auto"/>
          <w:sz w:val="18"/>
          <w:szCs w:val="18"/>
        </w:rPr>
        <w:lastRenderedPageBreak/>
        <w:t xml:space="preserve">Tabela </w:t>
      </w:r>
      <w:r w:rsidRPr="008C4B1D">
        <w:rPr>
          <w:rFonts w:cs="Arial"/>
          <w:b w:val="0"/>
          <w:bCs w:val="0"/>
          <w:color w:val="auto"/>
          <w:sz w:val="18"/>
          <w:szCs w:val="18"/>
        </w:rPr>
        <w:fldChar w:fldCharType="begin"/>
      </w:r>
      <w:r w:rsidRPr="008C4B1D">
        <w:rPr>
          <w:rFonts w:cs="Arial"/>
          <w:b w:val="0"/>
          <w:bCs w:val="0"/>
          <w:color w:val="auto"/>
          <w:sz w:val="18"/>
          <w:szCs w:val="18"/>
        </w:rPr>
        <w:instrText xml:space="preserve"> SEQ Tabela \* ARABIC </w:instrText>
      </w:r>
      <w:r w:rsidRPr="008C4B1D">
        <w:rPr>
          <w:rFonts w:cs="Arial"/>
          <w:b w:val="0"/>
          <w:bCs w:val="0"/>
          <w:color w:val="auto"/>
          <w:sz w:val="18"/>
          <w:szCs w:val="18"/>
        </w:rPr>
        <w:fldChar w:fldCharType="separate"/>
      </w:r>
      <w:r w:rsidR="00064E01">
        <w:rPr>
          <w:rFonts w:cs="Arial"/>
          <w:b w:val="0"/>
          <w:bCs w:val="0"/>
          <w:noProof/>
          <w:color w:val="auto"/>
          <w:sz w:val="18"/>
          <w:szCs w:val="18"/>
        </w:rPr>
        <w:t>9</w:t>
      </w:r>
      <w:r w:rsidRPr="008C4B1D">
        <w:rPr>
          <w:rFonts w:cs="Arial"/>
          <w:b w:val="0"/>
          <w:bCs w:val="0"/>
          <w:color w:val="auto"/>
          <w:sz w:val="18"/>
          <w:szCs w:val="18"/>
        </w:rPr>
        <w:fldChar w:fldCharType="end"/>
      </w:r>
      <w:r w:rsidRPr="008C4B1D">
        <w:rPr>
          <w:rFonts w:cs="Arial"/>
          <w:b w:val="0"/>
          <w:bCs w:val="0"/>
          <w:color w:val="auto"/>
          <w:sz w:val="18"/>
          <w:szCs w:val="18"/>
        </w:rPr>
        <w:t>: Podatki o rabi končne energiji (november 2024)</w:t>
      </w:r>
      <w:r w:rsidR="006D6687" w:rsidRPr="008C4B1D">
        <w:rPr>
          <w:rStyle w:val="Sprotnaopomba-sklic"/>
          <w:rFonts w:cs="Arial"/>
          <w:b w:val="0"/>
          <w:bCs w:val="0"/>
          <w:color w:val="auto"/>
          <w:sz w:val="18"/>
          <w:szCs w:val="18"/>
        </w:rPr>
        <w:footnoteReference w:id="22"/>
      </w:r>
      <w:bookmarkEnd w:id="3435"/>
    </w:p>
    <w:p w14:paraId="6B3E9368" w14:textId="77777777" w:rsidR="00D862E1" w:rsidRPr="00D862E1" w:rsidRDefault="00D862E1" w:rsidP="00D862E1">
      <w:pPr>
        <w:spacing w:after="0"/>
      </w:pPr>
    </w:p>
    <w:tbl>
      <w:tblPr>
        <w:tblW w:w="5585" w:type="dxa"/>
        <w:tblCellMar>
          <w:left w:w="10" w:type="dxa"/>
          <w:right w:w="10" w:type="dxa"/>
        </w:tblCellMar>
        <w:tblLook w:val="04A0" w:firstRow="1" w:lastRow="0" w:firstColumn="1" w:lastColumn="0" w:noHBand="0" w:noVBand="1"/>
      </w:tblPr>
      <w:tblGrid>
        <w:gridCol w:w="2540"/>
        <w:gridCol w:w="735"/>
        <w:gridCol w:w="765"/>
        <w:gridCol w:w="795"/>
        <w:gridCol w:w="750"/>
      </w:tblGrid>
      <w:tr w:rsidR="001A35F6" w:rsidRPr="00F425EA" w14:paraId="7A3CA535" w14:textId="6CD65480" w:rsidTr="001A35F6">
        <w:trPr>
          <w:trHeight w:val="300"/>
        </w:trPr>
        <w:tc>
          <w:tcPr>
            <w:tcW w:w="2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noWrap/>
            <w:tcMar>
              <w:top w:w="0" w:type="dxa"/>
              <w:left w:w="108" w:type="dxa"/>
              <w:bottom w:w="0" w:type="dxa"/>
              <w:right w:w="108" w:type="dxa"/>
            </w:tcMar>
            <w:vAlign w:val="bottom"/>
          </w:tcPr>
          <w:p w14:paraId="0A54170D" w14:textId="44CC6B04" w:rsidR="001A35F6" w:rsidRPr="0071687F" w:rsidRDefault="001A35F6" w:rsidP="00E247FF">
            <w:pPr>
              <w:spacing w:after="0" w:line="276" w:lineRule="auto"/>
              <w:rPr>
                <w:rFonts w:cs="Arial"/>
                <w:b/>
                <w:bCs/>
                <w:sz w:val="24"/>
                <w:szCs w:val="24"/>
                <w:lang w:val="pl-PL" w:eastAsia="en-GB"/>
              </w:rPr>
            </w:pPr>
            <w:r w:rsidRPr="0071687F">
              <w:rPr>
                <w:rFonts w:cs="Arial"/>
                <w:b/>
                <w:bCs/>
                <w:szCs w:val="20"/>
                <w:lang w:val="pl-PL" w:eastAsia="en-GB"/>
              </w:rPr>
              <w:t>Leto/ poraba</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noWrap/>
            <w:tcMar>
              <w:top w:w="0" w:type="dxa"/>
              <w:left w:w="108" w:type="dxa"/>
              <w:bottom w:w="0" w:type="dxa"/>
              <w:right w:w="108" w:type="dxa"/>
            </w:tcMar>
            <w:vAlign w:val="bottom"/>
          </w:tcPr>
          <w:p w14:paraId="5704F7D5" w14:textId="77777777" w:rsidR="001A35F6" w:rsidRPr="00F425EA" w:rsidRDefault="001A35F6" w:rsidP="00E247FF">
            <w:pPr>
              <w:spacing w:after="0" w:line="276" w:lineRule="auto"/>
              <w:jc w:val="center"/>
              <w:rPr>
                <w:rFonts w:cs="Arial"/>
                <w:b/>
                <w:bCs/>
                <w:color w:val="000000"/>
                <w:lang w:val="en-GB" w:eastAsia="en-GB"/>
              </w:rPr>
            </w:pPr>
            <w:r w:rsidRPr="00F425EA">
              <w:rPr>
                <w:rFonts w:cs="Arial"/>
                <w:b/>
                <w:bCs/>
                <w:color w:val="000000"/>
                <w:lang w:val="en-GB" w:eastAsia="en-GB"/>
              </w:rPr>
              <w:t>2020</w:t>
            </w:r>
          </w:p>
        </w:tc>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noWrap/>
            <w:tcMar>
              <w:top w:w="0" w:type="dxa"/>
              <w:left w:w="108" w:type="dxa"/>
              <w:bottom w:w="0" w:type="dxa"/>
              <w:right w:w="108" w:type="dxa"/>
            </w:tcMar>
            <w:vAlign w:val="bottom"/>
          </w:tcPr>
          <w:p w14:paraId="74A4835D" w14:textId="77777777" w:rsidR="001A35F6" w:rsidRPr="00F425EA" w:rsidRDefault="001A35F6" w:rsidP="00E247FF">
            <w:pPr>
              <w:spacing w:after="0" w:line="276" w:lineRule="auto"/>
              <w:jc w:val="center"/>
              <w:rPr>
                <w:rFonts w:cs="Arial"/>
                <w:b/>
                <w:bCs/>
                <w:color w:val="000000"/>
                <w:lang w:val="en-GB" w:eastAsia="en-GB"/>
              </w:rPr>
            </w:pPr>
            <w:r w:rsidRPr="00F425EA">
              <w:rPr>
                <w:rFonts w:cs="Arial"/>
                <w:b/>
                <w:bCs/>
                <w:color w:val="000000"/>
                <w:lang w:val="en-GB" w:eastAsia="en-GB"/>
              </w:rPr>
              <w:t>2021</w:t>
            </w: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noWrap/>
            <w:tcMar>
              <w:top w:w="0" w:type="dxa"/>
              <w:left w:w="108" w:type="dxa"/>
              <w:bottom w:w="0" w:type="dxa"/>
              <w:right w:w="108" w:type="dxa"/>
            </w:tcMar>
            <w:vAlign w:val="bottom"/>
          </w:tcPr>
          <w:p w14:paraId="66507095" w14:textId="77777777" w:rsidR="001A35F6" w:rsidRPr="00F425EA" w:rsidRDefault="001A35F6" w:rsidP="00E247FF">
            <w:pPr>
              <w:spacing w:after="0" w:line="276" w:lineRule="auto"/>
              <w:jc w:val="center"/>
              <w:rPr>
                <w:rFonts w:cs="Arial"/>
                <w:b/>
                <w:bCs/>
                <w:color w:val="000000"/>
                <w:lang w:val="en-GB" w:eastAsia="en-GB"/>
              </w:rPr>
            </w:pPr>
            <w:r w:rsidRPr="00F425EA">
              <w:rPr>
                <w:rFonts w:cs="Arial"/>
                <w:b/>
                <w:bCs/>
                <w:color w:val="000000"/>
                <w:lang w:val="en-GB" w:eastAsia="en-GB"/>
              </w:rPr>
              <w:t>2022</w:t>
            </w:r>
          </w:p>
        </w:tc>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noWrap/>
            <w:tcMar>
              <w:top w:w="0" w:type="dxa"/>
              <w:left w:w="108" w:type="dxa"/>
              <w:bottom w:w="0" w:type="dxa"/>
              <w:right w:w="108" w:type="dxa"/>
            </w:tcMar>
            <w:vAlign w:val="bottom"/>
          </w:tcPr>
          <w:p w14:paraId="36FBF040" w14:textId="77777777" w:rsidR="001A35F6" w:rsidRPr="00F425EA" w:rsidRDefault="001A35F6" w:rsidP="00E247FF">
            <w:pPr>
              <w:spacing w:after="0" w:line="276" w:lineRule="auto"/>
              <w:jc w:val="center"/>
              <w:rPr>
                <w:rFonts w:cs="Arial"/>
                <w:b/>
                <w:bCs/>
                <w:color w:val="000000"/>
                <w:lang w:val="en-GB" w:eastAsia="en-GB"/>
              </w:rPr>
            </w:pPr>
            <w:r w:rsidRPr="00F425EA">
              <w:rPr>
                <w:rFonts w:cs="Arial"/>
                <w:b/>
                <w:bCs/>
                <w:color w:val="000000"/>
                <w:lang w:val="en-GB" w:eastAsia="en-GB"/>
              </w:rPr>
              <w:t>2023</w:t>
            </w:r>
          </w:p>
        </w:tc>
      </w:tr>
      <w:tr w:rsidR="001A35F6" w:rsidRPr="00F425EA" w14:paraId="5BAA935B" w14:textId="14F64362" w:rsidTr="001A35F6">
        <w:trPr>
          <w:trHeight w:val="300"/>
        </w:trPr>
        <w:tc>
          <w:tcPr>
            <w:tcW w:w="2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14:paraId="039AD9EB" w14:textId="77777777" w:rsidR="001A35F6" w:rsidRPr="0071687F" w:rsidRDefault="001A35F6" w:rsidP="00E247FF">
            <w:pPr>
              <w:spacing w:after="0" w:line="276" w:lineRule="auto"/>
              <w:rPr>
                <w:rFonts w:cs="Arial"/>
                <w:color w:val="000000"/>
                <w:lang w:val="en-GB" w:eastAsia="en-GB"/>
              </w:rPr>
            </w:pPr>
            <w:r w:rsidRPr="0071687F">
              <w:rPr>
                <w:rFonts w:cs="Arial"/>
                <w:color w:val="000000"/>
                <w:lang w:eastAsia="en-GB"/>
              </w:rPr>
              <w:t>Končna</w:t>
            </w:r>
            <w:r w:rsidRPr="0071687F">
              <w:rPr>
                <w:rFonts w:cs="Arial"/>
                <w:color w:val="000000"/>
                <w:lang w:val="en-GB" w:eastAsia="en-GB"/>
              </w:rPr>
              <w:t xml:space="preserve"> </w:t>
            </w:r>
            <w:proofErr w:type="spellStart"/>
            <w:r w:rsidRPr="0071687F">
              <w:rPr>
                <w:rFonts w:cs="Arial"/>
                <w:color w:val="000000"/>
                <w:lang w:val="en-GB" w:eastAsia="en-GB"/>
              </w:rPr>
              <w:t>poraba</w:t>
            </w:r>
            <w:proofErr w:type="spellEnd"/>
            <w:r w:rsidRPr="0071687F">
              <w:rPr>
                <w:rFonts w:cs="Arial"/>
                <w:color w:val="000000"/>
                <w:lang w:val="en-GB" w:eastAsia="en-GB"/>
              </w:rPr>
              <w:t xml:space="preserve"> (1000 toe)</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14:paraId="66A6C2FE" w14:textId="77777777" w:rsidR="001A35F6" w:rsidRPr="00F425EA" w:rsidRDefault="001A35F6" w:rsidP="00E247FF">
            <w:pPr>
              <w:spacing w:after="0" w:line="276" w:lineRule="auto"/>
              <w:jc w:val="center"/>
              <w:rPr>
                <w:rFonts w:cs="Arial"/>
                <w:color w:val="000000"/>
                <w:lang w:val="en-GB" w:eastAsia="en-GB"/>
              </w:rPr>
            </w:pPr>
            <w:r w:rsidRPr="00F425EA">
              <w:rPr>
                <w:rFonts w:cs="Arial"/>
                <w:color w:val="000000"/>
                <w:lang w:val="en-GB" w:eastAsia="en-GB"/>
              </w:rPr>
              <w:t>4504</w:t>
            </w:r>
          </w:p>
        </w:tc>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14:paraId="26937413" w14:textId="77777777" w:rsidR="001A35F6" w:rsidRPr="00F425EA" w:rsidRDefault="001A35F6" w:rsidP="00E247FF">
            <w:pPr>
              <w:spacing w:after="0" w:line="276" w:lineRule="auto"/>
              <w:jc w:val="center"/>
              <w:rPr>
                <w:rFonts w:cs="Arial"/>
                <w:color w:val="000000"/>
                <w:lang w:val="en-GB" w:eastAsia="en-GB"/>
              </w:rPr>
            </w:pPr>
            <w:r w:rsidRPr="00F425EA">
              <w:rPr>
                <w:rFonts w:cs="Arial"/>
                <w:color w:val="000000"/>
                <w:lang w:val="en-GB" w:eastAsia="en-GB"/>
              </w:rPr>
              <w:t>4825</w:t>
            </w: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14:paraId="01D8C2AA" w14:textId="77777777" w:rsidR="001A35F6" w:rsidRPr="00F425EA" w:rsidRDefault="001A35F6" w:rsidP="00E247FF">
            <w:pPr>
              <w:spacing w:after="0" w:line="276" w:lineRule="auto"/>
              <w:jc w:val="center"/>
              <w:rPr>
                <w:rFonts w:cs="Arial"/>
                <w:color w:val="000000"/>
                <w:lang w:val="en-GB" w:eastAsia="en-GB"/>
              </w:rPr>
            </w:pPr>
            <w:r w:rsidRPr="00F425EA">
              <w:rPr>
                <w:rFonts w:cs="Arial"/>
                <w:color w:val="000000"/>
                <w:lang w:val="en-GB" w:eastAsia="en-GB"/>
              </w:rPr>
              <w:t>4819</w:t>
            </w:r>
          </w:p>
        </w:tc>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14:paraId="73B0AB5A" w14:textId="77777777" w:rsidR="001A35F6" w:rsidRPr="00F425EA" w:rsidRDefault="001A35F6" w:rsidP="00E247FF">
            <w:pPr>
              <w:spacing w:after="0" w:line="276" w:lineRule="auto"/>
              <w:jc w:val="center"/>
              <w:rPr>
                <w:rFonts w:cs="Arial"/>
                <w:color w:val="000000"/>
                <w:lang w:val="en-GB" w:eastAsia="en-GB"/>
              </w:rPr>
            </w:pPr>
            <w:r w:rsidRPr="00F425EA">
              <w:rPr>
                <w:rFonts w:cs="Arial"/>
                <w:color w:val="000000"/>
                <w:lang w:val="en-GB" w:eastAsia="en-GB"/>
              </w:rPr>
              <w:t>4573</w:t>
            </w:r>
          </w:p>
        </w:tc>
      </w:tr>
    </w:tbl>
    <w:p w14:paraId="39E3FDF9" w14:textId="6B7A5EB3" w:rsidR="000E7A5A" w:rsidRPr="00F425EA" w:rsidRDefault="1ECD1B8B" w:rsidP="00E247FF">
      <w:pPr>
        <w:spacing w:after="0" w:line="276" w:lineRule="auto"/>
        <w:jc w:val="both"/>
        <w:rPr>
          <w:rFonts w:cs="Arial"/>
        </w:rPr>
      </w:pPr>
      <w:r w:rsidRPr="00F7FCEE">
        <w:rPr>
          <w:rFonts w:cs="Arial"/>
        </w:rPr>
        <w:t>Vir:</w:t>
      </w:r>
      <w:r w:rsidR="16D025B0" w:rsidRPr="00F7FCEE">
        <w:rPr>
          <w:rStyle w:val="Hiperpovezava"/>
          <w:rFonts w:cs="Arial"/>
          <w:color w:val="auto"/>
          <w:u w:val="none"/>
        </w:rPr>
        <w:t xml:space="preserve"> SURS, 2024</w:t>
      </w:r>
    </w:p>
    <w:p w14:paraId="7A931338" w14:textId="77777777" w:rsidR="000E7A5A" w:rsidRPr="00F425EA" w:rsidRDefault="000E7A5A" w:rsidP="00E247FF">
      <w:pPr>
        <w:spacing w:after="0" w:line="276" w:lineRule="auto"/>
        <w:jc w:val="both"/>
        <w:rPr>
          <w:rFonts w:cs="Arial"/>
        </w:rPr>
      </w:pPr>
    </w:p>
    <w:p w14:paraId="1BFB65BC" w14:textId="0F637A37" w:rsidR="000E7A5A" w:rsidRDefault="00306071" w:rsidP="00E247FF">
      <w:pPr>
        <w:spacing w:after="0" w:line="276" w:lineRule="auto"/>
        <w:jc w:val="both"/>
        <w:rPr>
          <w:rFonts w:cs="Arial"/>
        </w:rPr>
      </w:pPr>
      <w:r w:rsidRPr="00F425EA">
        <w:rPr>
          <w:rFonts w:cs="Arial"/>
        </w:rPr>
        <w:t>Količina energije, namenjene končni rabi, je v letu 2023 znašala nekaj več kot 191.000 TJ ali za 5 % manj kot v letu 2022. Največji delež (41 %) je obsegala poraba v prometu. Na drugem mestu je bila predelovalna industrija z gradbeništvom (24 %), sledili so gospodinjstva (23 %), storitvene dejavnosti (skoraj 10 %) in drugi porabniki (3 %)</w:t>
      </w:r>
      <w:r w:rsidR="006D6687">
        <w:rPr>
          <w:rFonts w:cs="Arial"/>
        </w:rPr>
        <w:t>.</w:t>
      </w:r>
      <w:r w:rsidR="006D6687">
        <w:rPr>
          <w:rStyle w:val="Sprotnaopomba-sklic"/>
          <w:rFonts w:cs="Arial"/>
        </w:rPr>
        <w:footnoteReference w:id="23"/>
      </w:r>
    </w:p>
    <w:p w14:paraId="33024C72" w14:textId="77777777" w:rsidR="00E438D1" w:rsidRPr="00F425EA" w:rsidRDefault="00E438D1" w:rsidP="00E247FF">
      <w:pPr>
        <w:spacing w:after="0" w:line="276" w:lineRule="auto"/>
        <w:jc w:val="both"/>
        <w:rPr>
          <w:rFonts w:cs="Arial"/>
        </w:rPr>
      </w:pPr>
    </w:p>
    <w:p w14:paraId="167A8BD5" w14:textId="77777777" w:rsidR="000E7A5A" w:rsidRPr="00F425EA" w:rsidRDefault="00306071" w:rsidP="00E247FF">
      <w:pPr>
        <w:spacing w:after="0" w:line="276" w:lineRule="auto"/>
        <w:jc w:val="both"/>
        <w:rPr>
          <w:rFonts w:cs="Arial"/>
          <w:b/>
          <w:bCs/>
        </w:rPr>
      </w:pPr>
      <w:r w:rsidRPr="00F425EA">
        <w:rPr>
          <w:rFonts w:cs="Arial"/>
          <w:b/>
          <w:bCs/>
        </w:rPr>
        <w:t xml:space="preserve">(ii) Evidenca vseh potreb po naložbah glede na vire financiranja, ki so potrebne za uresničitev podnebnih in energijskih ciljev do leta 2030 </w:t>
      </w:r>
    </w:p>
    <w:p w14:paraId="76531622" w14:textId="77777777" w:rsidR="000E7A5A" w:rsidRPr="00F425EA" w:rsidRDefault="000E7A5A" w:rsidP="00E247FF">
      <w:pPr>
        <w:spacing w:after="0" w:line="276" w:lineRule="auto"/>
        <w:jc w:val="both"/>
        <w:rPr>
          <w:rFonts w:cs="Arial"/>
        </w:rPr>
      </w:pPr>
    </w:p>
    <w:p w14:paraId="763F9B88" w14:textId="7A14A429" w:rsidR="1E343BD8" w:rsidRDefault="46B5F41A" w:rsidP="2EA23F19">
      <w:pPr>
        <w:spacing w:after="0" w:line="276" w:lineRule="auto"/>
        <w:jc w:val="both"/>
        <w:rPr>
          <w:rFonts w:cs="Arial"/>
        </w:rPr>
      </w:pPr>
      <w:r w:rsidRPr="00F7FCEE">
        <w:rPr>
          <w:rFonts w:cs="Arial"/>
        </w:rPr>
        <w:t>Posodobljeni NEPN 2024 je bil sprejet 18. 12. 2024 na Vladi RS. V nadaljevanju podajamo okvirno oceno naložbenih potreb po virih financiranja, ki so potrebne za uresničitev energetskih in podnebnih ciljev do leta 2030.</w:t>
      </w:r>
    </w:p>
    <w:p w14:paraId="49321229" w14:textId="033CD6AF" w:rsidR="000E7A5A" w:rsidRPr="00F425EA" w:rsidRDefault="000E7A5A" w:rsidP="00F7FCEE">
      <w:pPr>
        <w:spacing w:after="0" w:line="276" w:lineRule="auto"/>
        <w:jc w:val="both"/>
        <w:rPr>
          <w:rFonts w:cs="Arial"/>
        </w:rPr>
      </w:pPr>
    </w:p>
    <w:p w14:paraId="20EF83F1" w14:textId="3E10C510" w:rsidR="000E7A5A" w:rsidRPr="00F425EA" w:rsidRDefault="1EAD31EB" w:rsidP="00E247FF">
      <w:pPr>
        <w:spacing w:after="0" w:line="276" w:lineRule="auto"/>
        <w:jc w:val="both"/>
        <w:rPr>
          <w:rFonts w:cs="Arial"/>
        </w:rPr>
      </w:pPr>
      <w:r w:rsidRPr="2EA23F19">
        <w:rPr>
          <w:rFonts w:cs="Arial"/>
        </w:rPr>
        <w:t xml:space="preserve">Sprejeti Posodobljeni NEPN je na voljo na spletni strani NEPN (Portal Energetika): Posodobljeni Celoviti nacionalni energetski in podnebni načrt Republike Slovenije, december 2024. </w:t>
      </w:r>
      <w:r w:rsidR="58E9CC9D" w:rsidRPr="2EA23F19" w:rsidDel="1A327854">
        <w:rPr>
          <w:rFonts w:cs="Arial"/>
        </w:rPr>
        <w:t>P</w:t>
      </w:r>
      <w:r w:rsidR="4EE128E9" w:rsidRPr="2EA23F19">
        <w:rPr>
          <w:rFonts w:cs="Arial"/>
        </w:rPr>
        <w:t xml:space="preserve">regled naložbenih potreb v podpoglavju 5.3. V poglavju 5.3.1 pa </w:t>
      </w:r>
      <w:r w:rsidR="4469BA5D" w:rsidRPr="2EA23F19">
        <w:rPr>
          <w:rFonts w:cs="Arial"/>
        </w:rPr>
        <w:t xml:space="preserve">je </w:t>
      </w:r>
      <w:r w:rsidR="4EE128E9" w:rsidRPr="2EA23F19">
        <w:rPr>
          <w:rFonts w:cs="Arial"/>
        </w:rPr>
        <w:t>poda</w:t>
      </w:r>
      <w:r w:rsidR="5B1A033E" w:rsidRPr="2EA23F19">
        <w:rPr>
          <w:rFonts w:cs="Arial"/>
        </w:rPr>
        <w:t>n</w:t>
      </w:r>
      <w:r w:rsidR="4EE128E9" w:rsidRPr="2EA23F19" w:rsidDel="1A327854">
        <w:rPr>
          <w:rFonts w:cs="Arial"/>
        </w:rPr>
        <w:t xml:space="preserve"> pregled Obstoječih naložbenih tokov in predpostavke o naložbah v prihodnosti, ob upoštevanju načrtovanih politik in ukrepov. Obe navedeni podpoglavji (5.3 in 5.3.1) kopiramo spodaj</w:t>
      </w:r>
      <w:r w:rsidR="30EFF24E" w:rsidRPr="2EA23F19">
        <w:rPr>
          <w:rFonts w:cs="Arial"/>
        </w:rPr>
        <w:t>.</w:t>
      </w:r>
    </w:p>
    <w:p w14:paraId="1FA56E3F" w14:textId="77777777" w:rsidR="000E7A5A" w:rsidRPr="00F425EA" w:rsidRDefault="000E7A5A" w:rsidP="00E247FF">
      <w:pPr>
        <w:spacing w:after="0" w:line="276" w:lineRule="auto"/>
        <w:jc w:val="both"/>
        <w:rPr>
          <w:rFonts w:cs="Arial"/>
        </w:rPr>
      </w:pPr>
    </w:p>
    <w:p w14:paraId="28833B7C" w14:textId="15938291" w:rsidR="000E7A5A" w:rsidRDefault="005A12CC" w:rsidP="000B2C28">
      <w:pPr>
        <w:pStyle w:val="Naslov2"/>
        <w:numPr>
          <w:ilvl w:val="1"/>
          <w:numId w:val="63"/>
        </w:numPr>
      </w:pPr>
      <w:bookmarkStart w:id="3436" w:name="_Toc33685866"/>
      <w:bookmarkStart w:id="3437" w:name="_Toc167392589"/>
      <w:bookmarkStart w:id="3438" w:name="_Toc172878692"/>
      <w:bookmarkStart w:id="3439" w:name="_Toc1675542236"/>
      <w:bookmarkStart w:id="3440" w:name="_Toc1460618870"/>
      <w:bookmarkStart w:id="3441" w:name="_Toc1959828106"/>
      <w:bookmarkStart w:id="3442" w:name="_Toc1100994823"/>
      <w:bookmarkStart w:id="3443" w:name="_Toc456238923"/>
      <w:bookmarkStart w:id="3444" w:name="_Toc137563718"/>
      <w:bookmarkStart w:id="3445" w:name="_Toc1129602005"/>
      <w:bookmarkStart w:id="3446" w:name="_Toc1236665163"/>
      <w:bookmarkStart w:id="3447" w:name="_Toc454782734"/>
      <w:bookmarkStart w:id="3448" w:name="_Toc1448876708"/>
      <w:bookmarkStart w:id="3449" w:name="_Toc2110835917"/>
      <w:bookmarkStart w:id="3450" w:name="_Toc1103337947"/>
      <w:bookmarkStart w:id="3451" w:name="_Toc1211229761"/>
      <w:bookmarkStart w:id="3452" w:name="_Toc679300326"/>
      <w:bookmarkStart w:id="3453" w:name="_Toc578554951"/>
      <w:bookmarkStart w:id="3454" w:name="_Toc313848252"/>
      <w:bookmarkStart w:id="3455" w:name="_Toc1992363224"/>
      <w:bookmarkStart w:id="3456" w:name="_Toc415359859"/>
      <w:bookmarkStart w:id="3457" w:name="_Toc1056797442"/>
      <w:bookmarkStart w:id="3458" w:name="_Toc1026406691"/>
      <w:bookmarkStart w:id="3459" w:name="_Toc1163464436"/>
      <w:bookmarkStart w:id="3460" w:name="_Toc1118161097"/>
      <w:bookmarkStart w:id="3461" w:name="_Toc188366107"/>
      <w:bookmarkStart w:id="3462" w:name="_Toc575742617"/>
      <w:bookmarkStart w:id="3463" w:name="_Toc917899673"/>
      <w:bookmarkStart w:id="3464" w:name="_Toc103886965"/>
      <w:bookmarkStart w:id="3465" w:name="_Toc642473259"/>
      <w:bookmarkStart w:id="3466" w:name="_Toc515228390"/>
      <w:bookmarkStart w:id="3467" w:name="_Toc1548618935"/>
      <w:bookmarkStart w:id="3468" w:name="_Toc1645473120"/>
      <w:bookmarkStart w:id="3469" w:name="_Toc1901836425"/>
      <w:bookmarkStart w:id="3470" w:name="_Toc1108590319"/>
      <w:bookmarkStart w:id="3471" w:name="_Toc1859801896"/>
      <w:bookmarkStart w:id="3472" w:name="_Toc1075010538"/>
      <w:bookmarkStart w:id="3473" w:name="_Toc1823478975"/>
      <w:bookmarkStart w:id="3474" w:name="_Toc981260159"/>
      <w:bookmarkStart w:id="3475" w:name="_Toc611577039"/>
      <w:bookmarkStart w:id="3476" w:name="_Toc830189187"/>
      <w:bookmarkStart w:id="3477" w:name="_Toc606004178"/>
      <w:bookmarkStart w:id="3478" w:name="_Toc1395262291"/>
      <w:bookmarkStart w:id="3479" w:name="_Toc130637955"/>
      <w:bookmarkStart w:id="3480" w:name="_Toc909072129"/>
      <w:bookmarkStart w:id="3481" w:name="_Toc535629453"/>
      <w:bookmarkStart w:id="3482" w:name="_Toc1525597004"/>
      <w:bookmarkStart w:id="3483" w:name="_Toc1210418048"/>
      <w:bookmarkStart w:id="3484" w:name="_Toc63259579"/>
      <w:bookmarkStart w:id="3485" w:name="_Toc1209375156"/>
      <w:bookmarkStart w:id="3486" w:name="_Toc1927320377"/>
      <w:bookmarkStart w:id="3487" w:name="_Toc560919375"/>
      <w:bookmarkStart w:id="3488" w:name="_Toc1700638577"/>
      <w:bookmarkStart w:id="3489" w:name="_Toc556965636"/>
      <w:bookmarkStart w:id="3490" w:name="_Toc2017029021"/>
      <w:bookmarkStart w:id="3491" w:name="_Toc1072057304"/>
      <w:bookmarkStart w:id="3492" w:name="_Toc9810249"/>
      <w:bookmarkStart w:id="3493" w:name="_Toc297232079"/>
      <w:bookmarkStart w:id="3494" w:name="_Toc1476162588"/>
      <w:bookmarkStart w:id="3495" w:name="_Toc232649340"/>
      <w:bookmarkStart w:id="3496" w:name="_Toc107737323"/>
      <w:bookmarkStart w:id="3497" w:name="_Toc417891329"/>
      <w:bookmarkStart w:id="3498" w:name="_Toc1586497351"/>
      <w:bookmarkStart w:id="3499" w:name="_Toc1342185585"/>
      <w:bookmarkStart w:id="3500" w:name="_Toc506450742"/>
      <w:bookmarkStart w:id="3501" w:name="_Toc1546668034"/>
      <w:bookmarkStart w:id="3502" w:name="_Toc274470091"/>
      <w:bookmarkStart w:id="3503" w:name="_Toc25664952"/>
      <w:bookmarkStart w:id="3504" w:name="_Toc1546507212"/>
      <w:bookmarkStart w:id="3505" w:name="_Toc655822641"/>
      <w:bookmarkStart w:id="3506" w:name="_Toc1779808017"/>
      <w:bookmarkStart w:id="3507" w:name="_Toc1220218879"/>
      <w:bookmarkStart w:id="3508" w:name="_Toc733011660"/>
      <w:bookmarkStart w:id="3509" w:name="_Toc637718711"/>
      <w:bookmarkStart w:id="3510" w:name="_Toc258966318"/>
      <w:bookmarkStart w:id="3511" w:name="_Toc1041972459"/>
      <w:bookmarkStart w:id="3512" w:name="_Toc1299566051"/>
      <w:bookmarkStart w:id="3513" w:name="_Toc2048017040"/>
      <w:bookmarkStart w:id="3514" w:name="_Toc885529245"/>
      <w:bookmarkStart w:id="3515" w:name="_Toc1725189194"/>
      <w:bookmarkStart w:id="3516" w:name="_Toc1027084079"/>
      <w:bookmarkStart w:id="3517" w:name="_Toc1108976110"/>
      <w:bookmarkStart w:id="3518" w:name="_Toc543758085"/>
      <w:bookmarkStart w:id="3519" w:name="_Toc1676945236"/>
      <w:bookmarkStart w:id="3520" w:name="_Toc109026157"/>
      <w:bookmarkStart w:id="3521" w:name="_Toc935242275"/>
      <w:bookmarkStart w:id="3522" w:name="_Toc1589258360"/>
      <w:bookmarkStart w:id="3523" w:name="_Toc187739363"/>
      <w:bookmarkStart w:id="3524" w:name="_Toc187740110"/>
      <w:bookmarkStart w:id="3525" w:name="_Toc192682020"/>
      <w:r w:rsidRPr="005A12CC">
        <w:t>PREGLED NALOŽBENIH POTREB</w:t>
      </w:r>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p>
    <w:p w14:paraId="68D3506A" w14:textId="77777777" w:rsidR="005A12CC" w:rsidRPr="005A12CC" w:rsidRDefault="005A12CC" w:rsidP="005A12CC">
      <w:pPr>
        <w:spacing w:after="0"/>
      </w:pPr>
    </w:p>
    <w:p w14:paraId="4D8DBA4B" w14:textId="0C832AF0" w:rsidR="000E7A5A" w:rsidRPr="00F425EA" w:rsidRDefault="00306071" w:rsidP="00E247FF">
      <w:pPr>
        <w:spacing w:line="276" w:lineRule="auto"/>
        <w:jc w:val="both"/>
        <w:rPr>
          <w:rFonts w:cs="Arial"/>
        </w:rPr>
      </w:pPr>
      <w:r w:rsidRPr="00F425EA">
        <w:rPr>
          <w:rFonts w:cs="Arial"/>
          <w:i/>
          <w:iCs/>
          <w:szCs w:val="20"/>
        </w:rPr>
        <w:t>Ocenjene skupne investicije povezane z izvedbo ukrepov v scenariju DU v obdobju 2021 - 2030 znašajo okoli 56 mrd EUR (</w:t>
      </w:r>
      <w:r w:rsidRPr="00F425EA">
        <w:rPr>
          <w:rFonts w:cs="Arial"/>
        </w:rPr>
        <w:fldChar w:fldCharType="begin"/>
      </w:r>
      <w:r w:rsidRPr="00F425EA">
        <w:rPr>
          <w:rFonts w:cs="Arial"/>
        </w:rPr>
        <w:instrText xml:space="preserve"> REF _Ref172878394 </w:instrText>
      </w:r>
      <w:r w:rsidR="00F425EA">
        <w:rPr>
          <w:rFonts w:cs="Arial"/>
        </w:rPr>
        <w:instrText xml:space="preserve"> \* MERGEFORMAT </w:instrText>
      </w:r>
      <w:r w:rsidRPr="00F425EA">
        <w:rPr>
          <w:rFonts w:cs="Arial"/>
        </w:rPr>
        <w:fldChar w:fldCharType="separate"/>
      </w:r>
      <w:r w:rsidR="00064E01">
        <w:rPr>
          <w:rFonts w:cs="Arial"/>
          <w:b/>
          <w:bCs/>
        </w:rPr>
        <w:t>Napaka! Vira sklicevanja ni bilo mogoče najti.</w:t>
      </w:r>
      <w:r w:rsidRPr="00F425EA">
        <w:rPr>
          <w:rFonts w:cs="Arial"/>
        </w:rPr>
        <w:fldChar w:fldCharType="end"/>
      </w:r>
      <w:r w:rsidRPr="00F425EA">
        <w:rPr>
          <w:rFonts w:cs="Arial"/>
          <w:i/>
          <w:iCs/>
          <w:szCs w:val="20"/>
        </w:rPr>
        <w:t>), kar je 19 mrd EUR več kot v scenariju OU. Pri tem energetski del investicij</w:t>
      </w:r>
      <w:r w:rsidRPr="00F425EA">
        <w:rPr>
          <w:rStyle w:val="Sprotnaopomba-sklic"/>
          <w:rFonts w:cs="Arial"/>
          <w:i/>
          <w:iCs/>
          <w:szCs w:val="20"/>
        </w:rPr>
        <w:footnoteReference w:id="24"/>
      </w:r>
      <w:r w:rsidRPr="00F425EA">
        <w:rPr>
          <w:rFonts w:cs="Arial"/>
          <w:i/>
          <w:iCs/>
          <w:szCs w:val="20"/>
        </w:rPr>
        <w:t xml:space="preserve"> v scenariju DU predstavlja okoli 24 mrd EUR, v scenariju OU pa je 8 mrd EUR manjši (</w:t>
      </w:r>
      <w:r w:rsidRPr="00F425EA">
        <w:rPr>
          <w:rFonts w:cs="Arial"/>
        </w:rPr>
        <w:fldChar w:fldCharType="begin"/>
      </w:r>
      <w:r w:rsidRPr="00F425EA">
        <w:rPr>
          <w:rFonts w:cs="Arial"/>
        </w:rPr>
        <w:instrText xml:space="preserve"> REF _Ref166679923 </w:instrText>
      </w:r>
      <w:r w:rsidR="00F425EA">
        <w:rPr>
          <w:rFonts w:cs="Arial"/>
        </w:rPr>
        <w:instrText xml:space="preserve"> \* MERGEFORMAT </w:instrText>
      </w:r>
      <w:r w:rsidRPr="00F425EA">
        <w:rPr>
          <w:rFonts w:cs="Arial"/>
        </w:rPr>
        <w:fldChar w:fldCharType="separate"/>
      </w:r>
      <w:r w:rsidR="00064E01">
        <w:rPr>
          <w:rFonts w:cs="Arial"/>
          <w:b/>
          <w:bCs/>
        </w:rPr>
        <w:t>Napaka! Vira sklicevanja ni bilo mogoče najti.</w:t>
      </w:r>
      <w:r w:rsidRPr="00F425EA">
        <w:rPr>
          <w:rFonts w:cs="Arial"/>
        </w:rPr>
        <w:fldChar w:fldCharType="end"/>
      </w:r>
      <w:r w:rsidRPr="00F425EA">
        <w:rPr>
          <w:rFonts w:cs="Arial"/>
          <w:i/>
          <w:iCs/>
          <w:szCs w:val="20"/>
        </w:rPr>
        <w:t>).</w:t>
      </w:r>
    </w:p>
    <w:p w14:paraId="5130BC91" w14:textId="77777777" w:rsidR="000E7A5A" w:rsidRDefault="00306071" w:rsidP="00E247FF">
      <w:pPr>
        <w:spacing w:after="60" w:line="276" w:lineRule="auto"/>
        <w:jc w:val="both"/>
        <w:rPr>
          <w:rFonts w:cs="Arial"/>
          <w:i/>
          <w:iCs/>
          <w:szCs w:val="20"/>
        </w:rPr>
      </w:pPr>
      <w:r w:rsidRPr="00F425EA">
        <w:rPr>
          <w:rFonts w:cs="Arial"/>
          <w:i/>
          <w:iCs/>
          <w:szCs w:val="20"/>
        </w:rPr>
        <w:t xml:space="preserve">Ne glede na oceno celotnih investicij, bo </w:t>
      </w:r>
      <w:r w:rsidRPr="00F425EA">
        <w:rPr>
          <w:rFonts w:cs="Arial"/>
          <w:b/>
          <w:i/>
          <w:iCs/>
          <w:szCs w:val="20"/>
        </w:rPr>
        <w:t>za uspešno doseganje ciljev energetske in podnebne politike dobro usmerjanje in preverjanje njihovega učinka na cilje vseh investicij, ki se bodo izvajale v obdobju do leta 2030, ključnega pomena,</w:t>
      </w:r>
      <w:r w:rsidRPr="00F425EA">
        <w:rPr>
          <w:rFonts w:cs="Arial"/>
          <w:i/>
          <w:iCs/>
          <w:szCs w:val="20"/>
        </w:rPr>
        <w:t xml:space="preserve"> pri čemer bo pomembno zagotoviti tudi dobro usmerjanje in učinkovito uporabo omejenih finančnih virov, kar bo predvidoma zahtevalo izbiro prednostnih investicij na podlagi analiz njihovih učinkov.</w:t>
      </w:r>
    </w:p>
    <w:p w14:paraId="3C232DE6" w14:textId="77777777" w:rsidR="00A135C5" w:rsidRPr="00F425EA" w:rsidRDefault="00A135C5" w:rsidP="00E247FF">
      <w:pPr>
        <w:spacing w:after="60" w:line="276" w:lineRule="auto"/>
        <w:jc w:val="both"/>
        <w:rPr>
          <w:rFonts w:cs="Arial"/>
        </w:rPr>
      </w:pPr>
    </w:p>
    <w:p w14:paraId="4F2BF840" w14:textId="5798FBF4" w:rsidR="00A135C5" w:rsidRPr="00A135C5" w:rsidRDefault="00A135C5" w:rsidP="00A135C5">
      <w:pPr>
        <w:pStyle w:val="Napis"/>
        <w:keepNext/>
        <w:spacing w:after="0"/>
        <w:jc w:val="both"/>
        <w:rPr>
          <w:rFonts w:cs="Arial"/>
          <w:b w:val="0"/>
          <w:bCs w:val="0"/>
          <w:sz w:val="18"/>
          <w:szCs w:val="18"/>
        </w:rPr>
      </w:pPr>
      <w:bookmarkStart w:id="3526" w:name="_Toc191379178"/>
      <w:r w:rsidRPr="00A135C5">
        <w:rPr>
          <w:rFonts w:cs="Arial"/>
          <w:b w:val="0"/>
          <w:bCs w:val="0"/>
          <w:sz w:val="18"/>
          <w:szCs w:val="18"/>
        </w:rPr>
        <w:lastRenderedPageBreak/>
        <w:t xml:space="preserve">Slika </w:t>
      </w:r>
      <w:r w:rsidRPr="00A135C5">
        <w:rPr>
          <w:rFonts w:cs="Arial"/>
          <w:b w:val="0"/>
          <w:bCs w:val="0"/>
          <w:sz w:val="18"/>
          <w:szCs w:val="18"/>
        </w:rPr>
        <w:fldChar w:fldCharType="begin"/>
      </w:r>
      <w:r w:rsidRPr="00A135C5">
        <w:rPr>
          <w:rFonts w:cs="Arial"/>
          <w:b w:val="0"/>
          <w:bCs w:val="0"/>
          <w:sz w:val="18"/>
          <w:szCs w:val="18"/>
        </w:rPr>
        <w:instrText xml:space="preserve"> SEQ Slika \* ARABIC </w:instrText>
      </w:r>
      <w:r w:rsidRPr="00A135C5">
        <w:rPr>
          <w:rFonts w:cs="Arial"/>
          <w:b w:val="0"/>
          <w:bCs w:val="0"/>
          <w:sz w:val="18"/>
          <w:szCs w:val="18"/>
        </w:rPr>
        <w:fldChar w:fldCharType="separate"/>
      </w:r>
      <w:r w:rsidR="00064E01">
        <w:rPr>
          <w:rFonts w:cs="Arial"/>
          <w:b w:val="0"/>
          <w:bCs w:val="0"/>
          <w:noProof/>
          <w:sz w:val="18"/>
          <w:szCs w:val="18"/>
        </w:rPr>
        <w:t>1</w:t>
      </w:r>
      <w:r w:rsidRPr="00A135C5">
        <w:rPr>
          <w:rFonts w:cs="Arial"/>
          <w:b w:val="0"/>
          <w:bCs w:val="0"/>
          <w:sz w:val="18"/>
          <w:szCs w:val="18"/>
        </w:rPr>
        <w:fldChar w:fldCharType="end"/>
      </w:r>
      <w:r w:rsidRPr="00A135C5">
        <w:rPr>
          <w:rFonts w:cs="Arial"/>
          <w:b w:val="0"/>
          <w:bCs w:val="0"/>
          <w:sz w:val="18"/>
          <w:szCs w:val="18"/>
        </w:rPr>
        <w:t>: Primerjava skupnih investicij v scenarijih OU in DU za obdobje 2021–2030</w:t>
      </w:r>
      <w:bookmarkEnd w:id="3526"/>
    </w:p>
    <w:p w14:paraId="21E51C5B" w14:textId="2F9B6803" w:rsidR="00A135C5" w:rsidRDefault="00D862E1" w:rsidP="00A135C5">
      <w:pPr>
        <w:keepNext/>
        <w:spacing w:line="276" w:lineRule="auto"/>
        <w:jc w:val="both"/>
      </w:pPr>
      <w:r w:rsidRPr="00F425EA">
        <w:rPr>
          <w:rFonts w:cs="Arial"/>
          <w:i/>
          <w:noProof/>
          <w:szCs w:val="20"/>
        </w:rPr>
        <w:drawing>
          <wp:anchor distT="0" distB="0" distL="114300" distR="114300" simplePos="0" relativeHeight="251667456" behindDoc="1" locked="0" layoutInCell="1" allowOverlap="1" wp14:anchorId="0F0EF6C8" wp14:editId="0CB83D8B">
            <wp:simplePos x="0" y="0"/>
            <wp:positionH relativeFrom="column">
              <wp:posOffset>-1270</wp:posOffset>
            </wp:positionH>
            <wp:positionV relativeFrom="paragraph">
              <wp:posOffset>153670</wp:posOffset>
            </wp:positionV>
            <wp:extent cx="5800725" cy="3371850"/>
            <wp:effectExtent l="0" t="0" r="9525" b="0"/>
            <wp:wrapTight wrapText="bothSides">
              <wp:wrapPolygon edited="0">
                <wp:start x="0" y="0"/>
                <wp:lineTo x="0" y="21478"/>
                <wp:lineTo x="21565" y="21478"/>
                <wp:lineTo x="21565" y="0"/>
                <wp:lineTo x="0" y="0"/>
              </wp:wrapPolygon>
            </wp:wrapTight>
            <wp:docPr id="329380479" name="Slika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extLst>
                        <a:ext uri="{28A0092B-C50C-407E-A947-70E740481C1C}">
                          <a14:useLocalDpi xmlns:a14="http://schemas.microsoft.com/office/drawing/2010/main" val="0"/>
                        </a:ext>
                      </a:extLst>
                    </a:blip>
                    <a:srcRect/>
                    <a:stretch>
                      <a:fillRect/>
                    </a:stretch>
                  </pic:blipFill>
                  <pic:spPr>
                    <a:xfrm>
                      <a:off x="0" y="0"/>
                      <a:ext cx="5800725" cy="3371850"/>
                    </a:xfrm>
                    <a:prstGeom prst="rect">
                      <a:avLst/>
                    </a:prstGeom>
                    <a:noFill/>
                    <a:ln>
                      <a:noFill/>
                      <a:prstDash/>
                    </a:ln>
                  </pic:spPr>
                </pic:pic>
              </a:graphicData>
            </a:graphic>
          </wp:anchor>
        </w:drawing>
      </w:r>
    </w:p>
    <w:p w14:paraId="429A2857" w14:textId="04BB85AD" w:rsidR="00A135C5" w:rsidRDefault="17A41B14" w:rsidP="00E247FF">
      <w:pPr>
        <w:spacing w:line="276" w:lineRule="auto"/>
        <w:jc w:val="both"/>
        <w:rPr>
          <w:rFonts w:cs="Arial"/>
          <w:sz w:val="18"/>
          <w:szCs w:val="18"/>
        </w:rPr>
      </w:pPr>
      <w:r w:rsidRPr="00F7FCEE">
        <w:rPr>
          <w:rFonts w:cs="Arial"/>
          <w:sz w:val="18"/>
          <w:szCs w:val="18"/>
        </w:rPr>
        <w:t>Vir:</w:t>
      </w:r>
      <w:r w:rsidR="40D877EE" w:rsidRPr="00F7FCEE">
        <w:rPr>
          <w:rFonts w:cs="Arial"/>
          <w:sz w:val="18"/>
          <w:szCs w:val="18"/>
        </w:rPr>
        <w:t xml:space="preserve"> Posodobljeni Celoviti nacionalni energetski in podnebni načrt Republike Slovenije 2024, december 2024</w:t>
      </w:r>
      <w:r w:rsidRPr="00F7FCEE">
        <w:rPr>
          <w:rFonts w:cs="Arial"/>
          <w:sz w:val="18"/>
          <w:szCs w:val="18"/>
        </w:rPr>
        <w:t xml:space="preserve"> </w:t>
      </w:r>
    </w:p>
    <w:p w14:paraId="3113FD1A" w14:textId="77777777" w:rsidR="00D862E1" w:rsidRPr="00F425EA" w:rsidRDefault="00D862E1" w:rsidP="00D862E1">
      <w:pPr>
        <w:spacing w:after="0" w:line="276" w:lineRule="auto"/>
        <w:jc w:val="both"/>
        <w:rPr>
          <w:rFonts w:cs="Arial"/>
        </w:rPr>
      </w:pPr>
    </w:p>
    <w:p w14:paraId="0C42E76E" w14:textId="74219404" w:rsidR="00A135C5" w:rsidRPr="006A74F4" w:rsidRDefault="00A135C5" w:rsidP="00A135C5">
      <w:pPr>
        <w:pStyle w:val="Napis"/>
        <w:keepNext/>
        <w:spacing w:after="0"/>
        <w:jc w:val="both"/>
        <w:rPr>
          <w:b w:val="0"/>
          <w:bCs w:val="0"/>
          <w:color w:val="auto"/>
          <w:sz w:val="18"/>
          <w:szCs w:val="18"/>
        </w:rPr>
      </w:pPr>
      <w:bookmarkStart w:id="3527" w:name="_Toc191379179"/>
      <w:r w:rsidRPr="006A74F4">
        <w:rPr>
          <w:b w:val="0"/>
          <w:bCs w:val="0"/>
          <w:color w:val="auto"/>
          <w:sz w:val="18"/>
          <w:szCs w:val="18"/>
        </w:rPr>
        <w:t xml:space="preserve">Slika </w:t>
      </w:r>
      <w:r w:rsidRPr="006A74F4">
        <w:rPr>
          <w:b w:val="0"/>
          <w:bCs w:val="0"/>
          <w:color w:val="auto"/>
          <w:sz w:val="18"/>
          <w:szCs w:val="18"/>
        </w:rPr>
        <w:fldChar w:fldCharType="begin"/>
      </w:r>
      <w:r w:rsidRPr="006A74F4">
        <w:rPr>
          <w:b w:val="0"/>
          <w:bCs w:val="0"/>
          <w:color w:val="auto"/>
          <w:sz w:val="18"/>
          <w:szCs w:val="18"/>
        </w:rPr>
        <w:instrText xml:space="preserve"> SEQ Slika \* ARABIC </w:instrText>
      </w:r>
      <w:r w:rsidRPr="006A74F4">
        <w:rPr>
          <w:b w:val="0"/>
          <w:bCs w:val="0"/>
          <w:color w:val="auto"/>
          <w:sz w:val="18"/>
          <w:szCs w:val="18"/>
        </w:rPr>
        <w:fldChar w:fldCharType="separate"/>
      </w:r>
      <w:r w:rsidR="00064E01">
        <w:rPr>
          <w:b w:val="0"/>
          <w:bCs w:val="0"/>
          <w:noProof/>
          <w:color w:val="auto"/>
          <w:sz w:val="18"/>
          <w:szCs w:val="18"/>
        </w:rPr>
        <w:t>2</w:t>
      </w:r>
      <w:r w:rsidRPr="006A74F4">
        <w:rPr>
          <w:b w:val="0"/>
          <w:bCs w:val="0"/>
          <w:color w:val="auto"/>
          <w:sz w:val="18"/>
          <w:szCs w:val="18"/>
        </w:rPr>
        <w:fldChar w:fldCharType="end"/>
      </w:r>
      <w:r w:rsidRPr="006A74F4">
        <w:rPr>
          <w:b w:val="0"/>
          <w:bCs w:val="0"/>
          <w:color w:val="auto"/>
          <w:sz w:val="18"/>
          <w:szCs w:val="18"/>
        </w:rPr>
        <w:t>: Primerjava energetskega dela investicij v scenarijih OU in DU za obdobje 2021–2030</w:t>
      </w:r>
      <w:bookmarkEnd w:id="3527"/>
    </w:p>
    <w:p w14:paraId="13772911" w14:textId="77777777" w:rsidR="00D862E1" w:rsidRPr="00D862E1" w:rsidRDefault="00D862E1" w:rsidP="00D862E1">
      <w:pPr>
        <w:spacing w:after="0"/>
      </w:pPr>
    </w:p>
    <w:p w14:paraId="581B638D" w14:textId="77777777" w:rsidR="00A135C5" w:rsidRDefault="00306071" w:rsidP="00A135C5">
      <w:pPr>
        <w:keepNext/>
        <w:spacing w:line="276" w:lineRule="auto"/>
        <w:jc w:val="both"/>
      </w:pPr>
      <w:r w:rsidRPr="00F425EA">
        <w:rPr>
          <w:rFonts w:cs="Arial"/>
          <w:i/>
          <w:noProof/>
          <w:szCs w:val="20"/>
        </w:rPr>
        <w:drawing>
          <wp:inline distT="0" distB="0" distL="0" distR="0" wp14:anchorId="372FAF42" wp14:editId="3B63444E">
            <wp:extent cx="5905496" cy="3829049"/>
            <wp:effectExtent l="0" t="0" r="4" b="1"/>
            <wp:docPr id="358299443" name="Slika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a:srcRect/>
                    <a:stretch>
                      <a:fillRect/>
                    </a:stretch>
                  </pic:blipFill>
                  <pic:spPr>
                    <a:xfrm>
                      <a:off x="0" y="0"/>
                      <a:ext cx="5905496" cy="3829049"/>
                    </a:xfrm>
                    <a:prstGeom prst="rect">
                      <a:avLst/>
                    </a:prstGeom>
                    <a:noFill/>
                    <a:ln>
                      <a:noFill/>
                      <a:prstDash/>
                    </a:ln>
                  </pic:spPr>
                </pic:pic>
              </a:graphicData>
            </a:graphic>
          </wp:inline>
        </w:drawing>
      </w:r>
    </w:p>
    <w:p w14:paraId="7630EF98" w14:textId="435526DB" w:rsidR="000E7A5A" w:rsidRPr="006A74F4" w:rsidRDefault="17A41B14" w:rsidP="00F7FCEE">
      <w:pPr>
        <w:pStyle w:val="Napis"/>
        <w:spacing w:after="0"/>
        <w:jc w:val="both"/>
        <w:rPr>
          <w:rFonts w:cs="Arial"/>
          <w:b w:val="0"/>
          <w:bCs w:val="0"/>
          <w:sz w:val="18"/>
          <w:szCs w:val="18"/>
        </w:rPr>
      </w:pPr>
      <w:r w:rsidRPr="006A74F4">
        <w:rPr>
          <w:rFonts w:cs="Arial"/>
          <w:b w:val="0"/>
          <w:bCs w:val="0"/>
          <w:sz w:val="18"/>
          <w:szCs w:val="18"/>
        </w:rPr>
        <w:t>Vir:</w:t>
      </w:r>
      <w:r w:rsidR="75D41989" w:rsidRPr="006A74F4">
        <w:rPr>
          <w:rFonts w:cs="Arial"/>
          <w:b w:val="0"/>
          <w:bCs w:val="0"/>
          <w:sz w:val="18"/>
          <w:szCs w:val="18"/>
        </w:rPr>
        <w:t xml:space="preserve"> </w:t>
      </w:r>
      <w:r w:rsidR="70271349" w:rsidRPr="006A74F4">
        <w:rPr>
          <w:rFonts w:cs="Arial"/>
          <w:b w:val="0"/>
          <w:bCs w:val="0"/>
          <w:sz w:val="18"/>
          <w:szCs w:val="18"/>
        </w:rPr>
        <w:t>Posodobljeni Celoviti nacionalni energetski in podnebni načrt Republike Slovenije 2024, december 2024</w:t>
      </w:r>
    </w:p>
    <w:p w14:paraId="4E649A0C" w14:textId="77777777" w:rsidR="000E7A5A" w:rsidRPr="00F425EA" w:rsidRDefault="000E7A5A" w:rsidP="00E247FF">
      <w:pPr>
        <w:spacing w:line="276" w:lineRule="auto"/>
        <w:jc w:val="both"/>
        <w:rPr>
          <w:rFonts w:cs="Arial"/>
          <w:i/>
          <w:iCs/>
          <w:szCs w:val="20"/>
        </w:rPr>
      </w:pPr>
    </w:p>
    <w:p w14:paraId="047693B5" w14:textId="07FED144" w:rsidR="000E7A5A" w:rsidRDefault="005A12CC" w:rsidP="000B2C28">
      <w:pPr>
        <w:pStyle w:val="Naslov2"/>
        <w:numPr>
          <w:ilvl w:val="1"/>
          <w:numId w:val="63"/>
        </w:numPr>
      </w:pPr>
      <w:bookmarkStart w:id="3528" w:name="_Toc33685867"/>
      <w:bookmarkStart w:id="3529" w:name="_Toc167392590"/>
      <w:bookmarkStart w:id="3530" w:name="_Toc172878693"/>
      <w:bookmarkStart w:id="3531" w:name="_Toc126580074"/>
      <w:bookmarkStart w:id="3532" w:name="_Toc1845398436"/>
      <w:bookmarkStart w:id="3533" w:name="_Toc372521621"/>
      <w:bookmarkStart w:id="3534" w:name="_Toc231402734"/>
      <w:bookmarkStart w:id="3535" w:name="_Toc220657534"/>
      <w:bookmarkStart w:id="3536" w:name="_Toc2005112966"/>
      <w:bookmarkStart w:id="3537" w:name="_Toc538155563"/>
      <w:bookmarkStart w:id="3538" w:name="_Toc1067110847"/>
      <w:bookmarkStart w:id="3539" w:name="_Toc1457609647"/>
      <w:bookmarkStart w:id="3540" w:name="_Toc241563739"/>
      <w:bookmarkStart w:id="3541" w:name="_Toc1105128697"/>
      <w:bookmarkStart w:id="3542" w:name="_Toc1238493257"/>
      <w:bookmarkStart w:id="3543" w:name="_Toc60094138"/>
      <w:bookmarkStart w:id="3544" w:name="_Toc958451094"/>
      <w:bookmarkStart w:id="3545" w:name="_Toc1260592327"/>
      <w:bookmarkStart w:id="3546" w:name="_Toc455558587"/>
      <w:bookmarkStart w:id="3547" w:name="_Toc1362096296"/>
      <w:bookmarkStart w:id="3548" w:name="_Toc899278558"/>
      <w:bookmarkStart w:id="3549" w:name="_Toc172917829"/>
      <w:bookmarkStart w:id="3550" w:name="_Toc1511176219"/>
      <w:bookmarkStart w:id="3551" w:name="_Toc1505425852"/>
      <w:bookmarkStart w:id="3552" w:name="_Toc1740690555"/>
      <w:bookmarkStart w:id="3553" w:name="_Toc560357292"/>
      <w:bookmarkStart w:id="3554" w:name="_Toc1896315066"/>
      <w:bookmarkStart w:id="3555" w:name="_Toc377291376"/>
      <w:bookmarkStart w:id="3556" w:name="_Toc1344312947"/>
      <w:bookmarkStart w:id="3557" w:name="_Toc1866205047"/>
      <w:bookmarkStart w:id="3558" w:name="_Toc1783371601"/>
      <w:bookmarkStart w:id="3559" w:name="_Toc1357374918"/>
      <w:bookmarkStart w:id="3560" w:name="_Toc1742812164"/>
      <w:bookmarkStart w:id="3561" w:name="_Toc2079859193"/>
      <w:bookmarkStart w:id="3562" w:name="_Toc249643109"/>
      <w:bookmarkStart w:id="3563" w:name="_Toc686395239"/>
      <w:bookmarkStart w:id="3564" w:name="_Toc686467162"/>
      <w:bookmarkStart w:id="3565" w:name="_Toc1518198192"/>
      <w:bookmarkStart w:id="3566" w:name="_Toc2001352145"/>
      <w:bookmarkStart w:id="3567" w:name="_Toc1471909840"/>
      <w:bookmarkStart w:id="3568" w:name="_Toc172226261"/>
      <w:bookmarkStart w:id="3569" w:name="_Toc396549325"/>
      <w:bookmarkStart w:id="3570" w:name="_Toc2018792824"/>
      <w:bookmarkStart w:id="3571" w:name="_Toc1777781056"/>
      <w:bookmarkStart w:id="3572" w:name="_Toc1181284376"/>
      <w:bookmarkStart w:id="3573" w:name="_Toc1249227890"/>
      <w:bookmarkStart w:id="3574" w:name="_Toc1421569722"/>
      <w:bookmarkStart w:id="3575" w:name="_Toc1270525886"/>
      <w:bookmarkStart w:id="3576" w:name="_Toc2100431188"/>
      <w:bookmarkStart w:id="3577" w:name="_Toc41088573"/>
      <w:bookmarkStart w:id="3578" w:name="_Toc1938791371"/>
      <w:bookmarkStart w:id="3579" w:name="_Toc1195853953"/>
      <w:bookmarkStart w:id="3580" w:name="_Toc1828704221"/>
      <w:bookmarkStart w:id="3581" w:name="_Toc337026918"/>
      <w:bookmarkStart w:id="3582" w:name="_Toc1001993394"/>
      <w:bookmarkStart w:id="3583" w:name="_Toc1373214301"/>
      <w:bookmarkStart w:id="3584" w:name="_Toc1560079871"/>
      <w:bookmarkStart w:id="3585" w:name="_Toc844909280"/>
      <w:bookmarkStart w:id="3586" w:name="_Toc1335973181"/>
      <w:bookmarkStart w:id="3587" w:name="_Toc2013907210"/>
      <w:bookmarkStart w:id="3588" w:name="_Toc1472104416"/>
      <w:bookmarkStart w:id="3589" w:name="_Toc1441510802"/>
      <w:bookmarkStart w:id="3590" w:name="_Toc861150858"/>
      <w:bookmarkStart w:id="3591" w:name="_Toc1395141774"/>
      <w:bookmarkStart w:id="3592" w:name="_Toc623967970"/>
      <w:bookmarkStart w:id="3593" w:name="_Toc1414037911"/>
      <w:bookmarkStart w:id="3594" w:name="_Toc1380514786"/>
      <w:bookmarkStart w:id="3595" w:name="_Toc849862725"/>
      <w:bookmarkStart w:id="3596" w:name="_Toc145776138"/>
      <w:bookmarkStart w:id="3597" w:name="_Toc1865539290"/>
      <w:bookmarkStart w:id="3598" w:name="_Toc836853791"/>
      <w:bookmarkStart w:id="3599" w:name="_Toc264918578"/>
      <w:bookmarkStart w:id="3600" w:name="_Toc253478102"/>
      <w:bookmarkStart w:id="3601" w:name="_Toc1614907984"/>
      <w:bookmarkStart w:id="3602" w:name="_Toc1716758144"/>
      <w:bookmarkStart w:id="3603" w:name="_Toc1557088441"/>
      <w:bookmarkStart w:id="3604" w:name="_Toc1453435297"/>
      <w:bookmarkStart w:id="3605" w:name="_Toc1933037122"/>
      <w:bookmarkStart w:id="3606" w:name="_Toc69260118"/>
      <w:bookmarkStart w:id="3607" w:name="_Toc1263602618"/>
      <w:bookmarkStart w:id="3608" w:name="_Toc439893777"/>
      <w:bookmarkStart w:id="3609" w:name="_Toc1159046141"/>
      <w:bookmarkStart w:id="3610" w:name="_Toc445863885"/>
      <w:bookmarkStart w:id="3611" w:name="_Toc245450110"/>
      <w:bookmarkStart w:id="3612" w:name="_Toc331514144"/>
      <w:bookmarkStart w:id="3613" w:name="_Toc230660552"/>
      <w:bookmarkStart w:id="3614" w:name="_Toc371661337"/>
      <w:bookmarkStart w:id="3615" w:name="_Toc187739364"/>
      <w:bookmarkStart w:id="3616" w:name="_Toc187740111"/>
      <w:bookmarkStart w:id="3617" w:name="_Toc192682021"/>
      <w:r w:rsidRPr="00F425EA">
        <w:lastRenderedPageBreak/>
        <w:t>OBSTOJEČI NALOŽBENI TOKOVI IN PREDPOSTAVKE O NALOŽBAH V PRIHODNOSTI, OB UPOŠTEVANJU NAČRTOVANIH POLITIK IN UKREPOV</w:t>
      </w:r>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p>
    <w:p w14:paraId="1E4B4A70" w14:textId="77777777" w:rsidR="005A12CC" w:rsidRPr="005A12CC" w:rsidRDefault="005A12CC" w:rsidP="005A12CC">
      <w:pPr>
        <w:spacing w:after="0"/>
      </w:pPr>
    </w:p>
    <w:p w14:paraId="540D35F5" w14:textId="20396FCB" w:rsidR="000E7A5A" w:rsidRDefault="00306071" w:rsidP="00234C38">
      <w:pPr>
        <w:spacing w:after="0" w:line="276" w:lineRule="auto"/>
        <w:jc w:val="both"/>
        <w:rPr>
          <w:rFonts w:cs="Arial"/>
          <w:i/>
          <w:iCs/>
          <w:szCs w:val="20"/>
        </w:rPr>
      </w:pPr>
      <w:r w:rsidRPr="00F425EA">
        <w:rPr>
          <w:rFonts w:cs="Arial"/>
          <w:i/>
          <w:iCs/>
          <w:szCs w:val="20"/>
        </w:rPr>
        <w:t xml:space="preserve">Podrobnejši prikaz skupnih investicij za scenarij DU prikazuje spodnja </w:t>
      </w:r>
      <w:r w:rsidR="005475A4">
        <w:rPr>
          <w:rFonts w:cs="Arial"/>
          <w:i/>
          <w:iCs/>
          <w:szCs w:val="20"/>
        </w:rPr>
        <w:t>tabela</w:t>
      </w:r>
      <w:r w:rsidRPr="00F425EA">
        <w:rPr>
          <w:rFonts w:cs="Arial"/>
          <w:i/>
          <w:iCs/>
          <w:szCs w:val="20"/>
        </w:rPr>
        <w:t>, kjer so navedene ocenjene potrebne investicije po naslednjih glavnih sektorjih:</w:t>
      </w:r>
    </w:p>
    <w:p w14:paraId="66C7E580" w14:textId="77777777" w:rsidR="00234C38" w:rsidRPr="00F425EA" w:rsidRDefault="00234C38" w:rsidP="00234C38">
      <w:pPr>
        <w:spacing w:after="0" w:line="276" w:lineRule="auto"/>
        <w:jc w:val="both"/>
        <w:rPr>
          <w:rFonts w:cs="Arial"/>
          <w:i/>
          <w:iCs/>
          <w:szCs w:val="20"/>
        </w:rPr>
      </w:pPr>
    </w:p>
    <w:p w14:paraId="19DBE27B" w14:textId="77777777" w:rsidR="000E7A5A" w:rsidRPr="00F425EA" w:rsidRDefault="00306071" w:rsidP="00234C38">
      <w:pPr>
        <w:pStyle w:val="Alinejapika"/>
        <w:rPr>
          <w:rFonts w:ascii="Arial" w:hAnsi="Arial" w:cs="Arial"/>
        </w:rPr>
      </w:pPr>
      <w:r w:rsidRPr="00F425EA">
        <w:rPr>
          <w:rFonts w:ascii="Arial" w:hAnsi="Arial" w:cs="Arial"/>
          <w:i/>
          <w:iCs/>
          <w:sz w:val="20"/>
          <w:szCs w:val="20"/>
        </w:rPr>
        <w:t>gospodinjstva, javni sektor in storitve</w:t>
      </w:r>
      <w:r w:rsidRPr="00F425EA">
        <w:rPr>
          <w:rStyle w:val="Sprotnaopomba-sklic"/>
          <w:rFonts w:ascii="Arial" w:hAnsi="Arial" w:cs="Arial"/>
          <w:i/>
          <w:iCs/>
          <w:sz w:val="20"/>
          <w:szCs w:val="20"/>
        </w:rPr>
        <w:footnoteReference w:id="25"/>
      </w:r>
      <w:r w:rsidRPr="00F425EA">
        <w:rPr>
          <w:rFonts w:ascii="Arial" w:hAnsi="Arial" w:cs="Arial"/>
          <w:i/>
          <w:iCs/>
          <w:sz w:val="20"/>
          <w:szCs w:val="20"/>
        </w:rPr>
        <w:t xml:space="preserve">, </w:t>
      </w:r>
    </w:p>
    <w:p w14:paraId="238C406F" w14:textId="77777777" w:rsidR="000E7A5A" w:rsidRPr="00F425EA" w:rsidRDefault="00306071" w:rsidP="00234C38">
      <w:pPr>
        <w:pStyle w:val="Alinejapika"/>
        <w:rPr>
          <w:rFonts w:ascii="Arial" w:hAnsi="Arial" w:cs="Arial"/>
        </w:rPr>
      </w:pPr>
      <w:r w:rsidRPr="00F425EA">
        <w:rPr>
          <w:rFonts w:ascii="Arial" w:hAnsi="Arial" w:cs="Arial"/>
          <w:i/>
          <w:iCs/>
          <w:sz w:val="20"/>
          <w:szCs w:val="20"/>
        </w:rPr>
        <w:t>industrija</w:t>
      </w:r>
      <w:r w:rsidRPr="00F425EA">
        <w:rPr>
          <w:rStyle w:val="Sprotnaopomba-sklic"/>
          <w:rFonts w:ascii="Arial" w:hAnsi="Arial" w:cs="Arial"/>
          <w:i/>
          <w:iCs/>
          <w:sz w:val="20"/>
          <w:szCs w:val="20"/>
        </w:rPr>
        <w:footnoteReference w:id="26"/>
      </w:r>
      <w:r w:rsidRPr="00F425EA">
        <w:rPr>
          <w:rFonts w:ascii="Arial" w:hAnsi="Arial" w:cs="Arial"/>
          <w:i/>
          <w:iCs/>
          <w:sz w:val="20"/>
          <w:szCs w:val="20"/>
        </w:rPr>
        <w:t>,</w:t>
      </w:r>
    </w:p>
    <w:p w14:paraId="56909B32" w14:textId="77777777" w:rsidR="000E7A5A" w:rsidRPr="00F425EA" w:rsidRDefault="00306071" w:rsidP="00234C38">
      <w:pPr>
        <w:pStyle w:val="Alinejapika"/>
        <w:rPr>
          <w:rFonts w:ascii="Arial" w:hAnsi="Arial" w:cs="Arial"/>
          <w:i/>
          <w:iCs/>
          <w:sz w:val="20"/>
          <w:szCs w:val="20"/>
        </w:rPr>
      </w:pPr>
      <w:r w:rsidRPr="00F425EA">
        <w:rPr>
          <w:rFonts w:ascii="Arial" w:hAnsi="Arial" w:cs="Arial"/>
          <w:i/>
          <w:iCs/>
          <w:sz w:val="20"/>
          <w:szCs w:val="20"/>
        </w:rPr>
        <w:t>distribucija in prenos električne energije,</w:t>
      </w:r>
    </w:p>
    <w:p w14:paraId="049EA1D6" w14:textId="77777777" w:rsidR="000E7A5A" w:rsidRPr="00F425EA" w:rsidRDefault="00306071" w:rsidP="00234C38">
      <w:pPr>
        <w:pStyle w:val="Alinejapika"/>
        <w:rPr>
          <w:rFonts w:ascii="Arial" w:hAnsi="Arial" w:cs="Arial"/>
          <w:i/>
          <w:iCs/>
          <w:sz w:val="20"/>
          <w:szCs w:val="20"/>
        </w:rPr>
      </w:pPr>
      <w:r w:rsidRPr="00F425EA">
        <w:rPr>
          <w:rFonts w:ascii="Arial" w:hAnsi="Arial" w:cs="Arial"/>
          <w:i/>
          <w:iCs/>
          <w:sz w:val="20"/>
          <w:szCs w:val="20"/>
        </w:rPr>
        <w:t xml:space="preserve">prometna infrastruktura, </w:t>
      </w:r>
    </w:p>
    <w:p w14:paraId="54B34BF5" w14:textId="77777777" w:rsidR="000E7A5A" w:rsidRPr="00F425EA" w:rsidRDefault="00306071" w:rsidP="00234C38">
      <w:pPr>
        <w:pStyle w:val="Alinejapika"/>
        <w:rPr>
          <w:rFonts w:ascii="Arial" w:hAnsi="Arial" w:cs="Arial"/>
        </w:rPr>
      </w:pPr>
      <w:r w:rsidRPr="00F425EA">
        <w:rPr>
          <w:rFonts w:ascii="Arial" w:hAnsi="Arial" w:cs="Arial"/>
          <w:i/>
          <w:iCs/>
          <w:sz w:val="20"/>
          <w:szCs w:val="20"/>
        </w:rPr>
        <w:t>razpršena proizvodnja električne energije iz OVE</w:t>
      </w:r>
      <w:r w:rsidRPr="00F425EA">
        <w:rPr>
          <w:rStyle w:val="Sprotnaopomba-sklic"/>
          <w:rFonts w:ascii="Arial" w:hAnsi="Arial" w:cs="Arial"/>
          <w:i/>
          <w:iCs/>
          <w:sz w:val="20"/>
          <w:szCs w:val="20"/>
        </w:rPr>
        <w:footnoteReference w:id="27"/>
      </w:r>
    </w:p>
    <w:p w14:paraId="7D75DF33" w14:textId="77777777" w:rsidR="000E7A5A" w:rsidRPr="00F425EA" w:rsidRDefault="00306071" w:rsidP="00234C38">
      <w:pPr>
        <w:pStyle w:val="Alinejapika"/>
        <w:rPr>
          <w:rFonts w:ascii="Arial" w:hAnsi="Arial" w:cs="Arial"/>
          <w:i/>
          <w:iCs/>
          <w:sz w:val="20"/>
          <w:szCs w:val="20"/>
        </w:rPr>
      </w:pPr>
      <w:r w:rsidRPr="00F425EA">
        <w:rPr>
          <w:rFonts w:ascii="Arial" w:hAnsi="Arial" w:cs="Arial"/>
          <w:i/>
          <w:iCs/>
          <w:sz w:val="20"/>
          <w:szCs w:val="20"/>
        </w:rPr>
        <w:t>sistemi daljinskega ogrevanja in hlajenja (SDOH),</w:t>
      </w:r>
    </w:p>
    <w:p w14:paraId="2E00A8A1" w14:textId="77777777" w:rsidR="000E7A5A" w:rsidRPr="00F425EA" w:rsidRDefault="00306071" w:rsidP="00234C38">
      <w:pPr>
        <w:pStyle w:val="Alinejapika"/>
        <w:rPr>
          <w:rFonts w:ascii="Arial" w:hAnsi="Arial" w:cs="Arial"/>
        </w:rPr>
      </w:pPr>
      <w:r w:rsidRPr="00F425EA">
        <w:rPr>
          <w:rFonts w:ascii="Arial" w:hAnsi="Arial" w:cs="Arial"/>
          <w:i/>
          <w:iCs/>
          <w:sz w:val="20"/>
          <w:szCs w:val="20"/>
        </w:rPr>
        <w:t>centralna oskrba</w:t>
      </w:r>
      <w:r w:rsidRPr="00F425EA">
        <w:rPr>
          <w:rStyle w:val="Sprotnaopomba-sklic"/>
          <w:rFonts w:ascii="Arial" w:hAnsi="Arial" w:cs="Arial"/>
          <w:i/>
          <w:iCs/>
          <w:sz w:val="20"/>
          <w:szCs w:val="20"/>
        </w:rPr>
        <w:footnoteReference w:id="28"/>
      </w:r>
      <w:r w:rsidRPr="00F425EA">
        <w:rPr>
          <w:rFonts w:ascii="Arial" w:hAnsi="Arial" w:cs="Arial"/>
          <w:i/>
          <w:iCs/>
          <w:sz w:val="20"/>
          <w:szCs w:val="20"/>
        </w:rPr>
        <w:t>,</w:t>
      </w:r>
    </w:p>
    <w:p w14:paraId="6A520120" w14:textId="77777777" w:rsidR="000E7A5A" w:rsidRDefault="00306071" w:rsidP="006620B6">
      <w:pPr>
        <w:pStyle w:val="Alinejapika"/>
        <w:rPr>
          <w:rFonts w:ascii="Arial" w:hAnsi="Arial" w:cs="Arial"/>
          <w:i/>
          <w:iCs/>
          <w:sz w:val="20"/>
          <w:szCs w:val="20"/>
        </w:rPr>
      </w:pPr>
      <w:r w:rsidRPr="00F425EA">
        <w:rPr>
          <w:rFonts w:ascii="Arial" w:hAnsi="Arial" w:cs="Arial"/>
          <w:i/>
          <w:iCs/>
          <w:sz w:val="20"/>
          <w:szCs w:val="20"/>
        </w:rPr>
        <w:t>plinska omrežja - vodik.</w:t>
      </w:r>
    </w:p>
    <w:p w14:paraId="7B8F0C6D" w14:textId="77777777" w:rsidR="006620B6" w:rsidRPr="006620B6" w:rsidRDefault="006620B6" w:rsidP="006620B6">
      <w:pPr>
        <w:pStyle w:val="Telobesedila"/>
        <w:spacing w:after="0"/>
        <w:rPr>
          <w:lang w:eastAsia="en-US"/>
        </w:rPr>
      </w:pPr>
    </w:p>
    <w:p w14:paraId="67022441" w14:textId="23F10A6B" w:rsidR="000E7A5A" w:rsidRDefault="00306071" w:rsidP="006620B6">
      <w:pPr>
        <w:spacing w:after="0" w:line="276" w:lineRule="auto"/>
        <w:jc w:val="both"/>
        <w:rPr>
          <w:rFonts w:cs="Arial"/>
          <w:i/>
          <w:iCs/>
          <w:szCs w:val="20"/>
        </w:rPr>
      </w:pPr>
      <w:r w:rsidRPr="00F425EA">
        <w:rPr>
          <w:rFonts w:cs="Arial"/>
          <w:i/>
          <w:iCs/>
          <w:szCs w:val="20"/>
        </w:rPr>
        <w:t xml:space="preserve">Pri investicijah v stavbe (gospodinjstva in storitve) in v industriji, je podana ocena skupnih investicij in energetskega dela </w:t>
      </w:r>
      <w:r w:rsidRPr="00D60223">
        <w:rPr>
          <w:rFonts w:cs="Arial"/>
          <w:i/>
          <w:iCs/>
          <w:szCs w:val="20"/>
        </w:rPr>
        <w:t xml:space="preserve">investicij, v ostalih sektorjih pa skupne investicije obravnavamo kote energetske. Podrobnejši sektorski prikaz investicij NEPN prikazuje </w:t>
      </w:r>
      <w:r w:rsidRPr="00D60223">
        <w:rPr>
          <w:rFonts w:cs="Arial"/>
        </w:rPr>
        <w:fldChar w:fldCharType="begin"/>
      </w:r>
      <w:r w:rsidRPr="00D60223">
        <w:rPr>
          <w:rFonts w:cs="Arial"/>
        </w:rPr>
        <w:instrText xml:space="preserve"> REF _Ref167362878 </w:instrText>
      </w:r>
      <w:r w:rsidR="00F425EA" w:rsidRPr="00D60223">
        <w:rPr>
          <w:rFonts w:cs="Arial"/>
        </w:rPr>
        <w:instrText xml:space="preserve"> \* MERGEFORMAT </w:instrText>
      </w:r>
      <w:r w:rsidRPr="00D60223">
        <w:rPr>
          <w:rFonts w:cs="Arial"/>
        </w:rPr>
        <w:fldChar w:fldCharType="separate"/>
      </w:r>
      <w:r w:rsidR="00064E01">
        <w:rPr>
          <w:rFonts w:cs="Arial"/>
          <w:b/>
          <w:bCs/>
        </w:rPr>
        <w:t>Napaka! Vira sklicevanja ni bilo mogoče najti.</w:t>
      </w:r>
      <w:r w:rsidRPr="00D60223">
        <w:rPr>
          <w:rFonts w:cs="Arial"/>
        </w:rPr>
        <w:fldChar w:fldCharType="end"/>
      </w:r>
      <w:r w:rsidRPr="00D60223">
        <w:rPr>
          <w:rFonts w:cs="Arial"/>
          <w:i/>
          <w:iCs/>
          <w:szCs w:val="20"/>
        </w:rPr>
        <w:t xml:space="preserve"> in </w:t>
      </w:r>
      <w:r w:rsidRPr="00D60223">
        <w:rPr>
          <w:rFonts w:cs="Arial"/>
        </w:rPr>
        <w:fldChar w:fldCharType="begin"/>
      </w:r>
      <w:r w:rsidRPr="00D60223">
        <w:rPr>
          <w:rFonts w:cs="Arial"/>
        </w:rPr>
        <w:instrText xml:space="preserve"> REF _Ref153488278 </w:instrText>
      </w:r>
      <w:r w:rsidR="00F425EA" w:rsidRPr="00D60223">
        <w:rPr>
          <w:rFonts w:cs="Arial"/>
        </w:rPr>
        <w:instrText xml:space="preserve"> \* MERGEFORMAT </w:instrText>
      </w:r>
      <w:r w:rsidRPr="00D60223">
        <w:rPr>
          <w:rFonts w:cs="Arial"/>
        </w:rPr>
        <w:fldChar w:fldCharType="separate"/>
      </w:r>
      <w:r w:rsidR="00064E01">
        <w:rPr>
          <w:rFonts w:cs="Arial"/>
          <w:b/>
          <w:bCs/>
        </w:rPr>
        <w:t>Napaka! Vira sklicevanja ni bilo mogoče najti.</w:t>
      </w:r>
      <w:r w:rsidRPr="00D60223">
        <w:rPr>
          <w:rFonts w:cs="Arial"/>
        </w:rPr>
        <w:fldChar w:fldCharType="end"/>
      </w:r>
      <w:r w:rsidRPr="00D60223">
        <w:rPr>
          <w:rFonts w:cs="Arial"/>
          <w:i/>
          <w:iCs/>
          <w:szCs w:val="20"/>
        </w:rPr>
        <w:t>.</w:t>
      </w:r>
    </w:p>
    <w:p w14:paraId="58C16777" w14:textId="77777777" w:rsidR="006620B6" w:rsidRPr="00F425EA" w:rsidRDefault="006620B6" w:rsidP="006620B6">
      <w:pPr>
        <w:spacing w:after="0" w:line="276" w:lineRule="auto"/>
        <w:jc w:val="both"/>
        <w:rPr>
          <w:rFonts w:cs="Arial"/>
        </w:rPr>
      </w:pPr>
    </w:p>
    <w:p w14:paraId="5835C693" w14:textId="50CFDCAA" w:rsidR="000E7A5A" w:rsidRDefault="00306071" w:rsidP="008B4927">
      <w:pPr>
        <w:spacing w:after="0" w:line="276" w:lineRule="auto"/>
        <w:jc w:val="both"/>
        <w:rPr>
          <w:rFonts w:cs="Arial"/>
          <w:i/>
          <w:iCs/>
          <w:szCs w:val="20"/>
        </w:rPr>
      </w:pPr>
      <w:r w:rsidRPr="00F425EA">
        <w:rPr>
          <w:rFonts w:cs="Arial"/>
          <w:i/>
          <w:iCs/>
          <w:szCs w:val="20"/>
        </w:rPr>
        <w:t>Obseg skupnih investicij v javnem sektorju v obdobju 2021 – 2030 je ocenjen na okoli 12</w:t>
      </w:r>
      <w:r w:rsidR="004C6F15">
        <w:rPr>
          <w:rFonts w:cs="Arial"/>
          <w:i/>
          <w:iCs/>
          <w:szCs w:val="20"/>
        </w:rPr>
        <w:t xml:space="preserve"> </w:t>
      </w:r>
      <w:r w:rsidRPr="00F425EA">
        <w:rPr>
          <w:rFonts w:cs="Arial"/>
          <w:i/>
          <w:iCs/>
          <w:szCs w:val="20"/>
        </w:rPr>
        <w:t xml:space="preserve">mrd EUR, kjer največji delež predstavljajo investicije v prometno </w:t>
      </w:r>
      <w:r w:rsidR="001771D5" w:rsidRPr="00F425EA">
        <w:rPr>
          <w:rFonts w:cs="Arial"/>
          <w:i/>
          <w:iCs/>
          <w:szCs w:val="20"/>
        </w:rPr>
        <w:t>infrastrukturo</w:t>
      </w:r>
      <w:r w:rsidRPr="00F425EA">
        <w:rPr>
          <w:rFonts w:cs="Arial"/>
          <w:i/>
          <w:iCs/>
          <w:szCs w:val="20"/>
        </w:rPr>
        <w:t>, električna omrežja ter investicije v trajnostno mobilnost (</w:t>
      </w:r>
      <w:r w:rsidRPr="00F425EA">
        <w:rPr>
          <w:rFonts w:cs="Arial"/>
        </w:rPr>
        <w:fldChar w:fldCharType="begin"/>
      </w:r>
      <w:r w:rsidRPr="00F425EA">
        <w:rPr>
          <w:rFonts w:cs="Arial"/>
        </w:rPr>
        <w:instrText xml:space="preserve"> REF _Ref167371350 </w:instrText>
      </w:r>
      <w:r w:rsidR="00F425EA">
        <w:rPr>
          <w:rFonts w:cs="Arial"/>
        </w:rPr>
        <w:instrText xml:space="preserve"> \* MERGEFORMAT </w:instrText>
      </w:r>
      <w:r w:rsidRPr="00F425EA">
        <w:rPr>
          <w:rFonts w:cs="Arial"/>
        </w:rPr>
        <w:fldChar w:fldCharType="separate"/>
      </w:r>
      <w:r w:rsidR="00064E01">
        <w:rPr>
          <w:rFonts w:cs="Arial"/>
          <w:b/>
          <w:bCs/>
        </w:rPr>
        <w:t>Napaka! Vira sklicevanja ni bilo mogoče najti.</w:t>
      </w:r>
      <w:r w:rsidRPr="00F425EA">
        <w:rPr>
          <w:rFonts w:cs="Arial"/>
        </w:rPr>
        <w:fldChar w:fldCharType="end"/>
      </w:r>
      <w:r w:rsidRPr="00F425EA">
        <w:rPr>
          <w:rFonts w:cs="Arial"/>
          <w:i/>
          <w:iCs/>
          <w:szCs w:val="20"/>
        </w:rPr>
        <w:t>). Te investicije predstavljajo več kot 50 % delež v ocenjenem energetskem delu investicij, saj se razen stavb vse uvrščajo v to kategorijo, kar predstavlja velik izziv za financiranje in izvedbo. To potrjuje tudi prikaz dinamike povprečnega letnega obsega celotnega energetskega dela investicij, ki bi se morale v scenariju DU že v obdobju do leta 2025 skoraj podvojiti glede na obseg v letu 2020, do leta 2030 pa povečati za več kot dva in pol krat (</w:t>
      </w:r>
      <w:r w:rsidRPr="00F425EA">
        <w:rPr>
          <w:rFonts w:cs="Arial"/>
        </w:rPr>
        <w:fldChar w:fldCharType="begin"/>
      </w:r>
      <w:r w:rsidRPr="00F425EA">
        <w:rPr>
          <w:rFonts w:cs="Arial"/>
        </w:rPr>
        <w:instrText xml:space="preserve"> REF _Ref167372390 </w:instrText>
      </w:r>
      <w:r w:rsidR="00F425EA">
        <w:rPr>
          <w:rFonts w:cs="Arial"/>
        </w:rPr>
        <w:instrText xml:space="preserve"> \* MERGEFORMAT </w:instrText>
      </w:r>
      <w:r w:rsidRPr="00F425EA">
        <w:rPr>
          <w:rFonts w:cs="Arial"/>
        </w:rPr>
        <w:fldChar w:fldCharType="separate"/>
      </w:r>
      <w:r w:rsidR="00064E01">
        <w:rPr>
          <w:rFonts w:cs="Arial"/>
          <w:b/>
          <w:bCs/>
        </w:rPr>
        <w:t>Napaka! Vira sklicevanja ni bilo mogoče najti.</w:t>
      </w:r>
      <w:r w:rsidRPr="00F425EA">
        <w:rPr>
          <w:rFonts w:cs="Arial"/>
        </w:rPr>
        <w:fldChar w:fldCharType="end"/>
      </w:r>
      <w:r w:rsidRPr="00F425EA">
        <w:rPr>
          <w:rFonts w:cs="Arial"/>
          <w:i/>
          <w:iCs/>
          <w:szCs w:val="20"/>
        </w:rPr>
        <w:t xml:space="preserve">). </w:t>
      </w:r>
    </w:p>
    <w:p w14:paraId="1E8DBAF2" w14:textId="77777777" w:rsidR="008B4927" w:rsidRPr="00F425EA" w:rsidRDefault="008B4927" w:rsidP="008B4927">
      <w:pPr>
        <w:spacing w:after="0" w:line="276" w:lineRule="auto"/>
        <w:jc w:val="both"/>
        <w:rPr>
          <w:rFonts w:cs="Arial"/>
        </w:rPr>
      </w:pPr>
    </w:p>
    <w:p w14:paraId="127361D7" w14:textId="1E5DEAF5" w:rsidR="00D862E1" w:rsidRDefault="008B4927" w:rsidP="008B4927">
      <w:pPr>
        <w:pStyle w:val="Napis"/>
        <w:keepNext/>
        <w:spacing w:after="0"/>
        <w:jc w:val="both"/>
        <w:rPr>
          <w:rFonts w:cs="Arial"/>
          <w:b w:val="0"/>
          <w:bCs w:val="0"/>
          <w:sz w:val="18"/>
          <w:szCs w:val="18"/>
        </w:rPr>
      </w:pPr>
      <w:bookmarkStart w:id="3618" w:name="_Toc191379180"/>
      <w:r w:rsidRPr="008B4927">
        <w:rPr>
          <w:rFonts w:cs="Arial"/>
          <w:b w:val="0"/>
          <w:bCs w:val="0"/>
          <w:sz w:val="18"/>
          <w:szCs w:val="18"/>
        </w:rPr>
        <w:lastRenderedPageBreak/>
        <w:t xml:space="preserve">Slika </w:t>
      </w:r>
      <w:r w:rsidRPr="008B4927">
        <w:rPr>
          <w:rFonts w:cs="Arial"/>
          <w:b w:val="0"/>
          <w:bCs w:val="0"/>
          <w:sz w:val="18"/>
          <w:szCs w:val="18"/>
        </w:rPr>
        <w:fldChar w:fldCharType="begin"/>
      </w:r>
      <w:r w:rsidRPr="008B4927">
        <w:rPr>
          <w:rFonts w:cs="Arial"/>
          <w:b w:val="0"/>
          <w:bCs w:val="0"/>
          <w:sz w:val="18"/>
          <w:szCs w:val="18"/>
        </w:rPr>
        <w:instrText xml:space="preserve"> SEQ Slika \* ARABIC </w:instrText>
      </w:r>
      <w:r w:rsidRPr="008B4927">
        <w:rPr>
          <w:rFonts w:cs="Arial"/>
          <w:b w:val="0"/>
          <w:bCs w:val="0"/>
          <w:sz w:val="18"/>
          <w:szCs w:val="18"/>
        </w:rPr>
        <w:fldChar w:fldCharType="separate"/>
      </w:r>
      <w:r w:rsidR="00064E01">
        <w:rPr>
          <w:rFonts w:cs="Arial"/>
          <w:b w:val="0"/>
          <w:bCs w:val="0"/>
          <w:noProof/>
          <w:sz w:val="18"/>
          <w:szCs w:val="18"/>
        </w:rPr>
        <w:t>3</w:t>
      </w:r>
      <w:r w:rsidRPr="008B4927">
        <w:rPr>
          <w:rFonts w:cs="Arial"/>
          <w:b w:val="0"/>
          <w:bCs w:val="0"/>
          <w:sz w:val="18"/>
          <w:szCs w:val="18"/>
        </w:rPr>
        <w:fldChar w:fldCharType="end"/>
      </w:r>
      <w:r w:rsidRPr="008B4927">
        <w:rPr>
          <w:rFonts w:cs="Arial"/>
          <w:b w:val="0"/>
          <w:bCs w:val="0"/>
          <w:sz w:val="18"/>
          <w:szCs w:val="18"/>
        </w:rPr>
        <w:t>: Struktura skupnih investicij v scenariju DU za obdobje 2021-2030</w:t>
      </w:r>
      <w:bookmarkEnd w:id="3618"/>
    </w:p>
    <w:p w14:paraId="3386F399" w14:textId="61CD0CDD" w:rsidR="008B4927" w:rsidRDefault="008B4927" w:rsidP="008B4927">
      <w:pPr>
        <w:pStyle w:val="Napis"/>
        <w:keepNext/>
        <w:spacing w:after="0"/>
        <w:jc w:val="both"/>
      </w:pPr>
      <w:r w:rsidRPr="00F425EA">
        <w:rPr>
          <w:rFonts w:cs="Arial"/>
          <w:i/>
          <w:noProof/>
        </w:rPr>
        <w:drawing>
          <wp:inline distT="0" distB="0" distL="0" distR="0" wp14:anchorId="22380A2E" wp14:editId="40499F21">
            <wp:extent cx="2686050" cy="2733671"/>
            <wp:effectExtent l="0" t="0" r="0" b="0"/>
            <wp:docPr id="1608141152" name="Slika 9895728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srcRect/>
                    <a:stretch>
                      <a:fillRect/>
                    </a:stretch>
                  </pic:blipFill>
                  <pic:spPr>
                    <a:xfrm>
                      <a:off x="0" y="0"/>
                      <a:ext cx="2686050" cy="2733671"/>
                    </a:xfrm>
                    <a:prstGeom prst="rect">
                      <a:avLst/>
                    </a:prstGeom>
                    <a:noFill/>
                    <a:ln>
                      <a:noFill/>
                      <a:prstDash/>
                    </a:ln>
                  </pic:spPr>
                </pic:pic>
              </a:graphicData>
            </a:graphic>
          </wp:inline>
        </w:drawing>
      </w:r>
    </w:p>
    <w:p w14:paraId="22A5477D" w14:textId="77777777" w:rsidR="00D862E1" w:rsidRDefault="00D862E1" w:rsidP="2EA23F19">
      <w:pPr>
        <w:pStyle w:val="Napis"/>
        <w:spacing w:after="0"/>
        <w:jc w:val="both"/>
        <w:rPr>
          <w:rFonts w:cs="Arial"/>
          <w:b w:val="0"/>
          <w:bCs w:val="0"/>
          <w:sz w:val="18"/>
          <w:szCs w:val="18"/>
        </w:rPr>
      </w:pPr>
    </w:p>
    <w:p w14:paraId="3743DE8D" w14:textId="7E83D592" w:rsidR="008B4927" w:rsidRPr="008B4927" w:rsidRDefault="743C9BD5" w:rsidP="2EA23F19">
      <w:pPr>
        <w:pStyle w:val="Napis"/>
        <w:spacing w:after="0"/>
        <w:jc w:val="both"/>
        <w:rPr>
          <w:rFonts w:cs="Arial"/>
          <w:b w:val="0"/>
          <w:bCs w:val="0"/>
          <w:sz w:val="18"/>
          <w:szCs w:val="18"/>
        </w:rPr>
      </w:pPr>
      <w:r w:rsidRPr="00F7FCEE">
        <w:rPr>
          <w:rFonts w:cs="Arial"/>
          <w:b w:val="0"/>
          <w:bCs w:val="0"/>
          <w:sz w:val="18"/>
          <w:szCs w:val="18"/>
        </w:rPr>
        <w:t>Vir:</w:t>
      </w:r>
      <w:r w:rsidR="72B84E30" w:rsidRPr="00F7FCEE">
        <w:rPr>
          <w:rFonts w:cs="Arial"/>
          <w:b w:val="0"/>
          <w:bCs w:val="0"/>
          <w:sz w:val="18"/>
          <w:szCs w:val="18"/>
        </w:rPr>
        <w:t xml:space="preserve"> </w:t>
      </w:r>
      <w:r w:rsidR="62684C1C" w:rsidRPr="00F7FCEE">
        <w:rPr>
          <w:rFonts w:cs="Arial"/>
          <w:b w:val="0"/>
          <w:bCs w:val="0"/>
          <w:sz w:val="18"/>
          <w:szCs w:val="18"/>
        </w:rPr>
        <w:t xml:space="preserve">Posodobljeni Celoviti nacionalni energetski in podnebni načrt Republike Slovenije 2024, december 2024 </w:t>
      </w:r>
    </w:p>
    <w:p w14:paraId="56AA8B5F" w14:textId="36406C6B" w:rsidR="000E7A5A" w:rsidRPr="00F425EA" w:rsidRDefault="008B4927" w:rsidP="00E247FF">
      <w:pPr>
        <w:spacing w:line="276" w:lineRule="auto"/>
        <w:jc w:val="both"/>
        <w:rPr>
          <w:rFonts w:cs="Arial"/>
        </w:rPr>
      </w:pPr>
      <w:r>
        <w:rPr>
          <w:noProof/>
        </w:rPr>
        <mc:AlternateContent>
          <mc:Choice Requires="wps">
            <w:drawing>
              <wp:anchor distT="0" distB="0" distL="114300" distR="114300" simplePos="0" relativeHeight="251662336" behindDoc="1" locked="0" layoutInCell="1" allowOverlap="1" wp14:anchorId="41954216" wp14:editId="4F1B9700">
                <wp:simplePos x="0" y="0"/>
                <wp:positionH relativeFrom="column">
                  <wp:posOffset>1905</wp:posOffset>
                </wp:positionH>
                <wp:positionV relativeFrom="paragraph">
                  <wp:posOffset>198755</wp:posOffset>
                </wp:positionV>
                <wp:extent cx="5871845" cy="183515"/>
                <wp:effectExtent l="0" t="0" r="0" b="6985"/>
                <wp:wrapTight wrapText="bothSides">
                  <wp:wrapPolygon edited="0">
                    <wp:start x="0" y="0"/>
                    <wp:lineTo x="0" y="20180"/>
                    <wp:lineTo x="21514" y="20180"/>
                    <wp:lineTo x="21514" y="0"/>
                    <wp:lineTo x="0" y="0"/>
                  </wp:wrapPolygon>
                </wp:wrapTight>
                <wp:docPr id="1838283151" name="Polje z besedilom 1"/>
                <wp:cNvGraphicFramePr/>
                <a:graphic xmlns:a="http://schemas.openxmlformats.org/drawingml/2006/main">
                  <a:graphicData uri="http://schemas.microsoft.com/office/word/2010/wordprocessingShape">
                    <wps:wsp>
                      <wps:cNvSpPr txBox="1"/>
                      <wps:spPr>
                        <a:xfrm>
                          <a:off x="0" y="0"/>
                          <a:ext cx="5871845" cy="183515"/>
                        </a:xfrm>
                        <a:prstGeom prst="rect">
                          <a:avLst/>
                        </a:prstGeom>
                        <a:solidFill>
                          <a:prstClr val="white"/>
                        </a:solidFill>
                        <a:ln>
                          <a:noFill/>
                        </a:ln>
                      </wps:spPr>
                      <wps:txbx>
                        <w:txbxContent>
                          <w:p w14:paraId="102D36E2" w14:textId="5F5E45A8" w:rsidR="008B4927" w:rsidRDefault="008B4927" w:rsidP="008B4927">
                            <w:pPr>
                              <w:pStyle w:val="Napis"/>
                              <w:spacing w:after="0"/>
                              <w:rPr>
                                <w:rFonts w:cs="Arial"/>
                                <w:b w:val="0"/>
                                <w:bCs w:val="0"/>
                                <w:sz w:val="18"/>
                                <w:szCs w:val="18"/>
                              </w:rPr>
                            </w:pPr>
                            <w:bookmarkStart w:id="3619" w:name="_Toc191379181"/>
                            <w:r w:rsidRPr="008B4927">
                              <w:rPr>
                                <w:rFonts w:cs="Arial"/>
                                <w:b w:val="0"/>
                                <w:bCs w:val="0"/>
                                <w:sz w:val="18"/>
                                <w:szCs w:val="18"/>
                              </w:rPr>
                              <w:t xml:space="preserve">Slika </w:t>
                            </w:r>
                            <w:r w:rsidRPr="008B4927">
                              <w:rPr>
                                <w:rFonts w:cs="Arial"/>
                                <w:b w:val="0"/>
                                <w:bCs w:val="0"/>
                                <w:sz w:val="18"/>
                                <w:szCs w:val="18"/>
                              </w:rPr>
                              <w:fldChar w:fldCharType="begin"/>
                            </w:r>
                            <w:r w:rsidRPr="008B4927">
                              <w:rPr>
                                <w:rFonts w:cs="Arial"/>
                                <w:b w:val="0"/>
                                <w:bCs w:val="0"/>
                                <w:sz w:val="18"/>
                                <w:szCs w:val="18"/>
                              </w:rPr>
                              <w:instrText xml:space="preserve"> SEQ Slika \* ARABIC </w:instrText>
                            </w:r>
                            <w:r w:rsidRPr="008B4927">
                              <w:rPr>
                                <w:rFonts w:cs="Arial"/>
                                <w:b w:val="0"/>
                                <w:bCs w:val="0"/>
                                <w:sz w:val="18"/>
                                <w:szCs w:val="18"/>
                              </w:rPr>
                              <w:fldChar w:fldCharType="separate"/>
                            </w:r>
                            <w:r w:rsidR="00064E01">
                              <w:rPr>
                                <w:rFonts w:cs="Arial"/>
                                <w:b w:val="0"/>
                                <w:bCs w:val="0"/>
                                <w:noProof/>
                                <w:sz w:val="18"/>
                                <w:szCs w:val="18"/>
                              </w:rPr>
                              <w:t>4</w:t>
                            </w:r>
                            <w:r w:rsidRPr="008B4927">
                              <w:rPr>
                                <w:rFonts w:cs="Arial"/>
                                <w:b w:val="0"/>
                                <w:bCs w:val="0"/>
                                <w:sz w:val="18"/>
                                <w:szCs w:val="18"/>
                              </w:rPr>
                              <w:fldChar w:fldCharType="end"/>
                            </w:r>
                            <w:r w:rsidRPr="008B4927">
                              <w:rPr>
                                <w:rFonts w:cs="Arial"/>
                                <w:b w:val="0"/>
                                <w:bCs w:val="0"/>
                                <w:sz w:val="18"/>
                                <w:szCs w:val="18"/>
                              </w:rPr>
                              <w:t>: Struktura energetskega dela investicij v scenariju DU za obdobje 2021-2030</w:t>
                            </w:r>
                            <w:bookmarkEnd w:id="3619"/>
                          </w:p>
                          <w:p w14:paraId="11E2FBEB" w14:textId="77777777" w:rsidR="00F26C41" w:rsidRPr="00F26C41" w:rsidRDefault="00F26C41" w:rsidP="00F26C4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954216" id="_x0000_s1028" type="#_x0000_t202" style="position:absolute;left:0;text-align:left;margin-left:.15pt;margin-top:15.65pt;width:462.35pt;height:14.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" stroked="f">
                <v:textbox inset="0,0,0,0">
                  <w:txbxContent>
                    <w:p w14:paraId="102D36E2" w14:textId="5F5E45A8" w:rsidR="008B4927" w:rsidRDefault="008B4927" w:rsidP="008B4927">
                      <w:pPr>
                        <w:pStyle w:val="Napis"/>
                        <w:spacing w:after="0"/>
                        <w:rPr>
                          <w:rFonts w:cs="Arial"/>
                          <w:b w:val="0"/>
                          <w:bCs w:val="0"/>
                          <w:sz w:val="18"/>
                          <w:szCs w:val="18"/>
                        </w:rPr>
                      </w:pPr>
                      <w:bookmarkStart w:id="3620" w:name="_Toc191379181"/>
                      <w:r w:rsidRPr="008B4927">
                        <w:rPr>
                          <w:rFonts w:cs="Arial"/>
                          <w:b w:val="0"/>
                          <w:bCs w:val="0"/>
                          <w:sz w:val="18"/>
                          <w:szCs w:val="18"/>
                        </w:rPr>
                        <w:t xml:space="preserve">Slika </w:t>
                      </w:r>
                      <w:r w:rsidRPr="008B4927">
                        <w:rPr>
                          <w:rFonts w:cs="Arial"/>
                          <w:b w:val="0"/>
                          <w:bCs w:val="0"/>
                          <w:sz w:val="18"/>
                          <w:szCs w:val="18"/>
                        </w:rPr>
                        <w:fldChar w:fldCharType="begin"/>
                      </w:r>
                      <w:r w:rsidRPr="008B4927">
                        <w:rPr>
                          <w:rFonts w:cs="Arial"/>
                          <w:b w:val="0"/>
                          <w:bCs w:val="0"/>
                          <w:sz w:val="18"/>
                          <w:szCs w:val="18"/>
                        </w:rPr>
                        <w:instrText xml:space="preserve"> SEQ Slika \* ARABIC </w:instrText>
                      </w:r>
                      <w:r w:rsidRPr="008B4927">
                        <w:rPr>
                          <w:rFonts w:cs="Arial"/>
                          <w:b w:val="0"/>
                          <w:bCs w:val="0"/>
                          <w:sz w:val="18"/>
                          <w:szCs w:val="18"/>
                        </w:rPr>
                        <w:fldChar w:fldCharType="separate"/>
                      </w:r>
                      <w:r w:rsidR="00064E01">
                        <w:rPr>
                          <w:rFonts w:cs="Arial"/>
                          <w:b w:val="0"/>
                          <w:bCs w:val="0"/>
                          <w:noProof/>
                          <w:sz w:val="18"/>
                          <w:szCs w:val="18"/>
                        </w:rPr>
                        <w:t>4</w:t>
                      </w:r>
                      <w:r w:rsidRPr="008B4927">
                        <w:rPr>
                          <w:rFonts w:cs="Arial"/>
                          <w:b w:val="0"/>
                          <w:bCs w:val="0"/>
                          <w:sz w:val="18"/>
                          <w:szCs w:val="18"/>
                        </w:rPr>
                        <w:fldChar w:fldCharType="end"/>
                      </w:r>
                      <w:r w:rsidRPr="008B4927">
                        <w:rPr>
                          <w:rFonts w:cs="Arial"/>
                          <w:b w:val="0"/>
                          <w:bCs w:val="0"/>
                          <w:sz w:val="18"/>
                          <w:szCs w:val="18"/>
                        </w:rPr>
                        <w:t>: Struktura energetskega dela investicij v scenariju DU za obdobje 2021-2030</w:t>
                      </w:r>
                      <w:bookmarkEnd w:id="3620"/>
                    </w:p>
                    <w:p w14:paraId="11E2FBEB" w14:textId="77777777" w:rsidR="00F26C41" w:rsidRPr="00F26C41" w:rsidRDefault="00F26C41" w:rsidP="00F26C41"/>
                  </w:txbxContent>
                </v:textbox>
                <w10:wrap type="tight"/>
              </v:shape>
            </w:pict>
          </mc:Fallback>
        </mc:AlternateContent>
      </w:r>
    </w:p>
    <w:p w14:paraId="5C7770DA" w14:textId="608C1C63" w:rsidR="00D60223" w:rsidRDefault="00F26C41" w:rsidP="008B4927">
      <w:pPr>
        <w:pStyle w:val="Napis"/>
        <w:keepNext/>
        <w:spacing w:after="0"/>
        <w:jc w:val="both"/>
        <w:rPr>
          <w:rFonts w:cs="Arial"/>
          <w:b w:val="0"/>
          <w:bCs w:val="0"/>
          <w:sz w:val="18"/>
          <w:szCs w:val="18"/>
        </w:rPr>
      </w:pPr>
      <w:bookmarkStart w:id="3620" w:name="_Toc33686241"/>
      <w:r w:rsidRPr="00F425EA">
        <w:rPr>
          <w:rFonts w:cs="Arial"/>
          <w:i/>
          <w:noProof/>
        </w:rPr>
        <w:drawing>
          <wp:anchor distT="0" distB="0" distL="114300" distR="114300" simplePos="0" relativeHeight="251660288" behindDoc="1" locked="0" layoutInCell="1" allowOverlap="1" wp14:anchorId="57BBC5D2" wp14:editId="47BC99D7">
            <wp:simplePos x="0" y="0"/>
            <wp:positionH relativeFrom="column">
              <wp:posOffset>-381</wp:posOffset>
            </wp:positionH>
            <wp:positionV relativeFrom="paragraph">
              <wp:posOffset>243459</wp:posOffset>
            </wp:positionV>
            <wp:extent cx="2647315" cy="2704465"/>
            <wp:effectExtent l="0" t="0" r="635" b="635"/>
            <wp:wrapTight wrapText="bothSides">
              <wp:wrapPolygon edited="0">
                <wp:start x="0" y="0"/>
                <wp:lineTo x="0" y="21453"/>
                <wp:lineTo x="21450" y="21453"/>
                <wp:lineTo x="21450" y="0"/>
                <wp:lineTo x="0" y="0"/>
              </wp:wrapPolygon>
            </wp:wrapTight>
            <wp:docPr id="1929816467" name="Slika 98957280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2647315" cy="2704465"/>
                    </a:xfrm>
                    <a:prstGeom prst="rect">
                      <a:avLst/>
                    </a:prstGeom>
                    <a:noFill/>
                    <a:ln>
                      <a:noFill/>
                      <a:prstDash/>
                    </a:ln>
                  </pic:spPr>
                </pic:pic>
              </a:graphicData>
            </a:graphic>
          </wp:anchor>
        </w:drawing>
      </w:r>
    </w:p>
    <w:p w14:paraId="2E110D42" w14:textId="1C65D8F4" w:rsidR="00D60223" w:rsidRDefault="00D60223" w:rsidP="00D60223"/>
    <w:p w14:paraId="43A7AD92" w14:textId="77777777" w:rsidR="00D60223" w:rsidRPr="00D60223" w:rsidRDefault="00D60223" w:rsidP="00D60223"/>
    <w:p w14:paraId="1422A811" w14:textId="77777777" w:rsidR="00D60223" w:rsidRDefault="00D60223" w:rsidP="008B4927">
      <w:pPr>
        <w:pStyle w:val="Napis"/>
        <w:keepNext/>
        <w:spacing w:after="0"/>
        <w:jc w:val="both"/>
        <w:rPr>
          <w:rFonts w:cs="Arial"/>
          <w:b w:val="0"/>
          <w:bCs w:val="0"/>
          <w:sz w:val="18"/>
          <w:szCs w:val="18"/>
        </w:rPr>
      </w:pPr>
    </w:p>
    <w:p w14:paraId="6EEEB2DB" w14:textId="77777777" w:rsidR="00D60223" w:rsidRDefault="00D60223" w:rsidP="008B4927">
      <w:pPr>
        <w:pStyle w:val="Napis"/>
        <w:keepNext/>
        <w:spacing w:after="0"/>
        <w:jc w:val="both"/>
        <w:rPr>
          <w:rFonts w:cs="Arial"/>
          <w:b w:val="0"/>
          <w:bCs w:val="0"/>
          <w:sz w:val="18"/>
          <w:szCs w:val="18"/>
        </w:rPr>
      </w:pPr>
    </w:p>
    <w:p w14:paraId="0A66140B" w14:textId="77777777" w:rsidR="00D60223" w:rsidRDefault="00D60223" w:rsidP="00D60223"/>
    <w:p w14:paraId="0685B954" w14:textId="77777777" w:rsidR="00D60223" w:rsidRDefault="00D60223" w:rsidP="00D60223"/>
    <w:p w14:paraId="11DA5E52" w14:textId="77777777" w:rsidR="00D60223" w:rsidRDefault="00D60223" w:rsidP="00D60223"/>
    <w:p w14:paraId="09DCF37C" w14:textId="77777777" w:rsidR="00D60223" w:rsidRDefault="00D60223" w:rsidP="00D60223"/>
    <w:p w14:paraId="4803E2D7" w14:textId="77777777" w:rsidR="00D60223" w:rsidRDefault="00D60223" w:rsidP="00D60223"/>
    <w:p w14:paraId="32AEEC92" w14:textId="77777777" w:rsidR="00D60223" w:rsidRDefault="00D60223" w:rsidP="00D60223"/>
    <w:p w14:paraId="1E1E93E7" w14:textId="77777777" w:rsidR="00D60223" w:rsidRDefault="00D60223" w:rsidP="00D60223"/>
    <w:p w14:paraId="668A4FFB" w14:textId="77777777" w:rsidR="00D60223" w:rsidRDefault="00D60223" w:rsidP="00D60223"/>
    <w:p w14:paraId="0FB1F7E6" w14:textId="7DAB8793" w:rsidR="00D60223" w:rsidRPr="006A74F4" w:rsidRDefault="00F75E25" w:rsidP="00D60223">
      <w:pPr>
        <w:rPr>
          <w:sz w:val="18"/>
          <w:szCs w:val="20"/>
        </w:rPr>
      </w:pPr>
      <w:r w:rsidRPr="006A74F4">
        <w:rPr>
          <w:rFonts w:cs="Arial"/>
          <w:sz w:val="18"/>
          <w:szCs w:val="20"/>
        </w:rPr>
        <w:t>Vir: Posodobljeni Celoviti nacionalni energetski in podnebni načrt Republike Slovenije 2024, december 2024</w:t>
      </w:r>
    </w:p>
    <w:p w14:paraId="7BD38520" w14:textId="77777777" w:rsidR="00D60223" w:rsidRDefault="00D60223" w:rsidP="00D60223"/>
    <w:p w14:paraId="30FB8EEC" w14:textId="77777777" w:rsidR="00D60223" w:rsidRPr="00D60223" w:rsidRDefault="00D60223" w:rsidP="00D60223"/>
    <w:p w14:paraId="3F82DC25" w14:textId="7E384BDE" w:rsidR="008B4927" w:rsidRPr="008B4927" w:rsidRDefault="008B4927" w:rsidP="008B4927">
      <w:pPr>
        <w:pStyle w:val="Napis"/>
        <w:keepNext/>
        <w:spacing w:after="0"/>
        <w:jc w:val="both"/>
        <w:rPr>
          <w:rFonts w:cs="Arial"/>
          <w:b w:val="0"/>
          <w:bCs w:val="0"/>
          <w:sz w:val="18"/>
          <w:szCs w:val="18"/>
        </w:rPr>
      </w:pPr>
      <w:bookmarkStart w:id="3621" w:name="_Toc191379182"/>
      <w:r w:rsidRPr="008B4927">
        <w:rPr>
          <w:rFonts w:cs="Arial"/>
          <w:b w:val="0"/>
          <w:bCs w:val="0"/>
          <w:sz w:val="18"/>
          <w:szCs w:val="18"/>
        </w:rPr>
        <w:lastRenderedPageBreak/>
        <w:t xml:space="preserve">Slika </w:t>
      </w:r>
      <w:r w:rsidRPr="008B4927">
        <w:rPr>
          <w:rFonts w:cs="Arial"/>
          <w:b w:val="0"/>
          <w:bCs w:val="0"/>
          <w:sz w:val="18"/>
          <w:szCs w:val="18"/>
        </w:rPr>
        <w:fldChar w:fldCharType="begin"/>
      </w:r>
      <w:r w:rsidRPr="008B4927">
        <w:rPr>
          <w:rFonts w:cs="Arial"/>
          <w:b w:val="0"/>
          <w:bCs w:val="0"/>
          <w:sz w:val="18"/>
          <w:szCs w:val="18"/>
        </w:rPr>
        <w:instrText xml:space="preserve"> SEQ Slika \* ARABIC </w:instrText>
      </w:r>
      <w:r w:rsidRPr="008B4927">
        <w:rPr>
          <w:rFonts w:cs="Arial"/>
          <w:b w:val="0"/>
          <w:bCs w:val="0"/>
          <w:sz w:val="18"/>
          <w:szCs w:val="18"/>
        </w:rPr>
        <w:fldChar w:fldCharType="separate"/>
      </w:r>
      <w:r w:rsidR="00064E01">
        <w:rPr>
          <w:rFonts w:cs="Arial"/>
          <w:b w:val="0"/>
          <w:bCs w:val="0"/>
          <w:noProof/>
          <w:sz w:val="18"/>
          <w:szCs w:val="18"/>
        </w:rPr>
        <w:t>5</w:t>
      </w:r>
      <w:r w:rsidRPr="008B4927">
        <w:rPr>
          <w:rFonts w:cs="Arial"/>
          <w:b w:val="0"/>
          <w:bCs w:val="0"/>
          <w:sz w:val="18"/>
          <w:szCs w:val="18"/>
        </w:rPr>
        <w:fldChar w:fldCharType="end"/>
      </w:r>
      <w:r w:rsidRPr="008B4927">
        <w:rPr>
          <w:rFonts w:cs="Arial"/>
          <w:b w:val="0"/>
          <w:bCs w:val="0"/>
          <w:sz w:val="18"/>
          <w:szCs w:val="18"/>
        </w:rPr>
        <w:t>: Struktura ocenjenih skupnih investicij v javnem sektorju v scenariju DU za obdobje 2021–2030</w:t>
      </w:r>
      <w:bookmarkEnd w:id="3621"/>
    </w:p>
    <w:p w14:paraId="3AD75132" w14:textId="1035DB7C" w:rsidR="00D60223" w:rsidRDefault="00D60223" w:rsidP="008B4927">
      <w:pPr>
        <w:keepNext/>
        <w:spacing w:line="276" w:lineRule="auto"/>
        <w:jc w:val="both"/>
      </w:pPr>
      <w:r w:rsidRPr="00F425EA">
        <w:rPr>
          <w:rFonts w:cs="Arial"/>
          <w:i/>
          <w:noProof/>
          <w:szCs w:val="20"/>
        </w:rPr>
        <w:drawing>
          <wp:anchor distT="0" distB="0" distL="114300" distR="114300" simplePos="0" relativeHeight="251666432" behindDoc="1" locked="0" layoutInCell="1" allowOverlap="1" wp14:anchorId="0BFF9D1F" wp14:editId="32BAEA55">
            <wp:simplePos x="0" y="0"/>
            <wp:positionH relativeFrom="column">
              <wp:posOffset>-3175</wp:posOffset>
            </wp:positionH>
            <wp:positionV relativeFrom="paragraph">
              <wp:posOffset>30253</wp:posOffset>
            </wp:positionV>
            <wp:extent cx="2695578" cy="2838453"/>
            <wp:effectExtent l="0" t="0" r="9525" b="0"/>
            <wp:wrapTight wrapText="bothSides">
              <wp:wrapPolygon edited="0">
                <wp:start x="0" y="0"/>
                <wp:lineTo x="0" y="21455"/>
                <wp:lineTo x="21524" y="21455"/>
                <wp:lineTo x="21524" y="0"/>
                <wp:lineTo x="0" y="0"/>
              </wp:wrapPolygon>
            </wp:wrapTight>
            <wp:docPr id="1249841478" name="Slika 9895728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695578" cy="2838453"/>
                    </a:xfrm>
                    <a:prstGeom prst="rect">
                      <a:avLst/>
                    </a:prstGeom>
                    <a:noFill/>
                    <a:ln>
                      <a:noFill/>
                      <a:prstDash/>
                    </a:ln>
                  </pic:spPr>
                </pic:pic>
              </a:graphicData>
            </a:graphic>
          </wp:anchor>
        </w:drawing>
      </w:r>
    </w:p>
    <w:p w14:paraId="090E717C" w14:textId="77777777" w:rsidR="00F75E25" w:rsidRDefault="00F75E25" w:rsidP="00F75E25">
      <w:pPr>
        <w:pStyle w:val="Napis"/>
        <w:keepNext/>
        <w:spacing w:after="0" w:line="276" w:lineRule="auto"/>
        <w:jc w:val="both"/>
        <w:rPr>
          <w:rFonts w:cs="Arial"/>
          <w:b w:val="0"/>
          <w:bCs w:val="0"/>
          <w:sz w:val="18"/>
          <w:szCs w:val="18"/>
        </w:rPr>
      </w:pPr>
    </w:p>
    <w:p w14:paraId="5A107923" w14:textId="77777777" w:rsidR="00F75E25" w:rsidRDefault="00F75E25" w:rsidP="00F75E25">
      <w:pPr>
        <w:pStyle w:val="Napis"/>
        <w:keepNext/>
        <w:spacing w:after="0" w:line="276" w:lineRule="auto"/>
        <w:jc w:val="both"/>
        <w:rPr>
          <w:rFonts w:cs="Arial"/>
          <w:b w:val="0"/>
          <w:bCs w:val="0"/>
          <w:sz w:val="18"/>
          <w:szCs w:val="18"/>
        </w:rPr>
      </w:pPr>
    </w:p>
    <w:p w14:paraId="09EDE917" w14:textId="77777777" w:rsidR="00F75E25" w:rsidRDefault="00F75E25" w:rsidP="00F75E25">
      <w:pPr>
        <w:pStyle w:val="Napis"/>
        <w:keepNext/>
        <w:spacing w:after="0" w:line="276" w:lineRule="auto"/>
        <w:jc w:val="both"/>
        <w:rPr>
          <w:rFonts w:cs="Arial"/>
          <w:b w:val="0"/>
          <w:bCs w:val="0"/>
          <w:sz w:val="18"/>
          <w:szCs w:val="18"/>
        </w:rPr>
      </w:pPr>
    </w:p>
    <w:p w14:paraId="096797D1" w14:textId="77777777" w:rsidR="00F75E25" w:rsidRDefault="00F75E25" w:rsidP="00F75E25">
      <w:pPr>
        <w:pStyle w:val="Napis"/>
        <w:keepNext/>
        <w:spacing w:after="0" w:line="276" w:lineRule="auto"/>
        <w:jc w:val="both"/>
        <w:rPr>
          <w:rFonts w:cs="Arial"/>
          <w:b w:val="0"/>
          <w:bCs w:val="0"/>
          <w:sz w:val="18"/>
          <w:szCs w:val="18"/>
        </w:rPr>
      </w:pPr>
    </w:p>
    <w:p w14:paraId="62137117" w14:textId="77777777" w:rsidR="00F75E25" w:rsidRDefault="00F75E25" w:rsidP="00F75E25">
      <w:pPr>
        <w:pStyle w:val="Napis"/>
        <w:keepNext/>
        <w:spacing w:after="0" w:line="276" w:lineRule="auto"/>
        <w:jc w:val="both"/>
        <w:rPr>
          <w:rFonts w:cs="Arial"/>
          <w:b w:val="0"/>
          <w:bCs w:val="0"/>
          <w:sz w:val="18"/>
          <w:szCs w:val="18"/>
        </w:rPr>
      </w:pPr>
    </w:p>
    <w:p w14:paraId="4D5A6145" w14:textId="77777777" w:rsidR="00F75E25" w:rsidRDefault="00F75E25" w:rsidP="00F75E25">
      <w:pPr>
        <w:pStyle w:val="Napis"/>
        <w:keepNext/>
        <w:spacing w:after="0" w:line="276" w:lineRule="auto"/>
        <w:jc w:val="both"/>
        <w:rPr>
          <w:rFonts w:cs="Arial"/>
          <w:b w:val="0"/>
          <w:bCs w:val="0"/>
          <w:sz w:val="18"/>
          <w:szCs w:val="18"/>
        </w:rPr>
      </w:pPr>
    </w:p>
    <w:p w14:paraId="258C2424" w14:textId="77777777" w:rsidR="00F75E25" w:rsidRDefault="00F75E25" w:rsidP="00F75E25">
      <w:pPr>
        <w:pStyle w:val="Napis"/>
        <w:keepNext/>
        <w:spacing w:after="0" w:line="276" w:lineRule="auto"/>
        <w:jc w:val="both"/>
        <w:rPr>
          <w:rFonts w:cs="Arial"/>
          <w:b w:val="0"/>
          <w:bCs w:val="0"/>
          <w:sz w:val="18"/>
          <w:szCs w:val="18"/>
        </w:rPr>
      </w:pPr>
    </w:p>
    <w:p w14:paraId="428C54F0" w14:textId="77777777" w:rsidR="00F75E25" w:rsidRDefault="00F75E25" w:rsidP="00F75E25">
      <w:pPr>
        <w:pStyle w:val="Napis"/>
        <w:keepNext/>
        <w:spacing w:after="0" w:line="276" w:lineRule="auto"/>
        <w:jc w:val="both"/>
        <w:rPr>
          <w:rFonts w:cs="Arial"/>
          <w:b w:val="0"/>
          <w:bCs w:val="0"/>
          <w:sz w:val="18"/>
          <w:szCs w:val="18"/>
        </w:rPr>
      </w:pPr>
    </w:p>
    <w:p w14:paraId="35B5A01D" w14:textId="77777777" w:rsidR="00F75E25" w:rsidRDefault="00F75E25" w:rsidP="00F75E25">
      <w:pPr>
        <w:pStyle w:val="Napis"/>
        <w:keepNext/>
        <w:spacing w:after="0" w:line="276" w:lineRule="auto"/>
        <w:jc w:val="both"/>
        <w:rPr>
          <w:rFonts w:cs="Arial"/>
          <w:b w:val="0"/>
          <w:bCs w:val="0"/>
          <w:sz w:val="18"/>
          <w:szCs w:val="18"/>
        </w:rPr>
      </w:pPr>
    </w:p>
    <w:p w14:paraId="15DF98B4" w14:textId="77777777" w:rsidR="00F75E25" w:rsidRDefault="00F75E25" w:rsidP="00F75E25">
      <w:pPr>
        <w:pStyle w:val="Napis"/>
        <w:keepNext/>
        <w:spacing w:after="0" w:line="276" w:lineRule="auto"/>
        <w:jc w:val="both"/>
        <w:rPr>
          <w:rFonts w:cs="Arial"/>
          <w:b w:val="0"/>
          <w:bCs w:val="0"/>
          <w:sz w:val="18"/>
          <w:szCs w:val="18"/>
        </w:rPr>
      </w:pPr>
    </w:p>
    <w:p w14:paraId="53381FE7" w14:textId="77777777" w:rsidR="00F75E25" w:rsidRDefault="00F75E25" w:rsidP="00F75E25">
      <w:pPr>
        <w:pStyle w:val="Napis"/>
        <w:keepNext/>
        <w:spacing w:after="0" w:line="276" w:lineRule="auto"/>
        <w:jc w:val="both"/>
        <w:rPr>
          <w:rFonts w:cs="Arial"/>
          <w:b w:val="0"/>
          <w:bCs w:val="0"/>
          <w:sz w:val="18"/>
          <w:szCs w:val="18"/>
        </w:rPr>
      </w:pPr>
    </w:p>
    <w:p w14:paraId="3B07AFB8" w14:textId="77777777" w:rsidR="00F75E25" w:rsidRDefault="00F75E25" w:rsidP="00F75E25">
      <w:pPr>
        <w:pStyle w:val="Napis"/>
        <w:keepNext/>
        <w:spacing w:after="0" w:line="276" w:lineRule="auto"/>
        <w:jc w:val="both"/>
        <w:rPr>
          <w:rFonts w:cs="Arial"/>
          <w:b w:val="0"/>
          <w:bCs w:val="0"/>
          <w:sz w:val="18"/>
          <w:szCs w:val="18"/>
        </w:rPr>
      </w:pPr>
    </w:p>
    <w:p w14:paraId="5A769054" w14:textId="77777777" w:rsidR="00F75E25" w:rsidRDefault="00F75E25" w:rsidP="00F75E25">
      <w:pPr>
        <w:pStyle w:val="Napis"/>
        <w:keepNext/>
        <w:spacing w:after="0" w:line="276" w:lineRule="auto"/>
        <w:jc w:val="both"/>
        <w:rPr>
          <w:rFonts w:cs="Arial"/>
          <w:b w:val="0"/>
          <w:bCs w:val="0"/>
          <w:sz w:val="18"/>
          <w:szCs w:val="18"/>
        </w:rPr>
      </w:pPr>
    </w:p>
    <w:p w14:paraId="51664A57" w14:textId="77777777" w:rsidR="00F75E25" w:rsidRDefault="00F75E25" w:rsidP="00F75E25">
      <w:pPr>
        <w:pStyle w:val="Napis"/>
        <w:keepNext/>
        <w:spacing w:after="0" w:line="276" w:lineRule="auto"/>
        <w:jc w:val="both"/>
        <w:rPr>
          <w:rFonts w:cs="Arial"/>
          <w:b w:val="0"/>
          <w:bCs w:val="0"/>
          <w:sz w:val="18"/>
          <w:szCs w:val="18"/>
        </w:rPr>
      </w:pPr>
    </w:p>
    <w:p w14:paraId="174A654F" w14:textId="77777777" w:rsidR="00F75E25" w:rsidRDefault="00F75E25" w:rsidP="00F75E25">
      <w:pPr>
        <w:pStyle w:val="Napis"/>
        <w:keepNext/>
        <w:spacing w:after="0" w:line="276" w:lineRule="auto"/>
        <w:jc w:val="both"/>
        <w:rPr>
          <w:rFonts w:cs="Arial"/>
          <w:b w:val="0"/>
          <w:bCs w:val="0"/>
          <w:sz w:val="18"/>
          <w:szCs w:val="18"/>
        </w:rPr>
      </w:pPr>
    </w:p>
    <w:p w14:paraId="4E4EA41C" w14:textId="77777777" w:rsidR="00F75E25" w:rsidRDefault="00F75E25" w:rsidP="00F75E25">
      <w:pPr>
        <w:pStyle w:val="Napis"/>
        <w:keepNext/>
        <w:spacing w:after="0" w:line="276" w:lineRule="auto"/>
        <w:jc w:val="both"/>
        <w:rPr>
          <w:rFonts w:cs="Arial"/>
          <w:b w:val="0"/>
          <w:bCs w:val="0"/>
          <w:sz w:val="18"/>
          <w:szCs w:val="18"/>
        </w:rPr>
      </w:pPr>
    </w:p>
    <w:p w14:paraId="06BB69C8" w14:textId="77777777" w:rsidR="00F75E25" w:rsidRDefault="00F75E25" w:rsidP="00F75E25">
      <w:pPr>
        <w:pStyle w:val="Napis"/>
        <w:keepNext/>
        <w:spacing w:after="0" w:line="276" w:lineRule="auto"/>
        <w:jc w:val="both"/>
        <w:rPr>
          <w:rFonts w:cs="Arial"/>
          <w:b w:val="0"/>
          <w:bCs w:val="0"/>
          <w:sz w:val="18"/>
          <w:szCs w:val="18"/>
        </w:rPr>
      </w:pPr>
    </w:p>
    <w:p w14:paraId="1779906A" w14:textId="77777777" w:rsidR="00F75E25" w:rsidRDefault="00F75E25" w:rsidP="00F75E25">
      <w:pPr>
        <w:pStyle w:val="Napis"/>
        <w:keepNext/>
        <w:spacing w:after="0" w:line="276" w:lineRule="auto"/>
        <w:jc w:val="both"/>
        <w:rPr>
          <w:rFonts w:cs="Arial"/>
          <w:b w:val="0"/>
          <w:bCs w:val="0"/>
          <w:sz w:val="18"/>
          <w:szCs w:val="18"/>
        </w:rPr>
      </w:pPr>
    </w:p>
    <w:p w14:paraId="24117FFB" w14:textId="6984673D" w:rsidR="000E7A5A" w:rsidRPr="00027788" w:rsidRDefault="72013031" w:rsidP="00F75E25">
      <w:pPr>
        <w:pStyle w:val="Napis"/>
        <w:keepNext/>
        <w:spacing w:after="0" w:line="276" w:lineRule="auto"/>
        <w:jc w:val="both"/>
        <w:rPr>
          <w:rFonts w:cs="Arial"/>
          <w:sz w:val="18"/>
          <w:szCs w:val="18"/>
        </w:rPr>
      </w:pPr>
      <w:r w:rsidRPr="00F7FCEE">
        <w:rPr>
          <w:rFonts w:cs="Arial"/>
          <w:b w:val="0"/>
          <w:bCs w:val="0"/>
          <w:sz w:val="18"/>
          <w:szCs w:val="18"/>
        </w:rPr>
        <w:t xml:space="preserve">Vir: </w:t>
      </w:r>
      <w:r w:rsidR="7D2EDF15" w:rsidRPr="00F7FCEE">
        <w:rPr>
          <w:rFonts w:cs="Arial"/>
          <w:b w:val="0"/>
          <w:bCs w:val="0"/>
          <w:sz w:val="18"/>
          <w:szCs w:val="18"/>
        </w:rPr>
        <w:t>Posodobljeni Celoviti nacionalni energetski in podnebni načrt Republike Slovenije 2024, december 2024</w:t>
      </w:r>
    </w:p>
    <w:p w14:paraId="41BFA8DC" w14:textId="77777777" w:rsidR="00C455C4" w:rsidRPr="00C455C4" w:rsidRDefault="00C455C4" w:rsidP="00C455C4"/>
    <w:p w14:paraId="3A65C22F" w14:textId="0178F201" w:rsidR="00C455C4" w:rsidRPr="006A74F4" w:rsidRDefault="00C455C4" w:rsidP="00C455C4">
      <w:pPr>
        <w:pStyle w:val="Napis"/>
        <w:keepNext/>
        <w:spacing w:after="0"/>
        <w:rPr>
          <w:rFonts w:cs="Arial"/>
          <w:b w:val="0"/>
          <w:bCs w:val="0"/>
          <w:color w:val="auto"/>
          <w:sz w:val="18"/>
          <w:szCs w:val="18"/>
        </w:rPr>
      </w:pPr>
      <w:bookmarkStart w:id="3622" w:name="_Toc191379199"/>
      <w:bookmarkEnd w:id="3620"/>
      <w:r w:rsidRPr="006A74F4">
        <w:rPr>
          <w:rFonts w:cs="Arial"/>
          <w:b w:val="0"/>
          <w:bCs w:val="0"/>
          <w:color w:val="auto"/>
          <w:sz w:val="18"/>
          <w:szCs w:val="18"/>
        </w:rPr>
        <w:t xml:space="preserve">Tabela </w:t>
      </w:r>
      <w:r w:rsidRPr="006A74F4">
        <w:rPr>
          <w:rFonts w:cs="Arial"/>
          <w:b w:val="0"/>
          <w:bCs w:val="0"/>
          <w:color w:val="auto"/>
          <w:sz w:val="18"/>
          <w:szCs w:val="18"/>
        </w:rPr>
        <w:fldChar w:fldCharType="begin"/>
      </w:r>
      <w:r w:rsidRPr="006A74F4">
        <w:rPr>
          <w:rFonts w:cs="Arial"/>
          <w:b w:val="0"/>
          <w:bCs w:val="0"/>
          <w:color w:val="auto"/>
          <w:sz w:val="18"/>
          <w:szCs w:val="18"/>
        </w:rPr>
        <w:instrText xml:space="preserve"> SEQ Tabela \* ARABIC </w:instrText>
      </w:r>
      <w:r w:rsidRPr="006A74F4">
        <w:rPr>
          <w:rFonts w:cs="Arial"/>
          <w:b w:val="0"/>
          <w:bCs w:val="0"/>
          <w:color w:val="auto"/>
          <w:sz w:val="18"/>
          <w:szCs w:val="18"/>
        </w:rPr>
        <w:fldChar w:fldCharType="separate"/>
      </w:r>
      <w:r w:rsidR="00064E01">
        <w:rPr>
          <w:rFonts w:cs="Arial"/>
          <w:b w:val="0"/>
          <w:bCs w:val="0"/>
          <w:noProof/>
          <w:color w:val="auto"/>
          <w:sz w:val="18"/>
          <w:szCs w:val="18"/>
        </w:rPr>
        <w:t>10</w:t>
      </w:r>
      <w:r w:rsidRPr="006A74F4">
        <w:rPr>
          <w:rFonts w:cs="Arial"/>
          <w:b w:val="0"/>
          <w:bCs w:val="0"/>
          <w:color w:val="auto"/>
          <w:sz w:val="18"/>
          <w:szCs w:val="18"/>
        </w:rPr>
        <w:fldChar w:fldCharType="end"/>
      </w:r>
      <w:r w:rsidRPr="006A74F4">
        <w:rPr>
          <w:rFonts w:cs="Arial"/>
          <w:b w:val="0"/>
          <w:bCs w:val="0"/>
          <w:color w:val="auto"/>
          <w:sz w:val="18"/>
          <w:szCs w:val="18"/>
        </w:rPr>
        <w:t>: Ocenjene skupne investicije v obdobju 2021–2030 po scenariju DU</w:t>
      </w:r>
      <w:bookmarkEnd w:id="3622"/>
    </w:p>
    <w:p w14:paraId="34E656F7" w14:textId="77777777" w:rsidR="00F26C41" w:rsidRPr="00F26C41" w:rsidRDefault="00F26C41" w:rsidP="00F26C41">
      <w:pPr>
        <w:spacing w:after="0"/>
      </w:pPr>
    </w:p>
    <w:tbl>
      <w:tblPr>
        <w:tblStyle w:val="Tabelamrea"/>
        <w:tblW w:w="0" w:type="auto"/>
        <w:tblLook w:val="04A0" w:firstRow="1" w:lastRow="0" w:firstColumn="1" w:lastColumn="0" w:noHBand="0" w:noVBand="1"/>
      </w:tblPr>
      <w:tblGrid>
        <w:gridCol w:w="3829"/>
        <w:gridCol w:w="828"/>
        <w:gridCol w:w="1695"/>
      </w:tblGrid>
      <w:tr w:rsidR="00F26C41" w:rsidRPr="00F26C41" w14:paraId="1BF0D029" w14:textId="77777777" w:rsidTr="001126C1">
        <w:trPr>
          <w:trHeight w:val="397"/>
        </w:trPr>
        <w:tc>
          <w:tcPr>
            <w:tcW w:w="0" w:type="auto"/>
            <w:shd w:val="clear" w:color="auto" w:fill="D9E2F3" w:themeFill="accent1" w:themeFillTint="33"/>
          </w:tcPr>
          <w:p w14:paraId="72FABE7C" w14:textId="77777777" w:rsidR="000E7A5A" w:rsidRPr="001126C1" w:rsidRDefault="00306071" w:rsidP="00E247FF">
            <w:pPr>
              <w:pStyle w:val="NEPNtabstolpec1"/>
              <w:spacing w:before="32" w:after="32" w:line="276" w:lineRule="auto"/>
              <w:jc w:val="both"/>
              <w:rPr>
                <w:rFonts w:ascii="Arial" w:hAnsi="Arial" w:cs="Arial"/>
                <w:bCs/>
                <w:color w:val="auto"/>
              </w:rPr>
            </w:pPr>
            <w:proofErr w:type="spellStart"/>
            <w:r w:rsidRPr="001126C1">
              <w:rPr>
                <w:rFonts w:ascii="Arial" w:hAnsi="Arial" w:cs="Arial"/>
                <w:bCs/>
                <w:color w:val="auto"/>
                <w:sz w:val="20"/>
                <w:szCs w:val="20"/>
                <w:lang w:eastAsia="sl-SI"/>
              </w:rPr>
              <w:t>Investicije</w:t>
            </w:r>
            <w:proofErr w:type="spellEnd"/>
            <w:r w:rsidRPr="001126C1">
              <w:rPr>
                <w:rFonts w:ascii="Arial" w:hAnsi="Arial" w:cs="Arial"/>
                <w:bCs/>
                <w:color w:val="auto"/>
                <w:sz w:val="20"/>
                <w:szCs w:val="20"/>
                <w:lang w:eastAsia="sl-SI"/>
              </w:rPr>
              <w:t xml:space="preserve"> za </w:t>
            </w:r>
            <w:proofErr w:type="spellStart"/>
            <w:r w:rsidRPr="001126C1">
              <w:rPr>
                <w:rFonts w:ascii="Arial" w:hAnsi="Arial" w:cs="Arial"/>
                <w:bCs/>
                <w:color w:val="auto"/>
                <w:sz w:val="20"/>
                <w:szCs w:val="20"/>
                <w:lang w:eastAsia="sl-SI"/>
              </w:rPr>
              <w:t>obdobje</w:t>
            </w:r>
            <w:proofErr w:type="spellEnd"/>
            <w:r w:rsidRPr="001126C1">
              <w:rPr>
                <w:rFonts w:ascii="Arial" w:hAnsi="Arial" w:cs="Arial"/>
                <w:bCs/>
                <w:color w:val="auto"/>
                <w:sz w:val="20"/>
                <w:szCs w:val="20"/>
                <w:lang w:eastAsia="sl-SI"/>
              </w:rPr>
              <w:t xml:space="preserve"> 2021‒30 [</w:t>
            </w:r>
            <w:proofErr w:type="spellStart"/>
            <w:r w:rsidRPr="001126C1">
              <w:rPr>
                <w:rFonts w:ascii="Arial" w:hAnsi="Arial" w:cs="Arial"/>
                <w:bCs/>
                <w:color w:val="auto"/>
                <w:sz w:val="20"/>
                <w:szCs w:val="20"/>
                <w:lang w:eastAsia="sl-SI"/>
              </w:rPr>
              <w:t>mio</w:t>
            </w:r>
            <w:proofErr w:type="spellEnd"/>
            <w:r w:rsidRPr="001126C1">
              <w:rPr>
                <w:rFonts w:ascii="Arial" w:hAnsi="Arial" w:cs="Arial"/>
                <w:bCs/>
                <w:color w:val="auto"/>
                <w:sz w:val="20"/>
                <w:szCs w:val="20"/>
                <w:lang w:eastAsia="sl-SI"/>
              </w:rPr>
              <w:t xml:space="preserve"> €]</w:t>
            </w:r>
          </w:p>
        </w:tc>
        <w:tc>
          <w:tcPr>
            <w:tcW w:w="0" w:type="auto"/>
            <w:shd w:val="clear" w:color="auto" w:fill="D9E2F3" w:themeFill="accent1" w:themeFillTint="33"/>
            <w:noWrap/>
          </w:tcPr>
          <w:p w14:paraId="186A9016" w14:textId="77777777" w:rsidR="000E7A5A" w:rsidRPr="001126C1" w:rsidRDefault="00306071" w:rsidP="00E247FF">
            <w:pPr>
              <w:pStyle w:val="NEPNtabglava"/>
              <w:spacing w:before="32" w:after="32" w:line="276" w:lineRule="auto"/>
              <w:jc w:val="both"/>
              <w:rPr>
                <w:rFonts w:ascii="Arial" w:hAnsi="Arial" w:cs="Arial"/>
                <w:color w:val="auto"/>
              </w:rPr>
            </w:pPr>
            <w:r w:rsidRPr="001126C1">
              <w:rPr>
                <w:rFonts w:ascii="Arial" w:hAnsi="Arial" w:cs="Arial"/>
                <w:color w:val="auto"/>
                <w:sz w:val="20"/>
                <w:szCs w:val="20"/>
                <w:lang w:eastAsia="sl-SI"/>
              </w:rPr>
              <w:t>DU</w:t>
            </w:r>
          </w:p>
        </w:tc>
        <w:tc>
          <w:tcPr>
            <w:tcW w:w="0" w:type="auto"/>
            <w:shd w:val="clear" w:color="auto" w:fill="D9E2F3" w:themeFill="accent1" w:themeFillTint="33"/>
          </w:tcPr>
          <w:p w14:paraId="4B266B57" w14:textId="77777777" w:rsidR="000E7A5A" w:rsidRPr="001126C1" w:rsidRDefault="00306071" w:rsidP="00E247FF">
            <w:pPr>
              <w:pStyle w:val="NEPNtabglava"/>
              <w:spacing w:before="32" w:after="32" w:line="276" w:lineRule="auto"/>
              <w:jc w:val="both"/>
              <w:rPr>
                <w:rFonts w:ascii="Arial" w:hAnsi="Arial" w:cs="Arial"/>
                <w:color w:val="auto"/>
              </w:rPr>
            </w:pPr>
            <w:r w:rsidRPr="001126C1">
              <w:rPr>
                <w:rFonts w:ascii="Arial" w:hAnsi="Arial" w:cs="Arial"/>
                <w:color w:val="auto"/>
                <w:sz w:val="20"/>
                <w:szCs w:val="20"/>
                <w:lang w:eastAsia="sl-SI"/>
              </w:rPr>
              <w:t>DU</w:t>
            </w:r>
            <w:r w:rsidRPr="001126C1">
              <w:rPr>
                <w:rFonts w:ascii="Arial" w:hAnsi="Arial" w:cs="Arial"/>
                <w:color w:val="auto"/>
                <w:sz w:val="20"/>
                <w:szCs w:val="20"/>
                <w:lang w:eastAsia="sl-SI"/>
              </w:rPr>
              <w:br/>
              <w:t>(</w:t>
            </w:r>
            <w:proofErr w:type="spellStart"/>
            <w:r w:rsidRPr="001126C1">
              <w:rPr>
                <w:rFonts w:ascii="Arial" w:hAnsi="Arial" w:cs="Arial"/>
                <w:color w:val="auto"/>
                <w:sz w:val="20"/>
                <w:szCs w:val="20"/>
                <w:lang w:eastAsia="sl-SI"/>
              </w:rPr>
              <w:t>energetski</w:t>
            </w:r>
            <w:proofErr w:type="spellEnd"/>
            <w:r w:rsidRPr="001126C1">
              <w:rPr>
                <w:rFonts w:ascii="Arial" w:hAnsi="Arial" w:cs="Arial"/>
                <w:color w:val="auto"/>
                <w:sz w:val="20"/>
                <w:szCs w:val="20"/>
                <w:lang w:eastAsia="sl-SI"/>
              </w:rPr>
              <w:t xml:space="preserve"> del)</w:t>
            </w:r>
          </w:p>
        </w:tc>
      </w:tr>
      <w:tr w:rsidR="00F26C41" w:rsidRPr="00F26C41" w14:paraId="4258EBCC" w14:textId="77777777" w:rsidTr="00F26C41">
        <w:trPr>
          <w:trHeight w:val="340"/>
        </w:trPr>
        <w:tc>
          <w:tcPr>
            <w:tcW w:w="0" w:type="auto"/>
            <w:noWrap/>
          </w:tcPr>
          <w:p w14:paraId="006E696C" w14:textId="77777777" w:rsidR="000E7A5A" w:rsidRPr="00F26C41" w:rsidRDefault="00306071" w:rsidP="00E247FF">
            <w:pPr>
              <w:pStyle w:val="NEPNtabstolpec1"/>
              <w:spacing w:before="32" w:after="32" w:line="276" w:lineRule="auto"/>
              <w:jc w:val="both"/>
              <w:rPr>
                <w:rFonts w:ascii="Arial" w:hAnsi="Arial" w:cs="Arial"/>
                <w:color w:val="auto"/>
              </w:rPr>
            </w:pPr>
            <w:proofErr w:type="spellStart"/>
            <w:r w:rsidRPr="00F26C41">
              <w:rPr>
                <w:rFonts w:ascii="Arial" w:hAnsi="Arial" w:cs="Arial"/>
                <w:bCs/>
                <w:i/>
                <w:iCs/>
                <w:color w:val="auto"/>
                <w:sz w:val="20"/>
                <w:szCs w:val="20"/>
                <w:lang w:eastAsia="sl-SI"/>
              </w:rPr>
              <w:t>Storitve</w:t>
            </w:r>
            <w:proofErr w:type="spellEnd"/>
            <w:r w:rsidRPr="00F26C41">
              <w:rPr>
                <w:rFonts w:ascii="Arial" w:hAnsi="Arial" w:cs="Arial"/>
                <w:bCs/>
                <w:i/>
                <w:iCs/>
                <w:color w:val="auto"/>
                <w:sz w:val="20"/>
                <w:szCs w:val="20"/>
                <w:lang w:eastAsia="sl-SI"/>
              </w:rPr>
              <w:t xml:space="preserve"> - </w:t>
            </w:r>
            <w:proofErr w:type="spellStart"/>
            <w:r w:rsidRPr="00F26C41">
              <w:rPr>
                <w:rFonts w:ascii="Arial" w:hAnsi="Arial" w:cs="Arial"/>
                <w:bCs/>
                <w:i/>
                <w:iCs/>
                <w:color w:val="auto"/>
                <w:sz w:val="20"/>
                <w:szCs w:val="20"/>
                <w:lang w:eastAsia="sl-SI"/>
              </w:rPr>
              <w:t>zasebni</w:t>
            </w:r>
            <w:proofErr w:type="spellEnd"/>
            <w:r w:rsidRPr="00F26C41">
              <w:rPr>
                <w:rFonts w:ascii="Arial" w:hAnsi="Arial" w:cs="Arial"/>
                <w:bCs/>
                <w:i/>
                <w:iCs/>
                <w:color w:val="auto"/>
                <w:sz w:val="20"/>
                <w:szCs w:val="20"/>
                <w:lang w:eastAsia="sl-SI"/>
              </w:rPr>
              <w:t xml:space="preserve"> </w:t>
            </w:r>
            <w:proofErr w:type="spellStart"/>
            <w:r w:rsidRPr="00F26C41">
              <w:rPr>
                <w:rFonts w:ascii="Arial" w:hAnsi="Arial" w:cs="Arial"/>
                <w:bCs/>
                <w:i/>
                <w:iCs/>
                <w:color w:val="auto"/>
                <w:sz w:val="20"/>
                <w:szCs w:val="20"/>
                <w:lang w:eastAsia="sl-SI"/>
              </w:rPr>
              <w:t>sektor</w:t>
            </w:r>
            <w:proofErr w:type="spellEnd"/>
          </w:p>
        </w:tc>
        <w:tc>
          <w:tcPr>
            <w:tcW w:w="0" w:type="auto"/>
            <w:noWrap/>
          </w:tcPr>
          <w:p w14:paraId="26CF1460" w14:textId="77777777" w:rsidR="000E7A5A" w:rsidRPr="00F26C41" w:rsidRDefault="00306071" w:rsidP="00E247FF">
            <w:pPr>
              <w:pStyle w:val="NEPNtabbody"/>
              <w:spacing w:before="32" w:after="32" w:line="276" w:lineRule="auto"/>
              <w:jc w:val="both"/>
              <w:rPr>
                <w:rFonts w:ascii="Arial" w:hAnsi="Arial" w:cs="Arial"/>
                <w:i/>
                <w:iCs/>
                <w:sz w:val="20"/>
                <w:szCs w:val="20"/>
                <w:lang w:eastAsia="sl-SI"/>
              </w:rPr>
            </w:pPr>
            <w:r w:rsidRPr="00F26C41">
              <w:rPr>
                <w:rFonts w:ascii="Arial" w:hAnsi="Arial" w:cs="Arial"/>
                <w:i/>
                <w:iCs/>
                <w:sz w:val="20"/>
                <w:szCs w:val="20"/>
                <w:lang w:eastAsia="sl-SI"/>
              </w:rPr>
              <w:t>832</w:t>
            </w:r>
          </w:p>
        </w:tc>
        <w:tc>
          <w:tcPr>
            <w:tcW w:w="0" w:type="auto"/>
            <w:noWrap/>
          </w:tcPr>
          <w:p w14:paraId="714D6CEE" w14:textId="77777777" w:rsidR="000E7A5A" w:rsidRPr="00F26C41" w:rsidRDefault="00306071" w:rsidP="00E247FF">
            <w:pPr>
              <w:pStyle w:val="NEPNtabbody"/>
              <w:spacing w:before="32" w:after="32" w:line="276" w:lineRule="auto"/>
              <w:jc w:val="both"/>
              <w:rPr>
                <w:rFonts w:ascii="Arial" w:hAnsi="Arial" w:cs="Arial"/>
                <w:i/>
                <w:iCs/>
                <w:sz w:val="20"/>
                <w:szCs w:val="20"/>
                <w:lang w:eastAsia="sl-SI"/>
              </w:rPr>
            </w:pPr>
            <w:r w:rsidRPr="00F26C41">
              <w:rPr>
                <w:rFonts w:ascii="Arial" w:hAnsi="Arial" w:cs="Arial"/>
                <w:i/>
                <w:iCs/>
                <w:sz w:val="20"/>
                <w:szCs w:val="20"/>
                <w:lang w:eastAsia="sl-SI"/>
              </w:rPr>
              <w:t>454</w:t>
            </w:r>
          </w:p>
        </w:tc>
      </w:tr>
      <w:tr w:rsidR="00F26C41" w:rsidRPr="00F26C41" w14:paraId="31A6CE71" w14:textId="77777777" w:rsidTr="00F26C41">
        <w:trPr>
          <w:trHeight w:val="340"/>
        </w:trPr>
        <w:tc>
          <w:tcPr>
            <w:tcW w:w="0" w:type="auto"/>
            <w:noWrap/>
          </w:tcPr>
          <w:p w14:paraId="685AC09B" w14:textId="77777777" w:rsidR="000E7A5A" w:rsidRPr="00F26C41" w:rsidRDefault="00306071" w:rsidP="00E247FF">
            <w:pPr>
              <w:pStyle w:val="NEPNtabstolpec1"/>
              <w:spacing w:before="32" w:after="32" w:line="276" w:lineRule="auto"/>
              <w:jc w:val="both"/>
              <w:rPr>
                <w:rFonts w:ascii="Arial" w:hAnsi="Arial" w:cs="Arial"/>
                <w:color w:val="auto"/>
              </w:rPr>
            </w:pPr>
            <w:proofErr w:type="spellStart"/>
            <w:r w:rsidRPr="00F26C41">
              <w:rPr>
                <w:rFonts w:ascii="Arial" w:hAnsi="Arial" w:cs="Arial"/>
                <w:bCs/>
                <w:i/>
                <w:iCs/>
                <w:color w:val="auto"/>
                <w:sz w:val="20"/>
                <w:szCs w:val="20"/>
                <w:lang w:eastAsia="sl-SI"/>
              </w:rPr>
              <w:t>Storitve</w:t>
            </w:r>
            <w:proofErr w:type="spellEnd"/>
            <w:r w:rsidRPr="00F26C41">
              <w:rPr>
                <w:rFonts w:ascii="Arial" w:hAnsi="Arial" w:cs="Arial"/>
                <w:bCs/>
                <w:i/>
                <w:iCs/>
                <w:color w:val="auto"/>
                <w:sz w:val="20"/>
                <w:szCs w:val="20"/>
                <w:lang w:eastAsia="sl-SI"/>
              </w:rPr>
              <w:t xml:space="preserve"> - </w:t>
            </w:r>
            <w:proofErr w:type="spellStart"/>
            <w:r w:rsidRPr="00F26C41">
              <w:rPr>
                <w:rFonts w:ascii="Arial" w:hAnsi="Arial" w:cs="Arial"/>
                <w:bCs/>
                <w:i/>
                <w:iCs/>
                <w:color w:val="auto"/>
                <w:sz w:val="20"/>
                <w:szCs w:val="20"/>
                <w:lang w:eastAsia="sl-SI"/>
              </w:rPr>
              <w:t>javni</w:t>
            </w:r>
            <w:proofErr w:type="spellEnd"/>
            <w:r w:rsidRPr="00F26C41">
              <w:rPr>
                <w:rFonts w:ascii="Arial" w:hAnsi="Arial" w:cs="Arial"/>
                <w:bCs/>
                <w:i/>
                <w:iCs/>
                <w:color w:val="auto"/>
                <w:sz w:val="20"/>
                <w:szCs w:val="20"/>
                <w:lang w:eastAsia="sl-SI"/>
              </w:rPr>
              <w:t xml:space="preserve"> </w:t>
            </w:r>
            <w:proofErr w:type="spellStart"/>
            <w:r w:rsidRPr="00F26C41">
              <w:rPr>
                <w:rFonts w:ascii="Arial" w:hAnsi="Arial" w:cs="Arial"/>
                <w:bCs/>
                <w:i/>
                <w:iCs/>
                <w:color w:val="auto"/>
                <w:sz w:val="20"/>
                <w:szCs w:val="20"/>
                <w:lang w:eastAsia="sl-SI"/>
              </w:rPr>
              <w:t>sektor</w:t>
            </w:r>
            <w:proofErr w:type="spellEnd"/>
          </w:p>
        </w:tc>
        <w:tc>
          <w:tcPr>
            <w:tcW w:w="0" w:type="auto"/>
            <w:noWrap/>
          </w:tcPr>
          <w:p w14:paraId="7C9BEFCB" w14:textId="77777777" w:rsidR="000E7A5A" w:rsidRPr="00F26C41" w:rsidRDefault="00306071" w:rsidP="00E247FF">
            <w:pPr>
              <w:pStyle w:val="NEPNtabbody"/>
              <w:spacing w:before="32" w:after="32" w:line="276" w:lineRule="auto"/>
              <w:jc w:val="both"/>
              <w:rPr>
                <w:rFonts w:ascii="Arial" w:hAnsi="Arial" w:cs="Arial"/>
                <w:i/>
                <w:iCs/>
                <w:sz w:val="20"/>
                <w:szCs w:val="20"/>
                <w:lang w:eastAsia="sl-SI"/>
              </w:rPr>
            </w:pPr>
            <w:r w:rsidRPr="00F26C41">
              <w:rPr>
                <w:rFonts w:ascii="Arial" w:hAnsi="Arial" w:cs="Arial"/>
                <w:i/>
                <w:iCs/>
                <w:sz w:val="20"/>
                <w:szCs w:val="20"/>
                <w:lang w:eastAsia="sl-SI"/>
              </w:rPr>
              <w:t>429</w:t>
            </w:r>
          </w:p>
        </w:tc>
        <w:tc>
          <w:tcPr>
            <w:tcW w:w="0" w:type="auto"/>
            <w:noWrap/>
          </w:tcPr>
          <w:p w14:paraId="054B37C2" w14:textId="77777777" w:rsidR="000E7A5A" w:rsidRPr="00F26C41" w:rsidRDefault="00306071" w:rsidP="00E247FF">
            <w:pPr>
              <w:pStyle w:val="NEPNtabbody"/>
              <w:spacing w:before="32" w:after="32" w:line="276" w:lineRule="auto"/>
              <w:jc w:val="both"/>
              <w:rPr>
                <w:rFonts w:ascii="Arial" w:hAnsi="Arial" w:cs="Arial"/>
                <w:i/>
                <w:iCs/>
                <w:sz w:val="20"/>
                <w:szCs w:val="20"/>
                <w:lang w:eastAsia="sl-SI"/>
              </w:rPr>
            </w:pPr>
            <w:r w:rsidRPr="00F26C41">
              <w:rPr>
                <w:rFonts w:ascii="Arial" w:hAnsi="Arial" w:cs="Arial"/>
                <w:i/>
                <w:iCs/>
                <w:sz w:val="20"/>
                <w:szCs w:val="20"/>
                <w:lang w:eastAsia="sl-SI"/>
              </w:rPr>
              <w:t>309</w:t>
            </w:r>
          </w:p>
        </w:tc>
      </w:tr>
      <w:tr w:rsidR="00F26C41" w:rsidRPr="00F26C41" w14:paraId="62B17052" w14:textId="77777777" w:rsidTr="00F26C41">
        <w:trPr>
          <w:trHeight w:val="340"/>
        </w:trPr>
        <w:tc>
          <w:tcPr>
            <w:tcW w:w="0" w:type="auto"/>
            <w:noWrap/>
          </w:tcPr>
          <w:p w14:paraId="674A8B08" w14:textId="77777777" w:rsidR="000E7A5A" w:rsidRPr="00F26C41" w:rsidRDefault="00306071" w:rsidP="00E247FF">
            <w:pPr>
              <w:pStyle w:val="NEPNtabstolpec1"/>
              <w:spacing w:before="32" w:after="32" w:line="276" w:lineRule="auto"/>
              <w:jc w:val="both"/>
              <w:rPr>
                <w:rFonts w:ascii="Arial" w:hAnsi="Arial" w:cs="Arial"/>
                <w:color w:val="auto"/>
              </w:rPr>
            </w:pPr>
            <w:proofErr w:type="spellStart"/>
            <w:r w:rsidRPr="00F26C41">
              <w:rPr>
                <w:rFonts w:ascii="Arial" w:hAnsi="Arial" w:cs="Arial"/>
                <w:bCs/>
                <w:i/>
                <w:iCs/>
                <w:color w:val="auto"/>
                <w:sz w:val="20"/>
                <w:szCs w:val="20"/>
                <w:lang w:eastAsia="sl-SI"/>
              </w:rPr>
              <w:t>Gospodinjstva</w:t>
            </w:r>
            <w:proofErr w:type="spellEnd"/>
          </w:p>
        </w:tc>
        <w:tc>
          <w:tcPr>
            <w:tcW w:w="0" w:type="auto"/>
            <w:noWrap/>
          </w:tcPr>
          <w:p w14:paraId="31C4A4C6" w14:textId="77777777" w:rsidR="000E7A5A" w:rsidRPr="00F26C41" w:rsidRDefault="00306071" w:rsidP="00E247FF">
            <w:pPr>
              <w:pStyle w:val="NEPNtabbody"/>
              <w:spacing w:before="32" w:after="32" w:line="276" w:lineRule="auto"/>
              <w:jc w:val="both"/>
              <w:rPr>
                <w:rFonts w:ascii="Arial" w:hAnsi="Arial" w:cs="Arial"/>
                <w:i/>
                <w:iCs/>
                <w:sz w:val="20"/>
                <w:szCs w:val="20"/>
                <w:lang w:eastAsia="sl-SI"/>
              </w:rPr>
            </w:pPr>
            <w:r w:rsidRPr="00F26C41">
              <w:rPr>
                <w:rFonts w:ascii="Arial" w:hAnsi="Arial" w:cs="Arial"/>
                <w:i/>
                <w:iCs/>
                <w:sz w:val="20"/>
                <w:szCs w:val="20"/>
                <w:lang w:eastAsia="sl-SI"/>
              </w:rPr>
              <w:t>8.695</w:t>
            </w:r>
          </w:p>
        </w:tc>
        <w:tc>
          <w:tcPr>
            <w:tcW w:w="0" w:type="auto"/>
            <w:noWrap/>
          </w:tcPr>
          <w:p w14:paraId="5FF204DD" w14:textId="77777777" w:rsidR="000E7A5A" w:rsidRPr="00F26C41" w:rsidRDefault="00306071" w:rsidP="00E247FF">
            <w:pPr>
              <w:pStyle w:val="NEPNtabbody"/>
              <w:spacing w:before="32" w:after="32" w:line="276" w:lineRule="auto"/>
              <w:jc w:val="both"/>
              <w:rPr>
                <w:rFonts w:ascii="Arial" w:hAnsi="Arial" w:cs="Arial"/>
                <w:i/>
                <w:iCs/>
                <w:sz w:val="20"/>
                <w:szCs w:val="20"/>
                <w:lang w:eastAsia="sl-SI"/>
              </w:rPr>
            </w:pPr>
            <w:r w:rsidRPr="00F26C41">
              <w:rPr>
                <w:rFonts w:ascii="Arial" w:hAnsi="Arial" w:cs="Arial"/>
                <w:i/>
                <w:iCs/>
                <w:sz w:val="20"/>
                <w:szCs w:val="20"/>
                <w:lang w:eastAsia="sl-SI"/>
              </w:rPr>
              <w:t>2.844</w:t>
            </w:r>
          </w:p>
        </w:tc>
      </w:tr>
      <w:tr w:rsidR="00F26C41" w:rsidRPr="00F26C41" w14:paraId="1CDD917D" w14:textId="77777777" w:rsidTr="00F26C41">
        <w:trPr>
          <w:trHeight w:val="340"/>
        </w:trPr>
        <w:tc>
          <w:tcPr>
            <w:tcW w:w="0" w:type="auto"/>
            <w:noWrap/>
          </w:tcPr>
          <w:p w14:paraId="4C2ED20E" w14:textId="77777777" w:rsidR="000E7A5A" w:rsidRPr="00F26C41" w:rsidRDefault="00306071" w:rsidP="00E247FF">
            <w:pPr>
              <w:pStyle w:val="NEPNtabstolpec1"/>
              <w:spacing w:before="32" w:after="32" w:line="276" w:lineRule="auto"/>
              <w:jc w:val="both"/>
              <w:rPr>
                <w:rFonts w:ascii="Arial" w:hAnsi="Arial" w:cs="Arial"/>
                <w:color w:val="auto"/>
              </w:rPr>
            </w:pPr>
            <w:proofErr w:type="spellStart"/>
            <w:r w:rsidRPr="00F26C41">
              <w:rPr>
                <w:rFonts w:ascii="Arial" w:hAnsi="Arial" w:cs="Arial"/>
                <w:bCs/>
                <w:i/>
                <w:iCs/>
                <w:color w:val="auto"/>
                <w:sz w:val="20"/>
                <w:szCs w:val="20"/>
                <w:lang w:eastAsia="sl-SI"/>
              </w:rPr>
              <w:t>Industrija</w:t>
            </w:r>
            <w:proofErr w:type="spellEnd"/>
            <w:r w:rsidRPr="00F26C41">
              <w:rPr>
                <w:rFonts w:ascii="Arial" w:hAnsi="Arial" w:cs="Arial"/>
                <w:bCs/>
                <w:i/>
                <w:iCs/>
                <w:color w:val="auto"/>
                <w:sz w:val="20"/>
                <w:szCs w:val="20"/>
                <w:lang w:eastAsia="sl-SI"/>
              </w:rPr>
              <w:t xml:space="preserve"> - </w:t>
            </w:r>
            <w:proofErr w:type="spellStart"/>
            <w:r w:rsidRPr="00F26C41">
              <w:rPr>
                <w:rFonts w:ascii="Arial" w:hAnsi="Arial" w:cs="Arial"/>
                <w:bCs/>
                <w:i/>
                <w:iCs/>
                <w:color w:val="auto"/>
                <w:sz w:val="20"/>
                <w:szCs w:val="20"/>
                <w:lang w:eastAsia="sl-SI"/>
              </w:rPr>
              <w:t>energ</w:t>
            </w:r>
            <w:proofErr w:type="spellEnd"/>
            <w:r w:rsidRPr="00F26C41">
              <w:rPr>
                <w:rFonts w:ascii="Arial" w:hAnsi="Arial" w:cs="Arial"/>
                <w:bCs/>
                <w:i/>
                <w:iCs/>
                <w:color w:val="auto"/>
                <w:sz w:val="20"/>
                <w:szCs w:val="20"/>
                <w:lang w:eastAsia="sl-SI"/>
              </w:rPr>
              <w:t>. int.</w:t>
            </w:r>
            <w:r w:rsidRPr="00F26C41">
              <w:rPr>
                <w:rStyle w:val="Sprotnaopomba-sklic"/>
                <w:rFonts w:ascii="Arial" w:eastAsia="Times New Roman" w:hAnsi="Arial" w:cs="Arial"/>
                <w:bCs/>
                <w:i/>
                <w:iCs/>
                <w:color w:val="auto"/>
                <w:sz w:val="20"/>
                <w:szCs w:val="20"/>
                <w:lang w:val="sl-SI" w:eastAsia="sl-SI"/>
              </w:rPr>
              <w:footnoteReference w:id="29"/>
            </w:r>
          </w:p>
        </w:tc>
        <w:tc>
          <w:tcPr>
            <w:tcW w:w="0" w:type="auto"/>
            <w:noWrap/>
          </w:tcPr>
          <w:p w14:paraId="3B3D3BE0" w14:textId="77777777" w:rsidR="000E7A5A" w:rsidRPr="00F26C41" w:rsidRDefault="00306071" w:rsidP="00E247FF">
            <w:pPr>
              <w:pStyle w:val="NEPNtabbody"/>
              <w:spacing w:before="32" w:after="32" w:line="276" w:lineRule="auto"/>
              <w:jc w:val="both"/>
              <w:rPr>
                <w:rFonts w:ascii="Arial" w:hAnsi="Arial" w:cs="Arial"/>
                <w:i/>
                <w:iCs/>
                <w:sz w:val="20"/>
                <w:szCs w:val="20"/>
                <w:lang w:eastAsia="sl-SI"/>
              </w:rPr>
            </w:pPr>
            <w:r w:rsidRPr="00F26C41">
              <w:rPr>
                <w:rFonts w:ascii="Arial" w:hAnsi="Arial" w:cs="Arial"/>
                <w:i/>
                <w:iCs/>
                <w:sz w:val="20"/>
                <w:szCs w:val="20"/>
                <w:lang w:eastAsia="sl-SI"/>
              </w:rPr>
              <w:t>5.965</w:t>
            </w:r>
          </w:p>
        </w:tc>
        <w:tc>
          <w:tcPr>
            <w:tcW w:w="0" w:type="auto"/>
            <w:noWrap/>
          </w:tcPr>
          <w:p w14:paraId="372EE395" w14:textId="77777777" w:rsidR="000E7A5A" w:rsidRPr="00F26C41" w:rsidRDefault="00306071" w:rsidP="00E247FF">
            <w:pPr>
              <w:pStyle w:val="NEPNtabbody"/>
              <w:spacing w:before="32" w:after="32" w:line="276" w:lineRule="auto"/>
              <w:jc w:val="both"/>
              <w:rPr>
                <w:rFonts w:ascii="Arial" w:hAnsi="Arial" w:cs="Arial"/>
                <w:i/>
                <w:iCs/>
                <w:sz w:val="20"/>
                <w:szCs w:val="20"/>
                <w:lang w:eastAsia="sl-SI"/>
              </w:rPr>
            </w:pPr>
            <w:r w:rsidRPr="00F26C41">
              <w:rPr>
                <w:rFonts w:ascii="Arial" w:hAnsi="Arial" w:cs="Arial"/>
                <w:i/>
                <w:iCs/>
                <w:sz w:val="20"/>
                <w:szCs w:val="20"/>
                <w:lang w:eastAsia="sl-SI"/>
              </w:rPr>
              <w:t>701</w:t>
            </w:r>
          </w:p>
        </w:tc>
      </w:tr>
      <w:tr w:rsidR="00F26C41" w:rsidRPr="00F26C41" w14:paraId="7E4FE918" w14:textId="77777777" w:rsidTr="00F26C41">
        <w:trPr>
          <w:trHeight w:val="340"/>
        </w:trPr>
        <w:tc>
          <w:tcPr>
            <w:tcW w:w="0" w:type="auto"/>
            <w:noWrap/>
          </w:tcPr>
          <w:p w14:paraId="7B233163" w14:textId="77777777" w:rsidR="000E7A5A" w:rsidRPr="00F26C41" w:rsidRDefault="00306071" w:rsidP="00E247FF">
            <w:pPr>
              <w:pStyle w:val="NEPNtabstolpec1"/>
              <w:spacing w:before="32" w:after="32" w:line="276" w:lineRule="auto"/>
              <w:jc w:val="both"/>
              <w:rPr>
                <w:rFonts w:ascii="Arial" w:hAnsi="Arial" w:cs="Arial"/>
                <w:color w:val="auto"/>
              </w:rPr>
            </w:pPr>
            <w:proofErr w:type="spellStart"/>
            <w:r w:rsidRPr="00F26C41">
              <w:rPr>
                <w:rFonts w:ascii="Arial" w:hAnsi="Arial" w:cs="Arial"/>
                <w:bCs/>
                <w:i/>
                <w:iCs/>
                <w:color w:val="auto"/>
                <w:sz w:val="20"/>
                <w:szCs w:val="20"/>
                <w:lang w:eastAsia="sl-SI"/>
              </w:rPr>
              <w:t>Industrija</w:t>
            </w:r>
            <w:proofErr w:type="spellEnd"/>
            <w:r w:rsidRPr="00F26C41">
              <w:rPr>
                <w:rFonts w:ascii="Arial" w:hAnsi="Arial" w:cs="Arial"/>
                <w:bCs/>
                <w:i/>
                <w:iCs/>
                <w:color w:val="auto"/>
                <w:sz w:val="20"/>
                <w:szCs w:val="20"/>
                <w:lang w:eastAsia="sl-SI"/>
              </w:rPr>
              <w:t xml:space="preserve"> - </w:t>
            </w:r>
            <w:proofErr w:type="spellStart"/>
            <w:r w:rsidRPr="00F26C41">
              <w:rPr>
                <w:rFonts w:ascii="Arial" w:hAnsi="Arial" w:cs="Arial"/>
                <w:bCs/>
                <w:i/>
                <w:iCs/>
                <w:color w:val="auto"/>
                <w:sz w:val="20"/>
                <w:szCs w:val="20"/>
                <w:lang w:eastAsia="sl-SI"/>
              </w:rPr>
              <w:t>ostalo</w:t>
            </w:r>
            <w:proofErr w:type="spellEnd"/>
          </w:p>
        </w:tc>
        <w:tc>
          <w:tcPr>
            <w:tcW w:w="0" w:type="auto"/>
            <w:noWrap/>
          </w:tcPr>
          <w:p w14:paraId="102AA006" w14:textId="77777777" w:rsidR="000E7A5A" w:rsidRPr="00F26C41" w:rsidRDefault="00306071" w:rsidP="00E247FF">
            <w:pPr>
              <w:pStyle w:val="NEPNtabbody"/>
              <w:spacing w:before="32" w:after="32" w:line="276" w:lineRule="auto"/>
              <w:jc w:val="both"/>
              <w:rPr>
                <w:rFonts w:ascii="Arial" w:hAnsi="Arial" w:cs="Arial"/>
                <w:i/>
                <w:iCs/>
                <w:sz w:val="20"/>
                <w:szCs w:val="20"/>
                <w:lang w:eastAsia="sl-SI"/>
              </w:rPr>
            </w:pPr>
            <w:r w:rsidRPr="00F26C41">
              <w:rPr>
                <w:rFonts w:ascii="Arial" w:hAnsi="Arial" w:cs="Arial"/>
                <w:i/>
                <w:iCs/>
                <w:sz w:val="20"/>
                <w:szCs w:val="20"/>
                <w:lang w:eastAsia="sl-SI"/>
              </w:rPr>
              <w:t>22.212</w:t>
            </w:r>
          </w:p>
        </w:tc>
        <w:tc>
          <w:tcPr>
            <w:tcW w:w="0" w:type="auto"/>
            <w:noWrap/>
          </w:tcPr>
          <w:p w14:paraId="4E49BFCD" w14:textId="77777777" w:rsidR="000E7A5A" w:rsidRPr="00F26C41" w:rsidRDefault="00306071" w:rsidP="00E247FF">
            <w:pPr>
              <w:pStyle w:val="NEPNtabbody"/>
              <w:spacing w:before="32" w:after="32" w:line="276" w:lineRule="auto"/>
              <w:jc w:val="both"/>
              <w:rPr>
                <w:rFonts w:ascii="Arial" w:hAnsi="Arial" w:cs="Arial"/>
                <w:i/>
                <w:iCs/>
                <w:sz w:val="20"/>
                <w:szCs w:val="20"/>
                <w:lang w:eastAsia="sl-SI"/>
              </w:rPr>
            </w:pPr>
            <w:r w:rsidRPr="00F26C41">
              <w:rPr>
                <w:rFonts w:ascii="Arial" w:hAnsi="Arial" w:cs="Arial"/>
                <w:i/>
                <w:iCs/>
                <w:sz w:val="20"/>
                <w:szCs w:val="20"/>
                <w:lang w:eastAsia="sl-SI"/>
              </w:rPr>
              <w:t>1.644</w:t>
            </w:r>
          </w:p>
        </w:tc>
      </w:tr>
      <w:tr w:rsidR="00F26C41" w:rsidRPr="00F26C41" w14:paraId="1CBF54FC" w14:textId="77777777" w:rsidTr="00F26C41">
        <w:trPr>
          <w:trHeight w:val="340"/>
        </w:trPr>
        <w:tc>
          <w:tcPr>
            <w:tcW w:w="0" w:type="auto"/>
            <w:noWrap/>
          </w:tcPr>
          <w:p w14:paraId="5AAE44D0" w14:textId="77777777" w:rsidR="000E7A5A" w:rsidRPr="00F26C41" w:rsidRDefault="00306071" w:rsidP="00E247FF">
            <w:pPr>
              <w:pStyle w:val="NEPNtabstolpec1"/>
              <w:spacing w:before="32" w:after="32" w:line="276" w:lineRule="auto"/>
              <w:jc w:val="both"/>
              <w:rPr>
                <w:rFonts w:ascii="Arial" w:hAnsi="Arial" w:cs="Arial"/>
                <w:color w:val="auto"/>
              </w:rPr>
            </w:pPr>
            <w:proofErr w:type="spellStart"/>
            <w:r w:rsidRPr="00F26C41">
              <w:rPr>
                <w:rFonts w:ascii="Arial" w:hAnsi="Arial" w:cs="Arial"/>
                <w:bCs/>
                <w:i/>
                <w:iCs/>
                <w:color w:val="auto"/>
                <w:sz w:val="20"/>
                <w:szCs w:val="20"/>
                <w:lang w:eastAsia="sl-SI"/>
              </w:rPr>
              <w:t>Železniška</w:t>
            </w:r>
            <w:proofErr w:type="spellEnd"/>
            <w:r w:rsidRPr="00F26C41">
              <w:rPr>
                <w:rFonts w:ascii="Arial" w:hAnsi="Arial" w:cs="Arial"/>
                <w:bCs/>
                <w:i/>
                <w:iCs/>
                <w:color w:val="auto"/>
                <w:sz w:val="20"/>
                <w:szCs w:val="20"/>
                <w:lang w:eastAsia="sl-SI"/>
              </w:rPr>
              <w:t xml:space="preserve"> </w:t>
            </w:r>
            <w:proofErr w:type="spellStart"/>
            <w:r w:rsidRPr="00F26C41">
              <w:rPr>
                <w:rFonts w:ascii="Arial" w:hAnsi="Arial" w:cs="Arial"/>
                <w:bCs/>
                <w:i/>
                <w:iCs/>
                <w:color w:val="auto"/>
                <w:sz w:val="20"/>
                <w:szCs w:val="20"/>
                <w:lang w:eastAsia="sl-SI"/>
              </w:rPr>
              <w:t>infrastruktura</w:t>
            </w:r>
            <w:proofErr w:type="spellEnd"/>
          </w:p>
        </w:tc>
        <w:tc>
          <w:tcPr>
            <w:tcW w:w="0" w:type="auto"/>
            <w:gridSpan w:val="2"/>
            <w:noWrap/>
          </w:tcPr>
          <w:p w14:paraId="6A92CC95" w14:textId="77777777" w:rsidR="000E7A5A" w:rsidRPr="00F26C41" w:rsidRDefault="00306071" w:rsidP="00E247FF">
            <w:pPr>
              <w:pStyle w:val="NEPNtabbody"/>
              <w:spacing w:before="32" w:after="32" w:line="276" w:lineRule="auto"/>
              <w:jc w:val="both"/>
              <w:rPr>
                <w:rFonts w:ascii="Arial" w:hAnsi="Arial" w:cs="Arial"/>
                <w:i/>
                <w:iCs/>
                <w:sz w:val="20"/>
                <w:szCs w:val="20"/>
                <w:lang w:eastAsia="sl-SI"/>
              </w:rPr>
            </w:pPr>
            <w:r w:rsidRPr="00F26C41">
              <w:rPr>
                <w:rFonts w:ascii="Arial" w:hAnsi="Arial" w:cs="Arial"/>
                <w:i/>
                <w:iCs/>
                <w:sz w:val="20"/>
                <w:szCs w:val="20"/>
                <w:lang w:eastAsia="sl-SI"/>
              </w:rPr>
              <w:t>5.725</w:t>
            </w:r>
          </w:p>
        </w:tc>
      </w:tr>
      <w:tr w:rsidR="00F26C41" w:rsidRPr="00F26C41" w14:paraId="53ED7B40" w14:textId="77777777" w:rsidTr="00F26C41">
        <w:trPr>
          <w:trHeight w:val="340"/>
        </w:trPr>
        <w:tc>
          <w:tcPr>
            <w:tcW w:w="0" w:type="auto"/>
            <w:noWrap/>
          </w:tcPr>
          <w:p w14:paraId="732C0DC0" w14:textId="77777777" w:rsidR="000E7A5A" w:rsidRPr="00F26C41" w:rsidRDefault="00306071" w:rsidP="00E247FF">
            <w:pPr>
              <w:pStyle w:val="NEPNtabstolpec1"/>
              <w:spacing w:before="32" w:after="32" w:line="276" w:lineRule="auto"/>
              <w:jc w:val="both"/>
              <w:rPr>
                <w:rFonts w:ascii="Arial" w:hAnsi="Arial" w:cs="Arial"/>
                <w:color w:val="auto"/>
              </w:rPr>
            </w:pPr>
            <w:proofErr w:type="spellStart"/>
            <w:r w:rsidRPr="00F26C41">
              <w:rPr>
                <w:rFonts w:ascii="Arial" w:hAnsi="Arial" w:cs="Arial"/>
                <w:bCs/>
                <w:i/>
                <w:iCs/>
                <w:color w:val="auto"/>
                <w:sz w:val="20"/>
                <w:szCs w:val="20"/>
                <w:lang w:eastAsia="sl-SI"/>
              </w:rPr>
              <w:t>Trajnostna</w:t>
            </w:r>
            <w:proofErr w:type="spellEnd"/>
            <w:r w:rsidRPr="00F26C41">
              <w:rPr>
                <w:rFonts w:ascii="Arial" w:hAnsi="Arial" w:cs="Arial"/>
                <w:bCs/>
                <w:i/>
                <w:iCs/>
                <w:color w:val="auto"/>
                <w:sz w:val="20"/>
                <w:szCs w:val="20"/>
                <w:lang w:eastAsia="sl-SI"/>
              </w:rPr>
              <w:t xml:space="preserve"> </w:t>
            </w:r>
            <w:proofErr w:type="spellStart"/>
            <w:r w:rsidRPr="00F26C41">
              <w:rPr>
                <w:rFonts w:ascii="Arial" w:hAnsi="Arial" w:cs="Arial"/>
                <w:bCs/>
                <w:i/>
                <w:iCs/>
                <w:color w:val="auto"/>
                <w:sz w:val="20"/>
                <w:szCs w:val="20"/>
                <w:lang w:eastAsia="sl-SI"/>
              </w:rPr>
              <w:t>mobilnosti</w:t>
            </w:r>
            <w:proofErr w:type="spellEnd"/>
          </w:p>
        </w:tc>
        <w:tc>
          <w:tcPr>
            <w:tcW w:w="0" w:type="auto"/>
            <w:gridSpan w:val="2"/>
            <w:noWrap/>
          </w:tcPr>
          <w:p w14:paraId="7C188684" w14:textId="77777777" w:rsidR="000E7A5A" w:rsidRPr="00F26C41" w:rsidRDefault="00306071" w:rsidP="00E247FF">
            <w:pPr>
              <w:pStyle w:val="NEPNtabbody"/>
              <w:spacing w:before="32" w:after="32" w:line="276" w:lineRule="auto"/>
              <w:jc w:val="both"/>
              <w:rPr>
                <w:rFonts w:ascii="Arial" w:hAnsi="Arial" w:cs="Arial"/>
                <w:i/>
                <w:iCs/>
                <w:sz w:val="20"/>
                <w:szCs w:val="20"/>
                <w:lang w:eastAsia="sl-SI"/>
              </w:rPr>
            </w:pPr>
            <w:r w:rsidRPr="00F26C41">
              <w:rPr>
                <w:rFonts w:ascii="Arial" w:hAnsi="Arial" w:cs="Arial"/>
                <w:i/>
                <w:iCs/>
                <w:sz w:val="20"/>
                <w:szCs w:val="20"/>
                <w:lang w:eastAsia="sl-SI"/>
              </w:rPr>
              <w:t>1.835</w:t>
            </w:r>
          </w:p>
        </w:tc>
      </w:tr>
      <w:tr w:rsidR="00F26C41" w:rsidRPr="00F26C41" w14:paraId="0FA38210" w14:textId="77777777" w:rsidTr="00F26C41">
        <w:trPr>
          <w:trHeight w:val="340"/>
        </w:trPr>
        <w:tc>
          <w:tcPr>
            <w:tcW w:w="0" w:type="auto"/>
            <w:noWrap/>
          </w:tcPr>
          <w:p w14:paraId="589E257C" w14:textId="77777777" w:rsidR="000E7A5A" w:rsidRPr="00F26C41" w:rsidRDefault="00306071" w:rsidP="00E247FF">
            <w:pPr>
              <w:pStyle w:val="NEPNtabstolpec1"/>
              <w:spacing w:before="32" w:after="32" w:line="276" w:lineRule="auto"/>
              <w:jc w:val="both"/>
              <w:rPr>
                <w:rFonts w:ascii="Arial" w:hAnsi="Arial" w:cs="Arial"/>
                <w:color w:val="auto"/>
              </w:rPr>
            </w:pPr>
            <w:proofErr w:type="spellStart"/>
            <w:r w:rsidRPr="00F26C41">
              <w:rPr>
                <w:rFonts w:ascii="Arial" w:hAnsi="Arial" w:cs="Arial"/>
                <w:bCs/>
                <w:i/>
                <w:iCs/>
                <w:color w:val="auto"/>
                <w:sz w:val="20"/>
                <w:szCs w:val="20"/>
                <w:lang w:eastAsia="sl-SI"/>
              </w:rPr>
              <w:t>Alternativna</w:t>
            </w:r>
            <w:proofErr w:type="spellEnd"/>
            <w:r w:rsidRPr="00F26C41">
              <w:rPr>
                <w:rFonts w:ascii="Arial" w:hAnsi="Arial" w:cs="Arial"/>
                <w:bCs/>
                <w:i/>
                <w:iCs/>
                <w:color w:val="auto"/>
                <w:sz w:val="20"/>
                <w:szCs w:val="20"/>
                <w:lang w:eastAsia="sl-SI"/>
              </w:rPr>
              <w:t xml:space="preserve"> </w:t>
            </w:r>
            <w:proofErr w:type="spellStart"/>
            <w:r w:rsidRPr="00F26C41">
              <w:rPr>
                <w:rFonts w:ascii="Arial" w:hAnsi="Arial" w:cs="Arial"/>
                <w:bCs/>
                <w:i/>
                <w:iCs/>
                <w:color w:val="auto"/>
                <w:sz w:val="20"/>
                <w:szCs w:val="20"/>
                <w:lang w:eastAsia="sl-SI"/>
              </w:rPr>
              <w:t>gororiva</w:t>
            </w:r>
            <w:proofErr w:type="spellEnd"/>
            <w:r w:rsidRPr="00F26C41">
              <w:rPr>
                <w:rFonts w:ascii="Arial" w:hAnsi="Arial" w:cs="Arial"/>
                <w:bCs/>
                <w:i/>
                <w:iCs/>
                <w:color w:val="auto"/>
                <w:sz w:val="20"/>
                <w:szCs w:val="20"/>
                <w:lang w:eastAsia="sl-SI"/>
              </w:rPr>
              <w:t xml:space="preserve"> v </w:t>
            </w:r>
            <w:proofErr w:type="spellStart"/>
            <w:r w:rsidRPr="00F26C41">
              <w:rPr>
                <w:rFonts w:ascii="Arial" w:hAnsi="Arial" w:cs="Arial"/>
                <w:bCs/>
                <w:i/>
                <w:iCs/>
                <w:color w:val="auto"/>
                <w:sz w:val="20"/>
                <w:szCs w:val="20"/>
                <w:lang w:eastAsia="sl-SI"/>
              </w:rPr>
              <w:t>prometu</w:t>
            </w:r>
            <w:proofErr w:type="spellEnd"/>
          </w:p>
        </w:tc>
        <w:tc>
          <w:tcPr>
            <w:tcW w:w="0" w:type="auto"/>
            <w:gridSpan w:val="2"/>
            <w:noWrap/>
          </w:tcPr>
          <w:p w14:paraId="4610DAB7" w14:textId="77777777" w:rsidR="000E7A5A" w:rsidRPr="00F26C41" w:rsidRDefault="00306071" w:rsidP="00E247FF">
            <w:pPr>
              <w:pStyle w:val="NEPNtabbody"/>
              <w:spacing w:before="32" w:after="32" w:line="276" w:lineRule="auto"/>
              <w:jc w:val="both"/>
              <w:rPr>
                <w:rFonts w:ascii="Arial" w:hAnsi="Arial" w:cs="Arial"/>
                <w:i/>
                <w:iCs/>
                <w:sz w:val="20"/>
                <w:szCs w:val="20"/>
                <w:lang w:eastAsia="sl-SI"/>
              </w:rPr>
            </w:pPr>
            <w:r w:rsidRPr="00F26C41">
              <w:rPr>
                <w:rFonts w:ascii="Arial" w:hAnsi="Arial" w:cs="Arial"/>
                <w:i/>
                <w:iCs/>
                <w:sz w:val="20"/>
                <w:szCs w:val="20"/>
                <w:lang w:eastAsia="sl-SI"/>
              </w:rPr>
              <w:t>874</w:t>
            </w:r>
          </w:p>
        </w:tc>
      </w:tr>
      <w:tr w:rsidR="00F26C41" w:rsidRPr="00F26C41" w14:paraId="0AB55F91" w14:textId="77777777" w:rsidTr="00F26C41">
        <w:trPr>
          <w:trHeight w:val="340"/>
        </w:trPr>
        <w:tc>
          <w:tcPr>
            <w:tcW w:w="0" w:type="auto"/>
            <w:noWrap/>
          </w:tcPr>
          <w:p w14:paraId="0EC162A7" w14:textId="77777777" w:rsidR="000E7A5A" w:rsidRPr="00F26C41" w:rsidRDefault="00306071" w:rsidP="00E247FF">
            <w:pPr>
              <w:pStyle w:val="NEPNtabstolpec1"/>
              <w:spacing w:before="32" w:after="32" w:line="276" w:lineRule="auto"/>
              <w:jc w:val="both"/>
              <w:rPr>
                <w:rFonts w:ascii="Arial" w:hAnsi="Arial" w:cs="Arial"/>
                <w:color w:val="auto"/>
              </w:rPr>
            </w:pPr>
            <w:proofErr w:type="spellStart"/>
            <w:r w:rsidRPr="00F26C41">
              <w:rPr>
                <w:rFonts w:ascii="Arial" w:hAnsi="Arial" w:cs="Arial"/>
                <w:bCs/>
                <w:i/>
                <w:iCs/>
                <w:color w:val="auto"/>
                <w:sz w:val="20"/>
                <w:szCs w:val="20"/>
                <w:lang w:eastAsia="sl-SI"/>
              </w:rPr>
              <w:t>Razprš</w:t>
            </w:r>
            <w:proofErr w:type="spellEnd"/>
            <w:r w:rsidRPr="00F26C41">
              <w:rPr>
                <w:rFonts w:ascii="Arial" w:hAnsi="Arial" w:cs="Arial"/>
                <w:bCs/>
                <w:i/>
                <w:iCs/>
                <w:color w:val="auto"/>
                <w:sz w:val="20"/>
                <w:szCs w:val="20"/>
                <w:lang w:eastAsia="sl-SI"/>
              </w:rPr>
              <w:t>. OVE-E</w:t>
            </w:r>
            <w:r w:rsidRPr="00F26C41">
              <w:rPr>
                <w:rStyle w:val="Sprotnaopomba-sklic"/>
                <w:rFonts w:ascii="Arial" w:eastAsia="Times New Roman" w:hAnsi="Arial" w:cs="Arial"/>
                <w:bCs/>
                <w:i/>
                <w:iCs/>
                <w:color w:val="auto"/>
                <w:sz w:val="20"/>
                <w:szCs w:val="20"/>
                <w:lang w:val="sl-SI" w:eastAsia="sl-SI"/>
              </w:rPr>
              <w:footnoteReference w:id="30"/>
            </w:r>
          </w:p>
        </w:tc>
        <w:tc>
          <w:tcPr>
            <w:tcW w:w="0" w:type="auto"/>
            <w:gridSpan w:val="2"/>
            <w:noWrap/>
          </w:tcPr>
          <w:p w14:paraId="2BF2550B" w14:textId="77777777" w:rsidR="000E7A5A" w:rsidRPr="00F26C41" w:rsidRDefault="00306071" w:rsidP="00E247FF">
            <w:pPr>
              <w:pStyle w:val="NEPNtabbody"/>
              <w:spacing w:before="32" w:after="32" w:line="276" w:lineRule="auto"/>
              <w:jc w:val="both"/>
              <w:rPr>
                <w:rFonts w:ascii="Arial" w:hAnsi="Arial" w:cs="Arial"/>
                <w:i/>
                <w:iCs/>
                <w:sz w:val="20"/>
                <w:szCs w:val="20"/>
                <w:lang w:eastAsia="sl-SI"/>
              </w:rPr>
            </w:pPr>
            <w:r w:rsidRPr="00F26C41">
              <w:rPr>
                <w:rFonts w:ascii="Arial" w:hAnsi="Arial" w:cs="Arial"/>
                <w:i/>
                <w:iCs/>
                <w:sz w:val="20"/>
                <w:szCs w:val="20"/>
                <w:lang w:eastAsia="sl-SI"/>
              </w:rPr>
              <w:t>3.517</w:t>
            </w:r>
          </w:p>
        </w:tc>
      </w:tr>
      <w:tr w:rsidR="00F26C41" w:rsidRPr="00F26C41" w14:paraId="5FAFFC55" w14:textId="77777777" w:rsidTr="00F26C41">
        <w:trPr>
          <w:trHeight w:val="340"/>
        </w:trPr>
        <w:tc>
          <w:tcPr>
            <w:tcW w:w="0" w:type="auto"/>
            <w:noWrap/>
          </w:tcPr>
          <w:p w14:paraId="6B1FE59C" w14:textId="77777777" w:rsidR="000E7A5A" w:rsidRPr="00F26C41" w:rsidRDefault="00306071" w:rsidP="00E247FF">
            <w:pPr>
              <w:pStyle w:val="NEPNtabstolpec1"/>
              <w:spacing w:before="32" w:after="32" w:line="276" w:lineRule="auto"/>
              <w:jc w:val="both"/>
              <w:rPr>
                <w:rFonts w:ascii="Arial" w:hAnsi="Arial" w:cs="Arial"/>
                <w:color w:val="auto"/>
              </w:rPr>
            </w:pPr>
            <w:r w:rsidRPr="00F26C41">
              <w:rPr>
                <w:rFonts w:ascii="Arial" w:hAnsi="Arial" w:cs="Arial"/>
                <w:bCs/>
                <w:i/>
                <w:iCs/>
                <w:color w:val="auto"/>
                <w:sz w:val="20"/>
                <w:szCs w:val="20"/>
                <w:lang w:eastAsia="sl-SI"/>
              </w:rPr>
              <w:t>SDOH</w:t>
            </w:r>
          </w:p>
        </w:tc>
        <w:tc>
          <w:tcPr>
            <w:tcW w:w="0" w:type="auto"/>
            <w:gridSpan w:val="2"/>
            <w:noWrap/>
          </w:tcPr>
          <w:p w14:paraId="41B88AC2" w14:textId="77777777" w:rsidR="000E7A5A" w:rsidRPr="00F26C41" w:rsidRDefault="00306071" w:rsidP="00E247FF">
            <w:pPr>
              <w:pStyle w:val="NEPNtabbody"/>
              <w:spacing w:before="32" w:after="32" w:line="276" w:lineRule="auto"/>
              <w:jc w:val="both"/>
              <w:rPr>
                <w:rFonts w:ascii="Arial" w:hAnsi="Arial" w:cs="Arial"/>
                <w:i/>
                <w:iCs/>
                <w:sz w:val="20"/>
                <w:szCs w:val="20"/>
                <w:lang w:eastAsia="sl-SI"/>
              </w:rPr>
            </w:pPr>
            <w:r w:rsidRPr="00F26C41">
              <w:rPr>
                <w:rFonts w:ascii="Arial" w:hAnsi="Arial" w:cs="Arial"/>
                <w:i/>
                <w:iCs/>
                <w:sz w:val="20"/>
                <w:szCs w:val="20"/>
                <w:lang w:eastAsia="sl-SI"/>
              </w:rPr>
              <w:t>266</w:t>
            </w:r>
          </w:p>
        </w:tc>
      </w:tr>
      <w:tr w:rsidR="00F26C41" w:rsidRPr="00F26C41" w14:paraId="41049A98" w14:textId="77777777" w:rsidTr="00F26C41">
        <w:trPr>
          <w:trHeight w:val="340"/>
        </w:trPr>
        <w:tc>
          <w:tcPr>
            <w:tcW w:w="0" w:type="auto"/>
            <w:noWrap/>
          </w:tcPr>
          <w:p w14:paraId="7D702A22" w14:textId="77777777" w:rsidR="000E7A5A" w:rsidRPr="00F26C41" w:rsidRDefault="00306071" w:rsidP="00E247FF">
            <w:pPr>
              <w:pStyle w:val="NEPNtabstolpec1"/>
              <w:spacing w:before="32" w:after="32" w:line="276" w:lineRule="auto"/>
              <w:jc w:val="both"/>
              <w:rPr>
                <w:rFonts w:ascii="Arial" w:hAnsi="Arial" w:cs="Arial"/>
                <w:color w:val="auto"/>
              </w:rPr>
            </w:pPr>
            <w:proofErr w:type="spellStart"/>
            <w:r w:rsidRPr="00F26C41">
              <w:rPr>
                <w:rFonts w:ascii="Arial" w:hAnsi="Arial" w:cs="Arial"/>
                <w:bCs/>
                <w:i/>
                <w:iCs/>
                <w:color w:val="auto"/>
                <w:sz w:val="20"/>
                <w:szCs w:val="20"/>
                <w:lang w:eastAsia="sl-SI"/>
              </w:rPr>
              <w:t>Centralna</w:t>
            </w:r>
            <w:proofErr w:type="spellEnd"/>
            <w:r w:rsidRPr="00F26C41">
              <w:rPr>
                <w:rFonts w:ascii="Arial" w:hAnsi="Arial" w:cs="Arial"/>
                <w:bCs/>
                <w:i/>
                <w:iCs/>
                <w:color w:val="auto"/>
                <w:sz w:val="20"/>
                <w:szCs w:val="20"/>
                <w:lang w:eastAsia="sl-SI"/>
              </w:rPr>
              <w:t xml:space="preserve"> </w:t>
            </w:r>
            <w:proofErr w:type="spellStart"/>
            <w:r w:rsidRPr="00F26C41">
              <w:rPr>
                <w:rFonts w:ascii="Arial" w:hAnsi="Arial" w:cs="Arial"/>
                <w:bCs/>
                <w:i/>
                <w:iCs/>
                <w:color w:val="auto"/>
                <w:sz w:val="20"/>
                <w:szCs w:val="20"/>
                <w:lang w:eastAsia="sl-SI"/>
              </w:rPr>
              <w:t>oskrba</w:t>
            </w:r>
            <w:proofErr w:type="spellEnd"/>
            <w:r w:rsidRPr="00F26C41">
              <w:rPr>
                <w:rFonts w:ascii="Arial" w:hAnsi="Arial" w:cs="Arial"/>
                <w:bCs/>
                <w:i/>
                <w:iCs/>
                <w:color w:val="auto"/>
                <w:sz w:val="20"/>
                <w:szCs w:val="20"/>
                <w:lang w:eastAsia="sl-SI"/>
              </w:rPr>
              <w:t xml:space="preserve"> (HE+TE)</w:t>
            </w:r>
          </w:p>
        </w:tc>
        <w:tc>
          <w:tcPr>
            <w:tcW w:w="0" w:type="auto"/>
            <w:gridSpan w:val="2"/>
            <w:noWrap/>
          </w:tcPr>
          <w:p w14:paraId="530D51B6" w14:textId="77777777" w:rsidR="000E7A5A" w:rsidRPr="00F26C41" w:rsidRDefault="00306071" w:rsidP="00E247FF">
            <w:pPr>
              <w:pStyle w:val="NEPNtabbody"/>
              <w:spacing w:before="32" w:after="32" w:line="276" w:lineRule="auto"/>
              <w:jc w:val="both"/>
              <w:rPr>
                <w:rFonts w:ascii="Arial" w:hAnsi="Arial" w:cs="Arial"/>
                <w:i/>
                <w:iCs/>
                <w:sz w:val="20"/>
                <w:szCs w:val="20"/>
                <w:lang w:eastAsia="sl-SI"/>
              </w:rPr>
            </w:pPr>
            <w:r w:rsidRPr="00F26C41">
              <w:rPr>
                <w:rFonts w:ascii="Arial" w:hAnsi="Arial" w:cs="Arial"/>
                <w:i/>
                <w:iCs/>
                <w:sz w:val="20"/>
                <w:szCs w:val="20"/>
                <w:lang w:eastAsia="sl-SI"/>
              </w:rPr>
              <w:t>1.413</w:t>
            </w:r>
          </w:p>
        </w:tc>
      </w:tr>
      <w:tr w:rsidR="00F26C41" w:rsidRPr="00F26C41" w14:paraId="2B93694A" w14:textId="77777777" w:rsidTr="00F26C41">
        <w:trPr>
          <w:trHeight w:val="340"/>
        </w:trPr>
        <w:tc>
          <w:tcPr>
            <w:tcW w:w="0" w:type="auto"/>
            <w:noWrap/>
          </w:tcPr>
          <w:p w14:paraId="68AB8D23" w14:textId="77777777" w:rsidR="000E7A5A" w:rsidRPr="00F26C41" w:rsidRDefault="00306071" w:rsidP="00E247FF">
            <w:pPr>
              <w:pStyle w:val="NEPNtabstolpec1"/>
              <w:spacing w:before="32" w:after="32" w:line="276" w:lineRule="auto"/>
              <w:jc w:val="both"/>
              <w:rPr>
                <w:rFonts w:ascii="Arial" w:hAnsi="Arial" w:cs="Arial"/>
                <w:color w:val="auto"/>
              </w:rPr>
            </w:pPr>
            <w:proofErr w:type="spellStart"/>
            <w:r w:rsidRPr="00F26C41">
              <w:rPr>
                <w:rFonts w:ascii="Arial" w:hAnsi="Arial" w:cs="Arial"/>
                <w:bCs/>
                <w:i/>
                <w:iCs/>
                <w:color w:val="auto"/>
                <w:sz w:val="20"/>
                <w:szCs w:val="20"/>
                <w:lang w:eastAsia="sl-SI"/>
              </w:rPr>
              <w:t>Plinska</w:t>
            </w:r>
            <w:proofErr w:type="spellEnd"/>
            <w:r w:rsidRPr="00F26C41">
              <w:rPr>
                <w:rFonts w:ascii="Arial" w:hAnsi="Arial" w:cs="Arial"/>
                <w:bCs/>
                <w:i/>
                <w:iCs/>
                <w:color w:val="auto"/>
                <w:sz w:val="20"/>
                <w:szCs w:val="20"/>
                <w:lang w:eastAsia="sl-SI"/>
              </w:rPr>
              <w:t xml:space="preserve"> </w:t>
            </w:r>
            <w:proofErr w:type="spellStart"/>
            <w:r w:rsidRPr="00F26C41">
              <w:rPr>
                <w:rFonts w:ascii="Arial" w:hAnsi="Arial" w:cs="Arial"/>
                <w:bCs/>
                <w:i/>
                <w:iCs/>
                <w:color w:val="auto"/>
                <w:sz w:val="20"/>
                <w:szCs w:val="20"/>
                <w:lang w:eastAsia="sl-SI"/>
              </w:rPr>
              <w:t>infr</w:t>
            </w:r>
            <w:proofErr w:type="spellEnd"/>
            <w:r w:rsidRPr="00F26C41">
              <w:rPr>
                <w:rFonts w:ascii="Arial" w:hAnsi="Arial" w:cs="Arial"/>
                <w:bCs/>
                <w:i/>
                <w:iCs/>
                <w:color w:val="auto"/>
                <w:sz w:val="20"/>
                <w:szCs w:val="20"/>
                <w:lang w:eastAsia="sl-SI"/>
              </w:rPr>
              <w:t>.</w:t>
            </w:r>
          </w:p>
        </w:tc>
        <w:tc>
          <w:tcPr>
            <w:tcW w:w="0" w:type="auto"/>
            <w:gridSpan w:val="2"/>
            <w:noWrap/>
          </w:tcPr>
          <w:p w14:paraId="18526257" w14:textId="77777777" w:rsidR="000E7A5A" w:rsidRPr="00F26C41" w:rsidRDefault="00306071" w:rsidP="00E247FF">
            <w:pPr>
              <w:pStyle w:val="NEPNtabbody"/>
              <w:spacing w:before="32" w:after="32" w:line="276" w:lineRule="auto"/>
              <w:jc w:val="both"/>
              <w:rPr>
                <w:rFonts w:ascii="Arial" w:hAnsi="Arial" w:cs="Arial"/>
                <w:i/>
                <w:iCs/>
                <w:sz w:val="20"/>
                <w:szCs w:val="20"/>
                <w:lang w:eastAsia="sl-SI"/>
              </w:rPr>
            </w:pPr>
            <w:r w:rsidRPr="00F26C41">
              <w:rPr>
                <w:rFonts w:ascii="Arial" w:hAnsi="Arial" w:cs="Arial"/>
                <w:i/>
                <w:iCs/>
                <w:sz w:val="20"/>
                <w:szCs w:val="20"/>
                <w:lang w:eastAsia="sl-SI"/>
              </w:rPr>
              <w:t>108</w:t>
            </w:r>
          </w:p>
        </w:tc>
      </w:tr>
      <w:tr w:rsidR="00F26C41" w:rsidRPr="00F26C41" w14:paraId="2FD57849" w14:textId="77777777" w:rsidTr="00F26C41">
        <w:trPr>
          <w:trHeight w:val="340"/>
        </w:trPr>
        <w:tc>
          <w:tcPr>
            <w:tcW w:w="0" w:type="auto"/>
            <w:noWrap/>
          </w:tcPr>
          <w:p w14:paraId="513B12E0" w14:textId="77777777" w:rsidR="000E7A5A" w:rsidRPr="00F26C41" w:rsidRDefault="00306071" w:rsidP="00E247FF">
            <w:pPr>
              <w:pStyle w:val="NEPNtabstolpec1"/>
              <w:spacing w:before="32" w:after="32" w:line="276" w:lineRule="auto"/>
              <w:jc w:val="both"/>
              <w:rPr>
                <w:rFonts w:ascii="Arial" w:hAnsi="Arial" w:cs="Arial"/>
                <w:color w:val="auto"/>
              </w:rPr>
            </w:pPr>
            <w:proofErr w:type="spellStart"/>
            <w:r w:rsidRPr="00F26C41">
              <w:rPr>
                <w:rFonts w:ascii="Arial" w:hAnsi="Arial" w:cs="Arial"/>
                <w:bCs/>
                <w:i/>
                <w:iCs/>
                <w:color w:val="auto"/>
                <w:sz w:val="20"/>
                <w:szCs w:val="20"/>
                <w:lang w:eastAsia="sl-SI"/>
              </w:rPr>
              <w:t>Električna</w:t>
            </w:r>
            <w:proofErr w:type="spellEnd"/>
            <w:r w:rsidRPr="00F26C41">
              <w:rPr>
                <w:rFonts w:ascii="Arial" w:hAnsi="Arial" w:cs="Arial"/>
                <w:bCs/>
                <w:i/>
                <w:iCs/>
                <w:color w:val="auto"/>
                <w:sz w:val="20"/>
                <w:szCs w:val="20"/>
                <w:lang w:eastAsia="sl-SI"/>
              </w:rPr>
              <w:t xml:space="preserve"> </w:t>
            </w:r>
            <w:proofErr w:type="spellStart"/>
            <w:r w:rsidRPr="00F26C41">
              <w:rPr>
                <w:rFonts w:ascii="Arial" w:hAnsi="Arial" w:cs="Arial"/>
                <w:bCs/>
                <w:i/>
                <w:iCs/>
                <w:color w:val="auto"/>
                <w:sz w:val="20"/>
                <w:szCs w:val="20"/>
                <w:lang w:eastAsia="sl-SI"/>
              </w:rPr>
              <w:t>omrežja</w:t>
            </w:r>
            <w:proofErr w:type="spellEnd"/>
          </w:p>
        </w:tc>
        <w:tc>
          <w:tcPr>
            <w:tcW w:w="0" w:type="auto"/>
            <w:gridSpan w:val="2"/>
            <w:noWrap/>
          </w:tcPr>
          <w:p w14:paraId="624FF0CB" w14:textId="77777777" w:rsidR="000E7A5A" w:rsidRPr="00F26C41" w:rsidRDefault="00306071" w:rsidP="00E247FF">
            <w:pPr>
              <w:pStyle w:val="NEPNtabbody"/>
              <w:spacing w:before="32" w:after="32" w:line="276" w:lineRule="auto"/>
              <w:jc w:val="both"/>
              <w:rPr>
                <w:rFonts w:ascii="Arial" w:hAnsi="Arial" w:cs="Arial"/>
                <w:i/>
                <w:iCs/>
                <w:sz w:val="20"/>
                <w:szCs w:val="20"/>
                <w:lang w:eastAsia="sl-SI"/>
              </w:rPr>
            </w:pPr>
            <w:r w:rsidRPr="00F26C41">
              <w:rPr>
                <w:rFonts w:ascii="Arial" w:hAnsi="Arial" w:cs="Arial"/>
                <w:i/>
                <w:iCs/>
                <w:sz w:val="20"/>
                <w:szCs w:val="20"/>
                <w:lang w:eastAsia="sl-SI"/>
              </w:rPr>
              <w:t>4.016</w:t>
            </w:r>
          </w:p>
        </w:tc>
      </w:tr>
      <w:tr w:rsidR="00F26C41" w:rsidRPr="00F26C41" w14:paraId="0C46F172" w14:textId="77777777" w:rsidTr="00F26C41">
        <w:trPr>
          <w:trHeight w:val="340"/>
        </w:trPr>
        <w:tc>
          <w:tcPr>
            <w:tcW w:w="0" w:type="auto"/>
            <w:noWrap/>
          </w:tcPr>
          <w:p w14:paraId="2B744883" w14:textId="77777777" w:rsidR="000E7A5A" w:rsidRPr="00F26C41" w:rsidRDefault="00306071" w:rsidP="00E247FF">
            <w:pPr>
              <w:pStyle w:val="NEPNtabstolpec1"/>
              <w:spacing w:before="32" w:after="32" w:line="276" w:lineRule="auto"/>
              <w:jc w:val="both"/>
              <w:rPr>
                <w:rFonts w:ascii="Arial" w:hAnsi="Arial" w:cs="Arial"/>
                <w:color w:val="auto"/>
              </w:rPr>
            </w:pPr>
            <w:r w:rsidRPr="00F26C41">
              <w:rPr>
                <w:rFonts w:ascii="Arial" w:hAnsi="Arial" w:cs="Arial"/>
                <w:bCs/>
                <w:i/>
                <w:iCs/>
                <w:color w:val="auto"/>
                <w:sz w:val="20"/>
                <w:szCs w:val="20"/>
                <w:lang w:eastAsia="sl-SI"/>
              </w:rPr>
              <w:t>SKUPAJ</w:t>
            </w:r>
          </w:p>
        </w:tc>
        <w:tc>
          <w:tcPr>
            <w:tcW w:w="0" w:type="auto"/>
            <w:noWrap/>
          </w:tcPr>
          <w:p w14:paraId="270E81B7" w14:textId="77777777" w:rsidR="000E7A5A" w:rsidRPr="00F26C41" w:rsidRDefault="00306071" w:rsidP="00E247FF">
            <w:pPr>
              <w:pStyle w:val="NEPNtabbody"/>
              <w:spacing w:before="32" w:after="32" w:line="276" w:lineRule="auto"/>
              <w:jc w:val="both"/>
              <w:rPr>
                <w:rFonts w:ascii="Arial" w:hAnsi="Arial" w:cs="Arial"/>
                <w:b/>
                <w:i/>
                <w:iCs/>
                <w:sz w:val="20"/>
                <w:szCs w:val="20"/>
                <w:lang w:eastAsia="sl-SI"/>
              </w:rPr>
            </w:pPr>
            <w:r w:rsidRPr="00F26C41">
              <w:rPr>
                <w:rFonts w:ascii="Arial" w:hAnsi="Arial" w:cs="Arial"/>
                <w:b/>
                <w:i/>
                <w:iCs/>
                <w:sz w:val="20"/>
                <w:szCs w:val="20"/>
                <w:lang w:eastAsia="sl-SI"/>
              </w:rPr>
              <w:t>55.885</w:t>
            </w:r>
          </w:p>
        </w:tc>
        <w:tc>
          <w:tcPr>
            <w:tcW w:w="0" w:type="auto"/>
            <w:noWrap/>
          </w:tcPr>
          <w:p w14:paraId="7292FED4" w14:textId="77777777" w:rsidR="000E7A5A" w:rsidRPr="00F26C41" w:rsidRDefault="00306071" w:rsidP="00C455C4">
            <w:pPr>
              <w:pStyle w:val="NEPNtabbody"/>
              <w:keepNext/>
              <w:spacing w:before="32" w:after="32" w:line="276" w:lineRule="auto"/>
              <w:jc w:val="both"/>
              <w:rPr>
                <w:rFonts w:ascii="Arial" w:hAnsi="Arial" w:cs="Arial"/>
                <w:b/>
                <w:i/>
                <w:iCs/>
                <w:sz w:val="20"/>
                <w:szCs w:val="20"/>
                <w:lang w:eastAsia="sl-SI"/>
              </w:rPr>
            </w:pPr>
            <w:r w:rsidRPr="00F26C41">
              <w:rPr>
                <w:rFonts w:ascii="Arial" w:hAnsi="Arial" w:cs="Arial"/>
                <w:b/>
                <w:i/>
                <w:iCs/>
                <w:sz w:val="20"/>
                <w:szCs w:val="20"/>
                <w:lang w:eastAsia="sl-SI"/>
              </w:rPr>
              <w:t>23.705</w:t>
            </w:r>
          </w:p>
        </w:tc>
      </w:tr>
    </w:tbl>
    <w:p w14:paraId="5C0E39A9" w14:textId="365B342B" w:rsidR="0071687F" w:rsidRPr="0071687F" w:rsidRDefault="00C455C4" w:rsidP="00D60223">
      <w:pPr>
        <w:pStyle w:val="Napis"/>
        <w:spacing w:after="0"/>
      </w:pPr>
      <w:r w:rsidRPr="002A56AD">
        <w:rPr>
          <w:rFonts w:cs="Arial"/>
          <w:b w:val="0"/>
          <w:bCs w:val="0"/>
          <w:color w:val="auto"/>
          <w:sz w:val="18"/>
          <w:szCs w:val="18"/>
        </w:rPr>
        <w:t xml:space="preserve">Vir: </w:t>
      </w:r>
      <w:r w:rsidR="00C846F4" w:rsidRPr="00C846F4">
        <w:rPr>
          <w:rFonts w:cs="Arial"/>
          <w:b w:val="0"/>
          <w:bCs w:val="0"/>
          <w:color w:val="auto"/>
          <w:sz w:val="18"/>
          <w:szCs w:val="18"/>
        </w:rPr>
        <w:t>Posodobljeni Celoviti nacionalni energetski in podnebni načrt Republike Slovenije 2024, december 2024</w:t>
      </w:r>
    </w:p>
    <w:p w14:paraId="3BEE1E7C" w14:textId="0F96977E" w:rsidR="002A56AD" w:rsidRPr="002A56AD" w:rsidRDefault="002A56AD" w:rsidP="002A56AD">
      <w:pPr>
        <w:pStyle w:val="Napis"/>
        <w:keepNext/>
        <w:spacing w:after="0"/>
        <w:jc w:val="both"/>
        <w:rPr>
          <w:rFonts w:cs="Arial"/>
          <w:b w:val="0"/>
          <w:bCs w:val="0"/>
          <w:sz w:val="18"/>
          <w:szCs w:val="18"/>
        </w:rPr>
      </w:pPr>
      <w:bookmarkStart w:id="3623" w:name="_Toc191379183"/>
      <w:r w:rsidRPr="002A56AD">
        <w:rPr>
          <w:rFonts w:cs="Arial"/>
          <w:b w:val="0"/>
          <w:bCs w:val="0"/>
          <w:sz w:val="18"/>
          <w:szCs w:val="18"/>
        </w:rPr>
        <w:lastRenderedPageBreak/>
        <w:t xml:space="preserve">Slika </w:t>
      </w:r>
      <w:r w:rsidRPr="002A56AD">
        <w:rPr>
          <w:rFonts w:cs="Arial"/>
          <w:b w:val="0"/>
          <w:bCs w:val="0"/>
          <w:sz w:val="18"/>
          <w:szCs w:val="18"/>
        </w:rPr>
        <w:fldChar w:fldCharType="begin"/>
      </w:r>
      <w:r w:rsidRPr="002A56AD">
        <w:rPr>
          <w:rFonts w:cs="Arial"/>
          <w:b w:val="0"/>
          <w:bCs w:val="0"/>
          <w:sz w:val="18"/>
          <w:szCs w:val="18"/>
        </w:rPr>
        <w:instrText xml:space="preserve"> SEQ Slika \* ARABIC </w:instrText>
      </w:r>
      <w:r w:rsidRPr="002A56AD">
        <w:rPr>
          <w:rFonts w:cs="Arial"/>
          <w:b w:val="0"/>
          <w:bCs w:val="0"/>
          <w:sz w:val="18"/>
          <w:szCs w:val="18"/>
        </w:rPr>
        <w:fldChar w:fldCharType="separate"/>
      </w:r>
      <w:r w:rsidR="00064E01">
        <w:rPr>
          <w:rFonts w:cs="Arial"/>
          <w:b w:val="0"/>
          <w:bCs w:val="0"/>
          <w:noProof/>
          <w:sz w:val="18"/>
          <w:szCs w:val="18"/>
        </w:rPr>
        <w:t>6</w:t>
      </w:r>
      <w:r w:rsidRPr="002A56AD">
        <w:rPr>
          <w:rFonts w:cs="Arial"/>
          <w:b w:val="0"/>
          <w:bCs w:val="0"/>
          <w:sz w:val="18"/>
          <w:szCs w:val="18"/>
        </w:rPr>
        <w:fldChar w:fldCharType="end"/>
      </w:r>
      <w:r w:rsidRPr="002A56AD">
        <w:rPr>
          <w:rFonts w:cs="Arial"/>
          <w:b w:val="0"/>
          <w:bCs w:val="0"/>
          <w:sz w:val="18"/>
          <w:szCs w:val="18"/>
        </w:rPr>
        <w:t>: Dinamika energetskega dela investicij – povprečne letne investicije v letu 2020 ter v obdobjih do leta 2030 za scenarij OU in DU</w:t>
      </w:r>
      <w:bookmarkEnd w:id="3623"/>
    </w:p>
    <w:p w14:paraId="61B5E6CA" w14:textId="77777777" w:rsidR="002A56AD" w:rsidRDefault="00306071" w:rsidP="002A56AD">
      <w:pPr>
        <w:keepNext/>
        <w:spacing w:line="276" w:lineRule="auto"/>
        <w:jc w:val="both"/>
      </w:pPr>
      <w:r w:rsidRPr="00F425EA">
        <w:rPr>
          <w:rFonts w:cs="Arial"/>
          <w:i/>
          <w:noProof/>
          <w:szCs w:val="20"/>
        </w:rPr>
        <w:drawing>
          <wp:inline distT="0" distB="0" distL="0" distR="0" wp14:anchorId="494C7F64" wp14:editId="16C007A2">
            <wp:extent cx="5676896" cy="2733671"/>
            <wp:effectExtent l="0" t="0" r="4" b="0"/>
            <wp:docPr id="850804456" name="Slika 98957280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0"/>
                    <a:srcRect/>
                    <a:stretch>
                      <a:fillRect/>
                    </a:stretch>
                  </pic:blipFill>
                  <pic:spPr>
                    <a:xfrm>
                      <a:off x="0" y="0"/>
                      <a:ext cx="5676896" cy="2733671"/>
                    </a:xfrm>
                    <a:prstGeom prst="rect">
                      <a:avLst/>
                    </a:prstGeom>
                    <a:noFill/>
                    <a:ln>
                      <a:noFill/>
                      <a:prstDash/>
                    </a:ln>
                  </pic:spPr>
                </pic:pic>
              </a:graphicData>
            </a:graphic>
          </wp:inline>
        </w:drawing>
      </w:r>
    </w:p>
    <w:p w14:paraId="1A02E8B0" w14:textId="1DFF39CD" w:rsidR="000E7A5A" w:rsidRPr="00F425EA" w:rsidRDefault="50EF07B8" w:rsidP="002A56AD">
      <w:pPr>
        <w:pStyle w:val="Napis"/>
        <w:spacing w:after="0"/>
        <w:jc w:val="both"/>
        <w:rPr>
          <w:rFonts w:cs="Arial"/>
        </w:rPr>
      </w:pPr>
      <w:r w:rsidRPr="002A56AD">
        <w:rPr>
          <w:rFonts w:cs="Arial"/>
          <w:b w:val="0"/>
          <w:bCs w:val="0"/>
          <w:sz w:val="18"/>
          <w:szCs w:val="18"/>
        </w:rPr>
        <w:t>Vir</w:t>
      </w:r>
      <w:r>
        <w:rPr>
          <w:rFonts w:cs="Arial"/>
          <w:b w:val="0"/>
          <w:bCs w:val="0"/>
          <w:sz w:val="18"/>
          <w:szCs w:val="18"/>
        </w:rPr>
        <w:t xml:space="preserve">: </w:t>
      </w:r>
      <w:r w:rsidR="7B14D8AE" w:rsidRPr="00F7FCEE">
        <w:rPr>
          <w:rFonts w:cs="Arial"/>
          <w:b w:val="0"/>
          <w:bCs w:val="0"/>
          <w:sz w:val="18"/>
          <w:szCs w:val="18"/>
        </w:rPr>
        <w:t>Posodobljeni Celoviti nacionalni energetski in podnebni načrt Republike Slovenije 2024, december 2024</w:t>
      </w:r>
      <w:bookmarkStart w:id="3624" w:name="_Hlk187758944"/>
      <w:r w:rsidR="6E2B78C9" w:rsidRPr="00F7FCEE">
        <w:t>￼</w:t>
      </w:r>
      <w:r w:rsidR="00D60223">
        <w:rPr>
          <w:rStyle w:val="Sprotnaopomba-sklic"/>
          <w:rFonts w:cs="Arial"/>
          <w:b w:val="0"/>
          <w:bCs w:val="0"/>
          <w:sz w:val="18"/>
          <w:szCs w:val="18"/>
        </w:rPr>
        <w:footnoteReference w:id="31"/>
      </w:r>
      <w:r w:rsidR="002A56AD" w:rsidRPr="00F7FCEE">
        <w:rPr>
          <w:rStyle w:val="Sprotnaopomba-sklic"/>
          <w:rFonts w:cs="Arial"/>
          <w:b w:val="0"/>
          <w:bCs w:val="0"/>
          <w:sz w:val="18"/>
          <w:szCs w:val="18"/>
        </w:rPr>
        <w:footnoteReference w:id="32"/>
      </w:r>
    </w:p>
    <w:bookmarkEnd w:id="3624"/>
    <w:p w14:paraId="7CA56766" w14:textId="77777777" w:rsidR="000E7A5A" w:rsidRPr="00F425EA" w:rsidRDefault="000E7A5A" w:rsidP="00E247FF">
      <w:pPr>
        <w:spacing w:after="0" w:line="276" w:lineRule="auto"/>
        <w:jc w:val="both"/>
        <w:rPr>
          <w:rFonts w:cs="Arial"/>
        </w:rPr>
      </w:pPr>
    </w:p>
    <w:p w14:paraId="54E8B4EE" w14:textId="2364EF7F" w:rsidR="000E7A5A" w:rsidRPr="00F425EA" w:rsidRDefault="00306071" w:rsidP="00E247FF">
      <w:pPr>
        <w:spacing w:after="0" w:line="276" w:lineRule="auto"/>
        <w:jc w:val="both"/>
        <w:rPr>
          <w:rFonts w:cs="Arial"/>
          <w:b/>
          <w:bCs/>
        </w:rPr>
      </w:pPr>
      <w:r w:rsidRPr="00F425EA">
        <w:rPr>
          <w:rFonts w:cs="Arial"/>
          <w:b/>
          <w:bCs/>
        </w:rPr>
        <w:t>(iii) Naložbe Programa evropske kohezijske politike v obdobju 2021</w:t>
      </w:r>
      <w:r w:rsidR="003037F8" w:rsidRPr="00F425EA">
        <w:rPr>
          <w:rFonts w:cs="Arial"/>
          <w:szCs w:val="20"/>
        </w:rPr>
        <w:t>–</w:t>
      </w:r>
      <w:r w:rsidRPr="00F425EA">
        <w:rPr>
          <w:rFonts w:cs="Arial"/>
          <w:b/>
          <w:bCs/>
        </w:rPr>
        <w:t>2027, ki so potrebne za uresničitev ciljev iz posodobljenega NEPN</w:t>
      </w:r>
    </w:p>
    <w:p w14:paraId="7E71E500" w14:textId="77777777" w:rsidR="000E7A5A" w:rsidRPr="003F61F8" w:rsidRDefault="000E7A5A" w:rsidP="00E247FF">
      <w:pPr>
        <w:spacing w:after="0" w:line="276" w:lineRule="auto"/>
        <w:jc w:val="both"/>
        <w:rPr>
          <w:rFonts w:cs="Arial"/>
          <w:b/>
          <w:bCs/>
          <w:szCs w:val="20"/>
        </w:rPr>
      </w:pPr>
    </w:p>
    <w:p w14:paraId="726B2955" w14:textId="5F35B587" w:rsidR="000E7A5A" w:rsidRPr="00F425EA" w:rsidRDefault="4EE128E9" w:rsidP="00E247FF">
      <w:pPr>
        <w:spacing w:after="0" w:line="276" w:lineRule="auto"/>
        <w:jc w:val="both"/>
        <w:rPr>
          <w:rFonts w:cs="Arial"/>
        </w:rPr>
      </w:pPr>
      <w:r w:rsidRPr="00F7FCEE">
        <w:rPr>
          <w:rFonts w:cs="Arial"/>
        </w:rPr>
        <w:t>Program EKP 21</w:t>
      </w:r>
      <w:r w:rsidRPr="00F7FCEE">
        <w:rPr>
          <w:rFonts w:cs="Arial"/>
          <w:sz w:val="22"/>
          <w:szCs w:val="22"/>
        </w:rPr>
        <w:t>–</w:t>
      </w:r>
      <w:r w:rsidRPr="00F7FCEE">
        <w:rPr>
          <w:rFonts w:cs="Arial"/>
        </w:rPr>
        <w:t xml:space="preserve">27 prispeva k vsem petim ključnim ciljem, pri čemer bomo v sklopu spremembe Programa EKP predlagali dodatni ukrep za prispevek </w:t>
      </w:r>
      <w:r w:rsidR="2213A931" w:rsidRPr="00F7FCEE">
        <w:rPr>
          <w:rFonts w:cs="Arial"/>
        </w:rPr>
        <w:t>k</w:t>
      </w:r>
      <w:r w:rsidRPr="00F7FCEE">
        <w:rPr>
          <w:rFonts w:cs="Arial"/>
        </w:rPr>
        <w:t xml:space="preserve"> razsežnosti notranji trg energije z nadgradnjo oziroma digitalizacijo omrežja za električno energijo. </w:t>
      </w:r>
    </w:p>
    <w:p w14:paraId="141D974B" w14:textId="77777777" w:rsidR="000E7A5A" w:rsidRPr="00F425EA" w:rsidRDefault="000E7A5A" w:rsidP="00E247FF">
      <w:pPr>
        <w:spacing w:after="0" w:line="276" w:lineRule="auto"/>
        <w:jc w:val="both"/>
        <w:rPr>
          <w:rFonts w:cs="Arial"/>
        </w:rPr>
      </w:pPr>
    </w:p>
    <w:p w14:paraId="4E41E400" w14:textId="57D362E8" w:rsidR="000E7A5A" w:rsidRPr="00F425EA" w:rsidRDefault="4EE128E9" w:rsidP="00E247FF">
      <w:pPr>
        <w:spacing w:after="0" w:line="276" w:lineRule="auto"/>
        <w:jc w:val="both"/>
        <w:rPr>
          <w:rFonts w:cs="Arial"/>
        </w:rPr>
      </w:pPr>
      <w:r w:rsidRPr="00F7FCEE">
        <w:rPr>
          <w:rFonts w:cs="Arial"/>
        </w:rPr>
        <w:t xml:space="preserve">V nadaljevanju navajamo povezanost med glavnimi cilji </w:t>
      </w:r>
      <w:r w:rsidR="1D970296" w:rsidRPr="00F7FCEE">
        <w:rPr>
          <w:rFonts w:cs="Arial"/>
        </w:rPr>
        <w:t xml:space="preserve">Posodobljenega </w:t>
      </w:r>
      <w:r w:rsidRPr="00F7FCEE">
        <w:rPr>
          <w:rFonts w:cs="Arial"/>
        </w:rPr>
        <w:t>NEPN ter specifičnimi cilji v PEKP 21</w:t>
      </w:r>
      <w:r w:rsidRPr="00F7FCEE">
        <w:rPr>
          <w:rFonts w:cs="Arial"/>
          <w:sz w:val="22"/>
          <w:szCs w:val="22"/>
        </w:rPr>
        <w:t>–</w:t>
      </w:r>
      <w:r w:rsidRPr="00F7FCEE">
        <w:rPr>
          <w:rFonts w:cs="Arial"/>
        </w:rPr>
        <w:t>27, to je večinski prispevek posameznega specifičnega cilja k posamezni razsežnosti:</w:t>
      </w:r>
    </w:p>
    <w:p w14:paraId="50D49FFA" w14:textId="77777777" w:rsidR="000E7A5A" w:rsidRPr="00F425EA" w:rsidRDefault="000E7A5A" w:rsidP="00E247FF">
      <w:pPr>
        <w:spacing w:after="0" w:line="276" w:lineRule="auto"/>
        <w:jc w:val="both"/>
        <w:rPr>
          <w:rFonts w:cs="Arial"/>
        </w:rPr>
      </w:pPr>
    </w:p>
    <w:p w14:paraId="080A1AB5" w14:textId="77777777" w:rsidR="000E7A5A" w:rsidRPr="00F425EA" w:rsidRDefault="00306071" w:rsidP="00E247FF">
      <w:pPr>
        <w:pStyle w:val="Odstavekseznama"/>
        <w:numPr>
          <w:ilvl w:val="0"/>
          <w:numId w:val="54"/>
        </w:numPr>
        <w:spacing w:after="0" w:line="276" w:lineRule="auto"/>
        <w:jc w:val="both"/>
        <w:rPr>
          <w:rFonts w:cs="Arial"/>
        </w:rPr>
      </w:pPr>
      <w:r w:rsidRPr="00F425EA">
        <w:rPr>
          <w:rFonts w:cs="Arial"/>
        </w:rPr>
        <w:t>RAZSEŽNOST RAZOGLJIČENJE:</w:t>
      </w:r>
    </w:p>
    <w:p w14:paraId="06AF3FEA" w14:textId="77777777" w:rsidR="000E7A5A" w:rsidRPr="00623803" w:rsidRDefault="000E7A5A" w:rsidP="00623803">
      <w:pPr>
        <w:spacing w:after="0" w:line="276" w:lineRule="auto"/>
        <w:jc w:val="both"/>
        <w:rPr>
          <w:rFonts w:cs="Arial"/>
        </w:rPr>
      </w:pPr>
    </w:p>
    <w:p w14:paraId="0C33A34B" w14:textId="77777777" w:rsidR="000E7A5A" w:rsidRPr="00F425EA" w:rsidRDefault="00306071" w:rsidP="00E247FF">
      <w:pPr>
        <w:pStyle w:val="Odstavekseznama"/>
        <w:numPr>
          <w:ilvl w:val="1"/>
          <w:numId w:val="54"/>
        </w:numPr>
        <w:spacing w:after="0" w:line="276" w:lineRule="auto"/>
        <w:jc w:val="both"/>
        <w:rPr>
          <w:rFonts w:cs="Arial"/>
        </w:rPr>
      </w:pPr>
      <w:r w:rsidRPr="00F425EA">
        <w:rPr>
          <w:rFonts w:cs="Arial"/>
        </w:rPr>
        <w:t>Emisije in ponori TGP:</w:t>
      </w:r>
    </w:p>
    <w:p w14:paraId="340C18F6" w14:textId="77777777" w:rsidR="000E7A5A" w:rsidRPr="00F425EA" w:rsidRDefault="000E7A5A" w:rsidP="00E247FF">
      <w:pPr>
        <w:spacing w:after="0" w:line="276" w:lineRule="auto"/>
        <w:jc w:val="both"/>
        <w:rPr>
          <w:rFonts w:cs="Arial"/>
        </w:rPr>
      </w:pPr>
    </w:p>
    <w:p w14:paraId="4F266F5B" w14:textId="60DEC7A3" w:rsidR="000E7A5A" w:rsidRPr="00F425EA" w:rsidRDefault="00306071" w:rsidP="00E247FF">
      <w:pPr>
        <w:spacing w:after="0" w:line="276" w:lineRule="auto"/>
        <w:jc w:val="both"/>
        <w:rPr>
          <w:rFonts w:cs="Arial"/>
        </w:rPr>
      </w:pPr>
      <w:r w:rsidRPr="00F425EA">
        <w:rPr>
          <w:rFonts w:cs="Arial"/>
        </w:rPr>
        <w:t>Specifični cilj PEKP 21</w:t>
      </w:r>
      <w:r w:rsidRPr="00F425EA">
        <w:rPr>
          <w:rFonts w:cs="Arial"/>
          <w:sz w:val="22"/>
          <w:szCs w:val="22"/>
        </w:rPr>
        <w:t>–</w:t>
      </w:r>
      <w:r w:rsidRPr="00F425EA">
        <w:rPr>
          <w:rFonts w:cs="Arial"/>
        </w:rPr>
        <w:t xml:space="preserve">27 2.8: ukrepa Infrastruktura za trajnostno mobilnost v urbanih območjih, Spodbujanje uporabe alternativnih goriv v mestih (vozila JPP in polnilna infrastruktura v javni lasti), v skupni vrednosti 53,92 mio EUR (EU del); izvedba preko mehanizma CTN v sklopu 12 mestnih občin, projekti trajnostne mobilnosti v fazi pregleda pred potrditvijo. </w:t>
      </w:r>
    </w:p>
    <w:p w14:paraId="108AD5AC" w14:textId="77777777" w:rsidR="000E7A5A" w:rsidRPr="00F425EA" w:rsidRDefault="000E7A5A" w:rsidP="00E247FF">
      <w:pPr>
        <w:spacing w:after="0" w:line="276" w:lineRule="auto"/>
        <w:jc w:val="both"/>
        <w:rPr>
          <w:rFonts w:cs="Arial"/>
        </w:rPr>
      </w:pPr>
    </w:p>
    <w:p w14:paraId="3933D245" w14:textId="062BD8E2" w:rsidR="000E7A5A" w:rsidRPr="00F425EA" w:rsidRDefault="00306071" w:rsidP="00E247FF">
      <w:pPr>
        <w:spacing w:after="0" w:line="276" w:lineRule="auto"/>
        <w:jc w:val="both"/>
        <w:rPr>
          <w:rFonts w:cs="Arial"/>
        </w:rPr>
      </w:pPr>
      <w:r w:rsidRPr="00F425EA">
        <w:rPr>
          <w:rFonts w:cs="Arial"/>
        </w:rPr>
        <w:t>Specifični cilj PEKP 21</w:t>
      </w:r>
      <w:r w:rsidRPr="00F425EA">
        <w:rPr>
          <w:rFonts w:cs="Arial"/>
          <w:sz w:val="22"/>
          <w:szCs w:val="22"/>
        </w:rPr>
        <w:t>–</w:t>
      </w:r>
      <w:r w:rsidRPr="00F425EA">
        <w:rPr>
          <w:rFonts w:cs="Arial"/>
        </w:rPr>
        <w:t>27 3.2: ukrepa Infrastruktura za trajnostno mobilnost na lokalni ravni, Spodbujanje trajnostne mobilnosti na horizontalni ravni, v skupni vrednosti 50 mio EUR (EU del) po predlagani spremembi PEKP 21</w:t>
      </w:r>
      <w:r w:rsidRPr="00F425EA">
        <w:rPr>
          <w:rFonts w:cs="Arial"/>
          <w:sz w:val="22"/>
          <w:szCs w:val="22"/>
        </w:rPr>
        <w:t>–</w:t>
      </w:r>
      <w:r w:rsidRPr="00F425EA">
        <w:rPr>
          <w:rFonts w:cs="Arial"/>
        </w:rPr>
        <w:t>27; izvedba preko javnega razpisa MOPE za občine, regionalnega mehanizma DRR za regionalne razvojne agencije, priprava občinskih celostnih prometnih strategij, regionalnih celostnih prometnih strategij in vzpostavljanje regionalnih centrov mobilnosti v teku.</w:t>
      </w:r>
    </w:p>
    <w:p w14:paraId="42C12CC1" w14:textId="77777777" w:rsidR="00956FCD" w:rsidRDefault="00956FCD" w:rsidP="00E247FF">
      <w:pPr>
        <w:spacing w:after="0" w:line="276" w:lineRule="auto"/>
        <w:jc w:val="both"/>
        <w:rPr>
          <w:rFonts w:cs="Arial"/>
        </w:rPr>
      </w:pPr>
    </w:p>
    <w:p w14:paraId="1416700B" w14:textId="5AB73D8D" w:rsidR="000E7A5A" w:rsidRPr="00F425EA" w:rsidRDefault="00306071" w:rsidP="00E247FF">
      <w:pPr>
        <w:spacing w:after="0" w:line="276" w:lineRule="auto"/>
        <w:jc w:val="both"/>
        <w:rPr>
          <w:rFonts w:cs="Arial"/>
        </w:rPr>
      </w:pPr>
      <w:r w:rsidRPr="00F425EA">
        <w:rPr>
          <w:rFonts w:cs="Arial"/>
        </w:rPr>
        <w:t xml:space="preserve">K cilju NEPN prispevajo tudi drugi ukrepi v okviru specifičnega cilja, vezani na nadgradnjo </w:t>
      </w:r>
    </w:p>
    <w:p w14:paraId="2B404913" w14:textId="77777777" w:rsidR="00623803" w:rsidRDefault="00623803" w:rsidP="00E247FF">
      <w:pPr>
        <w:spacing w:after="0" w:line="276" w:lineRule="auto"/>
        <w:jc w:val="both"/>
        <w:rPr>
          <w:rFonts w:cs="Arial"/>
        </w:rPr>
      </w:pPr>
    </w:p>
    <w:p w14:paraId="3BD51AB5" w14:textId="1E728AB7" w:rsidR="000E7A5A" w:rsidRPr="00F425EA" w:rsidRDefault="00306071" w:rsidP="00E247FF">
      <w:pPr>
        <w:spacing w:after="0" w:line="276" w:lineRule="auto"/>
        <w:jc w:val="both"/>
        <w:rPr>
          <w:rFonts w:cs="Arial"/>
        </w:rPr>
      </w:pPr>
      <w:r w:rsidRPr="00F425EA">
        <w:rPr>
          <w:rFonts w:cs="Arial"/>
        </w:rPr>
        <w:lastRenderedPageBreak/>
        <w:t xml:space="preserve">Železniške infrastrukture in na trajnostno regionalno mobilnost, ki so v izvajanju s strani MZI (v skupni vrednosti 98,75 mio EUR (EU del). </w:t>
      </w:r>
    </w:p>
    <w:p w14:paraId="19A174BC" w14:textId="77777777" w:rsidR="000E7A5A" w:rsidRPr="00F425EA" w:rsidRDefault="00306071" w:rsidP="00E247FF">
      <w:pPr>
        <w:pStyle w:val="Odstavekseznama"/>
        <w:numPr>
          <w:ilvl w:val="1"/>
          <w:numId w:val="54"/>
        </w:numPr>
        <w:spacing w:after="0" w:line="276" w:lineRule="auto"/>
        <w:jc w:val="both"/>
        <w:rPr>
          <w:rFonts w:cs="Arial"/>
        </w:rPr>
      </w:pPr>
      <w:r w:rsidRPr="00F425EA">
        <w:rPr>
          <w:rFonts w:cs="Arial"/>
        </w:rPr>
        <w:t>Obnovljivi viri energije (OVE):</w:t>
      </w:r>
    </w:p>
    <w:p w14:paraId="620801AC" w14:textId="77777777" w:rsidR="000E7A5A" w:rsidRPr="00F425EA" w:rsidRDefault="000E7A5A" w:rsidP="00E247FF">
      <w:pPr>
        <w:spacing w:after="0" w:line="276" w:lineRule="auto"/>
        <w:jc w:val="both"/>
        <w:rPr>
          <w:rFonts w:cs="Arial"/>
        </w:rPr>
      </w:pPr>
    </w:p>
    <w:p w14:paraId="68351838" w14:textId="77777777" w:rsidR="000E7A5A" w:rsidRPr="00F425EA" w:rsidRDefault="00306071" w:rsidP="00E247FF">
      <w:pPr>
        <w:spacing w:after="0" w:line="276" w:lineRule="auto"/>
        <w:jc w:val="both"/>
        <w:rPr>
          <w:rFonts w:cs="Arial"/>
        </w:rPr>
      </w:pPr>
      <w:r w:rsidRPr="00F425EA">
        <w:rPr>
          <w:rFonts w:cs="Arial"/>
        </w:rPr>
        <w:t>Specifični cilj PEKP 21</w:t>
      </w:r>
      <w:r w:rsidRPr="00F425EA">
        <w:rPr>
          <w:rFonts w:cs="Arial"/>
          <w:sz w:val="22"/>
          <w:szCs w:val="22"/>
        </w:rPr>
        <w:t>–</w:t>
      </w:r>
      <w:r w:rsidRPr="00F425EA">
        <w:rPr>
          <w:rFonts w:cs="Arial"/>
        </w:rPr>
        <w:t>27 2.2: ukrepa Spodbujanje proizvodnje električne energije iz OVE, Spodbujanje daljinskih sistemov na OVE, v skupni vrednosti 114,65 mio EUR (EU del); po predlagani spremembi PEKP 21</w:t>
      </w:r>
      <w:r w:rsidRPr="00F425EA">
        <w:rPr>
          <w:rFonts w:cs="Arial"/>
          <w:sz w:val="22"/>
          <w:szCs w:val="22"/>
        </w:rPr>
        <w:t>–</w:t>
      </w:r>
      <w:r w:rsidRPr="00F425EA">
        <w:rPr>
          <w:rFonts w:cs="Arial"/>
        </w:rPr>
        <w:t>27 ukrep spodbujanja daljinski sistemov širimo tudi na prestrukturiranje obstoječih sistemov na OVE; izvedba preko javnega razpisa MOPE za energetska podjetja, gospodarske subjekte, javne subjekte, javni razpisi še v pripravi (trenutno financiranje poteka iz drugih virov).</w:t>
      </w:r>
    </w:p>
    <w:p w14:paraId="57EF1C65" w14:textId="77777777" w:rsidR="000E7A5A" w:rsidRPr="00F425EA" w:rsidRDefault="000E7A5A" w:rsidP="00E247FF">
      <w:pPr>
        <w:spacing w:after="0" w:line="276" w:lineRule="auto"/>
        <w:jc w:val="both"/>
        <w:rPr>
          <w:rFonts w:cs="Arial"/>
        </w:rPr>
      </w:pPr>
    </w:p>
    <w:p w14:paraId="0B2138CB" w14:textId="77777777" w:rsidR="000E7A5A" w:rsidRPr="00F425EA" w:rsidRDefault="00306071" w:rsidP="00E247FF">
      <w:pPr>
        <w:pStyle w:val="Odstavekseznama"/>
        <w:numPr>
          <w:ilvl w:val="0"/>
          <w:numId w:val="54"/>
        </w:numPr>
        <w:spacing w:after="0" w:line="276" w:lineRule="auto"/>
        <w:jc w:val="both"/>
        <w:rPr>
          <w:rFonts w:cs="Arial"/>
        </w:rPr>
      </w:pPr>
      <w:r w:rsidRPr="00F425EA">
        <w:rPr>
          <w:rFonts w:cs="Arial"/>
        </w:rPr>
        <w:t>RAZSEŽNOST ENERGETSKA UČINKOVITOST:</w:t>
      </w:r>
    </w:p>
    <w:p w14:paraId="148C7F04" w14:textId="77777777" w:rsidR="000E7A5A" w:rsidRPr="00F425EA" w:rsidRDefault="000E7A5A" w:rsidP="00E247FF">
      <w:pPr>
        <w:spacing w:after="0" w:line="276" w:lineRule="auto"/>
        <w:jc w:val="both"/>
        <w:rPr>
          <w:rFonts w:cs="Arial"/>
        </w:rPr>
      </w:pPr>
    </w:p>
    <w:p w14:paraId="6CF189ED" w14:textId="2E4939F4" w:rsidR="000E7A5A" w:rsidRPr="00F425EA" w:rsidRDefault="00306071" w:rsidP="00E247FF">
      <w:pPr>
        <w:spacing w:after="0" w:line="276" w:lineRule="auto"/>
        <w:jc w:val="both"/>
        <w:rPr>
          <w:rFonts w:cs="Arial"/>
        </w:rPr>
      </w:pPr>
      <w:r w:rsidRPr="00F425EA">
        <w:rPr>
          <w:rFonts w:cs="Arial"/>
        </w:rPr>
        <w:t>Specifični cilj PEKP 21</w:t>
      </w:r>
      <w:r w:rsidRPr="00F425EA">
        <w:rPr>
          <w:rFonts w:cs="Arial"/>
          <w:sz w:val="22"/>
          <w:szCs w:val="22"/>
        </w:rPr>
        <w:t>–</w:t>
      </w:r>
      <w:r w:rsidRPr="00F425EA">
        <w:rPr>
          <w:rFonts w:cs="Arial"/>
        </w:rPr>
        <w:t>27 2.1: ukrepi Celovite energetske prenove stavb ter ukrep naslavljanja energetske revščine, 102,69 mio EUR (EU del); po predlagani spremembi PEKP 21</w:t>
      </w:r>
      <w:r w:rsidRPr="00F425EA">
        <w:rPr>
          <w:rFonts w:cs="Arial"/>
          <w:sz w:val="22"/>
          <w:szCs w:val="22"/>
        </w:rPr>
        <w:t>–</w:t>
      </w:r>
      <w:r w:rsidRPr="00F425EA">
        <w:rPr>
          <w:rFonts w:cs="Arial"/>
        </w:rPr>
        <w:t>27 ukrep postopne celovite prenove stavb preko kombinacije nepovratnih in povratnih virov širimo na vse gospodarske subjekte; celovita energetska prenova stavb v javnem sektorju bo izvajanja preko javnega razpisa, povabila za javni sektor s strani MOPE, za gospodarske subjekte pa preko sklada skladov (SID banka)</w:t>
      </w:r>
      <w:r w:rsidR="004C6F15">
        <w:rPr>
          <w:rFonts w:cs="Arial"/>
        </w:rPr>
        <w:t xml:space="preserve"> </w:t>
      </w:r>
      <w:r w:rsidRPr="00F425EA">
        <w:rPr>
          <w:rFonts w:cs="Arial"/>
        </w:rPr>
        <w:t xml:space="preserve">ter preko finančnega posrednika javnega </w:t>
      </w:r>
      <w:proofErr w:type="spellStart"/>
      <w:r w:rsidRPr="00F425EA">
        <w:rPr>
          <w:rFonts w:cs="Arial"/>
        </w:rPr>
        <w:t>Eko</w:t>
      </w:r>
      <w:proofErr w:type="spellEnd"/>
      <w:r w:rsidRPr="00F425EA">
        <w:rPr>
          <w:rFonts w:cs="Arial"/>
        </w:rPr>
        <w:t xml:space="preserve"> sklada; ukrep naslavljanja energetsko najbolj ranljivih se že izvaja prav tako preko </w:t>
      </w:r>
      <w:proofErr w:type="spellStart"/>
      <w:r w:rsidRPr="00F425EA">
        <w:rPr>
          <w:rFonts w:cs="Arial"/>
        </w:rPr>
        <w:t>Eko</w:t>
      </w:r>
      <w:proofErr w:type="spellEnd"/>
      <w:r w:rsidRPr="00F425EA">
        <w:rPr>
          <w:rFonts w:cs="Arial"/>
        </w:rPr>
        <w:t xml:space="preserve"> sklada.</w:t>
      </w:r>
    </w:p>
    <w:p w14:paraId="09454243" w14:textId="77777777" w:rsidR="000E7A5A" w:rsidRPr="00F425EA" w:rsidRDefault="000E7A5A" w:rsidP="00E247FF">
      <w:pPr>
        <w:spacing w:after="0" w:line="276" w:lineRule="auto"/>
        <w:jc w:val="both"/>
        <w:rPr>
          <w:rFonts w:cs="Arial"/>
        </w:rPr>
      </w:pPr>
    </w:p>
    <w:p w14:paraId="410BACE0" w14:textId="77777777" w:rsidR="000E7A5A" w:rsidRPr="00F425EA" w:rsidRDefault="00306071" w:rsidP="00E247FF">
      <w:pPr>
        <w:pStyle w:val="Odstavekseznama"/>
        <w:numPr>
          <w:ilvl w:val="0"/>
          <w:numId w:val="54"/>
        </w:numPr>
        <w:spacing w:after="0" w:line="276" w:lineRule="auto"/>
        <w:jc w:val="both"/>
        <w:rPr>
          <w:rFonts w:cs="Arial"/>
        </w:rPr>
      </w:pPr>
      <w:r w:rsidRPr="00F425EA">
        <w:rPr>
          <w:rFonts w:cs="Arial"/>
        </w:rPr>
        <w:t>RAZSEŽNOST ENERGETSKA VARNOST:</w:t>
      </w:r>
    </w:p>
    <w:p w14:paraId="77F3F17A" w14:textId="77777777" w:rsidR="000E7A5A" w:rsidRPr="00F425EA" w:rsidRDefault="000E7A5A" w:rsidP="00E247FF">
      <w:pPr>
        <w:spacing w:after="0" w:line="276" w:lineRule="auto"/>
        <w:jc w:val="both"/>
        <w:rPr>
          <w:rFonts w:cs="Arial"/>
        </w:rPr>
      </w:pPr>
    </w:p>
    <w:p w14:paraId="6483C8EF" w14:textId="2521DBF3" w:rsidR="000E7A5A" w:rsidRPr="00F425EA" w:rsidRDefault="00306071" w:rsidP="00E247FF">
      <w:pPr>
        <w:spacing w:after="0" w:line="276" w:lineRule="auto"/>
        <w:jc w:val="both"/>
        <w:rPr>
          <w:rFonts w:cs="Arial"/>
        </w:rPr>
      </w:pPr>
      <w:r w:rsidRPr="00F425EA">
        <w:rPr>
          <w:rFonts w:cs="Arial"/>
        </w:rPr>
        <w:t>Specifični cilj PEKP 2.3: ukrepa Spodbujanje lokalnih energetskih skupnosti, Spodbujanje naložb in tehnologij za pretvorbo viškov EE iz OVE in povezovanje omrežij za potrebe shranjevanja energije ob pretvorbi, skupaj predvideno 54 mio EUR (EU del); izvajanje preko javnih razpisov, v faz oblikovanja razpisa za spodbujanje energetskih samooskrbnih skupnosti.</w:t>
      </w:r>
    </w:p>
    <w:p w14:paraId="2EC05D28" w14:textId="77777777" w:rsidR="000E7A5A" w:rsidRPr="00F425EA" w:rsidRDefault="000E7A5A" w:rsidP="00E247FF">
      <w:pPr>
        <w:spacing w:after="0" w:line="276" w:lineRule="auto"/>
        <w:jc w:val="both"/>
        <w:rPr>
          <w:rFonts w:cs="Arial"/>
        </w:rPr>
      </w:pPr>
    </w:p>
    <w:p w14:paraId="24C28353" w14:textId="77777777" w:rsidR="000E7A5A" w:rsidRPr="00F425EA" w:rsidRDefault="00306071" w:rsidP="00E247FF">
      <w:pPr>
        <w:pStyle w:val="Odstavekseznama"/>
        <w:numPr>
          <w:ilvl w:val="0"/>
          <w:numId w:val="54"/>
        </w:numPr>
        <w:spacing w:after="0" w:line="276" w:lineRule="auto"/>
        <w:jc w:val="both"/>
        <w:rPr>
          <w:rFonts w:cs="Arial"/>
        </w:rPr>
      </w:pPr>
      <w:r w:rsidRPr="00F425EA">
        <w:rPr>
          <w:rFonts w:cs="Arial"/>
        </w:rPr>
        <w:t>RAZSEŽNOST NOTRANJI TRG ENERGIJE:</w:t>
      </w:r>
    </w:p>
    <w:p w14:paraId="685D854E" w14:textId="1EFFB380" w:rsidR="000E7A5A" w:rsidRPr="00F425EA" w:rsidRDefault="00306071" w:rsidP="00E247FF">
      <w:pPr>
        <w:spacing w:after="0" w:line="276" w:lineRule="auto"/>
        <w:jc w:val="both"/>
        <w:rPr>
          <w:rFonts w:cs="Arial"/>
        </w:rPr>
      </w:pPr>
      <w:r w:rsidRPr="00F425EA">
        <w:rPr>
          <w:rFonts w:cs="Arial"/>
        </w:rPr>
        <w:t>Specifični cilj PEKP 21</w:t>
      </w:r>
      <w:r w:rsidRPr="00F425EA">
        <w:rPr>
          <w:rFonts w:cs="Arial"/>
          <w:sz w:val="22"/>
          <w:szCs w:val="22"/>
        </w:rPr>
        <w:t>–</w:t>
      </w:r>
      <w:r w:rsidRPr="00F425EA">
        <w:rPr>
          <w:rFonts w:cs="Arial"/>
        </w:rPr>
        <w:t>27 2.3: pri spremembi Programa EKP 21</w:t>
      </w:r>
      <w:r w:rsidRPr="00F425EA">
        <w:rPr>
          <w:rFonts w:cs="Arial"/>
          <w:sz w:val="22"/>
          <w:szCs w:val="22"/>
        </w:rPr>
        <w:t>–</w:t>
      </w:r>
      <w:r w:rsidRPr="00F425EA">
        <w:rPr>
          <w:rFonts w:cs="Arial"/>
        </w:rPr>
        <w:t>27 predlagamo dodaten ukrep spodbujanja naložb v nadgradnjo omrežja za električno energijo, vključno z digitalizacijo upravljanja; za ukrep bodo predvidena finančna sredstva v sklopu specifičnega cilja (54 mio EUR, EU del) oziroma v primeru povečanih potreb še dodatna sredstva – gre za nadgradnjo ukrepa naložb v NN in SN omrežje iz Načrta za okrevanje in odpornost po juniju 2026.</w:t>
      </w:r>
    </w:p>
    <w:p w14:paraId="66CFF925" w14:textId="77777777" w:rsidR="000E7A5A" w:rsidRPr="00F425EA" w:rsidRDefault="000E7A5A" w:rsidP="00E247FF">
      <w:pPr>
        <w:spacing w:after="0" w:line="276" w:lineRule="auto"/>
        <w:jc w:val="both"/>
        <w:rPr>
          <w:rFonts w:cs="Arial"/>
        </w:rPr>
      </w:pPr>
    </w:p>
    <w:p w14:paraId="5395EB4A" w14:textId="77777777" w:rsidR="000E7A5A" w:rsidRPr="00F425EA" w:rsidRDefault="00306071" w:rsidP="00E247FF">
      <w:pPr>
        <w:pStyle w:val="Odstavekseznama"/>
        <w:numPr>
          <w:ilvl w:val="0"/>
          <w:numId w:val="54"/>
        </w:numPr>
        <w:spacing w:after="0" w:line="276" w:lineRule="auto"/>
        <w:jc w:val="both"/>
        <w:rPr>
          <w:rFonts w:cs="Arial"/>
        </w:rPr>
      </w:pPr>
      <w:r w:rsidRPr="00F425EA">
        <w:rPr>
          <w:rFonts w:cs="Arial"/>
        </w:rPr>
        <w:t>RAZSEŽNOST RRI:</w:t>
      </w:r>
    </w:p>
    <w:p w14:paraId="39705079" w14:textId="77777777" w:rsidR="000E7A5A" w:rsidRPr="00F425EA" w:rsidRDefault="000E7A5A" w:rsidP="00E247FF">
      <w:pPr>
        <w:spacing w:after="0" w:line="276" w:lineRule="auto"/>
        <w:jc w:val="both"/>
        <w:rPr>
          <w:rFonts w:cs="Arial"/>
        </w:rPr>
      </w:pPr>
    </w:p>
    <w:p w14:paraId="1D2FD874" w14:textId="5295EE25" w:rsidR="000E7A5A" w:rsidRPr="00F425EA" w:rsidRDefault="00306071" w:rsidP="00E247FF">
      <w:pPr>
        <w:spacing w:after="0" w:line="276" w:lineRule="auto"/>
        <w:jc w:val="both"/>
        <w:rPr>
          <w:rFonts w:cs="Arial"/>
        </w:rPr>
      </w:pPr>
      <w:r w:rsidRPr="00F425EA">
        <w:rPr>
          <w:rFonts w:cs="Arial"/>
        </w:rPr>
        <w:t>V okviru spremembe PEKP 21</w:t>
      </w:r>
      <w:r w:rsidRPr="00F425EA">
        <w:rPr>
          <w:rFonts w:cs="Arial"/>
          <w:sz w:val="22"/>
          <w:szCs w:val="22"/>
        </w:rPr>
        <w:t>–</w:t>
      </w:r>
      <w:r w:rsidRPr="00F425EA">
        <w:rPr>
          <w:rFonts w:cs="Arial"/>
        </w:rPr>
        <w:t xml:space="preserve">27 bodo poleg že predvidenih sredstev v okviru cilja politike 1 (MVZI, MGTŠ) za področja razsežnosti NEPN določena sredstva prerazporejena na ločen specifični cilj za ukrepe na podlagi uredbe STEP. Predvidoma bo ukrep izvajan s strani MGTŠ, MOPE bo vsebinsko sodelovalo pri pripravi. </w:t>
      </w:r>
      <w:bookmarkStart w:id="3625" w:name="_Toc103947426"/>
      <w:bookmarkStart w:id="3626" w:name="_Toc732029984"/>
      <w:bookmarkStart w:id="3627" w:name="_Toc446689656"/>
      <w:bookmarkStart w:id="3628" w:name="_Toc872109388"/>
      <w:bookmarkStart w:id="3629" w:name="_Toc2000503"/>
      <w:bookmarkStart w:id="3630" w:name="_Toc1489131182"/>
      <w:bookmarkStart w:id="3631" w:name="_Toc372117639"/>
      <w:bookmarkStart w:id="3632" w:name="_Toc262227504"/>
      <w:bookmarkStart w:id="3633" w:name="_Toc1515916816"/>
      <w:bookmarkStart w:id="3634" w:name="_Toc1954834015"/>
      <w:bookmarkStart w:id="3635" w:name="_Toc256040597"/>
      <w:bookmarkStart w:id="3636" w:name="_Toc1412014367"/>
      <w:bookmarkStart w:id="3637" w:name="_Toc1756647724"/>
      <w:bookmarkStart w:id="3638" w:name="_Toc1672242876"/>
      <w:bookmarkStart w:id="3639" w:name="_Toc383727346"/>
      <w:bookmarkStart w:id="3640" w:name="_Toc563148070"/>
      <w:bookmarkStart w:id="3641" w:name="_Toc218190853"/>
      <w:bookmarkStart w:id="3642" w:name="_Toc855531222"/>
      <w:bookmarkStart w:id="3643" w:name="_Toc853962556"/>
      <w:bookmarkStart w:id="3644" w:name="_Toc1403595193"/>
      <w:bookmarkStart w:id="3645" w:name="_Toc2129501349"/>
      <w:bookmarkStart w:id="3646" w:name="_Toc1409431484"/>
      <w:bookmarkStart w:id="3647" w:name="_Toc808604280"/>
      <w:bookmarkStart w:id="3648" w:name="_Toc1184184587"/>
      <w:bookmarkStart w:id="3649" w:name="_Toc263882077"/>
      <w:bookmarkStart w:id="3650" w:name="_Toc1798631817"/>
      <w:bookmarkStart w:id="3651" w:name="_Toc260036604"/>
      <w:bookmarkStart w:id="3652" w:name="_Toc607348794"/>
      <w:bookmarkStart w:id="3653" w:name="_Toc62042730"/>
      <w:bookmarkStart w:id="3654" w:name="_Toc814745688"/>
      <w:bookmarkStart w:id="3655" w:name="_Toc1209734518"/>
      <w:bookmarkStart w:id="3656" w:name="_Toc1091502816"/>
      <w:bookmarkStart w:id="3657" w:name="_Toc2602958"/>
      <w:bookmarkStart w:id="3658" w:name="_Toc937865099"/>
      <w:bookmarkStart w:id="3659" w:name="_Toc1547444522"/>
      <w:bookmarkStart w:id="3660" w:name="_Toc1160817485"/>
      <w:bookmarkStart w:id="3661" w:name="_Toc521222268"/>
      <w:bookmarkStart w:id="3662" w:name="_Toc1309103346"/>
      <w:bookmarkStart w:id="3663" w:name="_Toc400201859"/>
      <w:bookmarkStart w:id="3664" w:name="_Toc1631086553"/>
      <w:bookmarkStart w:id="3665" w:name="_Toc156873210"/>
      <w:bookmarkStart w:id="3666" w:name="_Toc2141372109"/>
      <w:bookmarkStart w:id="3667" w:name="_Toc1546579667"/>
      <w:bookmarkStart w:id="3668" w:name="_Toc1173581652"/>
      <w:bookmarkStart w:id="3669" w:name="_Toc1889283052"/>
      <w:bookmarkStart w:id="3670" w:name="_Toc302180053"/>
      <w:bookmarkStart w:id="3671" w:name="_Toc107970373"/>
      <w:bookmarkStart w:id="3672" w:name="_Toc1814988105"/>
      <w:bookmarkStart w:id="3673" w:name="_Toc1153878313"/>
      <w:bookmarkStart w:id="3674" w:name="_Toc1436523440"/>
      <w:bookmarkStart w:id="3675" w:name="_Toc487648709"/>
      <w:bookmarkStart w:id="3676" w:name="_Toc1969491918"/>
      <w:bookmarkStart w:id="3677" w:name="_Toc1297590577"/>
      <w:bookmarkStart w:id="3678" w:name="_Toc495716846"/>
      <w:bookmarkStart w:id="3679" w:name="_Toc1604176817"/>
      <w:bookmarkStart w:id="3680" w:name="_Toc99925328"/>
      <w:bookmarkStart w:id="3681" w:name="_Toc1924643632"/>
      <w:bookmarkStart w:id="3682" w:name="_Toc1789958796"/>
      <w:bookmarkStart w:id="3683" w:name="_Toc525956488"/>
      <w:bookmarkStart w:id="3684" w:name="_Toc703868786"/>
      <w:bookmarkStart w:id="3685" w:name="_Toc1512697828"/>
      <w:bookmarkStart w:id="3686" w:name="_Toc1139927365"/>
      <w:bookmarkStart w:id="3687" w:name="_Toc1070665083"/>
      <w:bookmarkStart w:id="3688" w:name="_Toc712953981"/>
      <w:bookmarkStart w:id="3689" w:name="_Toc209005155"/>
      <w:bookmarkStart w:id="3690" w:name="_Toc1360159822"/>
      <w:bookmarkStart w:id="3691" w:name="_Toc988535221"/>
      <w:bookmarkStart w:id="3692" w:name="_Toc676869339"/>
      <w:bookmarkStart w:id="3693" w:name="_Toc431921752"/>
      <w:bookmarkStart w:id="3694" w:name="_Toc517583962"/>
      <w:bookmarkStart w:id="3695" w:name="_Toc594900447"/>
      <w:bookmarkStart w:id="3696" w:name="_Toc876785074"/>
      <w:bookmarkStart w:id="3697" w:name="_Toc495660649"/>
      <w:bookmarkStart w:id="3698" w:name="_Toc2118708915"/>
      <w:bookmarkStart w:id="3699" w:name="_Toc562087644"/>
      <w:bookmarkStart w:id="3700" w:name="_Toc723552460"/>
      <w:bookmarkStart w:id="3701" w:name="_Toc597975240"/>
      <w:bookmarkStart w:id="3702" w:name="_Toc476465955"/>
      <w:bookmarkStart w:id="3703" w:name="_Toc564768386"/>
      <w:bookmarkStart w:id="3704" w:name="_Toc1756355834"/>
      <w:bookmarkStart w:id="3705" w:name="_Toc1821685265"/>
      <w:bookmarkStart w:id="3706" w:name="_Toc121411"/>
      <w:bookmarkStart w:id="3707" w:name="_Toc736725681"/>
      <w:bookmarkStart w:id="3708" w:name="_Toc392412753"/>
    </w:p>
    <w:p w14:paraId="4F8F9EA0" w14:textId="5D54D094" w:rsidR="000E7A5A" w:rsidRPr="00F425EA" w:rsidRDefault="00306071" w:rsidP="005A12CC">
      <w:pPr>
        <w:pStyle w:val="Naslov10"/>
        <w:pageBreakBefore/>
        <w:spacing w:line="276" w:lineRule="auto"/>
        <w:ind w:left="284" w:hanging="426"/>
        <w:rPr>
          <w:rFonts w:cs="Arial"/>
        </w:rPr>
      </w:pPr>
      <w:bookmarkStart w:id="3709" w:name="_Toc187739365"/>
      <w:bookmarkStart w:id="3710" w:name="_Toc187740112"/>
      <w:bookmarkStart w:id="3711" w:name="_Toc192682022"/>
      <w:r w:rsidRPr="00F425EA">
        <w:rPr>
          <w:rFonts w:cs="Arial"/>
        </w:rPr>
        <w:lastRenderedPageBreak/>
        <w:t>5.</w:t>
      </w:r>
      <w:r w:rsidRPr="00F425EA">
        <w:rPr>
          <w:rFonts w:cs="Arial"/>
        </w:rPr>
        <w:tab/>
        <w:t xml:space="preserve"> </w:t>
      </w:r>
      <w:r w:rsidR="005A12CC" w:rsidRPr="00F425EA">
        <w:rPr>
          <w:rFonts w:cs="Arial"/>
          <w:caps w:val="0"/>
        </w:rPr>
        <w:t>NAPREDEK PRI IZVAJANJU NAČEL EVROPSKEGA STEBRA SOCIALNIH PRAVIC</w:t>
      </w:r>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11"/>
      <w:r w:rsidR="005A12CC" w:rsidRPr="00F425EA">
        <w:rPr>
          <w:rFonts w:cs="Arial"/>
          <w:caps w:val="0"/>
        </w:rPr>
        <w:t xml:space="preserve"> </w:t>
      </w:r>
      <w:bookmarkEnd w:id="3709"/>
      <w:bookmarkEnd w:id="3710"/>
    </w:p>
    <w:p w14:paraId="53C53AB6" w14:textId="77777777" w:rsidR="000E7A5A" w:rsidRPr="00F425EA" w:rsidRDefault="000E7A5A" w:rsidP="003F61F8">
      <w:pPr>
        <w:spacing w:after="0" w:line="276" w:lineRule="auto"/>
        <w:jc w:val="both"/>
        <w:rPr>
          <w:rFonts w:cs="Arial"/>
        </w:rPr>
      </w:pPr>
    </w:p>
    <w:p w14:paraId="506A491C" w14:textId="78CC241F" w:rsidR="000E7A5A" w:rsidRPr="00F425EA" w:rsidRDefault="00306071" w:rsidP="003F61F8">
      <w:pPr>
        <w:spacing w:after="0" w:line="276" w:lineRule="auto"/>
        <w:jc w:val="both"/>
        <w:rPr>
          <w:rFonts w:cs="Arial"/>
        </w:rPr>
      </w:pPr>
      <w:r w:rsidRPr="00536400">
        <w:rPr>
          <w:rFonts w:cs="Arial"/>
        </w:rPr>
        <w:t>V prilogi 14 Poročil</w:t>
      </w:r>
      <w:r w:rsidR="00556FE1" w:rsidRPr="00536400">
        <w:rPr>
          <w:rFonts w:cs="Arial"/>
        </w:rPr>
        <w:t>a</w:t>
      </w:r>
      <w:r w:rsidRPr="00536400">
        <w:rPr>
          <w:rFonts w:cs="Arial"/>
        </w:rPr>
        <w:t xml:space="preserve"> o državi – Slovenija 2024 EK ugotavlja, da je slovenski trg dela leta 2023 ostal stabilen, pri čemer je zaposlenost ostala na visoki ravni, brezposelnost pa je dosegla doslej najnižjo raven. Kljub velikemu povpraševanju po delovni sili in nizki brezposelnosti se Slovenija še naprej sooča z nekaterimi dolgoročnimi strukturnimi izzivi. Nadalje ugotavlja, da še vedno obstaja precejšnje pomanjkanje delovne sile, udeležba v izobraževanju odraslih pa naj bi se znatno zmanjšala.</w:t>
      </w:r>
    </w:p>
    <w:p w14:paraId="18838DB7" w14:textId="77777777" w:rsidR="000E7A5A" w:rsidRPr="00F425EA" w:rsidRDefault="000E7A5A" w:rsidP="003F61F8">
      <w:pPr>
        <w:spacing w:after="0" w:line="276" w:lineRule="auto"/>
        <w:jc w:val="both"/>
        <w:rPr>
          <w:rFonts w:cs="Arial"/>
        </w:rPr>
      </w:pPr>
    </w:p>
    <w:p w14:paraId="09E07775" w14:textId="77777777" w:rsidR="000E7A5A" w:rsidRPr="00F425EA" w:rsidRDefault="00306071" w:rsidP="003F61F8">
      <w:pPr>
        <w:spacing w:after="0" w:line="276" w:lineRule="auto"/>
        <w:jc w:val="both"/>
        <w:rPr>
          <w:rFonts w:cs="Arial"/>
        </w:rPr>
      </w:pPr>
      <w:r w:rsidRPr="00F425EA">
        <w:rPr>
          <w:rFonts w:cs="Arial"/>
        </w:rPr>
        <w:t>Na osnovi zgoraj navedenega so v nadaljevanju opisani ukrepi, ki jih načrtuje in jih je v letu 2023 pričel izvajati MDDSZ.</w:t>
      </w:r>
    </w:p>
    <w:p w14:paraId="03536C0B" w14:textId="77777777" w:rsidR="000E7A5A" w:rsidRPr="00F425EA" w:rsidRDefault="000E7A5A" w:rsidP="003F61F8">
      <w:pPr>
        <w:spacing w:after="0" w:line="276" w:lineRule="auto"/>
        <w:rPr>
          <w:rFonts w:cs="Arial"/>
        </w:rPr>
      </w:pPr>
    </w:p>
    <w:p w14:paraId="32649FBD" w14:textId="551E2C88" w:rsidR="000E7A5A" w:rsidRPr="00F425EA" w:rsidRDefault="00306071" w:rsidP="000B2C28">
      <w:pPr>
        <w:pStyle w:val="Naslov2"/>
      </w:pPr>
      <w:bookmarkStart w:id="3712" w:name="_Toc296930980"/>
      <w:bookmarkStart w:id="3713" w:name="_Toc1815594932"/>
      <w:bookmarkStart w:id="3714" w:name="_Toc2111175240"/>
      <w:bookmarkStart w:id="3715" w:name="_Toc2072928977"/>
      <w:bookmarkStart w:id="3716" w:name="_Toc1277253871"/>
      <w:bookmarkStart w:id="3717" w:name="_Toc481823051"/>
      <w:bookmarkStart w:id="3718" w:name="_Toc460116225"/>
      <w:bookmarkStart w:id="3719" w:name="_Toc635795327"/>
      <w:bookmarkStart w:id="3720" w:name="_Toc784514244"/>
      <w:bookmarkStart w:id="3721" w:name="_Toc416932311"/>
      <w:bookmarkStart w:id="3722" w:name="_Toc780986020"/>
      <w:bookmarkStart w:id="3723" w:name="_Toc635173095"/>
      <w:bookmarkStart w:id="3724" w:name="_Toc1099047358"/>
      <w:bookmarkStart w:id="3725" w:name="_Toc1119465749"/>
      <w:bookmarkStart w:id="3726" w:name="_Toc1766806712"/>
      <w:bookmarkStart w:id="3727" w:name="_Toc2069571739"/>
      <w:bookmarkStart w:id="3728" w:name="_Toc1869304526"/>
      <w:bookmarkStart w:id="3729" w:name="_Toc27191733"/>
      <w:bookmarkStart w:id="3730" w:name="_Toc1298276387"/>
      <w:bookmarkStart w:id="3731" w:name="_Toc1499932977"/>
      <w:bookmarkStart w:id="3732" w:name="_Toc954525666"/>
      <w:bookmarkStart w:id="3733" w:name="_Toc906925048"/>
      <w:bookmarkStart w:id="3734" w:name="_Toc1215601219"/>
      <w:bookmarkStart w:id="3735" w:name="_Toc1515356649"/>
      <w:bookmarkStart w:id="3736" w:name="_Toc648227743"/>
      <w:bookmarkStart w:id="3737" w:name="_Toc97750798"/>
      <w:bookmarkStart w:id="3738" w:name="_Toc1651361993"/>
      <w:bookmarkStart w:id="3739" w:name="_Toc201949649"/>
      <w:bookmarkStart w:id="3740" w:name="_Toc845540744"/>
      <w:bookmarkStart w:id="3741" w:name="_Toc1251977528"/>
      <w:bookmarkStart w:id="3742" w:name="_Toc2134259572"/>
      <w:bookmarkStart w:id="3743" w:name="_Toc586370532"/>
      <w:bookmarkStart w:id="3744" w:name="_Toc1020208290"/>
      <w:bookmarkStart w:id="3745" w:name="_Toc2049515375"/>
      <w:bookmarkStart w:id="3746" w:name="_Toc1947220521"/>
      <w:bookmarkStart w:id="3747" w:name="_Toc1223012039"/>
      <w:bookmarkStart w:id="3748" w:name="_Toc546301432"/>
      <w:bookmarkStart w:id="3749" w:name="_Toc375059424"/>
      <w:bookmarkStart w:id="3750" w:name="_Toc597071246"/>
      <w:bookmarkStart w:id="3751" w:name="_Toc1905326881"/>
      <w:bookmarkStart w:id="3752" w:name="_Toc1953054848"/>
      <w:bookmarkStart w:id="3753" w:name="_Toc1757708359"/>
      <w:bookmarkStart w:id="3754" w:name="_Toc1354056348"/>
      <w:bookmarkStart w:id="3755" w:name="_Toc1734395628"/>
      <w:bookmarkStart w:id="3756" w:name="_Toc114315988"/>
      <w:bookmarkStart w:id="3757" w:name="_Toc549398628"/>
      <w:bookmarkStart w:id="3758" w:name="_Toc747112961"/>
      <w:bookmarkStart w:id="3759" w:name="_Toc1891723604"/>
      <w:bookmarkStart w:id="3760" w:name="_Toc1941832681"/>
      <w:bookmarkStart w:id="3761" w:name="_Toc144980805"/>
      <w:bookmarkStart w:id="3762" w:name="_Toc79279192"/>
      <w:bookmarkStart w:id="3763" w:name="_Toc708864450"/>
      <w:bookmarkStart w:id="3764" w:name="_Toc1179216660"/>
      <w:bookmarkStart w:id="3765" w:name="_Toc1103602183"/>
      <w:bookmarkStart w:id="3766" w:name="_Toc58696488"/>
      <w:bookmarkStart w:id="3767" w:name="_Toc488178261"/>
      <w:bookmarkStart w:id="3768" w:name="_Toc1968963770"/>
      <w:bookmarkStart w:id="3769" w:name="_Toc1848594578"/>
      <w:bookmarkStart w:id="3770" w:name="_Toc507130653"/>
      <w:bookmarkStart w:id="3771" w:name="_Toc1009602601"/>
      <w:bookmarkStart w:id="3772" w:name="_Toc904888605"/>
      <w:bookmarkStart w:id="3773" w:name="_Toc1298341168"/>
      <w:bookmarkStart w:id="3774" w:name="_Toc1863786388"/>
      <w:bookmarkStart w:id="3775" w:name="_Toc1241560416"/>
      <w:bookmarkStart w:id="3776" w:name="_Toc1835149119"/>
      <w:bookmarkStart w:id="3777" w:name="_Toc1849417390"/>
      <w:bookmarkStart w:id="3778" w:name="_Toc1336207612"/>
      <w:bookmarkStart w:id="3779" w:name="_Toc690649550"/>
      <w:bookmarkStart w:id="3780" w:name="_Toc865757407"/>
      <w:bookmarkStart w:id="3781" w:name="_Toc549453519"/>
      <w:bookmarkStart w:id="3782" w:name="_Toc1452310055"/>
      <w:bookmarkStart w:id="3783" w:name="_Toc1432576611"/>
      <w:bookmarkStart w:id="3784" w:name="_Toc2092141151"/>
      <w:bookmarkStart w:id="3785" w:name="_Toc1160291868"/>
      <w:bookmarkStart w:id="3786" w:name="_Toc200487397"/>
      <w:bookmarkStart w:id="3787" w:name="_Toc621451232"/>
      <w:bookmarkStart w:id="3788" w:name="_Toc1456911838"/>
      <w:bookmarkStart w:id="3789" w:name="_Toc537855157"/>
      <w:bookmarkStart w:id="3790" w:name="_Toc1058568939"/>
      <w:bookmarkStart w:id="3791" w:name="_Toc517356356"/>
      <w:bookmarkStart w:id="3792" w:name="_Toc1672938970"/>
      <w:bookmarkStart w:id="3793" w:name="_Toc906747065"/>
      <w:bookmarkStart w:id="3794" w:name="_Toc1474455988"/>
      <w:bookmarkStart w:id="3795" w:name="_Toc1173835076"/>
      <w:bookmarkStart w:id="3796" w:name="_Toc187739366"/>
      <w:bookmarkStart w:id="3797" w:name="_Toc187740113"/>
      <w:bookmarkStart w:id="3798" w:name="_Toc192682023"/>
      <w:r w:rsidRPr="00F425EA">
        <w:t>5.1</w:t>
      </w:r>
      <w:r w:rsidRPr="00F425EA">
        <w:tab/>
      </w:r>
      <w:r w:rsidR="005A12CC" w:rsidRPr="00F425EA">
        <w:t>ODPRAVA POMANJKANJA DELOVNE SILE IN SPRETNOSTI, UDELEŽBA V IZOBRAŽEVANJU ODRASLIH</w:t>
      </w:r>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p>
    <w:p w14:paraId="5950E2EA" w14:textId="77777777" w:rsidR="000E7A5A" w:rsidRPr="00F425EA" w:rsidRDefault="000E7A5A" w:rsidP="003F61F8">
      <w:pPr>
        <w:spacing w:after="0" w:line="276" w:lineRule="auto"/>
        <w:jc w:val="both"/>
        <w:rPr>
          <w:rFonts w:cs="Arial"/>
        </w:rPr>
      </w:pPr>
    </w:p>
    <w:p w14:paraId="0F1DFFE8" w14:textId="77777777" w:rsidR="000E7A5A" w:rsidRPr="00F425EA" w:rsidRDefault="00306071" w:rsidP="003F61F8">
      <w:pPr>
        <w:spacing w:after="0" w:line="276" w:lineRule="auto"/>
        <w:jc w:val="both"/>
        <w:rPr>
          <w:rFonts w:cs="Arial"/>
        </w:rPr>
      </w:pPr>
      <w:r w:rsidRPr="00F425EA">
        <w:rPr>
          <w:rFonts w:cs="Arial"/>
        </w:rPr>
        <w:t>Konec leta 2023 in v začetku 2024 smo uspešno začeli izvajati vse operacije PEKP 21</w:t>
      </w:r>
      <w:r w:rsidRPr="00F425EA">
        <w:rPr>
          <w:rFonts w:cs="Arial"/>
          <w:sz w:val="22"/>
          <w:szCs w:val="22"/>
        </w:rPr>
        <w:t>–</w:t>
      </w:r>
      <w:r w:rsidRPr="00F425EA">
        <w:rPr>
          <w:rFonts w:cs="Arial"/>
        </w:rPr>
        <w:t>27, ki so del aktivne politike zaposlovanja in s katerimi učinkovito prispevamo k doseganju ciljev načel evropskega stebra socialnih pravic, natančneje k odpravi pomanjkanja delovne sile in spretnosti in udeležbe v izobraževanju odraslih. Do 30. 10. 2024 se je v različne aktivnosti operacij PEKP 21</w:t>
      </w:r>
      <w:r w:rsidRPr="00F425EA">
        <w:rPr>
          <w:rFonts w:cs="Arial"/>
          <w:sz w:val="22"/>
          <w:szCs w:val="22"/>
        </w:rPr>
        <w:t>–</w:t>
      </w:r>
      <w:r w:rsidRPr="00F425EA">
        <w:rPr>
          <w:rFonts w:cs="Arial"/>
        </w:rPr>
        <w:t>27 že vključilo 4.382 oseb.</w:t>
      </w:r>
    </w:p>
    <w:p w14:paraId="0CEF130B" w14:textId="77777777" w:rsidR="000E7A5A" w:rsidRPr="00F425EA" w:rsidRDefault="000E7A5A" w:rsidP="003F61F8">
      <w:pPr>
        <w:spacing w:after="0" w:line="276" w:lineRule="auto"/>
        <w:jc w:val="both"/>
        <w:rPr>
          <w:rFonts w:cs="Arial"/>
        </w:rPr>
      </w:pPr>
    </w:p>
    <w:p w14:paraId="4ABA4378" w14:textId="77777777" w:rsidR="000E7A5A" w:rsidRPr="00F425EA" w:rsidRDefault="00306071" w:rsidP="003F61F8">
      <w:pPr>
        <w:spacing w:after="0" w:line="276" w:lineRule="auto"/>
        <w:jc w:val="both"/>
        <w:rPr>
          <w:rFonts w:cs="Arial"/>
        </w:rPr>
      </w:pPr>
      <w:r w:rsidRPr="00F425EA">
        <w:rPr>
          <w:rFonts w:cs="Arial"/>
        </w:rPr>
        <w:t xml:space="preserve">Z namenom povečanja zaposlenosti, predvsem starejših, nizko izobraženih in dolgotrajno brezposelnih izvajamo program </w:t>
      </w:r>
      <w:r w:rsidRPr="00F425EA">
        <w:rPr>
          <w:rFonts w:cs="Arial"/>
          <w:b/>
          <w:bCs/>
        </w:rPr>
        <w:t>»Zaposli.me+«.</w:t>
      </w:r>
      <w:r w:rsidRPr="00F425EA">
        <w:rPr>
          <w:rFonts w:cs="Arial"/>
        </w:rPr>
        <w:t xml:space="preserve"> Brezposelne osebe se zaposlijo za obdobje enega leta za polni delovni čas, za kar delodajalci prejmejo spodbudo za zaposlitev. Z zaposlitvijo osebe širijo svojo socialno mrežo, razvijajo delovne navade, pridobivajo nove kompetence in s tem povečujejo možnosti za ohranitev zaposlenosti tudi po koncu pogodbenih obveznosti. Do konca oktobra 2024 se je zaposlilo 1.071 oseb od predvidenih 17.280. Ne glede na trenutno pozitivno stanje na trgu dela ocenjujemo, da je izvajanje programa smiselno in potrebno. Za brezposelne osebe, ki so dolgotrajno brezposelne, starejše od 50 let in nizko izobražene je ta program največkrat edina priložnost za zaposlitev, še posebej to velja za osebe, ki imajo vse tri lastnosti.</w:t>
      </w:r>
    </w:p>
    <w:p w14:paraId="66BB2E74" w14:textId="77777777" w:rsidR="000E7A5A" w:rsidRPr="00F425EA" w:rsidRDefault="000E7A5A" w:rsidP="003F61F8">
      <w:pPr>
        <w:spacing w:after="0" w:line="276" w:lineRule="auto"/>
        <w:jc w:val="both"/>
        <w:rPr>
          <w:rFonts w:cs="Arial"/>
        </w:rPr>
      </w:pPr>
    </w:p>
    <w:p w14:paraId="35F20C81" w14:textId="77777777" w:rsidR="000E7A5A" w:rsidRPr="00F425EA" w:rsidRDefault="00306071" w:rsidP="003F61F8">
      <w:pPr>
        <w:spacing w:after="0" w:line="276" w:lineRule="auto"/>
        <w:jc w:val="both"/>
        <w:rPr>
          <w:rFonts w:cs="Arial"/>
        </w:rPr>
      </w:pPr>
      <w:r w:rsidRPr="00F425EA">
        <w:rPr>
          <w:rFonts w:cs="Arial"/>
        </w:rPr>
        <w:t xml:space="preserve">S programom </w:t>
      </w:r>
      <w:r w:rsidRPr="00F425EA">
        <w:rPr>
          <w:rFonts w:cs="Arial"/>
          <w:b/>
          <w:bCs/>
        </w:rPr>
        <w:t>»Neformalno izobraževanje in usposabljanje +«</w:t>
      </w:r>
      <w:r w:rsidRPr="00F425EA">
        <w:rPr>
          <w:rFonts w:cs="Arial"/>
        </w:rPr>
        <w:t xml:space="preserve"> spodbujamo brezposelne osebe, da se vključujejo v tiste programe, za katera obstajajo potrebe na trgu dela. Brezposelni pridobivajo nova znanja in veščine, kar jim bo omogočilo večjo konkurenčnost in usposobljenost. V program je bilo do konca oktobra vključenih že 1.569 oseb, od tega 645 v programe s področja digitalnih in zelenih spretnosti. Načrtujemo vključitev 7.453 brezposelnih oseb do konca izvajanja programa.</w:t>
      </w:r>
    </w:p>
    <w:p w14:paraId="21D68E14" w14:textId="77777777" w:rsidR="000E7A5A" w:rsidRPr="00F425EA" w:rsidRDefault="000E7A5A" w:rsidP="003F61F8">
      <w:pPr>
        <w:spacing w:after="0" w:line="276" w:lineRule="auto"/>
        <w:jc w:val="both"/>
        <w:rPr>
          <w:rFonts w:cs="Arial"/>
        </w:rPr>
      </w:pPr>
    </w:p>
    <w:p w14:paraId="3F15473E" w14:textId="77777777" w:rsidR="000E7A5A" w:rsidRPr="00F425EA" w:rsidRDefault="00306071" w:rsidP="003F61F8">
      <w:pPr>
        <w:spacing w:after="0" w:line="276" w:lineRule="auto"/>
        <w:jc w:val="both"/>
        <w:rPr>
          <w:rFonts w:cs="Arial"/>
        </w:rPr>
      </w:pPr>
      <w:r w:rsidRPr="00F425EA">
        <w:rPr>
          <w:rFonts w:cs="Arial"/>
          <w:b/>
          <w:bCs/>
        </w:rPr>
        <w:t>»Usposabljanje na delovnem mestu plus«</w:t>
      </w:r>
      <w:r w:rsidRPr="00F425EA">
        <w:rPr>
          <w:rFonts w:cs="Arial"/>
        </w:rPr>
        <w:t xml:space="preserve"> omogoča brezposelnim osebam, da pridobijo praktična znanja, spretnosti in delovne izkušnje na konkretnih delovnih mestih. Osebe se vključijo v delovno okolje pod strokovnim vodstvom mentorja in si povečajo možnosti za zaposlitev. V program je bilo do konca oktobra vključenih že 606 oseb, od predvidenih 5.832 do konca izvajanja programa. </w:t>
      </w:r>
    </w:p>
    <w:p w14:paraId="2E5AF548" w14:textId="77777777" w:rsidR="000E7A5A" w:rsidRPr="00F425EA" w:rsidRDefault="000E7A5A" w:rsidP="003F61F8">
      <w:pPr>
        <w:spacing w:after="0" w:line="276" w:lineRule="auto"/>
        <w:jc w:val="both"/>
        <w:rPr>
          <w:rFonts w:cs="Arial"/>
        </w:rPr>
      </w:pPr>
    </w:p>
    <w:p w14:paraId="4D0FD341" w14:textId="5FEFCB85" w:rsidR="000E7A5A" w:rsidRPr="00F425EA" w:rsidRDefault="00306071" w:rsidP="003F61F8">
      <w:pPr>
        <w:spacing w:line="276" w:lineRule="auto"/>
        <w:jc w:val="both"/>
        <w:rPr>
          <w:rFonts w:cs="Arial"/>
        </w:rPr>
      </w:pPr>
      <w:r w:rsidRPr="00F425EA">
        <w:rPr>
          <w:rFonts w:cs="Arial"/>
          <w:b/>
          <w:bCs/>
        </w:rPr>
        <w:t>»Projektno učenje mlajših odraslih PUM(O)+«</w:t>
      </w:r>
      <w:r w:rsidRPr="00F425EA">
        <w:rPr>
          <w:rFonts w:cs="Arial"/>
        </w:rPr>
        <w:t xml:space="preserve"> je edina vrsta operacije v Sloveniji, ki se ukvarja s problematiko predčasne opustitve šolanja mladih in posledično njihove brezposelnosti, kjer se posameznik obravnava individualno, glede na njegovo življenjsko situacijo in izobrazbo. Mladim, iz ciljne skupine NEET, daje priložnost, da se opolnomočijo s potrebnimi znanji in kompetencami, za prehod na trg dela pridobili kompetence, ki jih bodo opolnomočile za nadaljevanje izobraževanja za pridobitev izobrazbe ter za vstop na trg dela, kar bo prispevalo k povečevanju njihove zaposljivosti, socialni integraciji ter doseganju enakih možnosti. V program je bilo do konca oktobra vključenih že 721 oseb, od predvidenih 1.800 do konca izvajanja programa.</w:t>
      </w:r>
    </w:p>
    <w:p w14:paraId="7328506F" w14:textId="77777777" w:rsidR="000E7A5A" w:rsidRPr="00F425EA" w:rsidRDefault="00306071" w:rsidP="003F61F8">
      <w:pPr>
        <w:spacing w:after="0" w:line="276" w:lineRule="auto"/>
        <w:jc w:val="both"/>
        <w:rPr>
          <w:rFonts w:cs="Arial"/>
        </w:rPr>
      </w:pPr>
      <w:r w:rsidRPr="00F425EA">
        <w:rPr>
          <w:rFonts w:cs="Arial"/>
          <w:b/>
          <w:bCs/>
          <w:i/>
          <w:iCs/>
        </w:rPr>
        <w:lastRenderedPageBreak/>
        <w:t>»Učne delavnice+«</w:t>
      </w:r>
      <w:r w:rsidRPr="00F425EA">
        <w:rPr>
          <w:rFonts w:cs="Arial"/>
        </w:rPr>
        <w:t xml:space="preserve"> so namenjene najbolj ranljivim osebam, ki potrebujejo poglobljeno obravnavo. Z vključevanjem v praktično usposabljanje brezposelne osebe pridobivajo splošne in delovno specifične kompetence, kar prispeva k njihovi delovni in socialni integraciji. Po končanem usposabljanju se osebe lahko vključijo v zaposlitev v prilagojenih delovnih pogojih z ustrezno podporo mentorjev. S tem se povečujejo njihove zaposlitvene možnosti za opravljanje teh ali podobnih del tudi po zaključku aktivnosti. Vključevanje oseb se je začelo v oktobru, do konca izvajanja se bo predvidoma vključilo 950 oseb.</w:t>
      </w:r>
    </w:p>
    <w:p w14:paraId="6CA29AC6" w14:textId="77777777" w:rsidR="000E7A5A" w:rsidRPr="00F425EA" w:rsidRDefault="000E7A5A" w:rsidP="003F61F8">
      <w:pPr>
        <w:spacing w:after="0" w:line="276" w:lineRule="auto"/>
        <w:jc w:val="both"/>
        <w:rPr>
          <w:rFonts w:cs="Arial"/>
        </w:rPr>
      </w:pPr>
    </w:p>
    <w:p w14:paraId="35187FDD" w14:textId="77777777" w:rsidR="000E7A5A" w:rsidRPr="00F425EA" w:rsidRDefault="00306071" w:rsidP="003F61F8">
      <w:pPr>
        <w:spacing w:after="0" w:line="276" w:lineRule="auto"/>
        <w:jc w:val="both"/>
        <w:rPr>
          <w:rFonts w:cs="Arial"/>
        </w:rPr>
      </w:pPr>
      <w:r w:rsidRPr="00F425EA">
        <w:rPr>
          <w:rFonts w:cs="Arial"/>
        </w:rPr>
        <w:t xml:space="preserve">Z izvajanjem storitev v okviru </w:t>
      </w:r>
      <w:r w:rsidRPr="00F425EA">
        <w:rPr>
          <w:rFonts w:cs="Arial"/>
          <w:b/>
          <w:bCs/>
        </w:rPr>
        <w:t>»Izvajanje mreže EURES in iniciative ALMA«</w:t>
      </w:r>
      <w:r w:rsidRPr="00F425EA">
        <w:rPr>
          <w:rFonts w:cs="Arial"/>
        </w:rPr>
        <w:t xml:space="preserve"> se na širšem trgu dela EU širijo zaposlitvene možnosti iskalcev zaposlitve ter nudi aktivna podpora zaposlovanju. Tako posredno prispevamo k doseganju cilja glede stopnje zaposlenosti v EU in zmanjševanju deleža brezposelnih. Z izvajanjem iniciative ALMA za NEET bo projekt prispeval k hitrejšemu vključevanju na trg dela ali v druge ukrepe mladih NEET, prioritetno dolgotrajno brezposelnih. Prva skupina 48 mladih je že zaključila usposabljanje v Nemčiji. V prihodnje naj bi se v tujino napotilo še 84 mladih.</w:t>
      </w:r>
    </w:p>
    <w:p w14:paraId="07EE045A" w14:textId="77777777" w:rsidR="000E7A5A" w:rsidRPr="00F425EA" w:rsidRDefault="000E7A5A" w:rsidP="003F61F8">
      <w:pPr>
        <w:spacing w:after="0" w:line="276" w:lineRule="auto"/>
        <w:jc w:val="both"/>
        <w:rPr>
          <w:rFonts w:cs="Arial"/>
        </w:rPr>
      </w:pPr>
    </w:p>
    <w:p w14:paraId="5129939C" w14:textId="77777777" w:rsidR="000E7A5A" w:rsidRPr="00F425EA" w:rsidRDefault="00306071" w:rsidP="003F61F8">
      <w:pPr>
        <w:spacing w:after="0" w:line="276" w:lineRule="auto"/>
        <w:jc w:val="both"/>
        <w:rPr>
          <w:rFonts w:cs="Arial"/>
        </w:rPr>
      </w:pPr>
      <w:r w:rsidRPr="00F425EA">
        <w:rPr>
          <w:rFonts w:cs="Arial"/>
        </w:rPr>
        <w:t>Poleg operacij, ki so del aktivne politike zaposlovanja, bomo začeli oz. nadaljevali z izvedbo aktivnosti naslednjih projektov, ki prispevajo k ciljema večje zaposlenosti in vključenosti odraslih v usposabljanja:</w:t>
      </w:r>
    </w:p>
    <w:p w14:paraId="4310BA3D" w14:textId="77777777" w:rsidR="000E7A5A" w:rsidRPr="00F425EA" w:rsidRDefault="000E7A5A" w:rsidP="003F61F8">
      <w:pPr>
        <w:spacing w:after="0" w:line="276" w:lineRule="auto"/>
        <w:jc w:val="both"/>
        <w:rPr>
          <w:rFonts w:cs="Arial"/>
        </w:rPr>
      </w:pPr>
    </w:p>
    <w:p w14:paraId="73C58595" w14:textId="77777777" w:rsidR="000E7A5A" w:rsidRPr="00F425EA" w:rsidRDefault="00306071" w:rsidP="003F61F8">
      <w:pPr>
        <w:spacing w:after="0" w:line="276" w:lineRule="auto"/>
        <w:jc w:val="both"/>
        <w:rPr>
          <w:rFonts w:cs="Arial"/>
        </w:rPr>
      </w:pPr>
      <w:r w:rsidRPr="00F425EA">
        <w:rPr>
          <w:rFonts w:cs="Arial"/>
        </w:rPr>
        <w:t xml:space="preserve">V okviru </w:t>
      </w:r>
      <w:r w:rsidRPr="00F425EA">
        <w:rPr>
          <w:rFonts w:cs="Arial"/>
          <w:b/>
          <w:bCs/>
        </w:rPr>
        <w:t>»JR za sofinanciranje projektov socialne aktivacije +«</w:t>
      </w:r>
      <w:r w:rsidRPr="00F425EA">
        <w:rPr>
          <w:rFonts w:cs="Arial"/>
        </w:rPr>
        <w:t xml:space="preserve"> je potrjenih 19 projektov. S svojimi ukrepi in aktivnostmi bodo na celovit način prispevali k reševanju problemov socialne izključenosti in tveganja revščine ter k izboljšanju zaposljivosti najbolj ranljivih oseb. Doslej je bilo v aktivnosti vključenih 415 od predvidenih 2.700 oseb do konca izvajanja operacije. Z razvojem socialnih kompetenc, funkcionalnih kompetenc za aktivno reševanje socialnih problematik in motivacije naj bi posameznike opolnomočili za vstop na trg dela. Obenem pa bodo osebe pridobile delovne navade, uporabna znanja, spretnosti in sposobnosti za izboljšanje možnosti vstopa na trg dela.</w:t>
      </w:r>
    </w:p>
    <w:p w14:paraId="7BA293A5" w14:textId="77777777" w:rsidR="000E7A5A" w:rsidRPr="00F425EA" w:rsidRDefault="000E7A5A" w:rsidP="003F61F8">
      <w:pPr>
        <w:spacing w:after="0" w:line="276" w:lineRule="auto"/>
        <w:jc w:val="both"/>
        <w:rPr>
          <w:rFonts w:cs="Arial"/>
        </w:rPr>
      </w:pPr>
    </w:p>
    <w:p w14:paraId="27071E26" w14:textId="77777777" w:rsidR="000E7A5A" w:rsidRPr="00F425EA" w:rsidRDefault="00306071" w:rsidP="003F61F8">
      <w:pPr>
        <w:spacing w:after="0" w:line="276" w:lineRule="auto"/>
        <w:jc w:val="both"/>
        <w:rPr>
          <w:rFonts w:cs="Arial"/>
        </w:rPr>
      </w:pPr>
      <w:r w:rsidRPr="00F425EA">
        <w:rPr>
          <w:rFonts w:cs="Arial"/>
          <w:b/>
          <w:bCs/>
        </w:rPr>
        <w:t>»JR Prehod mladih na trg dela«</w:t>
      </w:r>
      <w:r w:rsidRPr="00F425EA">
        <w:rPr>
          <w:rFonts w:cs="Arial"/>
        </w:rPr>
        <w:t xml:space="preserve"> je namenjen mladim s posebnimi potrebami, in sicer želimo nasloviti problematiko neaktivnih mladih s posebnimi potrebami. S sistematičnim strokovnim delom z mladimi s posebnimi potrebami ter z aktivnim ozaveščanjem delodajalcev o zaposlovanju mladih s posebnimi potrebami želimo omogočiti mladim usposabljanje ali izobraževanje s praktičnim delom pri delodajalcih, kar bo pripomoglo k opolnomočeni izbiri poklicne poti. V projekte bo vključenih 2.500 mladih.</w:t>
      </w:r>
    </w:p>
    <w:p w14:paraId="571C5F5C" w14:textId="77777777" w:rsidR="000E7A5A" w:rsidRPr="00F425EA" w:rsidRDefault="000E7A5A" w:rsidP="003F61F8">
      <w:pPr>
        <w:spacing w:after="0" w:line="276" w:lineRule="auto"/>
        <w:jc w:val="both"/>
        <w:rPr>
          <w:rFonts w:cs="Arial"/>
        </w:rPr>
      </w:pPr>
    </w:p>
    <w:p w14:paraId="7683382A" w14:textId="77777777" w:rsidR="000E7A5A" w:rsidRPr="00F425EA" w:rsidRDefault="00306071" w:rsidP="003F61F8">
      <w:pPr>
        <w:spacing w:after="0" w:line="276" w:lineRule="auto"/>
        <w:jc w:val="both"/>
        <w:rPr>
          <w:rFonts w:cs="Arial"/>
        </w:rPr>
      </w:pPr>
      <w:r w:rsidRPr="00F425EA">
        <w:rPr>
          <w:rFonts w:cs="Arial"/>
        </w:rPr>
        <w:t xml:space="preserve">V kratkem bo objavljen javni razpis za izvajalce projektov </w:t>
      </w:r>
      <w:r w:rsidRPr="00F425EA">
        <w:rPr>
          <w:rFonts w:cs="Arial"/>
          <w:b/>
          <w:bCs/>
        </w:rPr>
        <w:t>»Spodbujanje vključevanja zaposlenih, katerih zaposlitev je ogrožena, vključno s tistimi delovnimi mesti, ki so podvrženi digitalizaciji in avtomatizaciji – SPIN 2.0«.</w:t>
      </w:r>
      <w:r w:rsidRPr="00F425EA">
        <w:rPr>
          <w:rFonts w:cs="Arial"/>
        </w:rPr>
        <w:t xml:space="preserve"> Aktivnosti bodo namenjene zaposlenim, katerih zaposlitev oz. samozaposlitev je ogrožena, začasna ali tvega </w:t>
      </w:r>
      <w:proofErr w:type="spellStart"/>
      <w:r w:rsidRPr="00F425EA">
        <w:rPr>
          <w:rFonts w:cs="Arial"/>
        </w:rPr>
        <w:t>prekarnost</w:t>
      </w:r>
      <w:proofErr w:type="spellEnd"/>
      <w:r w:rsidRPr="00F425EA">
        <w:rPr>
          <w:rFonts w:cs="Arial"/>
        </w:rPr>
        <w:t>. Izvajali bodo prilagojene programe informiranja, motiviranja, kariernega svetovanja, usposabljanja ali izobraževanja in bodo prilagojena potrebam trga dela. Le ti bodo vključevali znanja za krepitev digitalnih kompetenc, znanja za zeleni prehod in krožno gospodarstvo ter znanja za družbeni razvoj nasploh. Na tak način se bo omogočal lažji prehod na nova delovna mesta ali v novo zaposlitev in preprečevalo njihov prehod v brezposelnost. V projekte bo vključenih 5.000 oseb.</w:t>
      </w:r>
    </w:p>
    <w:p w14:paraId="0456CA31" w14:textId="77777777" w:rsidR="003F61F8" w:rsidRDefault="003F61F8" w:rsidP="003F61F8">
      <w:pPr>
        <w:spacing w:after="0" w:line="276" w:lineRule="auto"/>
        <w:jc w:val="both"/>
        <w:rPr>
          <w:rFonts w:cs="Arial"/>
        </w:rPr>
      </w:pPr>
    </w:p>
    <w:p w14:paraId="230EAB1B" w14:textId="05CF7F64" w:rsidR="000E7A5A" w:rsidRPr="00F425EA" w:rsidRDefault="00306071" w:rsidP="003F61F8">
      <w:pPr>
        <w:spacing w:after="0" w:line="276" w:lineRule="auto"/>
        <w:jc w:val="both"/>
        <w:rPr>
          <w:rFonts w:cs="Arial"/>
        </w:rPr>
      </w:pPr>
      <w:r w:rsidRPr="00F425EA">
        <w:rPr>
          <w:rFonts w:cs="Arial"/>
        </w:rPr>
        <w:t xml:space="preserve">Namen operacije </w:t>
      </w:r>
      <w:r w:rsidRPr="00F425EA">
        <w:rPr>
          <w:rFonts w:cs="Arial"/>
          <w:b/>
          <w:bCs/>
        </w:rPr>
        <w:t>»Podpora podjetjem za podaljševanje delovne aktivnosti - ASI+«</w:t>
      </w:r>
      <w:r w:rsidRPr="00F425EA">
        <w:rPr>
          <w:rFonts w:cs="Arial"/>
        </w:rPr>
        <w:t xml:space="preserve"> je podaljševanje delovne aktivnosti starejših zaposlenih s krepitvijo njihovih kompetenc. S programom bomo prispevali k boljši usposobljenosti, tudi na področju digitalnih in zelenih spretnosti, zavzetosti in učinkovitosti starejših zaposlenih in spodbujanju medgeneracijskega dialoga kot del vseživljenjskega učenja, ki zagotavlja prenos in izmenjavo znanj med generacijami. V program bo vključenih 15.800 starejših zaposlenih.</w:t>
      </w:r>
    </w:p>
    <w:p w14:paraId="04C6EA6D" w14:textId="77777777" w:rsidR="000E7A5A" w:rsidRPr="00F425EA" w:rsidRDefault="000E7A5A" w:rsidP="003F61F8">
      <w:pPr>
        <w:spacing w:after="0" w:line="276" w:lineRule="auto"/>
        <w:jc w:val="both"/>
        <w:rPr>
          <w:rFonts w:cs="Arial"/>
        </w:rPr>
      </w:pPr>
    </w:p>
    <w:p w14:paraId="5E1C133D" w14:textId="0BEA26E4" w:rsidR="000E7A5A" w:rsidRPr="00F425EA" w:rsidRDefault="00306071" w:rsidP="00623803">
      <w:pPr>
        <w:spacing w:after="0" w:line="276" w:lineRule="auto"/>
        <w:jc w:val="both"/>
        <w:rPr>
          <w:rFonts w:cs="Arial"/>
        </w:rPr>
      </w:pPr>
      <w:r w:rsidRPr="431E93DE">
        <w:rPr>
          <w:rFonts w:cs="Arial"/>
        </w:rPr>
        <w:t xml:space="preserve">V pripravi je dokumentacija za program </w:t>
      </w:r>
      <w:r w:rsidRPr="431E93DE">
        <w:rPr>
          <w:rFonts w:cs="Arial"/>
          <w:b/>
          <w:bCs/>
        </w:rPr>
        <w:t>»Kompetentna Slovenija«.</w:t>
      </w:r>
      <w:r w:rsidRPr="431E93DE">
        <w:rPr>
          <w:rFonts w:cs="Arial"/>
        </w:rPr>
        <w:t xml:space="preserve"> Namen programa je izvajanje brezplačnih neformalnih oblik usposabljanj, katerih glavnih cilj je zmanjševanju neskladja med vrzeljo usposobljenosti obstoječega kadra na trgu dela in povpraševanjem po novih kompetencah v gospodarstvu kot k dvigu konkurenčnosti gospodarstva in dvigu družbene blaginje. Usposabljanja bodo </w:t>
      </w:r>
      <w:r w:rsidRPr="431E93DE">
        <w:rPr>
          <w:rFonts w:cs="Arial"/>
        </w:rPr>
        <w:lastRenderedPageBreak/>
        <w:t xml:space="preserve">usmerjena v učenje mehkih veščin, prečnih znanj in spretnosti, ki so potrebne pri reševanju kompleksnejših izzivov v digitalnem okolju, so bistvena za delo, učenje in vsakdanje življenje. </w:t>
      </w:r>
    </w:p>
    <w:p w14:paraId="761AFB7A" w14:textId="77777777" w:rsidR="000E7A5A" w:rsidRPr="00F425EA" w:rsidRDefault="000E7A5A" w:rsidP="00623803">
      <w:pPr>
        <w:spacing w:after="0" w:line="276" w:lineRule="auto"/>
        <w:jc w:val="both"/>
        <w:rPr>
          <w:rFonts w:cs="Arial"/>
        </w:rPr>
      </w:pPr>
    </w:p>
    <w:p w14:paraId="042E5BE1" w14:textId="77777777" w:rsidR="000E7A5A" w:rsidRPr="00F425EA" w:rsidRDefault="00306071" w:rsidP="00623803">
      <w:pPr>
        <w:spacing w:after="0" w:line="276" w:lineRule="auto"/>
        <w:jc w:val="both"/>
        <w:rPr>
          <w:rFonts w:cs="Arial"/>
        </w:rPr>
      </w:pPr>
      <w:r w:rsidRPr="00F425EA">
        <w:rPr>
          <w:rFonts w:cs="Arial"/>
        </w:rPr>
        <w:t xml:space="preserve">S </w:t>
      </w:r>
      <w:r w:rsidRPr="00F425EA">
        <w:rPr>
          <w:rFonts w:cs="Arial"/>
          <w:b/>
          <w:bCs/>
        </w:rPr>
        <w:t>»Celovito storitvijo svetovanja in podpore pred upokojitvijo«</w:t>
      </w:r>
      <w:r w:rsidRPr="00F425EA">
        <w:rPr>
          <w:rFonts w:cs="Arial"/>
        </w:rPr>
        <w:t xml:space="preserve"> želimo prispevati k podaljševanju delovne aktivnosti starejših zaposlenih, predvsem starih, med 55. in 64. letom ter ponovni aktivaciji starejših. S tem namenom bomo razvili in vzpostavili celovit sistem informiranja in ozaveščanja tako starejših zaposlenih pred upokojitvijo in upokojencev, kot tudi delodajalcev in druge širše javnosti, da bodo znali prepoznati prednosti zaposlovanja starejše delovne sile in pomen prilagajanja delovnega okolja, ob sočasnem zagotavljanju kakovostnih delovnih mest ter skrbi za vseživljenjsko učenje na delovnem mestu.</w:t>
      </w:r>
    </w:p>
    <w:p w14:paraId="0187713A" w14:textId="77777777" w:rsidR="000E7A5A" w:rsidRPr="00F425EA" w:rsidRDefault="000E7A5A" w:rsidP="00623803">
      <w:pPr>
        <w:spacing w:after="0" w:line="276" w:lineRule="auto"/>
        <w:jc w:val="both"/>
        <w:rPr>
          <w:rFonts w:cs="Arial"/>
        </w:rPr>
      </w:pPr>
    </w:p>
    <w:p w14:paraId="440F712C" w14:textId="77777777" w:rsidR="000E7A5A" w:rsidRPr="00F425EA" w:rsidRDefault="00306071" w:rsidP="00623803">
      <w:pPr>
        <w:spacing w:after="0" w:line="276" w:lineRule="auto"/>
        <w:jc w:val="both"/>
        <w:rPr>
          <w:rFonts w:cs="Arial"/>
        </w:rPr>
      </w:pPr>
      <w:r w:rsidRPr="00F425EA">
        <w:rPr>
          <w:rFonts w:cs="Arial"/>
        </w:rPr>
        <w:t>Z različnimi ukrepi za dostojno delo (med drugim tudi za krepitev zagovorništva, svetovanja in informiranja delavcev) in celovitim pristopom k varnosti in zdravju bomo prispevali k izboljšanju položaja delavcev ter posredno vplivali na trg dela. Boljši delovni pogoji, zdravo in varno delovno okolje so predpogoji za podaljševanje delovne aktivnosti.</w:t>
      </w:r>
    </w:p>
    <w:p w14:paraId="1F757A2E" w14:textId="77777777" w:rsidR="000E7A5A" w:rsidRPr="00F425EA" w:rsidRDefault="000E7A5A" w:rsidP="00623803">
      <w:pPr>
        <w:spacing w:after="0" w:line="276" w:lineRule="auto"/>
        <w:jc w:val="both"/>
        <w:rPr>
          <w:rFonts w:cs="Arial"/>
        </w:rPr>
      </w:pPr>
    </w:p>
    <w:p w14:paraId="78DD09CE" w14:textId="77777777" w:rsidR="000E7A5A" w:rsidRPr="00F425EA" w:rsidRDefault="00306071" w:rsidP="00623803">
      <w:pPr>
        <w:spacing w:after="0" w:line="276" w:lineRule="auto"/>
        <w:jc w:val="both"/>
        <w:rPr>
          <w:rFonts w:cs="Arial"/>
        </w:rPr>
      </w:pPr>
      <w:r w:rsidRPr="00F425EA">
        <w:rPr>
          <w:rFonts w:cs="Arial"/>
        </w:rPr>
        <w:t>Do konca izvajanja PEKP 21</w:t>
      </w:r>
      <w:r w:rsidRPr="00F425EA">
        <w:rPr>
          <w:rFonts w:cs="Arial"/>
          <w:sz w:val="22"/>
          <w:szCs w:val="22"/>
        </w:rPr>
        <w:t>–</w:t>
      </w:r>
      <w:r w:rsidRPr="00F425EA">
        <w:rPr>
          <w:rFonts w:cs="Arial"/>
        </w:rPr>
        <w:t>27 naj bi se v različne programe za odpravo pomanjkanja delovne sile in pridobivanje spretnosti in izobraževanje vključilo nekaj več kot 63.000 oseb. Z uspešno izvedbo vseh predvidenih operacij bomo prispevali h krovnemu cilju na ravni EU, in sicer vsaj 78 % oseb v starosti od 20 do 64 let bi moralo imeti zaposlitev.</w:t>
      </w:r>
    </w:p>
    <w:p w14:paraId="52CE0E88" w14:textId="77777777" w:rsidR="000E7A5A" w:rsidRPr="00F425EA" w:rsidRDefault="000E7A5A" w:rsidP="00623803">
      <w:pPr>
        <w:spacing w:after="0" w:line="276" w:lineRule="auto"/>
        <w:jc w:val="both"/>
        <w:rPr>
          <w:rFonts w:cs="Arial"/>
        </w:rPr>
      </w:pPr>
    </w:p>
    <w:p w14:paraId="46106A6C" w14:textId="7D7E8663" w:rsidR="000E7A5A" w:rsidRPr="00F425EA" w:rsidRDefault="005A12CC" w:rsidP="000B2C28">
      <w:pPr>
        <w:pStyle w:val="Naslov2"/>
      </w:pPr>
      <w:bookmarkStart w:id="3799" w:name="_Toc1928865675"/>
      <w:bookmarkStart w:id="3800" w:name="_Toc409343585"/>
      <w:bookmarkStart w:id="3801" w:name="_Toc848681231"/>
      <w:bookmarkStart w:id="3802" w:name="_Toc984532687"/>
      <w:bookmarkStart w:id="3803" w:name="_Toc246766395"/>
      <w:bookmarkStart w:id="3804" w:name="_Toc1317432271"/>
      <w:bookmarkStart w:id="3805" w:name="_Toc605667930"/>
      <w:bookmarkStart w:id="3806" w:name="_Toc21796885"/>
      <w:bookmarkStart w:id="3807" w:name="_Toc876631113"/>
      <w:bookmarkStart w:id="3808" w:name="_Toc1177923529"/>
      <w:bookmarkStart w:id="3809" w:name="_Toc1138755807"/>
      <w:bookmarkStart w:id="3810" w:name="_Toc98899270"/>
      <w:bookmarkStart w:id="3811" w:name="_Toc1871699212"/>
      <w:bookmarkStart w:id="3812" w:name="_Toc1100986328"/>
      <w:bookmarkStart w:id="3813" w:name="_Toc1380695904"/>
      <w:bookmarkStart w:id="3814" w:name="_Toc1379473284"/>
      <w:bookmarkStart w:id="3815" w:name="_Toc392575892"/>
      <w:bookmarkStart w:id="3816" w:name="_Toc989007546"/>
      <w:bookmarkStart w:id="3817" w:name="_Toc2022419179"/>
      <w:bookmarkStart w:id="3818" w:name="_Toc1200884255"/>
      <w:bookmarkStart w:id="3819" w:name="_Toc756532896"/>
      <w:bookmarkStart w:id="3820" w:name="_Toc16947886"/>
      <w:bookmarkStart w:id="3821" w:name="_Toc1801199728"/>
      <w:bookmarkStart w:id="3822" w:name="_Toc506038019"/>
      <w:bookmarkStart w:id="3823" w:name="_Toc2105546612"/>
      <w:bookmarkStart w:id="3824" w:name="_Toc1257536320"/>
      <w:bookmarkStart w:id="3825" w:name="_Toc90063826"/>
      <w:bookmarkStart w:id="3826" w:name="_Toc189183665"/>
      <w:bookmarkStart w:id="3827" w:name="_Toc1697046535"/>
      <w:bookmarkStart w:id="3828" w:name="_Toc559447587"/>
      <w:bookmarkStart w:id="3829" w:name="_Toc14223634"/>
      <w:bookmarkStart w:id="3830" w:name="_Toc1582861437"/>
      <w:bookmarkStart w:id="3831" w:name="_Toc1238353405"/>
      <w:bookmarkStart w:id="3832" w:name="_Toc1391480154"/>
      <w:bookmarkStart w:id="3833" w:name="_Toc1738110915"/>
      <w:bookmarkStart w:id="3834" w:name="_Toc2080122127"/>
      <w:bookmarkStart w:id="3835" w:name="_Toc106997313"/>
      <w:bookmarkStart w:id="3836" w:name="_Toc372293685"/>
      <w:bookmarkStart w:id="3837" w:name="_Toc1850954342"/>
      <w:bookmarkStart w:id="3838" w:name="_Toc1000587267"/>
      <w:bookmarkStart w:id="3839" w:name="_Toc1170106245"/>
      <w:bookmarkStart w:id="3840" w:name="_Toc2001408178"/>
      <w:bookmarkStart w:id="3841" w:name="_Toc1638939142"/>
      <w:bookmarkStart w:id="3842" w:name="_Toc1766067454"/>
      <w:bookmarkStart w:id="3843" w:name="_Toc1842238477"/>
      <w:bookmarkStart w:id="3844" w:name="_Toc374922245"/>
      <w:bookmarkStart w:id="3845" w:name="_Toc1511937697"/>
      <w:bookmarkStart w:id="3846" w:name="_Toc172164651"/>
      <w:bookmarkStart w:id="3847" w:name="_Toc159898124"/>
      <w:bookmarkStart w:id="3848" w:name="_Toc467872307"/>
      <w:bookmarkStart w:id="3849" w:name="_Toc608367464"/>
      <w:bookmarkStart w:id="3850" w:name="_Toc372808714"/>
      <w:bookmarkStart w:id="3851" w:name="_Toc1732579963"/>
      <w:bookmarkStart w:id="3852" w:name="_Toc1133569160"/>
      <w:bookmarkStart w:id="3853" w:name="_Toc1765264593"/>
      <w:bookmarkStart w:id="3854" w:name="_Toc584404258"/>
      <w:bookmarkStart w:id="3855" w:name="_Toc735247822"/>
      <w:bookmarkStart w:id="3856" w:name="_Toc102140779"/>
      <w:bookmarkStart w:id="3857" w:name="_Toc1547770770"/>
      <w:bookmarkStart w:id="3858" w:name="_Toc1233507312"/>
      <w:bookmarkStart w:id="3859" w:name="_Toc515660764"/>
      <w:bookmarkStart w:id="3860" w:name="_Toc1869410929"/>
      <w:bookmarkStart w:id="3861" w:name="_Toc1690952376"/>
      <w:bookmarkStart w:id="3862" w:name="_Toc1671914530"/>
      <w:bookmarkStart w:id="3863" w:name="_Toc1861720224"/>
      <w:bookmarkStart w:id="3864" w:name="_Toc966603420"/>
      <w:bookmarkStart w:id="3865" w:name="_Toc4646624"/>
      <w:bookmarkStart w:id="3866" w:name="_Toc1793995688"/>
      <w:bookmarkStart w:id="3867" w:name="_Toc21958044"/>
      <w:bookmarkStart w:id="3868" w:name="_Toc602627494"/>
      <w:bookmarkStart w:id="3869" w:name="_Toc1240763433"/>
      <w:bookmarkStart w:id="3870" w:name="_Toc1791829652"/>
      <w:bookmarkStart w:id="3871" w:name="_Toc197745652"/>
      <w:bookmarkStart w:id="3872" w:name="_Toc695807800"/>
      <w:bookmarkStart w:id="3873" w:name="_Toc419561277"/>
      <w:bookmarkStart w:id="3874" w:name="_Toc1723137897"/>
      <w:bookmarkStart w:id="3875" w:name="_Toc1453258765"/>
      <w:bookmarkStart w:id="3876" w:name="_Toc888554810"/>
      <w:bookmarkStart w:id="3877" w:name="_Toc1493964840"/>
      <w:bookmarkStart w:id="3878" w:name="_Toc2082011041"/>
      <w:bookmarkStart w:id="3879" w:name="_Toc1113597630"/>
      <w:bookmarkStart w:id="3880" w:name="_Toc839252185"/>
      <w:bookmarkStart w:id="3881" w:name="_Toc725587014"/>
      <w:bookmarkStart w:id="3882" w:name="_Toc1048352656"/>
      <w:bookmarkStart w:id="3883" w:name="_Toc187739367"/>
      <w:bookmarkStart w:id="3884" w:name="_Toc187740114"/>
      <w:bookmarkStart w:id="3885" w:name="_Toc192682024"/>
      <w:r w:rsidRPr="00F425EA">
        <w:t>5.2</w:t>
      </w:r>
      <w:r w:rsidRPr="00F425EA">
        <w:tab/>
        <w:t>ODPRAVA REVŠČINE MED STAREJŠIMI</w:t>
      </w:r>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p>
    <w:p w14:paraId="7ECF841A" w14:textId="77777777" w:rsidR="000E7A5A" w:rsidRPr="00F425EA" w:rsidRDefault="000E7A5A" w:rsidP="00234C38">
      <w:pPr>
        <w:spacing w:after="0" w:line="276" w:lineRule="auto"/>
        <w:jc w:val="both"/>
        <w:rPr>
          <w:rFonts w:cs="Arial"/>
        </w:rPr>
      </w:pPr>
    </w:p>
    <w:p w14:paraId="7A0BD599" w14:textId="77777777" w:rsidR="000E7A5A" w:rsidRPr="00F425EA" w:rsidRDefault="00306071" w:rsidP="00623803">
      <w:pPr>
        <w:spacing w:after="0" w:line="276" w:lineRule="auto"/>
        <w:jc w:val="both"/>
        <w:rPr>
          <w:rFonts w:cs="Arial"/>
        </w:rPr>
      </w:pPr>
      <w:r w:rsidRPr="00F425EA">
        <w:rPr>
          <w:rFonts w:cs="Arial"/>
        </w:rPr>
        <w:t xml:space="preserve">V letu 2024 smo začeli izvajati operacije, izbrane na </w:t>
      </w:r>
      <w:r w:rsidRPr="00F425EA">
        <w:rPr>
          <w:rFonts w:cs="Arial"/>
          <w:b/>
          <w:bCs/>
        </w:rPr>
        <w:t>»JR za sofinanciranje večgeneracijskih centrov«,</w:t>
      </w:r>
      <w:r w:rsidRPr="00F425EA">
        <w:rPr>
          <w:rFonts w:cs="Arial"/>
        </w:rPr>
        <w:t xml:space="preserve"> s katerimi prispevamo k doseganju ciljev odpravljanja revščine med starejšimi. Izbranih je 16 projektov, ki izvajajo različne preventivne programe, namenjene predvsem družinam, posameznim družinskim članom, starejšim in drugim ranljivim skupinam, ter spodbujajo medgeneracijsko sodelovanje. Večgeneracijski centri delujejo kot informacijska središča, ki posameznikom posredujejo informacije o razpoložljivih storitvah s področja preprečevanja, obvladovanja in odpravljanja socialnih stisk in težav. V varnem okolju si posamezniki ustvarjajo oz. vzdržujejo socialno mrežo, krepijo se medsebojni odnosi, strokovni sodelavci nudijo pomoč v težavnih situacijah in pomagajo pri reševanju različnih stisk.</w:t>
      </w:r>
    </w:p>
    <w:p w14:paraId="330E4E09" w14:textId="77777777" w:rsidR="000E7A5A" w:rsidRPr="00F425EA" w:rsidRDefault="000E7A5A" w:rsidP="00623803">
      <w:pPr>
        <w:spacing w:after="0" w:line="276" w:lineRule="auto"/>
        <w:jc w:val="both"/>
        <w:rPr>
          <w:rFonts w:cs="Arial"/>
        </w:rPr>
      </w:pPr>
    </w:p>
    <w:p w14:paraId="46D4880F" w14:textId="77777777" w:rsidR="000E7A5A" w:rsidRPr="00F425EA" w:rsidRDefault="00306071" w:rsidP="00623803">
      <w:pPr>
        <w:spacing w:after="0" w:line="276" w:lineRule="auto"/>
        <w:jc w:val="both"/>
        <w:rPr>
          <w:rFonts w:cs="Arial"/>
        </w:rPr>
      </w:pPr>
      <w:r w:rsidRPr="00F425EA">
        <w:rPr>
          <w:rFonts w:cs="Arial"/>
        </w:rPr>
        <w:t xml:space="preserve">V zadnji fazi priprave dokumentacije je tudi </w:t>
      </w:r>
      <w:r w:rsidRPr="00F425EA">
        <w:rPr>
          <w:rFonts w:cs="Arial"/>
          <w:b/>
          <w:bCs/>
        </w:rPr>
        <w:t>»JR za Večnamenske romske centre«.</w:t>
      </w:r>
      <w:r w:rsidRPr="00F425EA">
        <w:rPr>
          <w:rFonts w:cs="Arial"/>
        </w:rPr>
        <w:t xml:space="preserve"> V okviru 10 večnamenskih romskih centrih se predvideva izvedba različnih aktivnosti. Aktivnosti bodo usmerjene v krepitev in izboljševanje socialno-ekonomskega položaja pripadnikov romske skupnosti v Republiki Sloveniji. S tem bomo prispevali k boljšemu položaju pripadnikov romske skupnosti, med drugim tudi starejšim. S krepitvijo socialnih, jezikovnih in komunikacijskih kompetenc, vključevanjem izobraževalne procese in usposabljanja in trg dela, želimo podpreti njihova prizadevanja za izstop iz kroga revščine in jih spodbuditi za zdrav in aktiven način življenja.</w:t>
      </w:r>
    </w:p>
    <w:p w14:paraId="62748AA7" w14:textId="77777777" w:rsidR="000E7A5A" w:rsidRPr="00F425EA" w:rsidRDefault="000E7A5A" w:rsidP="00623803">
      <w:pPr>
        <w:spacing w:after="0" w:line="276" w:lineRule="auto"/>
        <w:jc w:val="both"/>
        <w:rPr>
          <w:rFonts w:cs="Arial"/>
        </w:rPr>
      </w:pPr>
    </w:p>
    <w:p w14:paraId="2BF81564" w14:textId="77777777" w:rsidR="000E7A5A" w:rsidRPr="00F425EA" w:rsidRDefault="00306071" w:rsidP="00623803">
      <w:pPr>
        <w:spacing w:after="0" w:line="276" w:lineRule="auto"/>
        <w:jc w:val="both"/>
        <w:rPr>
          <w:rFonts w:cs="Arial"/>
        </w:rPr>
      </w:pPr>
      <w:r w:rsidRPr="00F425EA">
        <w:rPr>
          <w:rFonts w:cs="Arial"/>
        </w:rPr>
        <w:t>V zadnji fazi priprave je tudi projekt »</w:t>
      </w:r>
      <w:r w:rsidRPr="005A4E52">
        <w:rPr>
          <w:rFonts w:cs="Arial"/>
          <w:b/>
          <w:bCs/>
        </w:rPr>
        <w:t>Posodobitev sistema socialnega varstva</w:t>
      </w:r>
      <w:r w:rsidRPr="00F425EA">
        <w:rPr>
          <w:rFonts w:cs="Arial"/>
        </w:rPr>
        <w:t>«. S projektom želimo izboljšati učinkovitost sistema socialnega varstva s krepitvijo kadra in izboljšanjem kakovosti storitev, še posebej za socialno vključevanje najbolj ranljivih ljudi. Prav tako naj bi s krepitvijo kompetenc strokovnega kadra na CSD-jih, za delo z družinami in ranljivimi posamezniki, preprečevali potencialne dejavnike tveganja. Uvajanje metod z elementi terenskega dela bo omogočalo prilagajanje potrebam vsakega posameznega primera oziroma uporabnika. S tem pristopom bomo učinkovito prispevali k preseganju socialne izključenosti in povečali vključenost vseh deležnikov pri nudenju pomoči posamezniku. Projekt se bo začel izvajati v letu 2025.</w:t>
      </w:r>
    </w:p>
    <w:p w14:paraId="6759664E" w14:textId="77777777" w:rsidR="000E7A5A" w:rsidRPr="00F425EA" w:rsidRDefault="000E7A5A" w:rsidP="00623803">
      <w:pPr>
        <w:spacing w:after="0" w:line="276" w:lineRule="auto"/>
        <w:jc w:val="both"/>
        <w:rPr>
          <w:rFonts w:cs="Arial"/>
        </w:rPr>
      </w:pPr>
    </w:p>
    <w:p w14:paraId="6BB6BB64" w14:textId="0AD8381F" w:rsidR="000E7A5A" w:rsidRPr="00F425EA" w:rsidRDefault="00306071" w:rsidP="00E247FF">
      <w:pPr>
        <w:spacing w:line="276" w:lineRule="auto"/>
        <w:jc w:val="both"/>
        <w:rPr>
          <w:rFonts w:cs="Arial"/>
        </w:rPr>
      </w:pPr>
      <w:r w:rsidRPr="00F425EA">
        <w:rPr>
          <w:rFonts w:cs="Arial"/>
        </w:rPr>
        <w:t>Posredno bodo k boljšemu položaju starejših in odpravi revščine med starejšimi prispevali tudi naslednj</w:t>
      </w:r>
      <w:r w:rsidR="00E438D1">
        <w:rPr>
          <w:rFonts w:cs="Arial"/>
        </w:rPr>
        <w:t>a</w:t>
      </w:r>
      <w:r w:rsidRPr="00F425EA">
        <w:rPr>
          <w:rFonts w:cs="Arial"/>
        </w:rPr>
        <w:t xml:space="preserve"> projekt</w:t>
      </w:r>
      <w:r w:rsidR="00E438D1">
        <w:rPr>
          <w:rFonts w:cs="Arial"/>
        </w:rPr>
        <w:t>a</w:t>
      </w:r>
      <w:r w:rsidRPr="00F425EA">
        <w:rPr>
          <w:rFonts w:cs="Arial"/>
        </w:rPr>
        <w:t>:</w:t>
      </w:r>
    </w:p>
    <w:p w14:paraId="1664A9D2" w14:textId="77777777" w:rsidR="000E7A5A" w:rsidRPr="00F425EA" w:rsidRDefault="00306071" w:rsidP="00484F1F">
      <w:pPr>
        <w:spacing w:after="0" w:line="276" w:lineRule="auto"/>
        <w:jc w:val="both"/>
        <w:rPr>
          <w:rFonts w:cs="Arial"/>
        </w:rPr>
      </w:pPr>
      <w:r w:rsidRPr="00F425EA">
        <w:rPr>
          <w:rFonts w:cs="Arial"/>
          <w:b/>
          <w:bCs/>
        </w:rPr>
        <w:lastRenderedPageBreak/>
        <w:t>»Krepitev sodelovanja institucij na trgu dela«</w:t>
      </w:r>
    </w:p>
    <w:p w14:paraId="2ED39BC8" w14:textId="77777777" w:rsidR="000E7A5A" w:rsidRPr="00F425EA" w:rsidRDefault="00306071" w:rsidP="00623803">
      <w:pPr>
        <w:spacing w:after="0" w:line="276" w:lineRule="auto"/>
        <w:jc w:val="both"/>
        <w:rPr>
          <w:rFonts w:cs="Arial"/>
        </w:rPr>
      </w:pPr>
      <w:r w:rsidRPr="00F425EA">
        <w:rPr>
          <w:rFonts w:cs="Arial"/>
        </w:rPr>
        <w:t>S projektom bomo prispevali k izboljšanju stanja zaposlenosti in krepitvi ranljivih ciljnih skupin, zaradi česar se bo zmanjšalo tveganje revščine in socialne izključenosti. Strokovni delavci ZRSZ, CSD in zdravstva bodo izvajali medinstitucionalne poglobljene timske obravnave, kjer bodo ciljne skupine obravnavali kompleksno. S tem bodo posamezniki pravočasno pridobili primerne storitve institucij na enem mestu.</w:t>
      </w:r>
    </w:p>
    <w:p w14:paraId="070C0DDE" w14:textId="77777777" w:rsidR="000E7A5A" w:rsidRPr="00F425EA" w:rsidRDefault="000E7A5A" w:rsidP="00623803">
      <w:pPr>
        <w:spacing w:after="0" w:line="276" w:lineRule="auto"/>
        <w:jc w:val="both"/>
        <w:rPr>
          <w:rFonts w:cs="Arial"/>
        </w:rPr>
      </w:pPr>
    </w:p>
    <w:p w14:paraId="747CB8B0" w14:textId="77777777" w:rsidR="000E7A5A" w:rsidRPr="00F425EA" w:rsidRDefault="00306071" w:rsidP="00623803">
      <w:pPr>
        <w:spacing w:after="0" w:line="276" w:lineRule="auto"/>
        <w:jc w:val="both"/>
        <w:rPr>
          <w:rFonts w:cs="Arial"/>
        </w:rPr>
      </w:pPr>
      <w:r w:rsidRPr="00F425EA">
        <w:rPr>
          <w:rFonts w:cs="Arial"/>
        </w:rPr>
        <w:t>»</w:t>
      </w:r>
      <w:r w:rsidRPr="00484F1F">
        <w:rPr>
          <w:rFonts w:cs="Arial"/>
          <w:b/>
          <w:bCs/>
        </w:rPr>
        <w:t>Celovita storitev svetovanja in podpore pred upokojitvijo</w:t>
      </w:r>
      <w:r w:rsidRPr="00F425EA">
        <w:rPr>
          <w:rFonts w:cs="Arial"/>
        </w:rPr>
        <w:t>« S projektom želimo prispevati k podaljševanju delovne aktivnosti starejših zaposlenih, predvsem starih, med 55. in 64. letom ter ponovni aktivaciji starejših. S tem namenom bomo razvili in vzpostavili celovit sistem informiranja in ozaveščanja tako starejših zaposlenih pred upokojitvijo in upokojencev.</w:t>
      </w:r>
    </w:p>
    <w:p w14:paraId="6FC63D3B" w14:textId="77777777" w:rsidR="000E7A5A" w:rsidRPr="00F425EA" w:rsidRDefault="000E7A5A" w:rsidP="00623803">
      <w:pPr>
        <w:spacing w:after="0" w:line="276" w:lineRule="auto"/>
        <w:jc w:val="both"/>
        <w:rPr>
          <w:rFonts w:cs="Arial"/>
        </w:rPr>
      </w:pPr>
    </w:p>
    <w:p w14:paraId="23280608" w14:textId="2E1DF687" w:rsidR="000E7A5A" w:rsidRPr="00F425EA" w:rsidRDefault="005A12CC" w:rsidP="000B2C28">
      <w:pPr>
        <w:pStyle w:val="Naslov2"/>
      </w:pPr>
      <w:bookmarkStart w:id="3886" w:name="_Toc804960770"/>
      <w:bookmarkStart w:id="3887" w:name="_Toc1275091475"/>
      <w:bookmarkStart w:id="3888" w:name="_Toc2147343271"/>
      <w:bookmarkStart w:id="3889" w:name="_Toc1332985649"/>
      <w:bookmarkStart w:id="3890" w:name="_Toc1708370378"/>
      <w:bookmarkStart w:id="3891" w:name="_Toc2126099542"/>
      <w:bookmarkStart w:id="3892" w:name="_Toc2003066246"/>
      <w:bookmarkStart w:id="3893" w:name="_Toc1680927894"/>
      <w:bookmarkStart w:id="3894" w:name="_Toc158632764"/>
      <w:bookmarkStart w:id="3895" w:name="_Toc1467914135"/>
      <w:bookmarkStart w:id="3896" w:name="_Toc215729523"/>
      <w:bookmarkStart w:id="3897" w:name="_Toc1398499537"/>
      <w:bookmarkStart w:id="3898" w:name="_Toc1628635370"/>
      <w:bookmarkStart w:id="3899" w:name="_Toc1370349810"/>
      <w:bookmarkStart w:id="3900" w:name="_Toc1390110292"/>
      <w:bookmarkStart w:id="3901" w:name="_Toc196418393"/>
      <w:bookmarkStart w:id="3902" w:name="_Toc935230255"/>
      <w:bookmarkStart w:id="3903" w:name="_Toc1766412513"/>
      <w:bookmarkStart w:id="3904" w:name="_Toc1753856197"/>
      <w:bookmarkStart w:id="3905" w:name="_Toc1359841670"/>
      <w:bookmarkStart w:id="3906" w:name="_Toc1043855509"/>
      <w:bookmarkStart w:id="3907" w:name="_Toc853694388"/>
      <w:bookmarkStart w:id="3908" w:name="_Toc614996636"/>
      <w:bookmarkStart w:id="3909" w:name="_Toc1494849720"/>
      <w:bookmarkStart w:id="3910" w:name="_Toc898685422"/>
      <w:bookmarkStart w:id="3911" w:name="_Toc1236496467"/>
      <w:bookmarkStart w:id="3912" w:name="_Toc1926634334"/>
      <w:bookmarkStart w:id="3913" w:name="_Toc1613911149"/>
      <w:bookmarkStart w:id="3914" w:name="_Toc326403453"/>
      <w:bookmarkStart w:id="3915" w:name="_Toc1537363292"/>
      <w:bookmarkStart w:id="3916" w:name="_Toc478992206"/>
      <w:bookmarkStart w:id="3917" w:name="_Toc1200256212"/>
      <w:bookmarkStart w:id="3918" w:name="_Toc35988482"/>
      <w:bookmarkStart w:id="3919" w:name="_Toc32996939"/>
      <w:bookmarkStart w:id="3920" w:name="_Toc997856501"/>
      <w:bookmarkStart w:id="3921" w:name="_Toc280475820"/>
      <w:bookmarkStart w:id="3922" w:name="_Toc2041975950"/>
      <w:bookmarkStart w:id="3923" w:name="_Toc882294808"/>
      <w:bookmarkStart w:id="3924" w:name="_Toc1841279949"/>
      <w:bookmarkStart w:id="3925" w:name="_Toc1914734167"/>
      <w:bookmarkStart w:id="3926" w:name="_Toc1975533936"/>
      <w:bookmarkStart w:id="3927" w:name="_Toc1170093772"/>
      <w:bookmarkStart w:id="3928" w:name="_Toc781511875"/>
      <w:bookmarkStart w:id="3929" w:name="_Toc27057450"/>
      <w:bookmarkStart w:id="3930" w:name="_Toc950596694"/>
      <w:bookmarkStart w:id="3931" w:name="_Toc1977963941"/>
      <w:bookmarkStart w:id="3932" w:name="_Toc1794480417"/>
      <w:bookmarkStart w:id="3933" w:name="_Toc2139046226"/>
      <w:bookmarkStart w:id="3934" w:name="_Toc1417542654"/>
      <w:bookmarkStart w:id="3935" w:name="_Toc276545475"/>
      <w:bookmarkStart w:id="3936" w:name="_Toc1482253882"/>
      <w:bookmarkStart w:id="3937" w:name="_Toc867898331"/>
      <w:bookmarkStart w:id="3938" w:name="_Toc143992618"/>
      <w:bookmarkStart w:id="3939" w:name="_Toc563335409"/>
      <w:bookmarkStart w:id="3940" w:name="_Toc2047823312"/>
      <w:bookmarkStart w:id="3941" w:name="_Toc1176290177"/>
      <w:bookmarkStart w:id="3942" w:name="_Toc1982018338"/>
      <w:bookmarkStart w:id="3943" w:name="_Toc492258778"/>
      <w:bookmarkStart w:id="3944" w:name="_Toc1051423923"/>
      <w:bookmarkStart w:id="3945" w:name="_Toc1908340818"/>
      <w:bookmarkStart w:id="3946" w:name="_Toc1875630389"/>
      <w:bookmarkStart w:id="3947" w:name="_Toc1962421303"/>
      <w:bookmarkStart w:id="3948" w:name="_Toc146873350"/>
      <w:bookmarkStart w:id="3949" w:name="_Toc1636879907"/>
      <w:bookmarkStart w:id="3950" w:name="_Toc1301027454"/>
      <w:bookmarkStart w:id="3951" w:name="_Toc576799105"/>
      <w:bookmarkStart w:id="3952" w:name="_Toc1670034112"/>
      <w:bookmarkStart w:id="3953" w:name="_Toc832864079"/>
      <w:bookmarkStart w:id="3954" w:name="_Toc372560059"/>
      <w:bookmarkStart w:id="3955" w:name="_Toc796490748"/>
      <w:bookmarkStart w:id="3956" w:name="_Toc1468373302"/>
      <w:bookmarkStart w:id="3957" w:name="_Toc610479740"/>
      <w:bookmarkStart w:id="3958" w:name="_Toc1140755652"/>
      <w:bookmarkStart w:id="3959" w:name="_Toc372412890"/>
      <w:bookmarkStart w:id="3960" w:name="_Toc1430723589"/>
      <w:bookmarkStart w:id="3961" w:name="_Toc1129844447"/>
      <w:bookmarkStart w:id="3962" w:name="_Toc2141232824"/>
      <w:bookmarkStart w:id="3963" w:name="_Toc1360969631"/>
      <w:bookmarkStart w:id="3964" w:name="_Toc1337326514"/>
      <w:bookmarkStart w:id="3965" w:name="_Toc631586678"/>
      <w:bookmarkStart w:id="3966" w:name="_Toc304588361"/>
      <w:bookmarkStart w:id="3967" w:name="_Toc1563506872"/>
      <w:bookmarkStart w:id="3968" w:name="_Toc1992809060"/>
      <w:bookmarkStart w:id="3969" w:name="_Toc438022434"/>
      <w:bookmarkStart w:id="3970" w:name="_Toc187739368"/>
      <w:bookmarkStart w:id="3971" w:name="_Toc187740115"/>
      <w:bookmarkStart w:id="3972" w:name="_Toc192682025"/>
      <w:r w:rsidRPr="00F425EA">
        <w:t>5.3</w:t>
      </w:r>
      <w:r w:rsidRPr="00F425EA">
        <w:tab/>
        <w:t>DOSTOPNOST DO STANOVANJ ZA RANLJIVE SKUPINE PREBIVALSTVA</w:t>
      </w:r>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p>
    <w:p w14:paraId="517C35A6" w14:textId="77777777" w:rsidR="000E7A5A" w:rsidRPr="00F425EA" w:rsidRDefault="000E7A5A" w:rsidP="00623803">
      <w:pPr>
        <w:spacing w:after="0" w:line="276" w:lineRule="auto"/>
        <w:jc w:val="both"/>
        <w:rPr>
          <w:rFonts w:cs="Arial"/>
        </w:rPr>
      </w:pPr>
    </w:p>
    <w:p w14:paraId="24B96A9E" w14:textId="77777777" w:rsidR="005A12CC" w:rsidRDefault="00306071" w:rsidP="005A12CC">
      <w:pPr>
        <w:spacing w:after="0" w:line="276" w:lineRule="auto"/>
        <w:jc w:val="both"/>
        <w:rPr>
          <w:rFonts w:cs="Arial"/>
        </w:rPr>
        <w:sectPr w:rsidR="005A12CC" w:rsidSect="007664ED">
          <w:pgSz w:w="11906" w:h="16838"/>
          <w:pgMar w:top="1418" w:right="1418" w:bottom="1418" w:left="1418" w:header="708" w:footer="708" w:gutter="0"/>
          <w:cols w:space="708"/>
          <w:docGrid w:linePitch="272"/>
        </w:sectPr>
      </w:pPr>
      <w:r w:rsidRPr="00F425EA">
        <w:rPr>
          <w:rFonts w:cs="Arial"/>
        </w:rPr>
        <w:t xml:space="preserve">V letu 2025 bomo pripravili ustrezno dokumentacijo za JR </w:t>
      </w:r>
      <w:r w:rsidRPr="00F425EA">
        <w:rPr>
          <w:rFonts w:cs="Arial"/>
          <w:b/>
          <w:bCs/>
        </w:rPr>
        <w:t>»Zagotovitev bivalnih enot, namenjenih začasnemu reševanju stanovanjskih potreb ranljivih ciljnih skupin«.</w:t>
      </w:r>
      <w:r w:rsidRPr="00F425EA">
        <w:rPr>
          <w:rFonts w:cs="Arial"/>
        </w:rPr>
        <w:t xml:space="preserve"> Z nakupom, izgradnjo in prenovo bivalnih enot bomo prispevali k začasnemu reševanju stanovanjskih potreb za ranljive skupine, kot so brezdomci, deložirane družine in posameznike, osebe s težavami v duševnem zdravju, zenske in otroke, ki se zaradi nasilja umaknejo iz družinskega okolja, otroke in mladostnike, ki se znajdejo v akutni stiski, ki je v domačem okolju ne morejo razrešiti. Predvidena je zagotovitev 24 enot za potrebe 168 uporabnikov.</w:t>
      </w:r>
      <w:bookmarkStart w:id="3973" w:name="_Toc937299353"/>
      <w:bookmarkStart w:id="3974" w:name="_Toc1372748423"/>
      <w:bookmarkStart w:id="3975" w:name="_Toc1262325850"/>
      <w:bookmarkStart w:id="3976" w:name="_Toc980491330"/>
      <w:bookmarkStart w:id="3977" w:name="_Toc2110504873"/>
      <w:bookmarkStart w:id="3978" w:name="_Toc1706104185"/>
      <w:bookmarkStart w:id="3979" w:name="_Toc62845636"/>
      <w:bookmarkStart w:id="3980" w:name="_Toc516334026"/>
      <w:bookmarkStart w:id="3981" w:name="_Toc1192387139"/>
      <w:bookmarkStart w:id="3982" w:name="_Toc311729805"/>
      <w:bookmarkStart w:id="3983" w:name="_Toc568459851"/>
      <w:bookmarkStart w:id="3984" w:name="_Toc256377362"/>
      <w:bookmarkStart w:id="3985" w:name="_Toc766500097"/>
      <w:bookmarkStart w:id="3986" w:name="_Toc1211542553"/>
      <w:bookmarkStart w:id="3987" w:name="_Toc1547444577"/>
      <w:bookmarkStart w:id="3988" w:name="_Toc1007918626"/>
      <w:bookmarkStart w:id="3989" w:name="_Toc63919207"/>
      <w:bookmarkStart w:id="3990" w:name="_Toc1190837250"/>
      <w:bookmarkStart w:id="3991" w:name="_Toc1832518306"/>
      <w:bookmarkStart w:id="3992" w:name="_Toc970973379"/>
      <w:bookmarkStart w:id="3993" w:name="_Toc1253215621"/>
      <w:bookmarkStart w:id="3994" w:name="_Toc370703926"/>
      <w:bookmarkStart w:id="3995" w:name="_Toc1128988882"/>
      <w:bookmarkStart w:id="3996" w:name="_Toc87818613"/>
      <w:bookmarkStart w:id="3997" w:name="_Toc78220385"/>
      <w:bookmarkStart w:id="3998" w:name="_Toc255249957"/>
      <w:bookmarkStart w:id="3999" w:name="_Toc427028446"/>
      <w:bookmarkStart w:id="4000" w:name="_Toc393680613"/>
      <w:bookmarkStart w:id="4001" w:name="_Toc304923530"/>
      <w:bookmarkStart w:id="4002" w:name="_Toc758978987"/>
      <w:bookmarkStart w:id="4003" w:name="_Toc364417662"/>
      <w:bookmarkStart w:id="4004" w:name="_Toc707223579"/>
      <w:bookmarkStart w:id="4005" w:name="_Toc492710651"/>
      <w:bookmarkStart w:id="4006" w:name="_Toc1809496689"/>
      <w:bookmarkStart w:id="4007" w:name="_Toc1502229318"/>
      <w:bookmarkStart w:id="4008" w:name="_Toc765331354"/>
      <w:bookmarkStart w:id="4009" w:name="_Toc1832759009"/>
      <w:bookmarkStart w:id="4010" w:name="_Toc1690377780"/>
      <w:bookmarkStart w:id="4011" w:name="_Toc1810559931"/>
      <w:bookmarkStart w:id="4012" w:name="_Toc97563655"/>
      <w:bookmarkStart w:id="4013" w:name="_Toc1415915547"/>
      <w:bookmarkStart w:id="4014" w:name="_Toc1884620093"/>
      <w:bookmarkStart w:id="4015" w:name="_Toc1681128458"/>
      <w:bookmarkStart w:id="4016" w:name="_Toc85359969"/>
      <w:bookmarkStart w:id="4017" w:name="_Toc127947694"/>
      <w:bookmarkStart w:id="4018" w:name="_Toc712596007"/>
      <w:bookmarkStart w:id="4019" w:name="_Toc354151886"/>
      <w:bookmarkStart w:id="4020" w:name="_Toc795033717"/>
      <w:bookmarkStart w:id="4021" w:name="_Toc2071233683"/>
      <w:bookmarkStart w:id="4022" w:name="_Toc1991225556"/>
      <w:bookmarkStart w:id="4023" w:name="_Toc606001251"/>
      <w:bookmarkStart w:id="4024" w:name="_Toc499573384"/>
      <w:bookmarkStart w:id="4025" w:name="_Toc1671280376"/>
      <w:bookmarkStart w:id="4026" w:name="_Toc432299782"/>
      <w:bookmarkStart w:id="4027" w:name="_Toc828242668"/>
      <w:bookmarkStart w:id="4028" w:name="_Toc709185264"/>
      <w:bookmarkStart w:id="4029" w:name="_Toc1907215115"/>
      <w:bookmarkStart w:id="4030" w:name="_Toc1122030425"/>
      <w:bookmarkStart w:id="4031" w:name="_Toc1162102679"/>
      <w:bookmarkStart w:id="4032" w:name="_Toc284316588"/>
      <w:bookmarkStart w:id="4033" w:name="_Toc943308162"/>
      <w:bookmarkStart w:id="4034" w:name="_Toc1431662881"/>
      <w:bookmarkStart w:id="4035" w:name="_Toc1542669526"/>
      <w:bookmarkStart w:id="4036" w:name="_Toc842117999"/>
      <w:bookmarkStart w:id="4037" w:name="_Toc1171749664"/>
      <w:bookmarkStart w:id="4038" w:name="_Toc1460820531"/>
      <w:bookmarkStart w:id="4039" w:name="_Toc419311831"/>
      <w:bookmarkStart w:id="4040" w:name="_Toc121052220"/>
      <w:bookmarkStart w:id="4041" w:name="_Toc1848154740"/>
      <w:bookmarkStart w:id="4042" w:name="_Toc1238179185"/>
      <w:bookmarkStart w:id="4043" w:name="_Toc2119649850"/>
      <w:bookmarkStart w:id="4044" w:name="_Toc1454310935"/>
      <w:bookmarkStart w:id="4045" w:name="_Toc1582904311"/>
      <w:bookmarkStart w:id="4046" w:name="_Toc1367055659"/>
      <w:bookmarkStart w:id="4047" w:name="_Toc384905062"/>
      <w:bookmarkStart w:id="4048" w:name="_Toc425584254"/>
      <w:bookmarkStart w:id="4049" w:name="_Toc1431825457"/>
      <w:bookmarkStart w:id="4050" w:name="_Toc2035855268"/>
      <w:bookmarkStart w:id="4051" w:name="_Toc558678262"/>
      <w:bookmarkStart w:id="4052" w:name="_Toc612205493"/>
      <w:bookmarkStart w:id="4053" w:name="_Toc49573433"/>
      <w:bookmarkStart w:id="4054" w:name="_Toc452608350"/>
      <w:bookmarkStart w:id="4055" w:name="_Toc674183405"/>
      <w:bookmarkStart w:id="4056" w:name="_Toc1440393701"/>
    </w:p>
    <w:p w14:paraId="7F09E889" w14:textId="24CFCC37" w:rsidR="000E7A5A" w:rsidRPr="00F425EA" w:rsidRDefault="00306071" w:rsidP="005A12CC">
      <w:pPr>
        <w:pStyle w:val="Naslov10"/>
        <w:spacing w:before="0" w:after="0"/>
      </w:pPr>
      <w:bookmarkStart w:id="4057" w:name="_Toc187739369"/>
      <w:bookmarkStart w:id="4058" w:name="_Toc187740116"/>
      <w:bookmarkStart w:id="4059" w:name="_Toc192682026"/>
      <w:r w:rsidRPr="00F425EA">
        <w:rPr>
          <w:rStyle w:val="Neenpoudarek"/>
          <w:rFonts w:cs="Arial"/>
          <w:i w:val="0"/>
          <w:iCs w:val="0"/>
          <w:color w:val="4F81BD"/>
        </w:rPr>
        <w:lastRenderedPageBreak/>
        <w:t>6.</w:t>
      </w:r>
      <w:r w:rsidRPr="00F425EA">
        <w:tab/>
      </w:r>
      <w:r w:rsidR="005A12CC" w:rsidRPr="00F425EA">
        <w:rPr>
          <w:caps w:val="0"/>
        </w:rPr>
        <w:t>GLAVNI REZULTATI VREDNOTENJ PROGRAMA</w:t>
      </w:r>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r w:rsidR="005A12CC" w:rsidRPr="00F425EA">
        <w:rPr>
          <w:caps w:val="0"/>
        </w:rPr>
        <w:t xml:space="preserve"> </w:t>
      </w:r>
    </w:p>
    <w:p w14:paraId="3A2AD644" w14:textId="77777777" w:rsidR="000E7A5A" w:rsidRPr="00F425EA" w:rsidRDefault="000E7A5A" w:rsidP="00623803">
      <w:pPr>
        <w:spacing w:after="0" w:line="276" w:lineRule="auto"/>
        <w:jc w:val="both"/>
        <w:rPr>
          <w:rFonts w:cs="Arial"/>
        </w:rPr>
      </w:pPr>
    </w:p>
    <w:p w14:paraId="156F3660" w14:textId="70D5A51E" w:rsidR="005F58C4" w:rsidRDefault="005F58C4" w:rsidP="005F58C4">
      <w:pPr>
        <w:spacing w:after="0" w:line="276" w:lineRule="auto"/>
        <w:jc w:val="both"/>
        <w:rPr>
          <w:rFonts w:cs="Arial"/>
        </w:rPr>
      </w:pPr>
    </w:p>
    <w:p w14:paraId="22EFAB58" w14:textId="69325EE1" w:rsidR="005F58C4" w:rsidRDefault="005F58C4" w:rsidP="005F58C4">
      <w:pPr>
        <w:spacing w:after="0" w:line="276" w:lineRule="auto"/>
        <w:jc w:val="both"/>
        <w:rPr>
          <w:rFonts w:cs="Arial"/>
        </w:rPr>
      </w:pPr>
      <w:r>
        <w:rPr>
          <w:rFonts w:cs="Arial"/>
        </w:rPr>
        <w:t>Podlaga OU za vsebinske usmeritve in ustrezne postopke na področju vrednotenja PEKP 2021</w:t>
      </w:r>
      <w:r w:rsidR="00AF3047" w:rsidRPr="00AF3047">
        <w:rPr>
          <w:rFonts w:cs="Arial"/>
        </w:rPr>
        <w:t>–</w:t>
      </w:r>
      <w:r>
        <w:rPr>
          <w:rFonts w:cs="Arial"/>
        </w:rPr>
        <w:t>2027 sta Navodilo OU za vrednotenje PEKP 2021-2027 ter Načrt vrednotenja PEKP 2021</w:t>
      </w:r>
      <w:r w:rsidR="00AF3047" w:rsidRPr="00AF3047">
        <w:rPr>
          <w:rFonts w:cs="Arial"/>
        </w:rPr>
        <w:t>–</w:t>
      </w:r>
      <w:r>
        <w:rPr>
          <w:rFonts w:cs="Arial"/>
        </w:rPr>
        <w:t xml:space="preserve">2027 (NV). </w:t>
      </w:r>
    </w:p>
    <w:p w14:paraId="5F8D1BD8" w14:textId="77777777" w:rsidR="005F58C4" w:rsidRDefault="005F58C4" w:rsidP="005F58C4">
      <w:pPr>
        <w:spacing w:after="0" w:line="276" w:lineRule="auto"/>
        <w:jc w:val="both"/>
        <w:rPr>
          <w:rFonts w:cs="Arial"/>
        </w:rPr>
      </w:pPr>
    </w:p>
    <w:p w14:paraId="4372153F" w14:textId="439040F0" w:rsidR="005F58C4" w:rsidRDefault="005F58C4" w:rsidP="005F58C4">
      <w:pPr>
        <w:spacing w:after="0" w:line="276" w:lineRule="auto"/>
        <w:jc w:val="both"/>
        <w:rPr>
          <w:rFonts w:cs="Arial"/>
        </w:rPr>
      </w:pPr>
      <w:r>
        <w:rPr>
          <w:rFonts w:cs="Arial"/>
        </w:rPr>
        <w:t xml:space="preserve">Ker je eden od ključnih predpogojev za kvalitetna in uporabna vrednotenja dosledno vključevanje vseh relevantnih deležnikov v </w:t>
      </w:r>
      <w:proofErr w:type="spellStart"/>
      <w:r>
        <w:rPr>
          <w:rFonts w:cs="Arial"/>
        </w:rPr>
        <w:t>evalvacijski</w:t>
      </w:r>
      <w:proofErr w:type="spellEnd"/>
      <w:r>
        <w:rPr>
          <w:rFonts w:cs="Arial"/>
        </w:rPr>
        <w:t xml:space="preserve"> proces, je OU aprila 2023 zadevne resorje in </w:t>
      </w:r>
      <w:r w:rsidRPr="0061187F">
        <w:rPr>
          <w:rFonts w:cs="Arial"/>
        </w:rPr>
        <w:t>druge deležnike</w:t>
      </w:r>
      <w:r>
        <w:rPr>
          <w:rFonts w:cs="Arial"/>
        </w:rPr>
        <w:t xml:space="preserve"> pozval z dopisom</w:t>
      </w:r>
      <w:r w:rsidRPr="0061187F">
        <w:rPr>
          <w:rFonts w:cs="Arial"/>
        </w:rPr>
        <w:t xml:space="preserve"> k podaji predlogov za imenovanje članov</w:t>
      </w:r>
      <w:r>
        <w:rPr>
          <w:rFonts w:cs="Arial"/>
        </w:rPr>
        <w:t>/članic</w:t>
      </w:r>
      <w:r w:rsidRPr="0061187F">
        <w:rPr>
          <w:rFonts w:cs="Arial"/>
        </w:rPr>
        <w:t xml:space="preserve"> in njihovih namestnikov v Interdisciplinarno posvetovalno skupino za vrednotenje</w:t>
      </w:r>
      <w:r>
        <w:rPr>
          <w:rFonts w:cs="Arial"/>
        </w:rPr>
        <w:t xml:space="preserve"> (IPSV). IPSV se sestaja vsaj enkrat letno, prav tako pa so omogočene tudi dopisne seje. IPSV se je do 31.</w:t>
      </w:r>
      <w:r w:rsidR="00AF3047">
        <w:rPr>
          <w:rFonts w:cs="Arial"/>
        </w:rPr>
        <w:t xml:space="preserve"> </w:t>
      </w:r>
      <w:r>
        <w:rPr>
          <w:rFonts w:cs="Arial"/>
        </w:rPr>
        <w:t>12.</w:t>
      </w:r>
      <w:r w:rsidR="00AF3047">
        <w:rPr>
          <w:rFonts w:cs="Arial"/>
        </w:rPr>
        <w:t xml:space="preserve"> </w:t>
      </w:r>
      <w:r>
        <w:rPr>
          <w:rFonts w:cs="Arial"/>
        </w:rPr>
        <w:t xml:space="preserve">2024 sestala štirikrat in sicer dvakrat na redni seji in dvakrat na dopisni seji.  </w:t>
      </w:r>
    </w:p>
    <w:p w14:paraId="0AA5DB52" w14:textId="77777777" w:rsidR="005F58C4" w:rsidRDefault="005F58C4" w:rsidP="005F58C4">
      <w:pPr>
        <w:spacing w:after="0" w:line="276" w:lineRule="auto"/>
        <w:jc w:val="both"/>
        <w:rPr>
          <w:rFonts w:cs="Arial"/>
        </w:rPr>
      </w:pPr>
    </w:p>
    <w:p w14:paraId="17DB8C91" w14:textId="508FF435" w:rsidR="005F58C4" w:rsidRDefault="005F58C4" w:rsidP="005F58C4">
      <w:pPr>
        <w:spacing w:after="0" w:line="276" w:lineRule="auto"/>
        <w:jc w:val="both"/>
        <w:rPr>
          <w:rFonts w:cs="Arial"/>
        </w:rPr>
      </w:pPr>
      <w:r>
        <w:rPr>
          <w:rFonts w:cs="Arial"/>
        </w:rPr>
        <w:t xml:space="preserve">NV je bil potrjen na 2. redni seji </w:t>
      </w:r>
      <w:proofErr w:type="spellStart"/>
      <w:r>
        <w:rPr>
          <w:rFonts w:cs="Arial"/>
        </w:rPr>
        <w:t>OzS</w:t>
      </w:r>
      <w:proofErr w:type="spellEnd"/>
      <w:r>
        <w:rPr>
          <w:rFonts w:cs="Arial"/>
        </w:rPr>
        <w:t xml:space="preserve"> dne 9.</w:t>
      </w:r>
      <w:r w:rsidR="00AF3047">
        <w:rPr>
          <w:rFonts w:cs="Arial"/>
        </w:rPr>
        <w:t xml:space="preserve"> </w:t>
      </w:r>
      <w:r>
        <w:rPr>
          <w:rFonts w:cs="Arial"/>
        </w:rPr>
        <w:t>11.</w:t>
      </w:r>
      <w:r w:rsidR="00AF3047">
        <w:rPr>
          <w:rFonts w:cs="Arial"/>
        </w:rPr>
        <w:t xml:space="preserve"> </w:t>
      </w:r>
      <w:r>
        <w:rPr>
          <w:rFonts w:cs="Arial"/>
        </w:rPr>
        <w:t xml:space="preserve">2023, za njegovo večjo operativnost in uporabnost pa OU v sodelovanju s člani in članicami IPSV pripravlja letne načrte vrednotenja, ki jih usklajene OU predstavi na sejah </w:t>
      </w:r>
      <w:proofErr w:type="spellStart"/>
      <w:r>
        <w:rPr>
          <w:rFonts w:cs="Arial"/>
        </w:rPr>
        <w:t>OzS</w:t>
      </w:r>
      <w:proofErr w:type="spellEnd"/>
      <w:r>
        <w:rPr>
          <w:rFonts w:cs="Arial"/>
        </w:rPr>
        <w:t xml:space="preserve">. </w:t>
      </w:r>
    </w:p>
    <w:p w14:paraId="5CAC5DDB" w14:textId="77777777" w:rsidR="005F58C4" w:rsidRPr="00F425EA" w:rsidRDefault="005F58C4" w:rsidP="005F58C4">
      <w:pPr>
        <w:spacing w:after="0" w:line="276" w:lineRule="auto"/>
        <w:jc w:val="both"/>
        <w:rPr>
          <w:rFonts w:cs="Arial"/>
        </w:rPr>
      </w:pPr>
    </w:p>
    <w:p w14:paraId="5B9989D3" w14:textId="77777777" w:rsidR="005F58C4" w:rsidRDefault="005F58C4" w:rsidP="005F58C4">
      <w:pPr>
        <w:spacing w:after="0" w:line="276" w:lineRule="auto"/>
        <w:jc w:val="both"/>
        <w:rPr>
          <w:rFonts w:cs="Arial"/>
        </w:rPr>
      </w:pPr>
      <w:r>
        <w:rPr>
          <w:rFonts w:cs="Arial"/>
        </w:rPr>
        <w:t xml:space="preserve">Po odobritvi </w:t>
      </w:r>
      <w:r w:rsidRPr="00536400">
        <w:rPr>
          <w:rFonts w:eastAsia="SimSun" w:cs="Arial"/>
          <w:szCs w:val="20"/>
          <w:lang w:eastAsia="zh-CN"/>
        </w:rPr>
        <w:t xml:space="preserve">PEKP </w:t>
      </w:r>
      <w:r>
        <w:rPr>
          <w:rFonts w:eastAsia="SimSun" w:cs="Arial"/>
          <w:szCs w:val="20"/>
          <w:lang w:eastAsia="zh-CN"/>
        </w:rPr>
        <w:t>20</w:t>
      </w:r>
      <w:r w:rsidRPr="00536400">
        <w:rPr>
          <w:rFonts w:eastAsia="SimSun" w:cs="Arial"/>
          <w:szCs w:val="20"/>
          <w:lang w:eastAsia="zh-CN"/>
        </w:rPr>
        <w:t>21–</w:t>
      </w:r>
      <w:r>
        <w:rPr>
          <w:rFonts w:eastAsia="SimSun" w:cs="Arial"/>
          <w:szCs w:val="20"/>
          <w:lang w:eastAsia="zh-CN"/>
        </w:rPr>
        <w:t>20</w:t>
      </w:r>
      <w:r w:rsidRPr="00536400">
        <w:rPr>
          <w:rFonts w:eastAsia="SimSun" w:cs="Arial"/>
          <w:szCs w:val="20"/>
          <w:lang w:eastAsia="zh-CN"/>
        </w:rPr>
        <w:t>27</w:t>
      </w:r>
      <w:r>
        <w:rPr>
          <w:rFonts w:cs="Arial"/>
        </w:rPr>
        <w:t xml:space="preserve"> s strani EK so bila zaključena 3 tematska vrednotenja in sicer:</w:t>
      </w:r>
    </w:p>
    <w:p w14:paraId="2C4959BE" w14:textId="77777777" w:rsidR="005F58C4" w:rsidRDefault="005F58C4" w:rsidP="005F58C4">
      <w:pPr>
        <w:spacing w:after="0" w:line="276" w:lineRule="auto"/>
        <w:jc w:val="both"/>
        <w:rPr>
          <w:rFonts w:cs="Arial"/>
        </w:rPr>
      </w:pPr>
    </w:p>
    <w:p w14:paraId="15048BB1" w14:textId="16990A86" w:rsidR="005F58C4" w:rsidRDefault="005F58C4" w:rsidP="005F58C4">
      <w:pPr>
        <w:pStyle w:val="Odstavekseznama"/>
        <w:numPr>
          <w:ilvl w:val="0"/>
          <w:numId w:val="70"/>
        </w:numPr>
        <w:spacing w:after="0" w:line="276" w:lineRule="auto"/>
        <w:jc w:val="both"/>
        <w:rPr>
          <w:rFonts w:cs="Arial"/>
        </w:rPr>
      </w:pPr>
      <w:r>
        <w:rPr>
          <w:rFonts w:cs="Arial"/>
        </w:rPr>
        <w:t>Vrednotenje uspešnosti izvajanja vseživljenjske karierne orientacije, vključno s sistemom napovedovanja potreb na trgu dela (končno poročilo november 2023</w:t>
      </w:r>
      <w:r w:rsidR="00AF3047">
        <w:rPr>
          <w:rFonts w:cs="Arial"/>
        </w:rPr>
        <w:t>).</w:t>
      </w:r>
      <w:r>
        <w:rPr>
          <w:rStyle w:val="Sprotnaopomba-sklic"/>
          <w:rFonts w:cs="Arial"/>
        </w:rPr>
        <w:footnoteReference w:id="33"/>
      </w:r>
    </w:p>
    <w:p w14:paraId="6A6FCB95" w14:textId="076C6D38" w:rsidR="005F58C4" w:rsidRDefault="005F58C4" w:rsidP="005F58C4">
      <w:pPr>
        <w:pStyle w:val="Odstavekseznama"/>
        <w:numPr>
          <w:ilvl w:val="0"/>
          <w:numId w:val="70"/>
        </w:numPr>
        <w:spacing w:after="0" w:line="276" w:lineRule="auto"/>
        <w:jc w:val="both"/>
        <w:rPr>
          <w:rFonts w:cs="Arial"/>
        </w:rPr>
      </w:pPr>
      <w:r w:rsidRPr="002036BA">
        <w:rPr>
          <w:rFonts w:cs="Arial"/>
        </w:rPr>
        <w:t>Vrednotenje spodbujanje izvajanja RR programov in RR projektov</w:t>
      </w:r>
      <w:r>
        <w:rPr>
          <w:rFonts w:cs="Arial"/>
        </w:rPr>
        <w:t xml:space="preserve"> (končno poročilo 13.</w:t>
      </w:r>
      <w:r w:rsidR="00AF3047">
        <w:rPr>
          <w:rFonts w:cs="Arial"/>
        </w:rPr>
        <w:t xml:space="preserve"> </w:t>
      </w:r>
      <w:r>
        <w:rPr>
          <w:rFonts w:cs="Arial"/>
        </w:rPr>
        <w:t>11.</w:t>
      </w:r>
      <w:r w:rsidR="00AF3047">
        <w:rPr>
          <w:rFonts w:cs="Arial"/>
        </w:rPr>
        <w:t xml:space="preserve"> </w:t>
      </w:r>
      <w:r>
        <w:rPr>
          <w:rFonts w:cs="Arial"/>
        </w:rPr>
        <w:t>2024) ter</w:t>
      </w:r>
    </w:p>
    <w:p w14:paraId="5DE1FB81" w14:textId="4861285F" w:rsidR="005F58C4" w:rsidRPr="00941CED" w:rsidRDefault="005F58C4" w:rsidP="005F58C4">
      <w:pPr>
        <w:pStyle w:val="Odstavekseznama"/>
        <w:numPr>
          <w:ilvl w:val="0"/>
          <w:numId w:val="70"/>
        </w:numPr>
        <w:spacing w:after="0" w:line="276" w:lineRule="auto"/>
        <w:jc w:val="both"/>
        <w:rPr>
          <w:rFonts w:cs="Arial"/>
        </w:rPr>
      </w:pPr>
      <w:r w:rsidRPr="002036BA">
        <w:rPr>
          <w:rFonts w:cs="Arial"/>
        </w:rPr>
        <w:t>Vrednotenje učinkovitosti in uspešnosti javnih razpisov za</w:t>
      </w:r>
      <w:r>
        <w:rPr>
          <w:rFonts w:cs="Arial"/>
        </w:rPr>
        <w:t xml:space="preserve"> </w:t>
      </w:r>
      <w:r w:rsidRPr="00941CED">
        <w:rPr>
          <w:rFonts w:cs="Arial"/>
        </w:rPr>
        <w:t>sofinanciranje gradnje odprtih širokopasovnih omrežij naslednje</w:t>
      </w:r>
      <w:r>
        <w:rPr>
          <w:rFonts w:cs="Arial"/>
        </w:rPr>
        <w:t xml:space="preserve"> </w:t>
      </w:r>
      <w:r w:rsidRPr="00941CED">
        <w:rPr>
          <w:rFonts w:cs="Arial"/>
        </w:rPr>
        <w:t>generacije (JR GOŠO 4 in JR GOŠO 5) – Sklop 1</w:t>
      </w:r>
      <w:r>
        <w:rPr>
          <w:rFonts w:cs="Arial"/>
        </w:rPr>
        <w:t xml:space="preserve"> (končno poročilo 22.</w:t>
      </w:r>
      <w:r w:rsidR="00AF3047">
        <w:rPr>
          <w:rFonts w:cs="Arial"/>
        </w:rPr>
        <w:t xml:space="preserve"> </w:t>
      </w:r>
      <w:r>
        <w:rPr>
          <w:rFonts w:cs="Arial"/>
        </w:rPr>
        <w:t>11.</w:t>
      </w:r>
      <w:r w:rsidR="00AF3047">
        <w:rPr>
          <w:rFonts w:cs="Arial"/>
        </w:rPr>
        <w:t xml:space="preserve"> </w:t>
      </w:r>
      <w:r>
        <w:rPr>
          <w:rFonts w:cs="Arial"/>
        </w:rPr>
        <w:t xml:space="preserve">2024). </w:t>
      </w:r>
    </w:p>
    <w:p w14:paraId="417A5EAD" w14:textId="77777777" w:rsidR="005F58C4" w:rsidRDefault="005F58C4" w:rsidP="005F58C4">
      <w:pPr>
        <w:spacing w:after="0" w:line="276" w:lineRule="auto"/>
        <w:jc w:val="both"/>
        <w:rPr>
          <w:rFonts w:cs="Arial"/>
        </w:rPr>
      </w:pPr>
    </w:p>
    <w:p w14:paraId="0E8EF262" w14:textId="77777777" w:rsidR="005F58C4" w:rsidRDefault="005F58C4" w:rsidP="005F58C4">
      <w:pPr>
        <w:spacing w:after="0" w:line="276" w:lineRule="auto"/>
        <w:jc w:val="both"/>
        <w:rPr>
          <w:rFonts w:cs="Arial"/>
        </w:rPr>
      </w:pPr>
      <w:r>
        <w:rPr>
          <w:rFonts w:cs="Arial"/>
        </w:rPr>
        <w:t>Trenutno sta v fazi izvajanja še dve tematski vrednotenji:</w:t>
      </w:r>
    </w:p>
    <w:p w14:paraId="1CF563C8" w14:textId="77777777" w:rsidR="005F58C4" w:rsidRDefault="005F58C4" w:rsidP="005F58C4">
      <w:pPr>
        <w:spacing w:after="0" w:line="276" w:lineRule="auto"/>
        <w:jc w:val="both"/>
        <w:rPr>
          <w:rFonts w:cs="Arial"/>
        </w:rPr>
      </w:pPr>
    </w:p>
    <w:p w14:paraId="0D01C2C1" w14:textId="77777777" w:rsidR="005F58C4" w:rsidRDefault="005F58C4" w:rsidP="005F58C4">
      <w:pPr>
        <w:pStyle w:val="Odstavekseznama"/>
        <w:numPr>
          <w:ilvl w:val="0"/>
          <w:numId w:val="71"/>
        </w:numPr>
        <w:spacing w:after="0" w:line="276" w:lineRule="auto"/>
        <w:jc w:val="both"/>
        <w:rPr>
          <w:rFonts w:cs="Arial"/>
        </w:rPr>
      </w:pPr>
      <w:r>
        <w:rPr>
          <w:rFonts w:cs="Arial"/>
        </w:rPr>
        <w:t>V</w:t>
      </w:r>
      <w:r w:rsidRPr="0035095C">
        <w:rPr>
          <w:rFonts w:cs="Arial"/>
        </w:rPr>
        <w:t>rednotenje mreže mobilnih enot za izvajanje preventivnih programov in programov za zmanjšanja škode na področju prepovedanih drog</w:t>
      </w:r>
      <w:r>
        <w:rPr>
          <w:rFonts w:cs="Arial"/>
        </w:rPr>
        <w:t xml:space="preserve"> in</w:t>
      </w:r>
    </w:p>
    <w:p w14:paraId="17992A73" w14:textId="77777777" w:rsidR="005F58C4" w:rsidRPr="00941CED" w:rsidRDefault="005F58C4" w:rsidP="005F58C4">
      <w:pPr>
        <w:pStyle w:val="Odstavekseznama"/>
        <w:numPr>
          <w:ilvl w:val="0"/>
          <w:numId w:val="71"/>
        </w:numPr>
        <w:spacing w:after="0" w:line="276" w:lineRule="auto"/>
        <w:jc w:val="both"/>
        <w:rPr>
          <w:rFonts w:cs="Arial"/>
        </w:rPr>
      </w:pPr>
      <w:r w:rsidRPr="0061187F">
        <w:rPr>
          <w:rFonts w:cs="Arial"/>
        </w:rPr>
        <w:t xml:space="preserve">Vrednotenje uspešnosti izvajanja </w:t>
      </w:r>
      <w:r>
        <w:rPr>
          <w:rFonts w:cs="Arial"/>
        </w:rPr>
        <w:t>ONPP</w:t>
      </w:r>
      <w:r w:rsidRPr="0061187F">
        <w:rPr>
          <w:rFonts w:cs="Arial"/>
        </w:rPr>
        <w:t xml:space="preserve"> </w:t>
      </w:r>
      <w:r>
        <w:rPr>
          <w:rFonts w:cs="Arial"/>
        </w:rPr>
        <w:t>Z</w:t>
      </w:r>
      <w:r w:rsidRPr="0061187F">
        <w:rPr>
          <w:rFonts w:cs="Arial"/>
        </w:rPr>
        <w:t xml:space="preserve">asavje in </w:t>
      </w:r>
      <w:r>
        <w:rPr>
          <w:rFonts w:cs="Arial"/>
        </w:rPr>
        <w:t>ONPP</w:t>
      </w:r>
      <w:r w:rsidRPr="0061187F">
        <w:rPr>
          <w:rFonts w:cs="Arial"/>
        </w:rPr>
        <w:t xml:space="preserve"> </w:t>
      </w:r>
      <w:r>
        <w:rPr>
          <w:rFonts w:cs="Arial"/>
        </w:rPr>
        <w:t>SAŠA</w:t>
      </w:r>
    </w:p>
    <w:p w14:paraId="69FE4A6D" w14:textId="77777777" w:rsidR="005F58C4" w:rsidRDefault="005F58C4" w:rsidP="005F58C4">
      <w:pPr>
        <w:spacing w:after="0" w:line="276" w:lineRule="auto"/>
        <w:jc w:val="both"/>
        <w:rPr>
          <w:rFonts w:cs="Arial"/>
        </w:rPr>
      </w:pPr>
    </w:p>
    <w:p w14:paraId="5B7A30D5" w14:textId="77777777" w:rsidR="005F58C4" w:rsidRDefault="005F58C4" w:rsidP="005F58C4">
      <w:pPr>
        <w:spacing w:after="0" w:line="276" w:lineRule="auto"/>
        <w:jc w:val="both"/>
        <w:rPr>
          <w:rFonts w:cs="Arial"/>
        </w:rPr>
      </w:pPr>
      <w:r>
        <w:rPr>
          <w:rFonts w:cs="Arial"/>
        </w:rPr>
        <w:t>Končni poročili obeh vrednotenj iz prejšnjega odstavka se pričakujeta v prvi polovici leta 2025.</w:t>
      </w:r>
    </w:p>
    <w:p w14:paraId="79B0312B" w14:textId="77777777" w:rsidR="005F58C4" w:rsidRDefault="005F58C4" w:rsidP="005F58C4">
      <w:pPr>
        <w:spacing w:after="0" w:line="276" w:lineRule="auto"/>
        <w:jc w:val="both"/>
        <w:rPr>
          <w:rFonts w:cs="Arial"/>
        </w:rPr>
      </w:pPr>
    </w:p>
    <w:p w14:paraId="775B3DFF" w14:textId="77777777" w:rsidR="005F58C4" w:rsidRDefault="005F58C4" w:rsidP="005F58C4">
      <w:pPr>
        <w:spacing w:after="0" w:line="276" w:lineRule="auto"/>
        <w:jc w:val="both"/>
        <w:rPr>
          <w:rFonts w:cs="Arial"/>
        </w:rPr>
      </w:pPr>
      <w:r>
        <w:rPr>
          <w:rFonts w:cs="Arial"/>
        </w:rPr>
        <w:t xml:space="preserve">Razprave članov in članic na sejah IPSV </w:t>
      </w:r>
      <w:r w:rsidRPr="00F425EA">
        <w:rPr>
          <w:rFonts w:cs="Arial"/>
        </w:rPr>
        <w:t>izpostavlja</w:t>
      </w:r>
      <w:r>
        <w:rPr>
          <w:rFonts w:cs="Arial"/>
        </w:rPr>
        <w:t>jo naslednje vsebinske in operativne izzive, ki jih bodo deležniki na področju vrednotenja poskušali nasloviti in razrešiti do konca izvajanja PEKP 2021-2027</w:t>
      </w:r>
      <w:r w:rsidRPr="00F425EA">
        <w:rPr>
          <w:rFonts w:cs="Arial"/>
        </w:rPr>
        <w:t>:</w:t>
      </w:r>
    </w:p>
    <w:p w14:paraId="026657C0" w14:textId="77777777" w:rsidR="005F58C4" w:rsidRPr="00F425EA" w:rsidRDefault="005F58C4" w:rsidP="005F58C4">
      <w:pPr>
        <w:spacing w:after="0" w:line="276" w:lineRule="auto"/>
        <w:jc w:val="both"/>
        <w:rPr>
          <w:rFonts w:cs="Arial"/>
        </w:rPr>
      </w:pPr>
    </w:p>
    <w:p w14:paraId="2B411AD2" w14:textId="76906922" w:rsidR="005F58C4" w:rsidRPr="00F425EA" w:rsidRDefault="005F58C4" w:rsidP="005F58C4">
      <w:pPr>
        <w:numPr>
          <w:ilvl w:val="0"/>
          <w:numId w:val="55"/>
        </w:numPr>
        <w:spacing w:after="0" w:line="276" w:lineRule="auto"/>
        <w:ind w:left="426" w:hanging="284"/>
        <w:jc w:val="both"/>
        <w:rPr>
          <w:rFonts w:cs="Arial"/>
        </w:rPr>
      </w:pPr>
      <w:r w:rsidRPr="00F425EA">
        <w:rPr>
          <w:rFonts w:cs="Arial"/>
        </w:rPr>
        <w:t>prevelika administrativna obremenitev,</w:t>
      </w:r>
      <w:r>
        <w:rPr>
          <w:rFonts w:cs="Arial"/>
        </w:rPr>
        <w:t xml:space="preserve"> saj so zaposleni, ki na PT aktivno sodelujejo z OU na področju vrednotenja, hkrati aktivno vpeti tudi v izvajanje PEKP 2021</w:t>
      </w:r>
      <w:r w:rsidR="002C39F9" w:rsidRPr="002C39F9">
        <w:rPr>
          <w:rFonts w:cs="Arial"/>
        </w:rPr>
        <w:t>–</w:t>
      </w:r>
      <w:r>
        <w:rPr>
          <w:rFonts w:cs="Arial"/>
        </w:rPr>
        <w:t>2027;</w:t>
      </w:r>
    </w:p>
    <w:p w14:paraId="7BAEBB5C" w14:textId="77777777" w:rsidR="005F58C4" w:rsidRPr="00F425EA" w:rsidRDefault="005F58C4" w:rsidP="005F58C4">
      <w:pPr>
        <w:numPr>
          <w:ilvl w:val="0"/>
          <w:numId w:val="55"/>
        </w:numPr>
        <w:spacing w:after="0" w:line="276" w:lineRule="auto"/>
        <w:ind w:left="426" w:hanging="284"/>
        <w:jc w:val="both"/>
        <w:rPr>
          <w:rFonts w:cs="Arial"/>
        </w:rPr>
      </w:pPr>
      <w:r w:rsidRPr="00F425EA">
        <w:rPr>
          <w:rFonts w:cs="Arial"/>
        </w:rPr>
        <w:t>pomanjkanje ustreznega kadra</w:t>
      </w:r>
      <w:r>
        <w:rPr>
          <w:rFonts w:cs="Arial"/>
        </w:rPr>
        <w:t xml:space="preserve"> v sistemu EKP</w:t>
      </w:r>
      <w:r w:rsidRPr="00F425EA">
        <w:rPr>
          <w:rFonts w:cs="Arial"/>
        </w:rPr>
        <w:t>,</w:t>
      </w:r>
      <w:r>
        <w:rPr>
          <w:rFonts w:cs="Arial"/>
        </w:rPr>
        <w:t xml:space="preserve"> saj za področje vrednotenja politik ni kvalitetnih študijskih programov na nacionalni ravni, še posebej za krepitev kompetenc skrbnikov pogodb in vsebinske koordinacije področja vrednotenja pri naročnikih vrednotenj, </w:t>
      </w:r>
    </w:p>
    <w:p w14:paraId="7956BDCB" w14:textId="77777777" w:rsidR="005F58C4" w:rsidRPr="00F425EA" w:rsidRDefault="005F58C4" w:rsidP="005F58C4">
      <w:pPr>
        <w:numPr>
          <w:ilvl w:val="0"/>
          <w:numId w:val="55"/>
        </w:numPr>
        <w:spacing w:after="0" w:line="276" w:lineRule="auto"/>
        <w:ind w:left="426" w:hanging="284"/>
        <w:jc w:val="both"/>
        <w:rPr>
          <w:rFonts w:cs="Arial"/>
        </w:rPr>
      </w:pPr>
      <w:r>
        <w:rPr>
          <w:rFonts w:cs="Arial"/>
        </w:rPr>
        <w:t xml:space="preserve">popularizacija vrednotenja z dodatnimi napori za izpolnjevanje priporočil in poročanje OU, </w:t>
      </w:r>
      <w:proofErr w:type="spellStart"/>
      <w:r>
        <w:rPr>
          <w:rFonts w:cs="Arial"/>
        </w:rPr>
        <w:t>OzS</w:t>
      </w:r>
      <w:proofErr w:type="spellEnd"/>
      <w:r>
        <w:rPr>
          <w:rFonts w:cs="Arial"/>
        </w:rPr>
        <w:t xml:space="preserve"> in EK o večji uporabnosti </w:t>
      </w:r>
      <w:proofErr w:type="spellStart"/>
      <w:r>
        <w:rPr>
          <w:rFonts w:cs="Arial"/>
        </w:rPr>
        <w:t>evalvacijskih</w:t>
      </w:r>
      <w:proofErr w:type="spellEnd"/>
      <w:r>
        <w:rPr>
          <w:rFonts w:cs="Arial"/>
        </w:rPr>
        <w:t xml:space="preserve"> poročil, dostopnost rezultatov ter </w:t>
      </w:r>
      <w:r w:rsidRPr="00F425EA">
        <w:rPr>
          <w:rFonts w:cs="Arial"/>
        </w:rPr>
        <w:t>bolj osredotočen</w:t>
      </w:r>
      <w:r>
        <w:rPr>
          <w:rFonts w:cs="Arial"/>
        </w:rPr>
        <w:t xml:space="preserve">a tematska vrednotenja </w:t>
      </w:r>
      <w:r w:rsidRPr="00F425EA">
        <w:rPr>
          <w:rFonts w:cs="Arial"/>
        </w:rPr>
        <w:t>z večjim obsegom sredstev</w:t>
      </w:r>
      <w:r>
        <w:rPr>
          <w:rFonts w:cs="Arial"/>
        </w:rPr>
        <w:t xml:space="preserve"> za samo vrednotenje.</w:t>
      </w:r>
    </w:p>
    <w:p w14:paraId="0FBBFAE0" w14:textId="77777777" w:rsidR="005F58C4" w:rsidRPr="00F425EA" w:rsidRDefault="005F58C4" w:rsidP="005F58C4">
      <w:pPr>
        <w:spacing w:after="0" w:line="276" w:lineRule="auto"/>
        <w:jc w:val="both"/>
        <w:rPr>
          <w:rFonts w:cs="Arial"/>
        </w:rPr>
      </w:pPr>
    </w:p>
    <w:p w14:paraId="39942D08" w14:textId="77777777" w:rsidR="005F58C4" w:rsidRPr="00F425EA" w:rsidRDefault="005F58C4" w:rsidP="005F58C4">
      <w:pPr>
        <w:spacing w:after="0" w:line="276" w:lineRule="auto"/>
        <w:jc w:val="both"/>
        <w:rPr>
          <w:rFonts w:cs="Arial"/>
        </w:rPr>
      </w:pPr>
    </w:p>
    <w:p w14:paraId="04905497" w14:textId="5FF95F54" w:rsidR="005F58C4" w:rsidRPr="00F425EA" w:rsidRDefault="005F58C4" w:rsidP="005F58C4">
      <w:pPr>
        <w:spacing w:after="0" w:line="276" w:lineRule="auto"/>
        <w:jc w:val="both"/>
        <w:rPr>
          <w:rFonts w:cs="Arial"/>
        </w:rPr>
      </w:pPr>
      <w:r>
        <w:rPr>
          <w:rFonts w:cs="Arial"/>
        </w:rPr>
        <w:lastRenderedPageBreak/>
        <w:t>Tematska vrednotenja v operativnem smislu opozarjajo na nastajanje</w:t>
      </w:r>
      <w:r w:rsidRPr="00F425EA">
        <w:rPr>
          <w:rFonts w:cs="Arial"/>
        </w:rPr>
        <w:t xml:space="preserve"> ozkih grl, ki ovirajo izvajanje in se posledično izkazujejo v terminskih zamikih izvedbe, nedoseganju ciljev in nenazadnje manjšem </w:t>
      </w:r>
      <w:r w:rsidR="0059022B">
        <w:rPr>
          <w:rFonts w:cs="Arial"/>
        </w:rPr>
        <w:t xml:space="preserve">koriščenju </w:t>
      </w:r>
      <w:r w:rsidRPr="00F425EA">
        <w:rPr>
          <w:rFonts w:cs="Arial"/>
        </w:rPr>
        <w:t xml:space="preserve"> sredstev, največ prispeva prevelika administrativna obremenitev. Priporočila gredo v smeri poziva k zmanjšanju administrativnih ovir, tako pri prijavi na razpise kot pri poročanju. Predlaga se večja uporabo poenostavljenih oblik stroškov. Trenutni sistem financiranja razprši sredstva po vseh področjih, s čimer se zmanjša potencial, ki bi bil sicer mogoč, če bi bilo za posamezno področje na voljo več sredstev. Po mnenju izvajalcev je prevelika administrativna obremenitev tudi povezana z neustrezno organizacijo nalog in zapletenimi, spreminjajočimi ter nejasnimi navodili za izvajanje projektov. </w:t>
      </w:r>
    </w:p>
    <w:p w14:paraId="3009DFAD" w14:textId="77777777" w:rsidR="005F58C4" w:rsidRPr="00F425EA" w:rsidRDefault="005F58C4" w:rsidP="005F58C4">
      <w:pPr>
        <w:spacing w:after="0" w:line="276" w:lineRule="auto"/>
        <w:jc w:val="both"/>
        <w:rPr>
          <w:rFonts w:cs="Arial"/>
        </w:rPr>
      </w:pPr>
    </w:p>
    <w:p w14:paraId="05D6B9E1" w14:textId="77777777" w:rsidR="005F58C4" w:rsidRPr="00F425EA" w:rsidRDefault="005F58C4" w:rsidP="005F58C4">
      <w:pPr>
        <w:spacing w:after="0" w:line="276" w:lineRule="auto"/>
        <w:jc w:val="both"/>
        <w:rPr>
          <w:rFonts w:cs="Arial"/>
        </w:rPr>
      </w:pPr>
      <w:r w:rsidRPr="00F425EA">
        <w:rPr>
          <w:rFonts w:cs="Arial"/>
        </w:rPr>
        <w:t>Fluktuacija zaposlenih in neustrezen prenos delovnih nalog na nove kadre nista bila posebej izpostavljena kot razlog za ozka grla. Določen vpliv imata tudi fluktuacija zaposlenih ter prenos nalog na nove kadre, še večji pa pomanjkanje ustreznega kadra.</w:t>
      </w:r>
    </w:p>
    <w:p w14:paraId="19A5B1E6" w14:textId="77777777" w:rsidR="005F58C4" w:rsidRPr="00F425EA" w:rsidRDefault="005F58C4" w:rsidP="005F58C4">
      <w:pPr>
        <w:spacing w:after="0" w:line="276" w:lineRule="auto"/>
        <w:jc w:val="both"/>
        <w:rPr>
          <w:rFonts w:cs="Arial"/>
        </w:rPr>
      </w:pPr>
    </w:p>
    <w:p w14:paraId="04A69123" w14:textId="77777777" w:rsidR="005F58C4" w:rsidRPr="00F425EA" w:rsidRDefault="005F58C4" w:rsidP="005F58C4">
      <w:pPr>
        <w:spacing w:after="0" w:line="276" w:lineRule="auto"/>
        <w:jc w:val="both"/>
        <w:rPr>
          <w:rFonts w:cs="Arial"/>
        </w:rPr>
      </w:pPr>
      <w:r w:rsidRPr="00F425EA">
        <w:rPr>
          <w:rFonts w:cs="Arial"/>
        </w:rPr>
        <w:t>Treba je zagotoviti večjo stabilnosti izvajalskega sistema evropske kohezijske politike, organizacijske strukture in postopkov. Izvajanje vrednotenj s pripravo pripomb in priporočil ter njihovo čimprejšnje upoštevanje bi vplivalo na pravočasno zaznavo in odpravo sistemskih sprememb, ki se tako ne bi odkrila šele ob koncu programskega obdobja.</w:t>
      </w:r>
    </w:p>
    <w:p w14:paraId="051A9142" w14:textId="77777777" w:rsidR="005F58C4" w:rsidRPr="00F425EA" w:rsidRDefault="005F58C4" w:rsidP="005F58C4">
      <w:pPr>
        <w:spacing w:after="0" w:line="276" w:lineRule="auto"/>
        <w:jc w:val="both"/>
        <w:rPr>
          <w:rFonts w:cs="Arial"/>
        </w:rPr>
      </w:pPr>
    </w:p>
    <w:p w14:paraId="67434486" w14:textId="77777777" w:rsidR="005F58C4" w:rsidRPr="00F425EA" w:rsidRDefault="005F58C4" w:rsidP="005F58C4">
      <w:pPr>
        <w:spacing w:after="0" w:line="276" w:lineRule="auto"/>
        <w:jc w:val="both"/>
        <w:rPr>
          <w:rFonts w:cs="Arial"/>
        </w:rPr>
      </w:pPr>
      <w:r w:rsidRPr="00F425EA">
        <w:rPr>
          <w:rFonts w:cs="Arial"/>
        </w:rPr>
        <w:t>Povečati bi bilo treba kapacitete strateškega načrtovanja in pretvarjanja načrtov preko izvajanja v dosežke. Postopkovne zamude vodijo v številnih primerih do hitenja pri vsebinski izvedbi, kar vpliva na kakovost.</w:t>
      </w:r>
    </w:p>
    <w:p w14:paraId="1AA8C7B0" w14:textId="77777777" w:rsidR="005F58C4" w:rsidRPr="00F425EA" w:rsidRDefault="005F58C4" w:rsidP="005F58C4">
      <w:pPr>
        <w:spacing w:after="0" w:line="276" w:lineRule="auto"/>
        <w:jc w:val="both"/>
        <w:rPr>
          <w:rFonts w:cs="Arial"/>
        </w:rPr>
      </w:pPr>
    </w:p>
    <w:p w14:paraId="580159D7" w14:textId="77777777" w:rsidR="005F58C4" w:rsidRPr="00F425EA" w:rsidRDefault="005F58C4" w:rsidP="005F58C4">
      <w:pPr>
        <w:spacing w:after="0" w:line="276" w:lineRule="auto"/>
        <w:jc w:val="both"/>
        <w:rPr>
          <w:rFonts w:cs="Arial"/>
        </w:rPr>
      </w:pPr>
      <w:r w:rsidRPr="00F425EA">
        <w:rPr>
          <w:rFonts w:cs="Arial"/>
        </w:rPr>
        <w:t>Smiselno bi bilo ponovno oceniti in ovrednotiti, katerim področjem se dodeljujejo spodbude, saj bi glede na obseg sredstev, ki so na voljo, bolj osredotočena podpora z večjim obsegom sredstev vodila v boljše rezultate kot trenutni sistem razpršenih in finančno manjših spodbud.</w:t>
      </w:r>
    </w:p>
    <w:p w14:paraId="46E08212" w14:textId="77777777" w:rsidR="005F58C4" w:rsidRPr="00F425EA" w:rsidRDefault="005F58C4" w:rsidP="005F58C4">
      <w:pPr>
        <w:spacing w:after="0" w:line="276" w:lineRule="auto"/>
        <w:jc w:val="both"/>
        <w:rPr>
          <w:rFonts w:cs="Arial"/>
        </w:rPr>
      </w:pPr>
    </w:p>
    <w:p w14:paraId="7DF8B48F" w14:textId="2A623B58" w:rsidR="00105179" w:rsidRDefault="005F58C4" w:rsidP="005F58C4">
      <w:pPr>
        <w:spacing w:after="0" w:line="276" w:lineRule="auto"/>
        <w:jc w:val="both"/>
        <w:rPr>
          <w:rFonts w:cs="Arial"/>
        </w:rPr>
        <w:sectPr w:rsidR="00105179" w:rsidSect="00367FBF">
          <w:pgSz w:w="11906" w:h="16838"/>
          <w:pgMar w:top="1418" w:right="1418" w:bottom="1418" w:left="1418" w:header="708" w:footer="708" w:gutter="0"/>
          <w:cols w:space="708"/>
          <w:docGrid w:linePitch="272"/>
        </w:sectPr>
      </w:pPr>
      <w:r w:rsidRPr="00F425EA">
        <w:rPr>
          <w:rFonts w:cs="Arial"/>
        </w:rPr>
        <w:t>Priporoča se tudi, da se ustvari večja fleksibilnost v samih finančnih načrtih operacij, ob upoštevanju hitre rasti cen in nestabilnosti na trgih.</w:t>
      </w:r>
      <w:r w:rsidR="00306071" w:rsidRPr="00F425EA">
        <w:rPr>
          <w:rFonts w:cs="Arial"/>
        </w:rPr>
        <w:t>.</w:t>
      </w:r>
      <w:bookmarkStart w:id="4060" w:name="_Toc2031879738"/>
      <w:bookmarkStart w:id="4061" w:name="_Toc1061761143"/>
      <w:bookmarkStart w:id="4062" w:name="_Toc1561407397"/>
      <w:bookmarkStart w:id="4063" w:name="_Toc394035529"/>
      <w:bookmarkStart w:id="4064" w:name="_Toc1939726881"/>
      <w:bookmarkStart w:id="4065" w:name="_Toc1701265332"/>
      <w:bookmarkStart w:id="4066" w:name="_Toc1218952332"/>
      <w:bookmarkStart w:id="4067" w:name="_Toc235456607"/>
      <w:bookmarkStart w:id="4068" w:name="_Toc1558822006"/>
      <w:bookmarkStart w:id="4069" w:name="_Toc1054618288"/>
      <w:bookmarkStart w:id="4070" w:name="_Toc334912727"/>
      <w:bookmarkStart w:id="4071" w:name="_Toc356661012"/>
      <w:bookmarkStart w:id="4072" w:name="_Toc599499626"/>
      <w:bookmarkStart w:id="4073" w:name="_Toc970710344"/>
      <w:bookmarkStart w:id="4074" w:name="_Toc1083406790"/>
      <w:bookmarkStart w:id="4075" w:name="_Toc85605100"/>
      <w:bookmarkStart w:id="4076" w:name="_Toc865264151"/>
      <w:bookmarkStart w:id="4077" w:name="_Toc16959255"/>
      <w:bookmarkStart w:id="4078" w:name="_Toc401042162"/>
      <w:bookmarkStart w:id="4079" w:name="_Toc724382458"/>
      <w:bookmarkStart w:id="4080" w:name="_Toc662140084"/>
      <w:bookmarkStart w:id="4081" w:name="_Toc913524197"/>
      <w:bookmarkStart w:id="4082" w:name="_Toc527113010"/>
      <w:bookmarkStart w:id="4083" w:name="_Toc980323155"/>
      <w:bookmarkStart w:id="4084" w:name="_Toc943371851"/>
      <w:bookmarkStart w:id="4085" w:name="_Toc2072436503"/>
      <w:bookmarkStart w:id="4086" w:name="_Toc100774673"/>
      <w:bookmarkStart w:id="4087" w:name="_Toc1211004165"/>
      <w:bookmarkStart w:id="4088" w:name="_Toc1086294341"/>
      <w:bookmarkStart w:id="4089" w:name="_Toc1471987613"/>
      <w:bookmarkStart w:id="4090" w:name="_Toc1375311546"/>
      <w:bookmarkStart w:id="4091" w:name="_Toc1623280556"/>
      <w:bookmarkStart w:id="4092" w:name="_Toc274390904"/>
      <w:bookmarkStart w:id="4093" w:name="_Toc153625014"/>
      <w:bookmarkStart w:id="4094" w:name="_Toc928960419"/>
      <w:bookmarkStart w:id="4095" w:name="_Toc471217234"/>
      <w:bookmarkStart w:id="4096" w:name="_Toc1864695207"/>
      <w:bookmarkStart w:id="4097" w:name="_Toc1932464376"/>
      <w:bookmarkStart w:id="4098" w:name="_Toc1332600990"/>
      <w:bookmarkStart w:id="4099" w:name="_Toc1172548143"/>
      <w:bookmarkStart w:id="4100" w:name="_Toc1906702414"/>
      <w:bookmarkStart w:id="4101" w:name="_Toc1185362325"/>
      <w:bookmarkStart w:id="4102" w:name="_Toc1902732522"/>
      <w:bookmarkStart w:id="4103" w:name="_Toc1575348693"/>
      <w:bookmarkStart w:id="4104" w:name="_Toc1485924226"/>
      <w:bookmarkStart w:id="4105" w:name="_Toc1865080822"/>
      <w:bookmarkStart w:id="4106" w:name="_Toc1012496681"/>
      <w:bookmarkStart w:id="4107" w:name="_Toc1747217852"/>
      <w:bookmarkStart w:id="4108" w:name="_Toc715857921"/>
      <w:bookmarkStart w:id="4109" w:name="_Toc2114862207"/>
      <w:bookmarkStart w:id="4110" w:name="_Toc2125930685"/>
      <w:bookmarkStart w:id="4111" w:name="_Toc725253668"/>
      <w:bookmarkStart w:id="4112" w:name="_Toc510019241"/>
      <w:bookmarkStart w:id="4113" w:name="_Toc2073833649"/>
      <w:bookmarkStart w:id="4114" w:name="_Toc96602672"/>
      <w:bookmarkStart w:id="4115" w:name="_Toc1886634513"/>
      <w:bookmarkStart w:id="4116" w:name="_Toc1789235612"/>
      <w:bookmarkStart w:id="4117" w:name="_Toc1705101735"/>
      <w:bookmarkStart w:id="4118" w:name="_Toc1962638298"/>
      <w:bookmarkStart w:id="4119" w:name="_Toc545285109"/>
      <w:bookmarkStart w:id="4120" w:name="_Toc307197603"/>
      <w:bookmarkStart w:id="4121" w:name="_Toc1533622781"/>
      <w:bookmarkStart w:id="4122" w:name="_Toc1322119285"/>
      <w:bookmarkStart w:id="4123" w:name="_Toc1826980034"/>
      <w:bookmarkStart w:id="4124" w:name="_Toc1066386165"/>
      <w:bookmarkStart w:id="4125" w:name="_Toc538945504"/>
      <w:bookmarkStart w:id="4126" w:name="_Toc1482875170"/>
      <w:bookmarkStart w:id="4127" w:name="_Toc1495449530"/>
      <w:bookmarkStart w:id="4128" w:name="_Toc1945148651"/>
      <w:bookmarkStart w:id="4129" w:name="_Toc1432729477"/>
      <w:bookmarkStart w:id="4130" w:name="_Toc127429240"/>
      <w:bookmarkStart w:id="4131" w:name="_Toc244300361"/>
      <w:bookmarkStart w:id="4132" w:name="_Toc1135978257"/>
      <w:bookmarkStart w:id="4133" w:name="_Toc894653090"/>
      <w:bookmarkStart w:id="4134" w:name="_Toc1574010532"/>
      <w:bookmarkStart w:id="4135" w:name="_Toc1904707695"/>
      <w:bookmarkStart w:id="4136" w:name="_Toc999769681"/>
      <w:bookmarkStart w:id="4137" w:name="_Toc1122723402"/>
      <w:bookmarkStart w:id="4138" w:name="_Toc732248324"/>
      <w:bookmarkStart w:id="4139" w:name="_Toc954801412"/>
      <w:bookmarkStart w:id="4140" w:name="_Toc1686955075"/>
      <w:bookmarkStart w:id="4141" w:name="_Toc91252382"/>
      <w:bookmarkStart w:id="4142" w:name="_Toc782590087"/>
      <w:bookmarkStart w:id="4143" w:name="_Toc1459560510"/>
    </w:p>
    <w:p w14:paraId="6B0B6800" w14:textId="20E919CA" w:rsidR="000E7A5A" w:rsidRPr="00F425EA" w:rsidRDefault="00306071" w:rsidP="00E247FF">
      <w:pPr>
        <w:pStyle w:val="Naslov10"/>
        <w:pageBreakBefore/>
        <w:spacing w:line="276" w:lineRule="auto"/>
        <w:ind w:left="567" w:hanging="567"/>
        <w:rPr>
          <w:rFonts w:cs="Arial"/>
        </w:rPr>
      </w:pPr>
      <w:bookmarkStart w:id="4144" w:name="_Toc187739370"/>
      <w:bookmarkStart w:id="4145" w:name="_Toc187740117"/>
      <w:bookmarkStart w:id="4146" w:name="_Toc192682027"/>
      <w:r w:rsidRPr="00F425EA">
        <w:rPr>
          <w:rFonts w:cs="Arial"/>
        </w:rPr>
        <w:lastRenderedPageBreak/>
        <w:t xml:space="preserve">7. </w:t>
      </w:r>
      <w:r w:rsidR="005A12CC" w:rsidRPr="00F425EA">
        <w:rPr>
          <w:rFonts w:cs="Arial"/>
          <w:caps w:val="0"/>
        </w:rPr>
        <w:t>PREGLED DOSEGANJA MEJNIKOV IN CILJEV</w:t>
      </w:r>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p>
    <w:p w14:paraId="2FA1BBD7" w14:textId="77777777" w:rsidR="000E7A5A" w:rsidRPr="00F425EA" w:rsidRDefault="000E7A5A" w:rsidP="00623803">
      <w:pPr>
        <w:spacing w:after="0" w:line="276" w:lineRule="auto"/>
        <w:jc w:val="both"/>
        <w:rPr>
          <w:rFonts w:cs="Arial"/>
        </w:rPr>
      </w:pPr>
    </w:p>
    <w:p w14:paraId="6AAFFA0C" w14:textId="2DFE90B9" w:rsidR="000E7A5A" w:rsidRPr="00F425EA" w:rsidRDefault="0EE92F69" w:rsidP="000B2C28">
      <w:pPr>
        <w:pStyle w:val="Naslov2"/>
      </w:pPr>
      <w:bookmarkStart w:id="4147" w:name="_Toc192682028"/>
      <w:r>
        <w:t>7.1</w:t>
      </w:r>
      <w:r w:rsidR="00306071">
        <w:tab/>
      </w:r>
      <w:r w:rsidR="7C9B9F62">
        <w:t>NAPREDEK PRI DOSEGANJU MEJNIKOV IN CILJEV</w:t>
      </w:r>
      <w:bookmarkEnd w:id="4147"/>
    </w:p>
    <w:p w14:paraId="7C18A17B" w14:textId="77777777" w:rsidR="000E7A5A" w:rsidRPr="00F425EA" w:rsidRDefault="000E7A5A" w:rsidP="00623803">
      <w:pPr>
        <w:spacing w:after="0" w:line="276" w:lineRule="auto"/>
        <w:jc w:val="both"/>
        <w:rPr>
          <w:rFonts w:cs="Arial"/>
        </w:rPr>
      </w:pPr>
    </w:p>
    <w:p w14:paraId="426517BD" w14:textId="0CD185D5" w:rsidR="00257B7F" w:rsidRPr="00257B7F" w:rsidRDefault="17FE250C" w:rsidP="00257B7F">
      <w:pPr>
        <w:spacing w:after="0" w:line="276" w:lineRule="auto"/>
        <w:jc w:val="both"/>
        <w:rPr>
          <w:rFonts w:cs="Arial"/>
        </w:rPr>
      </w:pPr>
      <w:r w:rsidRPr="00F7FCEE">
        <w:rPr>
          <w:rFonts w:cs="Arial"/>
        </w:rPr>
        <w:t>Stanje izvajanja PEKP 21–27 na dan 31. 1</w:t>
      </w:r>
      <w:r w:rsidR="1B386800" w:rsidRPr="00F7FCEE">
        <w:rPr>
          <w:rFonts w:cs="Arial"/>
        </w:rPr>
        <w:t>2</w:t>
      </w:r>
      <w:r w:rsidRPr="00F7FCEE">
        <w:rPr>
          <w:rFonts w:cs="Arial"/>
        </w:rPr>
        <w:t xml:space="preserve">. 2024 kaže, da je bilo z odločitvami o podpori skupno dodeljenih </w:t>
      </w:r>
      <w:r w:rsidR="1B386800" w:rsidRPr="00F7FCEE">
        <w:rPr>
          <w:rFonts w:cs="Arial"/>
        </w:rPr>
        <w:t>791.314.116</w:t>
      </w:r>
      <w:r w:rsidRPr="00F7FCEE">
        <w:rPr>
          <w:rFonts w:cs="Arial"/>
        </w:rPr>
        <w:t xml:space="preserve"> EUR evropskih sredstev oziroma 2</w:t>
      </w:r>
      <w:r w:rsidR="1B386800" w:rsidRPr="00F7FCEE">
        <w:rPr>
          <w:rFonts w:cs="Arial"/>
        </w:rPr>
        <w:t>5</w:t>
      </w:r>
      <w:r w:rsidRPr="00F7FCEE">
        <w:rPr>
          <w:rFonts w:cs="Arial"/>
        </w:rPr>
        <w:t xml:space="preserve"> % razpoložljivih sredstev, iz proračuna RS pa je bilo izplačanih le </w:t>
      </w:r>
      <w:r w:rsidR="0D7C2C2B" w:rsidRPr="00F7FCEE">
        <w:rPr>
          <w:rFonts w:cs="Arial"/>
        </w:rPr>
        <w:t>74.248.266</w:t>
      </w:r>
      <w:r w:rsidRPr="00F7FCEE">
        <w:rPr>
          <w:rFonts w:cs="Arial"/>
        </w:rPr>
        <w:t xml:space="preserve"> EUR oziroma 2 % razpoložljivih sredstev. </w:t>
      </w:r>
    </w:p>
    <w:p w14:paraId="7B92E59F" w14:textId="0E5387B4" w:rsidR="00105179" w:rsidRDefault="00105179" w:rsidP="005779A0">
      <w:pPr>
        <w:spacing w:after="0" w:line="276" w:lineRule="auto"/>
        <w:jc w:val="both"/>
        <w:rPr>
          <w:szCs w:val="20"/>
          <w:lang w:eastAsia="ja-JP"/>
        </w:rPr>
      </w:pPr>
      <w:r>
        <w:rPr>
          <w:rFonts w:ascii="Calibri" w:hAnsi="Calibri"/>
        </w:rPr>
        <w:fldChar w:fldCharType="begin"/>
      </w:r>
      <w:r>
        <w:instrText xml:space="preserve"> LINK Excel.Sheet.12 "C:\\Users\\VrtovecJ60\\AppData\\Local\\Microsoft\\Windows\\INetCache\\Content.Outlook\\ECPKPESU\\Podatki po SC_31122024 (002).xlsx" "List1!R1C1:R60C11" \a \f 4 \h  \* MERGEFORMAT </w:instrText>
      </w:r>
      <w:r>
        <w:rPr>
          <w:rFonts w:ascii="Calibri" w:hAnsi="Calibri"/>
        </w:rPr>
        <w:fldChar w:fldCharType="separate"/>
      </w:r>
    </w:p>
    <w:p w14:paraId="5441D259" w14:textId="4FDF2818" w:rsidR="0050269E" w:rsidRDefault="0050269E" w:rsidP="0050269E">
      <w:pPr>
        <w:pStyle w:val="Napis"/>
        <w:keepNext/>
        <w:spacing w:after="0"/>
        <w:rPr>
          <w:rFonts w:cs="Arial"/>
          <w:b w:val="0"/>
          <w:bCs w:val="0"/>
          <w:sz w:val="18"/>
          <w:szCs w:val="18"/>
        </w:rPr>
      </w:pPr>
      <w:bookmarkStart w:id="4148" w:name="_Toc191379200"/>
      <w:r w:rsidRPr="0050269E">
        <w:rPr>
          <w:rFonts w:cs="Arial"/>
          <w:b w:val="0"/>
          <w:bCs w:val="0"/>
          <w:sz w:val="18"/>
          <w:szCs w:val="18"/>
        </w:rPr>
        <w:t xml:space="preserve">Tabela </w:t>
      </w:r>
      <w:r w:rsidRPr="0050269E">
        <w:rPr>
          <w:rFonts w:cs="Arial"/>
          <w:b w:val="0"/>
          <w:bCs w:val="0"/>
          <w:sz w:val="18"/>
          <w:szCs w:val="18"/>
        </w:rPr>
        <w:fldChar w:fldCharType="begin"/>
      </w:r>
      <w:r w:rsidRPr="0050269E">
        <w:rPr>
          <w:rFonts w:cs="Arial"/>
          <w:b w:val="0"/>
          <w:bCs w:val="0"/>
          <w:sz w:val="18"/>
          <w:szCs w:val="18"/>
        </w:rPr>
        <w:instrText xml:space="preserve"> SEQ Tabela \* ARABIC </w:instrText>
      </w:r>
      <w:r w:rsidRPr="0050269E">
        <w:rPr>
          <w:rFonts w:cs="Arial"/>
          <w:b w:val="0"/>
          <w:bCs w:val="0"/>
          <w:sz w:val="18"/>
          <w:szCs w:val="18"/>
        </w:rPr>
        <w:fldChar w:fldCharType="separate"/>
      </w:r>
      <w:r w:rsidR="00064E01">
        <w:rPr>
          <w:rFonts w:cs="Arial"/>
          <w:b w:val="0"/>
          <w:bCs w:val="0"/>
          <w:noProof/>
          <w:sz w:val="18"/>
          <w:szCs w:val="18"/>
        </w:rPr>
        <w:t>11</w:t>
      </w:r>
      <w:r w:rsidRPr="0050269E">
        <w:rPr>
          <w:rFonts w:cs="Arial"/>
          <w:b w:val="0"/>
          <w:bCs w:val="0"/>
          <w:sz w:val="18"/>
          <w:szCs w:val="18"/>
        </w:rPr>
        <w:fldChar w:fldCharType="end"/>
      </w:r>
      <w:r w:rsidRPr="0050269E">
        <w:rPr>
          <w:rFonts w:cs="Arial"/>
          <w:b w:val="0"/>
          <w:bCs w:val="0"/>
          <w:sz w:val="18"/>
          <w:szCs w:val="18"/>
        </w:rPr>
        <w:t>: Stanje izvajanja na dan 31. 12. 2024</w:t>
      </w:r>
      <w:bookmarkEnd w:id="4148"/>
    </w:p>
    <w:p w14:paraId="15522741" w14:textId="77777777" w:rsidR="006A227B" w:rsidRPr="006A227B" w:rsidRDefault="006A227B" w:rsidP="006A227B">
      <w:pPr>
        <w:spacing w:after="0"/>
      </w:pPr>
    </w:p>
    <w:tbl>
      <w:tblPr>
        <w:tblW w:w="15021" w:type="dxa"/>
        <w:jc w:val="center"/>
        <w:tblCellMar>
          <w:left w:w="70" w:type="dxa"/>
          <w:right w:w="70" w:type="dxa"/>
        </w:tblCellMar>
        <w:tblLook w:val="04A0" w:firstRow="1" w:lastRow="0" w:firstColumn="1" w:lastColumn="0" w:noHBand="0" w:noVBand="1"/>
      </w:tblPr>
      <w:tblGrid>
        <w:gridCol w:w="910"/>
        <w:gridCol w:w="910"/>
        <w:gridCol w:w="910"/>
        <w:gridCol w:w="1330"/>
        <w:gridCol w:w="1747"/>
        <w:gridCol w:w="2268"/>
        <w:gridCol w:w="1276"/>
        <w:gridCol w:w="1984"/>
        <w:gridCol w:w="993"/>
        <w:gridCol w:w="1984"/>
        <w:gridCol w:w="709"/>
      </w:tblGrid>
      <w:tr w:rsidR="00105179" w:rsidRPr="0050269E" w14:paraId="659B9AAC" w14:textId="77777777" w:rsidTr="00A7284C">
        <w:trPr>
          <w:trHeight w:val="599"/>
          <w:jc w:val="center"/>
        </w:trPr>
        <w:tc>
          <w:tcPr>
            <w:tcW w:w="91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677E8195" w14:textId="389D09EF" w:rsidR="00105179" w:rsidRPr="00AB429E" w:rsidRDefault="00105179" w:rsidP="00105179">
            <w:pPr>
              <w:suppressAutoHyphens w:val="0"/>
              <w:autoSpaceDN/>
              <w:spacing w:after="0" w:line="240" w:lineRule="auto"/>
              <w:jc w:val="center"/>
              <w:rPr>
                <w:rFonts w:cs="Arial"/>
                <w:b/>
                <w:bCs/>
                <w:color w:val="000000"/>
                <w:sz w:val="18"/>
                <w:szCs w:val="18"/>
              </w:rPr>
            </w:pPr>
            <w:r w:rsidRPr="00AB429E">
              <w:rPr>
                <w:rFonts w:cs="Arial"/>
                <w:b/>
                <w:bCs/>
                <w:color w:val="000000"/>
                <w:sz w:val="18"/>
                <w:szCs w:val="18"/>
              </w:rPr>
              <w:t>PN</w:t>
            </w:r>
          </w:p>
        </w:tc>
        <w:tc>
          <w:tcPr>
            <w:tcW w:w="910" w:type="dxa"/>
            <w:tcBorders>
              <w:top w:val="single" w:sz="4" w:space="0" w:color="auto"/>
              <w:left w:val="nil"/>
              <w:bottom w:val="single" w:sz="4" w:space="0" w:color="auto"/>
              <w:right w:val="single" w:sz="4" w:space="0" w:color="auto"/>
            </w:tcBorders>
            <w:shd w:val="clear" w:color="000000" w:fill="D9E1F2"/>
            <w:noWrap/>
            <w:vAlign w:val="bottom"/>
            <w:hideMark/>
          </w:tcPr>
          <w:p w14:paraId="7B3E0E69" w14:textId="77777777" w:rsidR="00105179" w:rsidRPr="00AB429E" w:rsidRDefault="00105179" w:rsidP="00105179">
            <w:pPr>
              <w:suppressAutoHyphens w:val="0"/>
              <w:autoSpaceDN/>
              <w:spacing w:after="0" w:line="240" w:lineRule="auto"/>
              <w:jc w:val="center"/>
              <w:rPr>
                <w:rFonts w:cs="Arial"/>
                <w:b/>
                <w:bCs/>
                <w:color w:val="000000"/>
                <w:sz w:val="18"/>
                <w:szCs w:val="18"/>
              </w:rPr>
            </w:pPr>
            <w:r w:rsidRPr="00AB429E">
              <w:rPr>
                <w:rFonts w:cs="Arial"/>
                <w:b/>
                <w:bCs/>
                <w:color w:val="000000"/>
                <w:sz w:val="18"/>
                <w:szCs w:val="18"/>
              </w:rPr>
              <w:t>SC</w:t>
            </w:r>
          </w:p>
        </w:tc>
        <w:tc>
          <w:tcPr>
            <w:tcW w:w="910" w:type="dxa"/>
            <w:tcBorders>
              <w:top w:val="single" w:sz="4" w:space="0" w:color="auto"/>
              <w:left w:val="nil"/>
              <w:bottom w:val="single" w:sz="4" w:space="0" w:color="auto"/>
              <w:right w:val="single" w:sz="4" w:space="0" w:color="auto"/>
            </w:tcBorders>
            <w:shd w:val="clear" w:color="000000" w:fill="D9E1F2"/>
            <w:noWrap/>
            <w:vAlign w:val="bottom"/>
            <w:hideMark/>
          </w:tcPr>
          <w:p w14:paraId="16BBD7D2" w14:textId="77777777" w:rsidR="00105179" w:rsidRPr="00AB429E" w:rsidRDefault="00105179" w:rsidP="00105179">
            <w:pPr>
              <w:suppressAutoHyphens w:val="0"/>
              <w:autoSpaceDN/>
              <w:spacing w:after="0" w:line="240" w:lineRule="auto"/>
              <w:jc w:val="center"/>
              <w:rPr>
                <w:rFonts w:cs="Arial"/>
                <w:b/>
                <w:bCs/>
                <w:color w:val="000000"/>
                <w:sz w:val="18"/>
                <w:szCs w:val="18"/>
              </w:rPr>
            </w:pPr>
            <w:r w:rsidRPr="00AB429E">
              <w:rPr>
                <w:rFonts w:cs="Arial"/>
                <w:b/>
                <w:bCs/>
                <w:color w:val="000000"/>
                <w:sz w:val="18"/>
                <w:szCs w:val="18"/>
              </w:rPr>
              <w:t>SKLAD</w:t>
            </w:r>
          </w:p>
        </w:tc>
        <w:tc>
          <w:tcPr>
            <w:tcW w:w="1330" w:type="dxa"/>
            <w:tcBorders>
              <w:top w:val="single" w:sz="4" w:space="0" w:color="auto"/>
              <w:left w:val="nil"/>
              <w:bottom w:val="single" w:sz="4" w:space="0" w:color="auto"/>
              <w:right w:val="single" w:sz="4" w:space="0" w:color="auto"/>
            </w:tcBorders>
            <w:shd w:val="clear" w:color="000000" w:fill="D9E1F2"/>
            <w:noWrap/>
            <w:vAlign w:val="bottom"/>
            <w:hideMark/>
          </w:tcPr>
          <w:p w14:paraId="3F534890" w14:textId="77777777" w:rsidR="00105179" w:rsidRPr="00AB429E" w:rsidRDefault="00105179" w:rsidP="00105179">
            <w:pPr>
              <w:suppressAutoHyphens w:val="0"/>
              <w:autoSpaceDN/>
              <w:spacing w:after="0" w:line="240" w:lineRule="auto"/>
              <w:jc w:val="center"/>
              <w:rPr>
                <w:rFonts w:cs="Arial"/>
                <w:b/>
                <w:bCs/>
                <w:color w:val="000000"/>
                <w:sz w:val="18"/>
                <w:szCs w:val="18"/>
              </w:rPr>
            </w:pPr>
            <w:r w:rsidRPr="00AB429E">
              <w:rPr>
                <w:rFonts w:cs="Arial"/>
                <w:b/>
                <w:bCs/>
                <w:color w:val="000000"/>
                <w:sz w:val="18"/>
                <w:szCs w:val="18"/>
              </w:rPr>
              <w:t>REGIJA</w:t>
            </w:r>
          </w:p>
        </w:tc>
        <w:tc>
          <w:tcPr>
            <w:tcW w:w="1747" w:type="dxa"/>
            <w:tcBorders>
              <w:top w:val="single" w:sz="4" w:space="0" w:color="auto"/>
              <w:left w:val="nil"/>
              <w:bottom w:val="single" w:sz="4" w:space="0" w:color="auto"/>
              <w:right w:val="single" w:sz="4" w:space="0" w:color="auto"/>
            </w:tcBorders>
            <w:shd w:val="clear" w:color="000000" w:fill="D9E1F2"/>
            <w:vAlign w:val="bottom"/>
            <w:hideMark/>
          </w:tcPr>
          <w:p w14:paraId="79139BC5" w14:textId="77777777" w:rsidR="00105179" w:rsidRPr="00AB429E" w:rsidRDefault="00105179" w:rsidP="00105179">
            <w:pPr>
              <w:suppressAutoHyphens w:val="0"/>
              <w:autoSpaceDN/>
              <w:spacing w:after="0" w:line="240" w:lineRule="auto"/>
              <w:jc w:val="center"/>
              <w:rPr>
                <w:rFonts w:cs="Arial"/>
                <w:b/>
                <w:bCs/>
                <w:color w:val="000000"/>
                <w:sz w:val="18"/>
                <w:szCs w:val="18"/>
              </w:rPr>
            </w:pPr>
            <w:r w:rsidRPr="00AB429E">
              <w:rPr>
                <w:rFonts w:cs="Arial"/>
                <w:b/>
                <w:bCs/>
                <w:color w:val="000000"/>
                <w:sz w:val="18"/>
                <w:szCs w:val="18"/>
              </w:rPr>
              <w:t>PRAVICE PORABE brez TP</w:t>
            </w:r>
          </w:p>
        </w:tc>
        <w:tc>
          <w:tcPr>
            <w:tcW w:w="2268" w:type="dxa"/>
            <w:tcBorders>
              <w:top w:val="single" w:sz="4" w:space="0" w:color="auto"/>
              <w:left w:val="nil"/>
              <w:bottom w:val="single" w:sz="4" w:space="0" w:color="auto"/>
              <w:right w:val="single" w:sz="4" w:space="0" w:color="auto"/>
            </w:tcBorders>
            <w:shd w:val="clear" w:color="000000" w:fill="D9E1F2"/>
            <w:vAlign w:val="bottom"/>
            <w:hideMark/>
          </w:tcPr>
          <w:p w14:paraId="004BBE25" w14:textId="77777777" w:rsidR="00105179" w:rsidRPr="00AB429E" w:rsidRDefault="00105179" w:rsidP="00105179">
            <w:pPr>
              <w:suppressAutoHyphens w:val="0"/>
              <w:autoSpaceDN/>
              <w:spacing w:after="0" w:line="240" w:lineRule="auto"/>
              <w:jc w:val="center"/>
              <w:rPr>
                <w:rFonts w:cs="Arial"/>
                <w:b/>
                <w:bCs/>
                <w:color w:val="000000"/>
                <w:sz w:val="18"/>
                <w:szCs w:val="18"/>
              </w:rPr>
            </w:pPr>
            <w:r w:rsidRPr="00AB429E">
              <w:rPr>
                <w:rFonts w:cs="Arial"/>
                <w:b/>
                <w:bCs/>
                <w:color w:val="000000"/>
                <w:sz w:val="18"/>
                <w:szCs w:val="18"/>
              </w:rPr>
              <w:t>ODLOČITVE O PODPORI 31.12.2024</w:t>
            </w:r>
          </w:p>
        </w:tc>
        <w:tc>
          <w:tcPr>
            <w:tcW w:w="1276" w:type="dxa"/>
            <w:tcBorders>
              <w:top w:val="single" w:sz="4" w:space="0" w:color="auto"/>
              <w:left w:val="nil"/>
              <w:bottom w:val="single" w:sz="4" w:space="0" w:color="auto"/>
              <w:right w:val="single" w:sz="4" w:space="0" w:color="auto"/>
            </w:tcBorders>
            <w:shd w:val="clear" w:color="000000" w:fill="D9E1F2"/>
            <w:vAlign w:val="bottom"/>
            <w:hideMark/>
          </w:tcPr>
          <w:p w14:paraId="74CA425E" w14:textId="77777777" w:rsidR="00105179" w:rsidRPr="00AB429E" w:rsidRDefault="00105179" w:rsidP="00105179">
            <w:pPr>
              <w:suppressAutoHyphens w:val="0"/>
              <w:autoSpaceDN/>
              <w:spacing w:after="0" w:line="240" w:lineRule="auto"/>
              <w:jc w:val="center"/>
              <w:rPr>
                <w:rFonts w:cs="Arial"/>
                <w:b/>
                <w:bCs/>
                <w:color w:val="000000"/>
                <w:sz w:val="18"/>
                <w:szCs w:val="18"/>
              </w:rPr>
            </w:pPr>
            <w:r w:rsidRPr="00AB429E">
              <w:rPr>
                <w:rFonts w:cs="Arial"/>
                <w:b/>
                <w:bCs/>
                <w:color w:val="000000"/>
                <w:sz w:val="18"/>
                <w:szCs w:val="18"/>
              </w:rPr>
              <w:t>%</w:t>
            </w:r>
          </w:p>
        </w:tc>
        <w:tc>
          <w:tcPr>
            <w:tcW w:w="1984" w:type="dxa"/>
            <w:tcBorders>
              <w:top w:val="single" w:sz="4" w:space="0" w:color="auto"/>
              <w:left w:val="nil"/>
              <w:bottom w:val="single" w:sz="4" w:space="0" w:color="auto"/>
              <w:right w:val="single" w:sz="4" w:space="0" w:color="auto"/>
            </w:tcBorders>
            <w:shd w:val="clear" w:color="000000" w:fill="D9E1F2"/>
            <w:vAlign w:val="bottom"/>
            <w:hideMark/>
          </w:tcPr>
          <w:p w14:paraId="0E610172" w14:textId="77777777" w:rsidR="00105179" w:rsidRPr="00AB429E" w:rsidRDefault="00105179" w:rsidP="00105179">
            <w:pPr>
              <w:suppressAutoHyphens w:val="0"/>
              <w:autoSpaceDN/>
              <w:spacing w:after="0" w:line="240" w:lineRule="auto"/>
              <w:jc w:val="center"/>
              <w:rPr>
                <w:rFonts w:cs="Arial"/>
                <w:b/>
                <w:bCs/>
                <w:color w:val="000000"/>
                <w:sz w:val="18"/>
                <w:szCs w:val="18"/>
              </w:rPr>
            </w:pPr>
            <w:r w:rsidRPr="00AB429E">
              <w:rPr>
                <w:rFonts w:cs="Arial"/>
                <w:b/>
                <w:bCs/>
                <w:color w:val="000000"/>
                <w:sz w:val="18"/>
                <w:szCs w:val="18"/>
              </w:rPr>
              <w:t>POTRJENE OPERACIJE 31.12.2024</w:t>
            </w:r>
          </w:p>
        </w:tc>
        <w:tc>
          <w:tcPr>
            <w:tcW w:w="993" w:type="dxa"/>
            <w:tcBorders>
              <w:top w:val="single" w:sz="4" w:space="0" w:color="auto"/>
              <w:left w:val="nil"/>
              <w:bottom w:val="single" w:sz="4" w:space="0" w:color="auto"/>
              <w:right w:val="single" w:sz="4" w:space="0" w:color="auto"/>
            </w:tcBorders>
            <w:shd w:val="clear" w:color="000000" w:fill="D9E1F2"/>
            <w:vAlign w:val="bottom"/>
            <w:hideMark/>
          </w:tcPr>
          <w:p w14:paraId="3A81267D" w14:textId="77777777" w:rsidR="00105179" w:rsidRPr="00AB429E" w:rsidRDefault="00105179" w:rsidP="00105179">
            <w:pPr>
              <w:suppressAutoHyphens w:val="0"/>
              <w:autoSpaceDN/>
              <w:spacing w:after="0" w:line="240" w:lineRule="auto"/>
              <w:jc w:val="center"/>
              <w:rPr>
                <w:rFonts w:cs="Arial"/>
                <w:b/>
                <w:bCs/>
                <w:color w:val="000000"/>
                <w:sz w:val="18"/>
                <w:szCs w:val="18"/>
              </w:rPr>
            </w:pPr>
            <w:r w:rsidRPr="00AB429E">
              <w:rPr>
                <w:rFonts w:cs="Arial"/>
                <w:b/>
                <w:bCs/>
                <w:color w:val="000000"/>
                <w:sz w:val="18"/>
                <w:szCs w:val="18"/>
              </w:rPr>
              <w:t>%</w:t>
            </w:r>
          </w:p>
        </w:tc>
        <w:tc>
          <w:tcPr>
            <w:tcW w:w="1984" w:type="dxa"/>
            <w:tcBorders>
              <w:top w:val="single" w:sz="4" w:space="0" w:color="auto"/>
              <w:left w:val="nil"/>
              <w:bottom w:val="single" w:sz="4" w:space="0" w:color="auto"/>
              <w:right w:val="single" w:sz="4" w:space="0" w:color="auto"/>
            </w:tcBorders>
            <w:shd w:val="clear" w:color="000000" w:fill="D9E1F2"/>
            <w:vAlign w:val="bottom"/>
            <w:hideMark/>
          </w:tcPr>
          <w:p w14:paraId="07AE6C78" w14:textId="77777777" w:rsidR="00105179" w:rsidRPr="00AB429E" w:rsidRDefault="00105179" w:rsidP="00105179">
            <w:pPr>
              <w:suppressAutoHyphens w:val="0"/>
              <w:autoSpaceDN/>
              <w:spacing w:after="0" w:line="240" w:lineRule="auto"/>
              <w:jc w:val="center"/>
              <w:rPr>
                <w:rFonts w:cs="Arial"/>
                <w:b/>
                <w:bCs/>
                <w:color w:val="000000"/>
                <w:sz w:val="18"/>
                <w:szCs w:val="18"/>
              </w:rPr>
            </w:pPr>
            <w:r w:rsidRPr="00AB429E">
              <w:rPr>
                <w:rFonts w:cs="Arial"/>
                <w:b/>
                <w:bCs/>
                <w:color w:val="000000"/>
                <w:sz w:val="18"/>
                <w:szCs w:val="18"/>
              </w:rPr>
              <w:t>IZPLAČILA IZ DP 31.12.2024</w:t>
            </w:r>
          </w:p>
        </w:tc>
        <w:tc>
          <w:tcPr>
            <w:tcW w:w="709" w:type="dxa"/>
            <w:tcBorders>
              <w:top w:val="single" w:sz="4" w:space="0" w:color="auto"/>
              <w:left w:val="nil"/>
              <w:bottom w:val="single" w:sz="4" w:space="0" w:color="auto"/>
              <w:right w:val="single" w:sz="4" w:space="0" w:color="auto"/>
            </w:tcBorders>
            <w:shd w:val="clear" w:color="000000" w:fill="D9E1F2"/>
            <w:vAlign w:val="bottom"/>
            <w:hideMark/>
          </w:tcPr>
          <w:p w14:paraId="4983F004" w14:textId="77777777" w:rsidR="00105179" w:rsidRPr="00AB429E" w:rsidRDefault="00105179" w:rsidP="00105179">
            <w:pPr>
              <w:suppressAutoHyphens w:val="0"/>
              <w:autoSpaceDN/>
              <w:spacing w:after="0" w:line="240" w:lineRule="auto"/>
              <w:jc w:val="center"/>
              <w:rPr>
                <w:rFonts w:cs="Arial"/>
                <w:b/>
                <w:bCs/>
                <w:color w:val="000000"/>
                <w:sz w:val="18"/>
                <w:szCs w:val="18"/>
              </w:rPr>
            </w:pPr>
            <w:r w:rsidRPr="00AB429E">
              <w:rPr>
                <w:rFonts w:cs="Arial"/>
                <w:b/>
                <w:bCs/>
                <w:color w:val="000000"/>
                <w:sz w:val="18"/>
                <w:szCs w:val="18"/>
              </w:rPr>
              <w:t>%</w:t>
            </w:r>
          </w:p>
        </w:tc>
      </w:tr>
      <w:tr w:rsidR="00105179" w:rsidRPr="0050269E" w14:paraId="0EEB104B" w14:textId="77777777" w:rsidTr="00A7284C">
        <w:trPr>
          <w:trHeight w:val="299"/>
          <w:jc w:val="center"/>
        </w:trPr>
        <w:tc>
          <w:tcPr>
            <w:tcW w:w="910" w:type="dxa"/>
            <w:tcBorders>
              <w:top w:val="nil"/>
              <w:left w:val="single" w:sz="4" w:space="0" w:color="auto"/>
              <w:bottom w:val="single" w:sz="4" w:space="0" w:color="auto"/>
              <w:right w:val="single" w:sz="4" w:space="0" w:color="auto"/>
            </w:tcBorders>
            <w:shd w:val="clear" w:color="auto" w:fill="auto"/>
            <w:noWrap/>
            <w:vAlign w:val="bottom"/>
            <w:hideMark/>
          </w:tcPr>
          <w:p w14:paraId="1D89B4CB"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1</w:t>
            </w:r>
          </w:p>
        </w:tc>
        <w:tc>
          <w:tcPr>
            <w:tcW w:w="910" w:type="dxa"/>
            <w:tcBorders>
              <w:top w:val="nil"/>
              <w:left w:val="nil"/>
              <w:bottom w:val="single" w:sz="4" w:space="0" w:color="auto"/>
              <w:right w:val="single" w:sz="4" w:space="0" w:color="auto"/>
            </w:tcBorders>
            <w:shd w:val="clear" w:color="auto" w:fill="auto"/>
            <w:noWrap/>
            <w:vAlign w:val="bottom"/>
            <w:hideMark/>
          </w:tcPr>
          <w:p w14:paraId="46E99056"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RSO 1.1</w:t>
            </w:r>
          </w:p>
        </w:tc>
        <w:tc>
          <w:tcPr>
            <w:tcW w:w="910" w:type="dxa"/>
            <w:tcBorders>
              <w:top w:val="nil"/>
              <w:left w:val="nil"/>
              <w:bottom w:val="single" w:sz="4" w:space="0" w:color="auto"/>
              <w:right w:val="single" w:sz="4" w:space="0" w:color="auto"/>
            </w:tcBorders>
            <w:shd w:val="clear" w:color="auto" w:fill="auto"/>
            <w:noWrap/>
            <w:vAlign w:val="bottom"/>
            <w:hideMark/>
          </w:tcPr>
          <w:p w14:paraId="0952FCC0"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ESRR</w:t>
            </w:r>
          </w:p>
        </w:tc>
        <w:tc>
          <w:tcPr>
            <w:tcW w:w="1330" w:type="dxa"/>
            <w:tcBorders>
              <w:top w:val="nil"/>
              <w:left w:val="nil"/>
              <w:bottom w:val="single" w:sz="4" w:space="0" w:color="auto"/>
              <w:right w:val="single" w:sz="4" w:space="0" w:color="auto"/>
            </w:tcBorders>
            <w:shd w:val="clear" w:color="auto" w:fill="auto"/>
            <w:noWrap/>
            <w:vAlign w:val="bottom"/>
            <w:hideMark/>
          </w:tcPr>
          <w:p w14:paraId="4FB70C7E"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Vzhod</w:t>
            </w:r>
          </w:p>
        </w:tc>
        <w:tc>
          <w:tcPr>
            <w:tcW w:w="1747" w:type="dxa"/>
            <w:tcBorders>
              <w:top w:val="nil"/>
              <w:left w:val="nil"/>
              <w:bottom w:val="single" w:sz="4" w:space="0" w:color="auto"/>
              <w:right w:val="single" w:sz="4" w:space="0" w:color="auto"/>
            </w:tcBorders>
            <w:shd w:val="clear" w:color="auto" w:fill="auto"/>
            <w:noWrap/>
            <w:vAlign w:val="bottom"/>
            <w:hideMark/>
          </w:tcPr>
          <w:p w14:paraId="3C672733" w14:textId="77777777" w:rsidR="00105179" w:rsidRPr="00AB429E" w:rsidRDefault="00105179" w:rsidP="00105179">
            <w:pPr>
              <w:suppressAutoHyphens w:val="0"/>
              <w:autoSpaceDN/>
              <w:spacing w:after="0" w:line="240" w:lineRule="auto"/>
              <w:jc w:val="right"/>
              <w:rPr>
                <w:rFonts w:cs="Arial"/>
                <w:sz w:val="18"/>
                <w:szCs w:val="18"/>
              </w:rPr>
            </w:pPr>
            <w:r w:rsidRPr="00AB429E">
              <w:rPr>
                <w:rFonts w:cs="Arial"/>
                <w:sz w:val="18"/>
                <w:szCs w:val="18"/>
              </w:rPr>
              <w:t>281.620.000</w:t>
            </w:r>
          </w:p>
        </w:tc>
        <w:tc>
          <w:tcPr>
            <w:tcW w:w="2268" w:type="dxa"/>
            <w:tcBorders>
              <w:top w:val="nil"/>
              <w:left w:val="nil"/>
              <w:bottom w:val="single" w:sz="4" w:space="0" w:color="auto"/>
              <w:right w:val="single" w:sz="4" w:space="0" w:color="auto"/>
            </w:tcBorders>
            <w:shd w:val="clear" w:color="auto" w:fill="auto"/>
            <w:noWrap/>
            <w:vAlign w:val="bottom"/>
            <w:hideMark/>
          </w:tcPr>
          <w:p w14:paraId="5C5798CE"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6.859.620</w:t>
            </w:r>
          </w:p>
        </w:tc>
        <w:tc>
          <w:tcPr>
            <w:tcW w:w="1276" w:type="dxa"/>
            <w:tcBorders>
              <w:top w:val="nil"/>
              <w:left w:val="nil"/>
              <w:bottom w:val="single" w:sz="4" w:space="0" w:color="auto"/>
              <w:right w:val="single" w:sz="4" w:space="0" w:color="auto"/>
            </w:tcBorders>
            <w:shd w:val="clear" w:color="auto" w:fill="auto"/>
            <w:noWrap/>
            <w:vAlign w:val="bottom"/>
            <w:hideMark/>
          </w:tcPr>
          <w:p w14:paraId="278E0967"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2%</w:t>
            </w:r>
          </w:p>
        </w:tc>
        <w:tc>
          <w:tcPr>
            <w:tcW w:w="1984" w:type="dxa"/>
            <w:tcBorders>
              <w:top w:val="nil"/>
              <w:left w:val="nil"/>
              <w:bottom w:val="single" w:sz="4" w:space="0" w:color="auto"/>
              <w:right w:val="single" w:sz="4" w:space="0" w:color="auto"/>
            </w:tcBorders>
            <w:shd w:val="clear" w:color="auto" w:fill="auto"/>
            <w:noWrap/>
            <w:vAlign w:val="bottom"/>
            <w:hideMark/>
          </w:tcPr>
          <w:p w14:paraId="0F0B83D8"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4.279.199</w:t>
            </w:r>
          </w:p>
        </w:tc>
        <w:tc>
          <w:tcPr>
            <w:tcW w:w="993" w:type="dxa"/>
            <w:tcBorders>
              <w:top w:val="nil"/>
              <w:left w:val="nil"/>
              <w:bottom w:val="single" w:sz="4" w:space="0" w:color="auto"/>
              <w:right w:val="single" w:sz="4" w:space="0" w:color="auto"/>
            </w:tcBorders>
            <w:shd w:val="clear" w:color="auto" w:fill="auto"/>
            <w:noWrap/>
            <w:vAlign w:val="bottom"/>
            <w:hideMark/>
          </w:tcPr>
          <w:p w14:paraId="47CDBDA0"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2%</w:t>
            </w:r>
          </w:p>
        </w:tc>
        <w:tc>
          <w:tcPr>
            <w:tcW w:w="1984" w:type="dxa"/>
            <w:tcBorders>
              <w:top w:val="nil"/>
              <w:left w:val="nil"/>
              <w:bottom w:val="single" w:sz="4" w:space="0" w:color="auto"/>
              <w:right w:val="single" w:sz="4" w:space="0" w:color="auto"/>
            </w:tcBorders>
            <w:shd w:val="clear" w:color="auto" w:fill="auto"/>
            <w:noWrap/>
            <w:vAlign w:val="bottom"/>
            <w:hideMark/>
          </w:tcPr>
          <w:p w14:paraId="3AF079E5"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609.350</w:t>
            </w:r>
          </w:p>
        </w:tc>
        <w:tc>
          <w:tcPr>
            <w:tcW w:w="709" w:type="dxa"/>
            <w:tcBorders>
              <w:top w:val="nil"/>
              <w:left w:val="nil"/>
              <w:bottom w:val="single" w:sz="4" w:space="0" w:color="auto"/>
              <w:right w:val="single" w:sz="4" w:space="0" w:color="auto"/>
            </w:tcBorders>
            <w:shd w:val="clear" w:color="auto" w:fill="auto"/>
            <w:noWrap/>
            <w:vAlign w:val="bottom"/>
            <w:hideMark/>
          </w:tcPr>
          <w:p w14:paraId="368106B5"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r>
      <w:tr w:rsidR="00105179" w:rsidRPr="0050269E" w14:paraId="298CBA44" w14:textId="77777777" w:rsidTr="00A7284C">
        <w:trPr>
          <w:trHeight w:val="299"/>
          <w:jc w:val="center"/>
        </w:trPr>
        <w:tc>
          <w:tcPr>
            <w:tcW w:w="910" w:type="dxa"/>
            <w:tcBorders>
              <w:top w:val="nil"/>
              <w:left w:val="single" w:sz="4" w:space="0" w:color="auto"/>
              <w:bottom w:val="single" w:sz="4" w:space="0" w:color="auto"/>
              <w:right w:val="single" w:sz="4" w:space="0" w:color="auto"/>
            </w:tcBorders>
            <w:shd w:val="clear" w:color="auto" w:fill="auto"/>
            <w:noWrap/>
            <w:vAlign w:val="bottom"/>
            <w:hideMark/>
          </w:tcPr>
          <w:p w14:paraId="6ADCCC1C"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1</w:t>
            </w:r>
          </w:p>
        </w:tc>
        <w:tc>
          <w:tcPr>
            <w:tcW w:w="910" w:type="dxa"/>
            <w:tcBorders>
              <w:top w:val="nil"/>
              <w:left w:val="nil"/>
              <w:bottom w:val="single" w:sz="4" w:space="0" w:color="auto"/>
              <w:right w:val="single" w:sz="4" w:space="0" w:color="auto"/>
            </w:tcBorders>
            <w:shd w:val="clear" w:color="auto" w:fill="auto"/>
            <w:noWrap/>
            <w:vAlign w:val="bottom"/>
            <w:hideMark/>
          </w:tcPr>
          <w:p w14:paraId="338F3739"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RSO 1.1</w:t>
            </w:r>
          </w:p>
        </w:tc>
        <w:tc>
          <w:tcPr>
            <w:tcW w:w="910" w:type="dxa"/>
            <w:tcBorders>
              <w:top w:val="nil"/>
              <w:left w:val="nil"/>
              <w:bottom w:val="single" w:sz="4" w:space="0" w:color="auto"/>
              <w:right w:val="single" w:sz="4" w:space="0" w:color="auto"/>
            </w:tcBorders>
            <w:shd w:val="clear" w:color="auto" w:fill="auto"/>
            <w:noWrap/>
            <w:vAlign w:val="bottom"/>
            <w:hideMark/>
          </w:tcPr>
          <w:p w14:paraId="184652A9"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ESRR</w:t>
            </w:r>
          </w:p>
        </w:tc>
        <w:tc>
          <w:tcPr>
            <w:tcW w:w="1330" w:type="dxa"/>
            <w:tcBorders>
              <w:top w:val="nil"/>
              <w:left w:val="nil"/>
              <w:bottom w:val="single" w:sz="4" w:space="0" w:color="auto"/>
              <w:right w:val="single" w:sz="4" w:space="0" w:color="auto"/>
            </w:tcBorders>
            <w:shd w:val="clear" w:color="auto" w:fill="auto"/>
            <w:noWrap/>
            <w:vAlign w:val="bottom"/>
            <w:hideMark/>
          </w:tcPr>
          <w:p w14:paraId="5CDDE5C6"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Zahod</w:t>
            </w:r>
          </w:p>
        </w:tc>
        <w:tc>
          <w:tcPr>
            <w:tcW w:w="1747" w:type="dxa"/>
            <w:tcBorders>
              <w:top w:val="nil"/>
              <w:left w:val="nil"/>
              <w:bottom w:val="single" w:sz="4" w:space="0" w:color="auto"/>
              <w:right w:val="single" w:sz="4" w:space="0" w:color="auto"/>
            </w:tcBorders>
            <w:shd w:val="clear" w:color="auto" w:fill="auto"/>
            <w:noWrap/>
            <w:vAlign w:val="bottom"/>
            <w:hideMark/>
          </w:tcPr>
          <w:p w14:paraId="47C4C89A" w14:textId="77777777" w:rsidR="00105179" w:rsidRPr="00AB429E" w:rsidRDefault="00105179" w:rsidP="00105179">
            <w:pPr>
              <w:suppressAutoHyphens w:val="0"/>
              <w:autoSpaceDN/>
              <w:spacing w:after="0" w:line="240" w:lineRule="auto"/>
              <w:jc w:val="right"/>
              <w:rPr>
                <w:rFonts w:cs="Arial"/>
                <w:sz w:val="18"/>
                <w:szCs w:val="18"/>
              </w:rPr>
            </w:pPr>
            <w:r w:rsidRPr="00AB429E">
              <w:rPr>
                <w:rFonts w:cs="Arial"/>
                <w:sz w:val="18"/>
                <w:szCs w:val="18"/>
              </w:rPr>
              <w:t>132.270.000</w:t>
            </w:r>
          </w:p>
        </w:tc>
        <w:tc>
          <w:tcPr>
            <w:tcW w:w="2268" w:type="dxa"/>
            <w:tcBorders>
              <w:top w:val="nil"/>
              <w:left w:val="nil"/>
              <w:bottom w:val="single" w:sz="4" w:space="0" w:color="auto"/>
              <w:right w:val="single" w:sz="4" w:space="0" w:color="auto"/>
            </w:tcBorders>
            <w:shd w:val="clear" w:color="auto" w:fill="auto"/>
            <w:noWrap/>
            <w:vAlign w:val="bottom"/>
            <w:hideMark/>
          </w:tcPr>
          <w:p w14:paraId="63509675"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5.901.920</w:t>
            </w:r>
          </w:p>
        </w:tc>
        <w:tc>
          <w:tcPr>
            <w:tcW w:w="1276" w:type="dxa"/>
            <w:tcBorders>
              <w:top w:val="nil"/>
              <w:left w:val="nil"/>
              <w:bottom w:val="single" w:sz="4" w:space="0" w:color="auto"/>
              <w:right w:val="single" w:sz="4" w:space="0" w:color="auto"/>
            </w:tcBorders>
            <w:shd w:val="clear" w:color="auto" w:fill="auto"/>
            <w:noWrap/>
            <w:vAlign w:val="bottom"/>
            <w:hideMark/>
          </w:tcPr>
          <w:p w14:paraId="25A8F088"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4%</w:t>
            </w:r>
          </w:p>
        </w:tc>
        <w:tc>
          <w:tcPr>
            <w:tcW w:w="1984" w:type="dxa"/>
            <w:tcBorders>
              <w:top w:val="nil"/>
              <w:left w:val="nil"/>
              <w:bottom w:val="single" w:sz="4" w:space="0" w:color="auto"/>
              <w:right w:val="single" w:sz="4" w:space="0" w:color="auto"/>
            </w:tcBorders>
            <w:shd w:val="clear" w:color="auto" w:fill="auto"/>
            <w:noWrap/>
            <w:vAlign w:val="bottom"/>
            <w:hideMark/>
          </w:tcPr>
          <w:p w14:paraId="5D2045B4"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4.739.556</w:t>
            </w:r>
          </w:p>
        </w:tc>
        <w:tc>
          <w:tcPr>
            <w:tcW w:w="993" w:type="dxa"/>
            <w:tcBorders>
              <w:top w:val="nil"/>
              <w:left w:val="nil"/>
              <w:bottom w:val="single" w:sz="4" w:space="0" w:color="auto"/>
              <w:right w:val="single" w:sz="4" w:space="0" w:color="auto"/>
            </w:tcBorders>
            <w:shd w:val="clear" w:color="auto" w:fill="auto"/>
            <w:noWrap/>
            <w:vAlign w:val="bottom"/>
            <w:hideMark/>
          </w:tcPr>
          <w:p w14:paraId="3A1F025A"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4%</w:t>
            </w:r>
          </w:p>
        </w:tc>
        <w:tc>
          <w:tcPr>
            <w:tcW w:w="1984" w:type="dxa"/>
            <w:tcBorders>
              <w:top w:val="nil"/>
              <w:left w:val="nil"/>
              <w:bottom w:val="single" w:sz="4" w:space="0" w:color="auto"/>
              <w:right w:val="single" w:sz="4" w:space="0" w:color="auto"/>
            </w:tcBorders>
            <w:shd w:val="clear" w:color="auto" w:fill="auto"/>
            <w:noWrap/>
            <w:vAlign w:val="bottom"/>
            <w:hideMark/>
          </w:tcPr>
          <w:p w14:paraId="52AA091E"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465.026</w:t>
            </w:r>
          </w:p>
        </w:tc>
        <w:tc>
          <w:tcPr>
            <w:tcW w:w="709" w:type="dxa"/>
            <w:tcBorders>
              <w:top w:val="nil"/>
              <w:left w:val="nil"/>
              <w:bottom w:val="single" w:sz="4" w:space="0" w:color="auto"/>
              <w:right w:val="single" w:sz="4" w:space="0" w:color="auto"/>
            </w:tcBorders>
            <w:shd w:val="clear" w:color="auto" w:fill="auto"/>
            <w:noWrap/>
            <w:vAlign w:val="bottom"/>
            <w:hideMark/>
          </w:tcPr>
          <w:p w14:paraId="602C963E"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r>
      <w:tr w:rsidR="00105179" w:rsidRPr="0050269E" w14:paraId="6EF6BEA8" w14:textId="77777777" w:rsidTr="00A7284C">
        <w:trPr>
          <w:trHeight w:val="299"/>
          <w:jc w:val="center"/>
        </w:trPr>
        <w:tc>
          <w:tcPr>
            <w:tcW w:w="910" w:type="dxa"/>
            <w:tcBorders>
              <w:top w:val="nil"/>
              <w:left w:val="single" w:sz="4" w:space="0" w:color="auto"/>
              <w:bottom w:val="single" w:sz="4" w:space="0" w:color="auto"/>
              <w:right w:val="single" w:sz="4" w:space="0" w:color="auto"/>
            </w:tcBorders>
            <w:shd w:val="clear" w:color="auto" w:fill="auto"/>
            <w:noWrap/>
            <w:vAlign w:val="bottom"/>
            <w:hideMark/>
          </w:tcPr>
          <w:p w14:paraId="16D29234"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1</w:t>
            </w:r>
          </w:p>
        </w:tc>
        <w:tc>
          <w:tcPr>
            <w:tcW w:w="910" w:type="dxa"/>
            <w:tcBorders>
              <w:top w:val="nil"/>
              <w:left w:val="nil"/>
              <w:bottom w:val="single" w:sz="4" w:space="0" w:color="auto"/>
              <w:right w:val="single" w:sz="4" w:space="0" w:color="auto"/>
            </w:tcBorders>
            <w:shd w:val="clear" w:color="auto" w:fill="auto"/>
            <w:noWrap/>
            <w:vAlign w:val="bottom"/>
            <w:hideMark/>
          </w:tcPr>
          <w:p w14:paraId="273FA404"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RSO 1.2</w:t>
            </w:r>
          </w:p>
        </w:tc>
        <w:tc>
          <w:tcPr>
            <w:tcW w:w="910" w:type="dxa"/>
            <w:tcBorders>
              <w:top w:val="nil"/>
              <w:left w:val="nil"/>
              <w:bottom w:val="single" w:sz="4" w:space="0" w:color="auto"/>
              <w:right w:val="single" w:sz="4" w:space="0" w:color="auto"/>
            </w:tcBorders>
            <w:shd w:val="clear" w:color="auto" w:fill="auto"/>
            <w:noWrap/>
            <w:vAlign w:val="bottom"/>
            <w:hideMark/>
          </w:tcPr>
          <w:p w14:paraId="4F840019"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ESRR</w:t>
            </w:r>
          </w:p>
        </w:tc>
        <w:tc>
          <w:tcPr>
            <w:tcW w:w="1330" w:type="dxa"/>
            <w:tcBorders>
              <w:top w:val="nil"/>
              <w:left w:val="nil"/>
              <w:bottom w:val="single" w:sz="4" w:space="0" w:color="auto"/>
              <w:right w:val="single" w:sz="4" w:space="0" w:color="auto"/>
            </w:tcBorders>
            <w:shd w:val="clear" w:color="auto" w:fill="auto"/>
            <w:noWrap/>
            <w:vAlign w:val="bottom"/>
            <w:hideMark/>
          </w:tcPr>
          <w:p w14:paraId="1604A656"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Vzhod</w:t>
            </w:r>
          </w:p>
        </w:tc>
        <w:tc>
          <w:tcPr>
            <w:tcW w:w="1747" w:type="dxa"/>
            <w:tcBorders>
              <w:top w:val="nil"/>
              <w:left w:val="nil"/>
              <w:bottom w:val="single" w:sz="4" w:space="0" w:color="auto"/>
              <w:right w:val="single" w:sz="4" w:space="0" w:color="auto"/>
            </w:tcBorders>
            <w:shd w:val="clear" w:color="auto" w:fill="auto"/>
            <w:noWrap/>
            <w:vAlign w:val="bottom"/>
            <w:hideMark/>
          </w:tcPr>
          <w:p w14:paraId="4B6DF042" w14:textId="77777777" w:rsidR="00105179" w:rsidRPr="00AB429E" w:rsidRDefault="00105179" w:rsidP="00105179">
            <w:pPr>
              <w:suppressAutoHyphens w:val="0"/>
              <w:autoSpaceDN/>
              <w:spacing w:after="0" w:line="240" w:lineRule="auto"/>
              <w:jc w:val="right"/>
              <w:rPr>
                <w:rFonts w:cs="Arial"/>
                <w:sz w:val="18"/>
                <w:szCs w:val="18"/>
              </w:rPr>
            </w:pPr>
            <w:r w:rsidRPr="00AB429E">
              <w:rPr>
                <w:rFonts w:cs="Arial"/>
                <w:sz w:val="18"/>
                <w:szCs w:val="18"/>
              </w:rPr>
              <w:t>51.590.772</w:t>
            </w:r>
          </w:p>
        </w:tc>
        <w:tc>
          <w:tcPr>
            <w:tcW w:w="2268" w:type="dxa"/>
            <w:tcBorders>
              <w:top w:val="nil"/>
              <w:left w:val="nil"/>
              <w:bottom w:val="single" w:sz="4" w:space="0" w:color="auto"/>
              <w:right w:val="single" w:sz="4" w:space="0" w:color="auto"/>
            </w:tcBorders>
            <w:shd w:val="clear" w:color="auto" w:fill="auto"/>
            <w:noWrap/>
            <w:vAlign w:val="bottom"/>
            <w:hideMark/>
          </w:tcPr>
          <w:p w14:paraId="53A6E499"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14.316.279</w:t>
            </w:r>
          </w:p>
        </w:tc>
        <w:tc>
          <w:tcPr>
            <w:tcW w:w="1276" w:type="dxa"/>
            <w:tcBorders>
              <w:top w:val="nil"/>
              <w:left w:val="nil"/>
              <w:bottom w:val="single" w:sz="4" w:space="0" w:color="auto"/>
              <w:right w:val="single" w:sz="4" w:space="0" w:color="auto"/>
            </w:tcBorders>
            <w:shd w:val="clear" w:color="auto" w:fill="auto"/>
            <w:noWrap/>
            <w:vAlign w:val="bottom"/>
            <w:hideMark/>
          </w:tcPr>
          <w:p w14:paraId="449CAC81"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28%</w:t>
            </w:r>
          </w:p>
        </w:tc>
        <w:tc>
          <w:tcPr>
            <w:tcW w:w="1984" w:type="dxa"/>
            <w:tcBorders>
              <w:top w:val="nil"/>
              <w:left w:val="nil"/>
              <w:bottom w:val="single" w:sz="4" w:space="0" w:color="auto"/>
              <w:right w:val="single" w:sz="4" w:space="0" w:color="auto"/>
            </w:tcBorders>
            <w:shd w:val="clear" w:color="auto" w:fill="auto"/>
            <w:noWrap/>
            <w:vAlign w:val="bottom"/>
            <w:hideMark/>
          </w:tcPr>
          <w:p w14:paraId="4992B26B"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12.805.022</w:t>
            </w:r>
          </w:p>
        </w:tc>
        <w:tc>
          <w:tcPr>
            <w:tcW w:w="993" w:type="dxa"/>
            <w:tcBorders>
              <w:top w:val="nil"/>
              <w:left w:val="nil"/>
              <w:bottom w:val="single" w:sz="4" w:space="0" w:color="auto"/>
              <w:right w:val="single" w:sz="4" w:space="0" w:color="auto"/>
            </w:tcBorders>
            <w:shd w:val="clear" w:color="auto" w:fill="auto"/>
            <w:noWrap/>
            <w:vAlign w:val="bottom"/>
            <w:hideMark/>
          </w:tcPr>
          <w:p w14:paraId="1BD39FBF"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25%</w:t>
            </w:r>
          </w:p>
        </w:tc>
        <w:tc>
          <w:tcPr>
            <w:tcW w:w="1984" w:type="dxa"/>
            <w:tcBorders>
              <w:top w:val="nil"/>
              <w:left w:val="nil"/>
              <w:bottom w:val="single" w:sz="4" w:space="0" w:color="auto"/>
              <w:right w:val="single" w:sz="4" w:space="0" w:color="auto"/>
            </w:tcBorders>
            <w:shd w:val="clear" w:color="auto" w:fill="auto"/>
            <w:noWrap/>
            <w:vAlign w:val="bottom"/>
            <w:hideMark/>
          </w:tcPr>
          <w:p w14:paraId="20A412F1"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761.439</w:t>
            </w:r>
          </w:p>
        </w:tc>
        <w:tc>
          <w:tcPr>
            <w:tcW w:w="709" w:type="dxa"/>
            <w:tcBorders>
              <w:top w:val="nil"/>
              <w:left w:val="nil"/>
              <w:bottom w:val="single" w:sz="4" w:space="0" w:color="auto"/>
              <w:right w:val="single" w:sz="4" w:space="0" w:color="auto"/>
            </w:tcBorders>
            <w:shd w:val="clear" w:color="auto" w:fill="auto"/>
            <w:noWrap/>
            <w:vAlign w:val="bottom"/>
            <w:hideMark/>
          </w:tcPr>
          <w:p w14:paraId="51777600"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1%</w:t>
            </w:r>
          </w:p>
        </w:tc>
      </w:tr>
      <w:tr w:rsidR="00105179" w:rsidRPr="0050269E" w14:paraId="22386EEB" w14:textId="77777777" w:rsidTr="00A7284C">
        <w:trPr>
          <w:trHeight w:val="299"/>
          <w:jc w:val="center"/>
        </w:trPr>
        <w:tc>
          <w:tcPr>
            <w:tcW w:w="910" w:type="dxa"/>
            <w:tcBorders>
              <w:top w:val="nil"/>
              <w:left w:val="single" w:sz="4" w:space="0" w:color="auto"/>
              <w:bottom w:val="single" w:sz="4" w:space="0" w:color="auto"/>
              <w:right w:val="single" w:sz="4" w:space="0" w:color="auto"/>
            </w:tcBorders>
            <w:shd w:val="clear" w:color="auto" w:fill="auto"/>
            <w:noWrap/>
            <w:vAlign w:val="bottom"/>
            <w:hideMark/>
          </w:tcPr>
          <w:p w14:paraId="0AFD1903"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1</w:t>
            </w:r>
          </w:p>
        </w:tc>
        <w:tc>
          <w:tcPr>
            <w:tcW w:w="910" w:type="dxa"/>
            <w:tcBorders>
              <w:top w:val="nil"/>
              <w:left w:val="nil"/>
              <w:bottom w:val="single" w:sz="4" w:space="0" w:color="auto"/>
              <w:right w:val="single" w:sz="4" w:space="0" w:color="auto"/>
            </w:tcBorders>
            <w:shd w:val="clear" w:color="auto" w:fill="auto"/>
            <w:noWrap/>
            <w:vAlign w:val="bottom"/>
            <w:hideMark/>
          </w:tcPr>
          <w:p w14:paraId="2AB543CF"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RSO 1.2</w:t>
            </w:r>
          </w:p>
        </w:tc>
        <w:tc>
          <w:tcPr>
            <w:tcW w:w="910" w:type="dxa"/>
            <w:tcBorders>
              <w:top w:val="nil"/>
              <w:left w:val="nil"/>
              <w:bottom w:val="single" w:sz="4" w:space="0" w:color="auto"/>
              <w:right w:val="single" w:sz="4" w:space="0" w:color="auto"/>
            </w:tcBorders>
            <w:shd w:val="clear" w:color="auto" w:fill="auto"/>
            <w:noWrap/>
            <w:vAlign w:val="bottom"/>
            <w:hideMark/>
          </w:tcPr>
          <w:p w14:paraId="06F72D20"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ESRR</w:t>
            </w:r>
          </w:p>
        </w:tc>
        <w:tc>
          <w:tcPr>
            <w:tcW w:w="1330" w:type="dxa"/>
            <w:tcBorders>
              <w:top w:val="nil"/>
              <w:left w:val="nil"/>
              <w:bottom w:val="single" w:sz="4" w:space="0" w:color="auto"/>
              <w:right w:val="single" w:sz="4" w:space="0" w:color="auto"/>
            </w:tcBorders>
            <w:shd w:val="clear" w:color="auto" w:fill="auto"/>
            <w:noWrap/>
            <w:vAlign w:val="bottom"/>
            <w:hideMark/>
          </w:tcPr>
          <w:p w14:paraId="538ADEB2"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Zahod</w:t>
            </w:r>
          </w:p>
        </w:tc>
        <w:tc>
          <w:tcPr>
            <w:tcW w:w="1747" w:type="dxa"/>
            <w:tcBorders>
              <w:top w:val="nil"/>
              <w:left w:val="nil"/>
              <w:bottom w:val="single" w:sz="4" w:space="0" w:color="auto"/>
              <w:right w:val="single" w:sz="4" w:space="0" w:color="auto"/>
            </w:tcBorders>
            <w:shd w:val="clear" w:color="auto" w:fill="auto"/>
            <w:noWrap/>
            <w:vAlign w:val="bottom"/>
            <w:hideMark/>
          </w:tcPr>
          <w:p w14:paraId="118E23BD" w14:textId="77777777" w:rsidR="00105179" w:rsidRPr="00AB429E" w:rsidRDefault="00105179" w:rsidP="00105179">
            <w:pPr>
              <w:suppressAutoHyphens w:val="0"/>
              <w:autoSpaceDN/>
              <w:spacing w:after="0" w:line="240" w:lineRule="auto"/>
              <w:jc w:val="right"/>
              <w:rPr>
                <w:rFonts w:cs="Arial"/>
                <w:sz w:val="18"/>
                <w:szCs w:val="18"/>
              </w:rPr>
            </w:pPr>
            <w:r w:rsidRPr="00AB429E">
              <w:rPr>
                <w:rFonts w:cs="Arial"/>
                <w:sz w:val="18"/>
                <w:szCs w:val="18"/>
              </w:rPr>
              <w:t>36.328.372</w:t>
            </w:r>
          </w:p>
        </w:tc>
        <w:tc>
          <w:tcPr>
            <w:tcW w:w="2268" w:type="dxa"/>
            <w:tcBorders>
              <w:top w:val="nil"/>
              <w:left w:val="nil"/>
              <w:bottom w:val="single" w:sz="4" w:space="0" w:color="auto"/>
              <w:right w:val="single" w:sz="4" w:space="0" w:color="auto"/>
            </w:tcBorders>
            <w:shd w:val="clear" w:color="auto" w:fill="auto"/>
            <w:noWrap/>
            <w:vAlign w:val="bottom"/>
            <w:hideMark/>
          </w:tcPr>
          <w:p w14:paraId="14FDD1AB"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10.108.124</w:t>
            </w:r>
          </w:p>
        </w:tc>
        <w:tc>
          <w:tcPr>
            <w:tcW w:w="1276" w:type="dxa"/>
            <w:tcBorders>
              <w:top w:val="nil"/>
              <w:left w:val="nil"/>
              <w:bottom w:val="single" w:sz="4" w:space="0" w:color="auto"/>
              <w:right w:val="single" w:sz="4" w:space="0" w:color="auto"/>
            </w:tcBorders>
            <w:shd w:val="clear" w:color="auto" w:fill="auto"/>
            <w:noWrap/>
            <w:vAlign w:val="bottom"/>
            <w:hideMark/>
          </w:tcPr>
          <w:p w14:paraId="686155F3"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28%</w:t>
            </w:r>
          </w:p>
        </w:tc>
        <w:tc>
          <w:tcPr>
            <w:tcW w:w="1984" w:type="dxa"/>
            <w:tcBorders>
              <w:top w:val="nil"/>
              <w:left w:val="nil"/>
              <w:bottom w:val="single" w:sz="4" w:space="0" w:color="auto"/>
              <w:right w:val="single" w:sz="4" w:space="0" w:color="auto"/>
            </w:tcBorders>
            <w:shd w:val="clear" w:color="auto" w:fill="auto"/>
            <w:noWrap/>
            <w:vAlign w:val="bottom"/>
            <w:hideMark/>
          </w:tcPr>
          <w:p w14:paraId="792B3A65"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9.125.150</w:t>
            </w:r>
          </w:p>
        </w:tc>
        <w:tc>
          <w:tcPr>
            <w:tcW w:w="993" w:type="dxa"/>
            <w:tcBorders>
              <w:top w:val="nil"/>
              <w:left w:val="nil"/>
              <w:bottom w:val="single" w:sz="4" w:space="0" w:color="auto"/>
              <w:right w:val="single" w:sz="4" w:space="0" w:color="auto"/>
            </w:tcBorders>
            <w:shd w:val="clear" w:color="auto" w:fill="auto"/>
            <w:noWrap/>
            <w:vAlign w:val="bottom"/>
            <w:hideMark/>
          </w:tcPr>
          <w:p w14:paraId="0A6C1CD8"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25%</w:t>
            </w:r>
          </w:p>
        </w:tc>
        <w:tc>
          <w:tcPr>
            <w:tcW w:w="1984" w:type="dxa"/>
            <w:tcBorders>
              <w:top w:val="nil"/>
              <w:left w:val="nil"/>
              <w:bottom w:val="single" w:sz="4" w:space="0" w:color="auto"/>
              <w:right w:val="single" w:sz="4" w:space="0" w:color="auto"/>
            </w:tcBorders>
            <w:shd w:val="clear" w:color="auto" w:fill="auto"/>
            <w:noWrap/>
            <w:vAlign w:val="bottom"/>
            <w:hideMark/>
          </w:tcPr>
          <w:p w14:paraId="709B5086"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709.067</w:t>
            </w:r>
          </w:p>
        </w:tc>
        <w:tc>
          <w:tcPr>
            <w:tcW w:w="709" w:type="dxa"/>
            <w:tcBorders>
              <w:top w:val="nil"/>
              <w:left w:val="nil"/>
              <w:bottom w:val="single" w:sz="4" w:space="0" w:color="auto"/>
              <w:right w:val="single" w:sz="4" w:space="0" w:color="auto"/>
            </w:tcBorders>
            <w:shd w:val="clear" w:color="auto" w:fill="auto"/>
            <w:noWrap/>
            <w:vAlign w:val="bottom"/>
            <w:hideMark/>
          </w:tcPr>
          <w:p w14:paraId="116D1E84"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2%</w:t>
            </w:r>
          </w:p>
        </w:tc>
      </w:tr>
      <w:tr w:rsidR="00105179" w:rsidRPr="0050269E" w14:paraId="3738595D" w14:textId="77777777" w:rsidTr="00A7284C">
        <w:trPr>
          <w:trHeight w:val="299"/>
          <w:jc w:val="center"/>
        </w:trPr>
        <w:tc>
          <w:tcPr>
            <w:tcW w:w="910" w:type="dxa"/>
            <w:tcBorders>
              <w:top w:val="nil"/>
              <w:left w:val="single" w:sz="4" w:space="0" w:color="auto"/>
              <w:bottom w:val="single" w:sz="4" w:space="0" w:color="auto"/>
              <w:right w:val="single" w:sz="4" w:space="0" w:color="auto"/>
            </w:tcBorders>
            <w:shd w:val="clear" w:color="auto" w:fill="auto"/>
            <w:noWrap/>
            <w:vAlign w:val="bottom"/>
            <w:hideMark/>
          </w:tcPr>
          <w:p w14:paraId="6A03F35A"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1</w:t>
            </w:r>
          </w:p>
        </w:tc>
        <w:tc>
          <w:tcPr>
            <w:tcW w:w="910" w:type="dxa"/>
            <w:tcBorders>
              <w:top w:val="nil"/>
              <w:left w:val="nil"/>
              <w:bottom w:val="single" w:sz="4" w:space="0" w:color="auto"/>
              <w:right w:val="single" w:sz="4" w:space="0" w:color="auto"/>
            </w:tcBorders>
            <w:shd w:val="clear" w:color="auto" w:fill="auto"/>
            <w:noWrap/>
            <w:vAlign w:val="bottom"/>
            <w:hideMark/>
          </w:tcPr>
          <w:p w14:paraId="349BB690"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RSO 1.3</w:t>
            </w:r>
          </w:p>
        </w:tc>
        <w:tc>
          <w:tcPr>
            <w:tcW w:w="910" w:type="dxa"/>
            <w:tcBorders>
              <w:top w:val="nil"/>
              <w:left w:val="nil"/>
              <w:bottom w:val="single" w:sz="4" w:space="0" w:color="auto"/>
              <w:right w:val="single" w:sz="4" w:space="0" w:color="auto"/>
            </w:tcBorders>
            <w:shd w:val="clear" w:color="auto" w:fill="auto"/>
            <w:noWrap/>
            <w:vAlign w:val="bottom"/>
            <w:hideMark/>
          </w:tcPr>
          <w:p w14:paraId="54B7773F"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ESRR</w:t>
            </w:r>
          </w:p>
        </w:tc>
        <w:tc>
          <w:tcPr>
            <w:tcW w:w="1330" w:type="dxa"/>
            <w:tcBorders>
              <w:top w:val="nil"/>
              <w:left w:val="nil"/>
              <w:bottom w:val="single" w:sz="4" w:space="0" w:color="auto"/>
              <w:right w:val="single" w:sz="4" w:space="0" w:color="auto"/>
            </w:tcBorders>
            <w:shd w:val="clear" w:color="auto" w:fill="auto"/>
            <w:noWrap/>
            <w:vAlign w:val="bottom"/>
            <w:hideMark/>
          </w:tcPr>
          <w:p w14:paraId="1D6689ED"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Vzhod</w:t>
            </w:r>
          </w:p>
        </w:tc>
        <w:tc>
          <w:tcPr>
            <w:tcW w:w="1747" w:type="dxa"/>
            <w:tcBorders>
              <w:top w:val="nil"/>
              <w:left w:val="nil"/>
              <w:bottom w:val="single" w:sz="4" w:space="0" w:color="auto"/>
              <w:right w:val="single" w:sz="4" w:space="0" w:color="auto"/>
            </w:tcBorders>
            <w:shd w:val="clear" w:color="auto" w:fill="auto"/>
            <w:noWrap/>
            <w:vAlign w:val="bottom"/>
            <w:hideMark/>
          </w:tcPr>
          <w:p w14:paraId="01C5FB01" w14:textId="77777777" w:rsidR="00105179" w:rsidRPr="00AB429E" w:rsidRDefault="00105179" w:rsidP="00105179">
            <w:pPr>
              <w:suppressAutoHyphens w:val="0"/>
              <w:autoSpaceDN/>
              <w:spacing w:after="0" w:line="240" w:lineRule="auto"/>
              <w:jc w:val="right"/>
              <w:rPr>
                <w:rFonts w:cs="Arial"/>
                <w:sz w:val="18"/>
                <w:szCs w:val="18"/>
              </w:rPr>
            </w:pPr>
            <w:r w:rsidRPr="00AB429E">
              <w:rPr>
                <w:rFonts w:cs="Arial"/>
                <w:sz w:val="18"/>
                <w:szCs w:val="18"/>
              </w:rPr>
              <w:t>120.262.353</w:t>
            </w:r>
          </w:p>
        </w:tc>
        <w:tc>
          <w:tcPr>
            <w:tcW w:w="2268" w:type="dxa"/>
            <w:tcBorders>
              <w:top w:val="nil"/>
              <w:left w:val="nil"/>
              <w:bottom w:val="single" w:sz="4" w:space="0" w:color="auto"/>
              <w:right w:val="single" w:sz="4" w:space="0" w:color="auto"/>
            </w:tcBorders>
            <w:shd w:val="clear" w:color="auto" w:fill="auto"/>
            <w:noWrap/>
            <w:vAlign w:val="bottom"/>
            <w:hideMark/>
          </w:tcPr>
          <w:p w14:paraId="233B07CB"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43.409.373</w:t>
            </w:r>
          </w:p>
        </w:tc>
        <w:tc>
          <w:tcPr>
            <w:tcW w:w="1276" w:type="dxa"/>
            <w:tcBorders>
              <w:top w:val="nil"/>
              <w:left w:val="nil"/>
              <w:bottom w:val="single" w:sz="4" w:space="0" w:color="auto"/>
              <w:right w:val="single" w:sz="4" w:space="0" w:color="auto"/>
            </w:tcBorders>
            <w:shd w:val="clear" w:color="auto" w:fill="auto"/>
            <w:noWrap/>
            <w:vAlign w:val="bottom"/>
            <w:hideMark/>
          </w:tcPr>
          <w:p w14:paraId="2AA6B398"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36%</w:t>
            </w:r>
          </w:p>
        </w:tc>
        <w:tc>
          <w:tcPr>
            <w:tcW w:w="1984" w:type="dxa"/>
            <w:tcBorders>
              <w:top w:val="nil"/>
              <w:left w:val="nil"/>
              <w:bottom w:val="single" w:sz="4" w:space="0" w:color="auto"/>
              <w:right w:val="single" w:sz="4" w:space="0" w:color="auto"/>
            </w:tcBorders>
            <w:shd w:val="clear" w:color="auto" w:fill="auto"/>
            <w:noWrap/>
            <w:vAlign w:val="bottom"/>
            <w:hideMark/>
          </w:tcPr>
          <w:p w14:paraId="58448537"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39.159.373</w:t>
            </w:r>
          </w:p>
        </w:tc>
        <w:tc>
          <w:tcPr>
            <w:tcW w:w="993" w:type="dxa"/>
            <w:tcBorders>
              <w:top w:val="nil"/>
              <w:left w:val="nil"/>
              <w:bottom w:val="single" w:sz="4" w:space="0" w:color="auto"/>
              <w:right w:val="single" w:sz="4" w:space="0" w:color="auto"/>
            </w:tcBorders>
            <w:shd w:val="clear" w:color="auto" w:fill="auto"/>
            <w:noWrap/>
            <w:vAlign w:val="bottom"/>
            <w:hideMark/>
          </w:tcPr>
          <w:p w14:paraId="57B77542"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33%</w:t>
            </w:r>
          </w:p>
        </w:tc>
        <w:tc>
          <w:tcPr>
            <w:tcW w:w="1984" w:type="dxa"/>
            <w:tcBorders>
              <w:top w:val="nil"/>
              <w:left w:val="nil"/>
              <w:bottom w:val="single" w:sz="4" w:space="0" w:color="auto"/>
              <w:right w:val="single" w:sz="4" w:space="0" w:color="auto"/>
            </w:tcBorders>
            <w:shd w:val="clear" w:color="auto" w:fill="auto"/>
            <w:noWrap/>
            <w:vAlign w:val="bottom"/>
            <w:hideMark/>
          </w:tcPr>
          <w:p w14:paraId="341A3C7E"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5.284.259</w:t>
            </w:r>
          </w:p>
        </w:tc>
        <w:tc>
          <w:tcPr>
            <w:tcW w:w="709" w:type="dxa"/>
            <w:tcBorders>
              <w:top w:val="nil"/>
              <w:left w:val="nil"/>
              <w:bottom w:val="single" w:sz="4" w:space="0" w:color="auto"/>
              <w:right w:val="single" w:sz="4" w:space="0" w:color="auto"/>
            </w:tcBorders>
            <w:shd w:val="clear" w:color="auto" w:fill="auto"/>
            <w:noWrap/>
            <w:vAlign w:val="bottom"/>
            <w:hideMark/>
          </w:tcPr>
          <w:p w14:paraId="6D8F8D9B"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4%</w:t>
            </w:r>
          </w:p>
        </w:tc>
      </w:tr>
      <w:tr w:rsidR="00105179" w:rsidRPr="0050269E" w14:paraId="4B954AC2" w14:textId="77777777" w:rsidTr="00A7284C">
        <w:trPr>
          <w:trHeight w:val="299"/>
          <w:jc w:val="center"/>
        </w:trPr>
        <w:tc>
          <w:tcPr>
            <w:tcW w:w="910" w:type="dxa"/>
            <w:tcBorders>
              <w:top w:val="nil"/>
              <w:left w:val="single" w:sz="4" w:space="0" w:color="auto"/>
              <w:bottom w:val="single" w:sz="4" w:space="0" w:color="auto"/>
              <w:right w:val="single" w:sz="4" w:space="0" w:color="auto"/>
            </w:tcBorders>
            <w:shd w:val="clear" w:color="auto" w:fill="auto"/>
            <w:noWrap/>
            <w:vAlign w:val="bottom"/>
            <w:hideMark/>
          </w:tcPr>
          <w:p w14:paraId="07C9078D"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1</w:t>
            </w:r>
          </w:p>
        </w:tc>
        <w:tc>
          <w:tcPr>
            <w:tcW w:w="910" w:type="dxa"/>
            <w:tcBorders>
              <w:top w:val="nil"/>
              <w:left w:val="nil"/>
              <w:bottom w:val="single" w:sz="4" w:space="0" w:color="auto"/>
              <w:right w:val="single" w:sz="4" w:space="0" w:color="auto"/>
            </w:tcBorders>
            <w:shd w:val="clear" w:color="auto" w:fill="auto"/>
            <w:noWrap/>
            <w:vAlign w:val="bottom"/>
            <w:hideMark/>
          </w:tcPr>
          <w:p w14:paraId="463359A1"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RSO 1.3</w:t>
            </w:r>
          </w:p>
        </w:tc>
        <w:tc>
          <w:tcPr>
            <w:tcW w:w="910" w:type="dxa"/>
            <w:tcBorders>
              <w:top w:val="nil"/>
              <w:left w:val="nil"/>
              <w:bottom w:val="single" w:sz="4" w:space="0" w:color="auto"/>
              <w:right w:val="single" w:sz="4" w:space="0" w:color="auto"/>
            </w:tcBorders>
            <w:shd w:val="clear" w:color="auto" w:fill="auto"/>
            <w:noWrap/>
            <w:vAlign w:val="bottom"/>
            <w:hideMark/>
          </w:tcPr>
          <w:p w14:paraId="3B02522D"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ESRR</w:t>
            </w:r>
          </w:p>
        </w:tc>
        <w:tc>
          <w:tcPr>
            <w:tcW w:w="1330" w:type="dxa"/>
            <w:tcBorders>
              <w:top w:val="nil"/>
              <w:left w:val="nil"/>
              <w:bottom w:val="single" w:sz="4" w:space="0" w:color="auto"/>
              <w:right w:val="single" w:sz="4" w:space="0" w:color="auto"/>
            </w:tcBorders>
            <w:shd w:val="clear" w:color="auto" w:fill="auto"/>
            <w:noWrap/>
            <w:vAlign w:val="bottom"/>
            <w:hideMark/>
          </w:tcPr>
          <w:p w14:paraId="63175645"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Zahod</w:t>
            </w:r>
          </w:p>
        </w:tc>
        <w:tc>
          <w:tcPr>
            <w:tcW w:w="1747" w:type="dxa"/>
            <w:tcBorders>
              <w:top w:val="nil"/>
              <w:left w:val="nil"/>
              <w:bottom w:val="single" w:sz="4" w:space="0" w:color="auto"/>
              <w:right w:val="single" w:sz="4" w:space="0" w:color="auto"/>
            </w:tcBorders>
            <w:shd w:val="clear" w:color="auto" w:fill="auto"/>
            <w:noWrap/>
            <w:vAlign w:val="bottom"/>
            <w:hideMark/>
          </w:tcPr>
          <w:p w14:paraId="115591AD" w14:textId="77777777" w:rsidR="00105179" w:rsidRPr="00AB429E" w:rsidRDefault="00105179" w:rsidP="00105179">
            <w:pPr>
              <w:suppressAutoHyphens w:val="0"/>
              <w:autoSpaceDN/>
              <w:spacing w:after="0" w:line="240" w:lineRule="auto"/>
              <w:jc w:val="right"/>
              <w:rPr>
                <w:rFonts w:cs="Arial"/>
                <w:sz w:val="18"/>
                <w:szCs w:val="18"/>
              </w:rPr>
            </w:pPr>
            <w:r w:rsidRPr="00AB429E">
              <w:rPr>
                <w:rFonts w:cs="Arial"/>
                <w:sz w:val="18"/>
                <w:szCs w:val="18"/>
              </w:rPr>
              <w:t>62.919.472</w:t>
            </w:r>
          </w:p>
        </w:tc>
        <w:tc>
          <w:tcPr>
            <w:tcW w:w="2268" w:type="dxa"/>
            <w:tcBorders>
              <w:top w:val="nil"/>
              <w:left w:val="nil"/>
              <w:bottom w:val="single" w:sz="4" w:space="0" w:color="auto"/>
              <w:right w:val="single" w:sz="4" w:space="0" w:color="auto"/>
            </w:tcBorders>
            <w:shd w:val="clear" w:color="auto" w:fill="auto"/>
            <w:noWrap/>
            <w:vAlign w:val="bottom"/>
            <w:hideMark/>
          </w:tcPr>
          <w:p w14:paraId="1AC24FF3"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19.187.527</w:t>
            </w:r>
          </w:p>
        </w:tc>
        <w:tc>
          <w:tcPr>
            <w:tcW w:w="1276" w:type="dxa"/>
            <w:tcBorders>
              <w:top w:val="nil"/>
              <w:left w:val="nil"/>
              <w:bottom w:val="single" w:sz="4" w:space="0" w:color="auto"/>
              <w:right w:val="single" w:sz="4" w:space="0" w:color="auto"/>
            </w:tcBorders>
            <w:shd w:val="clear" w:color="auto" w:fill="auto"/>
            <w:noWrap/>
            <w:vAlign w:val="bottom"/>
            <w:hideMark/>
          </w:tcPr>
          <w:p w14:paraId="2B81D64D"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30%</w:t>
            </w:r>
          </w:p>
        </w:tc>
        <w:tc>
          <w:tcPr>
            <w:tcW w:w="1984" w:type="dxa"/>
            <w:tcBorders>
              <w:top w:val="nil"/>
              <w:left w:val="nil"/>
              <w:bottom w:val="single" w:sz="4" w:space="0" w:color="auto"/>
              <w:right w:val="single" w:sz="4" w:space="0" w:color="auto"/>
            </w:tcBorders>
            <w:shd w:val="clear" w:color="auto" w:fill="auto"/>
            <w:noWrap/>
            <w:vAlign w:val="bottom"/>
            <w:hideMark/>
          </w:tcPr>
          <w:p w14:paraId="2F070437"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14.937.527</w:t>
            </w:r>
          </w:p>
        </w:tc>
        <w:tc>
          <w:tcPr>
            <w:tcW w:w="993" w:type="dxa"/>
            <w:tcBorders>
              <w:top w:val="nil"/>
              <w:left w:val="nil"/>
              <w:bottom w:val="single" w:sz="4" w:space="0" w:color="auto"/>
              <w:right w:val="single" w:sz="4" w:space="0" w:color="auto"/>
            </w:tcBorders>
            <w:shd w:val="clear" w:color="auto" w:fill="auto"/>
            <w:noWrap/>
            <w:vAlign w:val="bottom"/>
            <w:hideMark/>
          </w:tcPr>
          <w:p w14:paraId="3B398D52"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24%</w:t>
            </w:r>
          </w:p>
        </w:tc>
        <w:tc>
          <w:tcPr>
            <w:tcW w:w="1984" w:type="dxa"/>
            <w:tcBorders>
              <w:top w:val="nil"/>
              <w:left w:val="nil"/>
              <w:bottom w:val="single" w:sz="4" w:space="0" w:color="auto"/>
              <w:right w:val="single" w:sz="4" w:space="0" w:color="auto"/>
            </w:tcBorders>
            <w:shd w:val="clear" w:color="auto" w:fill="auto"/>
            <w:noWrap/>
            <w:vAlign w:val="bottom"/>
            <w:hideMark/>
          </w:tcPr>
          <w:p w14:paraId="29EF4660"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1.702.987</w:t>
            </w:r>
          </w:p>
        </w:tc>
        <w:tc>
          <w:tcPr>
            <w:tcW w:w="709" w:type="dxa"/>
            <w:tcBorders>
              <w:top w:val="nil"/>
              <w:left w:val="nil"/>
              <w:bottom w:val="single" w:sz="4" w:space="0" w:color="auto"/>
              <w:right w:val="single" w:sz="4" w:space="0" w:color="auto"/>
            </w:tcBorders>
            <w:shd w:val="clear" w:color="auto" w:fill="auto"/>
            <w:noWrap/>
            <w:vAlign w:val="bottom"/>
            <w:hideMark/>
          </w:tcPr>
          <w:p w14:paraId="5B6BA492"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3%</w:t>
            </w:r>
          </w:p>
        </w:tc>
      </w:tr>
      <w:tr w:rsidR="00105179" w:rsidRPr="0050269E" w14:paraId="0C00C511" w14:textId="77777777" w:rsidTr="00A7284C">
        <w:trPr>
          <w:trHeight w:val="299"/>
          <w:jc w:val="center"/>
        </w:trPr>
        <w:tc>
          <w:tcPr>
            <w:tcW w:w="910" w:type="dxa"/>
            <w:tcBorders>
              <w:top w:val="nil"/>
              <w:left w:val="single" w:sz="4" w:space="0" w:color="auto"/>
              <w:bottom w:val="single" w:sz="4" w:space="0" w:color="auto"/>
              <w:right w:val="single" w:sz="4" w:space="0" w:color="auto"/>
            </w:tcBorders>
            <w:shd w:val="clear" w:color="auto" w:fill="auto"/>
            <w:noWrap/>
            <w:vAlign w:val="bottom"/>
            <w:hideMark/>
          </w:tcPr>
          <w:p w14:paraId="3961C686"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1</w:t>
            </w:r>
          </w:p>
        </w:tc>
        <w:tc>
          <w:tcPr>
            <w:tcW w:w="910" w:type="dxa"/>
            <w:tcBorders>
              <w:top w:val="nil"/>
              <w:left w:val="nil"/>
              <w:bottom w:val="single" w:sz="4" w:space="0" w:color="auto"/>
              <w:right w:val="single" w:sz="4" w:space="0" w:color="auto"/>
            </w:tcBorders>
            <w:shd w:val="clear" w:color="auto" w:fill="auto"/>
            <w:noWrap/>
            <w:vAlign w:val="bottom"/>
            <w:hideMark/>
          </w:tcPr>
          <w:p w14:paraId="7709D88B"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RSO 1.4</w:t>
            </w:r>
          </w:p>
        </w:tc>
        <w:tc>
          <w:tcPr>
            <w:tcW w:w="910" w:type="dxa"/>
            <w:tcBorders>
              <w:top w:val="nil"/>
              <w:left w:val="nil"/>
              <w:bottom w:val="single" w:sz="4" w:space="0" w:color="auto"/>
              <w:right w:val="single" w:sz="4" w:space="0" w:color="auto"/>
            </w:tcBorders>
            <w:shd w:val="clear" w:color="auto" w:fill="auto"/>
            <w:noWrap/>
            <w:vAlign w:val="bottom"/>
            <w:hideMark/>
          </w:tcPr>
          <w:p w14:paraId="4FC552D8"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ESRR</w:t>
            </w:r>
          </w:p>
        </w:tc>
        <w:tc>
          <w:tcPr>
            <w:tcW w:w="1330" w:type="dxa"/>
            <w:tcBorders>
              <w:top w:val="nil"/>
              <w:left w:val="nil"/>
              <w:bottom w:val="single" w:sz="4" w:space="0" w:color="auto"/>
              <w:right w:val="single" w:sz="4" w:space="0" w:color="auto"/>
            </w:tcBorders>
            <w:shd w:val="clear" w:color="auto" w:fill="auto"/>
            <w:noWrap/>
            <w:vAlign w:val="bottom"/>
            <w:hideMark/>
          </w:tcPr>
          <w:p w14:paraId="6007F62B"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Vzhod</w:t>
            </w:r>
          </w:p>
        </w:tc>
        <w:tc>
          <w:tcPr>
            <w:tcW w:w="1747" w:type="dxa"/>
            <w:tcBorders>
              <w:top w:val="nil"/>
              <w:left w:val="nil"/>
              <w:bottom w:val="single" w:sz="4" w:space="0" w:color="auto"/>
              <w:right w:val="single" w:sz="4" w:space="0" w:color="auto"/>
            </w:tcBorders>
            <w:shd w:val="clear" w:color="auto" w:fill="auto"/>
            <w:noWrap/>
            <w:vAlign w:val="bottom"/>
            <w:hideMark/>
          </w:tcPr>
          <w:p w14:paraId="2C7BB753" w14:textId="77777777" w:rsidR="00105179" w:rsidRPr="00AB429E" w:rsidRDefault="00105179" w:rsidP="00105179">
            <w:pPr>
              <w:suppressAutoHyphens w:val="0"/>
              <w:autoSpaceDN/>
              <w:spacing w:after="0" w:line="240" w:lineRule="auto"/>
              <w:jc w:val="right"/>
              <w:rPr>
                <w:rFonts w:cs="Arial"/>
                <w:sz w:val="18"/>
                <w:szCs w:val="18"/>
              </w:rPr>
            </w:pPr>
            <w:r w:rsidRPr="00AB429E">
              <w:rPr>
                <w:rFonts w:cs="Arial"/>
                <w:sz w:val="18"/>
                <w:szCs w:val="18"/>
              </w:rPr>
              <w:t>16.810.200</w:t>
            </w:r>
          </w:p>
        </w:tc>
        <w:tc>
          <w:tcPr>
            <w:tcW w:w="2268" w:type="dxa"/>
            <w:tcBorders>
              <w:top w:val="nil"/>
              <w:left w:val="nil"/>
              <w:bottom w:val="single" w:sz="4" w:space="0" w:color="auto"/>
              <w:right w:val="single" w:sz="4" w:space="0" w:color="auto"/>
            </w:tcBorders>
            <w:shd w:val="clear" w:color="auto" w:fill="auto"/>
            <w:noWrap/>
            <w:vAlign w:val="bottom"/>
            <w:hideMark/>
          </w:tcPr>
          <w:p w14:paraId="2134AD9E"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11.544.187</w:t>
            </w:r>
          </w:p>
        </w:tc>
        <w:tc>
          <w:tcPr>
            <w:tcW w:w="1276" w:type="dxa"/>
            <w:tcBorders>
              <w:top w:val="nil"/>
              <w:left w:val="nil"/>
              <w:bottom w:val="single" w:sz="4" w:space="0" w:color="auto"/>
              <w:right w:val="single" w:sz="4" w:space="0" w:color="auto"/>
            </w:tcBorders>
            <w:shd w:val="clear" w:color="auto" w:fill="auto"/>
            <w:noWrap/>
            <w:vAlign w:val="bottom"/>
            <w:hideMark/>
          </w:tcPr>
          <w:p w14:paraId="7CF53E4B"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69%</w:t>
            </w:r>
          </w:p>
        </w:tc>
        <w:tc>
          <w:tcPr>
            <w:tcW w:w="1984" w:type="dxa"/>
            <w:tcBorders>
              <w:top w:val="nil"/>
              <w:left w:val="nil"/>
              <w:bottom w:val="single" w:sz="4" w:space="0" w:color="auto"/>
              <w:right w:val="single" w:sz="4" w:space="0" w:color="auto"/>
            </w:tcBorders>
            <w:shd w:val="clear" w:color="auto" w:fill="auto"/>
            <w:noWrap/>
            <w:vAlign w:val="bottom"/>
            <w:hideMark/>
          </w:tcPr>
          <w:p w14:paraId="6763B06A"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993" w:type="dxa"/>
            <w:tcBorders>
              <w:top w:val="nil"/>
              <w:left w:val="nil"/>
              <w:bottom w:val="single" w:sz="4" w:space="0" w:color="auto"/>
              <w:right w:val="single" w:sz="4" w:space="0" w:color="auto"/>
            </w:tcBorders>
            <w:shd w:val="clear" w:color="auto" w:fill="auto"/>
            <w:noWrap/>
            <w:vAlign w:val="bottom"/>
            <w:hideMark/>
          </w:tcPr>
          <w:p w14:paraId="7673C55F"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1984" w:type="dxa"/>
            <w:tcBorders>
              <w:top w:val="nil"/>
              <w:left w:val="nil"/>
              <w:bottom w:val="single" w:sz="4" w:space="0" w:color="auto"/>
              <w:right w:val="single" w:sz="4" w:space="0" w:color="auto"/>
            </w:tcBorders>
            <w:shd w:val="clear" w:color="auto" w:fill="auto"/>
            <w:noWrap/>
            <w:vAlign w:val="bottom"/>
            <w:hideMark/>
          </w:tcPr>
          <w:p w14:paraId="5267B8CF"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709" w:type="dxa"/>
            <w:tcBorders>
              <w:top w:val="nil"/>
              <w:left w:val="nil"/>
              <w:bottom w:val="single" w:sz="4" w:space="0" w:color="auto"/>
              <w:right w:val="single" w:sz="4" w:space="0" w:color="auto"/>
            </w:tcBorders>
            <w:shd w:val="clear" w:color="auto" w:fill="auto"/>
            <w:noWrap/>
            <w:vAlign w:val="bottom"/>
            <w:hideMark/>
          </w:tcPr>
          <w:p w14:paraId="7029BB3B"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r>
      <w:tr w:rsidR="00105179" w:rsidRPr="0050269E" w14:paraId="7B2A20AD" w14:textId="77777777" w:rsidTr="00A7284C">
        <w:trPr>
          <w:trHeight w:val="299"/>
          <w:jc w:val="center"/>
        </w:trPr>
        <w:tc>
          <w:tcPr>
            <w:tcW w:w="910" w:type="dxa"/>
            <w:tcBorders>
              <w:top w:val="nil"/>
              <w:left w:val="single" w:sz="4" w:space="0" w:color="auto"/>
              <w:bottom w:val="single" w:sz="4" w:space="0" w:color="auto"/>
              <w:right w:val="single" w:sz="4" w:space="0" w:color="auto"/>
            </w:tcBorders>
            <w:shd w:val="clear" w:color="auto" w:fill="auto"/>
            <w:noWrap/>
            <w:vAlign w:val="bottom"/>
            <w:hideMark/>
          </w:tcPr>
          <w:p w14:paraId="1494CFC1"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1</w:t>
            </w:r>
          </w:p>
        </w:tc>
        <w:tc>
          <w:tcPr>
            <w:tcW w:w="910" w:type="dxa"/>
            <w:tcBorders>
              <w:top w:val="nil"/>
              <w:left w:val="nil"/>
              <w:bottom w:val="single" w:sz="4" w:space="0" w:color="auto"/>
              <w:right w:val="single" w:sz="4" w:space="0" w:color="auto"/>
            </w:tcBorders>
            <w:shd w:val="clear" w:color="auto" w:fill="auto"/>
            <w:noWrap/>
            <w:vAlign w:val="bottom"/>
            <w:hideMark/>
          </w:tcPr>
          <w:p w14:paraId="2BF2E9E5"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RSO 1.4</w:t>
            </w:r>
          </w:p>
        </w:tc>
        <w:tc>
          <w:tcPr>
            <w:tcW w:w="910" w:type="dxa"/>
            <w:tcBorders>
              <w:top w:val="nil"/>
              <w:left w:val="nil"/>
              <w:bottom w:val="single" w:sz="4" w:space="0" w:color="auto"/>
              <w:right w:val="single" w:sz="4" w:space="0" w:color="auto"/>
            </w:tcBorders>
            <w:shd w:val="clear" w:color="auto" w:fill="auto"/>
            <w:noWrap/>
            <w:vAlign w:val="bottom"/>
            <w:hideMark/>
          </w:tcPr>
          <w:p w14:paraId="2103B44F"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ESRR</w:t>
            </w:r>
          </w:p>
        </w:tc>
        <w:tc>
          <w:tcPr>
            <w:tcW w:w="1330" w:type="dxa"/>
            <w:tcBorders>
              <w:top w:val="nil"/>
              <w:left w:val="nil"/>
              <w:bottom w:val="single" w:sz="4" w:space="0" w:color="auto"/>
              <w:right w:val="single" w:sz="4" w:space="0" w:color="auto"/>
            </w:tcBorders>
            <w:shd w:val="clear" w:color="auto" w:fill="auto"/>
            <w:noWrap/>
            <w:vAlign w:val="bottom"/>
            <w:hideMark/>
          </w:tcPr>
          <w:p w14:paraId="2629046E"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Zahod</w:t>
            </w:r>
          </w:p>
        </w:tc>
        <w:tc>
          <w:tcPr>
            <w:tcW w:w="1747" w:type="dxa"/>
            <w:tcBorders>
              <w:top w:val="nil"/>
              <w:left w:val="nil"/>
              <w:bottom w:val="single" w:sz="4" w:space="0" w:color="auto"/>
              <w:right w:val="single" w:sz="4" w:space="0" w:color="auto"/>
            </w:tcBorders>
            <w:shd w:val="clear" w:color="auto" w:fill="auto"/>
            <w:noWrap/>
            <w:vAlign w:val="bottom"/>
            <w:hideMark/>
          </w:tcPr>
          <w:p w14:paraId="0E9BBF9D" w14:textId="77777777" w:rsidR="00105179" w:rsidRPr="00AB429E" w:rsidRDefault="00105179" w:rsidP="00105179">
            <w:pPr>
              <w:suppressAutoHyphens w:val="0"/>
              <w:autoSpaceDN/>
              <w:spacing w:after="0" w:line="240" w:lineRule="auto"/>
              <w:jc w:val="right"/>
              <w:rPr>
                <w:rFonts w:cs="Arial"/>
                <w:sz w:val="18"/>
                <w:szCs w:val="18"/>
              </w:rPr>
            </w:pPr>
            <w:r w:rsidRPr="00AB429E">
              <w:rPr>
                <w:rFonts w:cs="Arial"/>
                <w:sz w:val="18"/>
                <w:szCs w:val="18"/>
              </w:rPr>
              <w:t>5.709.900</w:t>
            </w:r>
          </w:p>
        </w:tc>
        <w:tc>
          <w:tcPr>
            <w:tcW w:w="2268" w:type="dxa"/>
            <w:tcBorders>
              <w:top w:val="nil"/>
              <w:left w:val="nil"/>
              <w:bottom w:val="single" w:sz="4" w:space="0" w:color="auto"/>
              <w:right w:val="single" w:sz="4" w:space="0" w:color="auto"/>
            </w:tcBorders>
            <w:shd w:val="clear" w:color="auto" w:fill="auto"/>
            <w:noWrap/>
            <w:vAlign w:val="bottom"/>
            <w:hideMark/>
          </w:tcPr>
          <w:p w14:paraId="0812A0BD"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3.933.922</w:t>
            </w:r>
          </w:p>
        </w:tc>
        <w:tc>
          <w:tcPr>
            <w:tcW w:w="1276" w:type="dxa"/>
            <w:tcBorders>
              <w:top w:val="nil"/>
              <w:left w:val="nil"/>
              <w:bottom w:val="single" w:sz="4" w:space="0" w:color="auto"/>
              <w:right w:val="single" w:sz="4" w:space="0" w:color="auto"/>
            </w:tcBorders>
            <w:shd w:val="clear" w:color="auto" w:fill="auto"/>
            <w:noWrap/>
            <w:vAlign w:val="bottom"/>
            <w:hideMark/>
          </w:tcPr>
          <w:p w14:paraId="4DAD16B3"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69%</w:t>
            </w:r>
          </w:p>
        </w:tc>
        <w:tc>
          <w:tcPr>
            <w:tcW w:w="1984" w:type="dxa"/>
            <w:tcBorders>
              <w:top w:val="nil"/>
              <w:left w:val="nil"/>
              <w:bottom w:val="single" w:sz="4" w:space="0" w:color="auto"/>
              <w:right w:val="single" w:sz="4" w:space="0" w:color="auto"/>
            </w:tcBorders>
            <w:shd w:val="clear" w:color="auto" w:fill="auto"/>
            <w:noWrap/>
            <w:vAlign w:val="bottom"/>
            <w:hideMark/>
          </w:tcPr>
          <w:p w14:paraId="044CB908"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993" w:type="dxa"/>
            <w:tcBorders>
              <w:top w:val="nil"/>
              <w:left w:val="nil"/>
              <w:bottom w:val="single" w:sz="4" w:space="0" w:color="auto"/>
              <w:right w:val="single" w:sz="4" w:space="0" w:color="auto"/>
            </w:tcBorders>
            <w:shd w:val="clear" w:color="auto" w:fill="auto"/>
            <w:noWrap/>
            <w:vAlign w:val="bottom"/>
            <w:hideMark/>
          </w:tcPr>
          <w:p w14:paraId="0E631FE2"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1984" w:type="dxa"/>
            <w:tcBorders>
              <w:top w:val="nil"/>
              <w:left w:val="nil"/>
              <w:bottom w:val="single" w:sz="4" w:space="0" w:color="auto"/>
              <w:right w:val="single" w:sz="4" w:space="0" w:color="auto"/>
            </w:tcBorders>
            <w:shd w:val="clear" w:color="auto" w:fill="auto"/>
            <w:noWrap/>
            <w:vAlign w:val="bottom"/>
            <w:hideMark/>
          </w:tcPr>
          <w:p w14:paraId="0BCAC884"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709" w:type="dxa"/>
            <w:tcBorders>
              <w:top w:val="nil"/>
              <w:left w:val="nil"/>
              <w:bottom w:val="single" w:sz="4" w:space="0" w:color="auto"/>
              <w:right w:val="single" w:sz="4" w:space="0" w:color="auto"/>
            </w:tcBorders>
            <w:shd w:val="clear" w:color="auto" w:fill="auto"/>
            <w:noWrap/>
            <w:vAlign w:val="bottom"/>
            <w:hideMark/>
          </w:tcPr>
          <w:p w14:paraId="7D7B3841"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r>
      <w:tr w:rsidR="00105179" w:rsidRPr="0050269E" w14:paraId="3715D623" w14:textId="77777777" w:rsidTr="00A7284C">
        <w:trPr>
          <w:trHeight w:val="299"/>
          <w:jc w:val="center"/>
        </w:trPr>
        <w:tc>
          <w:tcPr>
            <w:tcW w:w="910" w:type="dxa"/>
            <w:tcBorders>
              <w:top w:val="nil"/>
              <w:left w:val="single" w:sz="4" w:space="0" w:color="auto"/>
              <w:bottom w:val="single" w:sz="4" w:space="0" w:color="auto"/>
              <w:right w:val="single" w:sz="4" w:space="0" w:color="auto"/>
            </w:tcBorders>
            <w:shd w:val="clear" w:color="auto" w:fill="auto"/>
            <w:noWrap/>
            <w:vAlign w:val="bottom"/>
            <w:hideMark/>
          </w:tcPr>
          <w:p w14:paraId="1A3491D9"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2</w:t>
            </w:r>
          </w:p>
        </w:tc>
        <w:tc>
          <w:tcPr>
            <w:tcW w:w="910" w:type="dxa"/>
            <w:tcBorders>
              <w:top w:val="nil"/>
              <w:left w:val="nil"/>
              <w:bottom w:val="single" w:sz="4" w:space="0" w:color="auto"/>
              <w:right w:val="single" w:sz="4" w:space="0" w:color="auto"/>
            </w:tcBorders>
            <w:shd w:val="clear" w:color="auto" w:fill="auto"/>
            <w:noWrap/>
            <w:vAlign w:val="bottom"/>
            <w:hideMark/>
          </w:tcPr>
          <w:p w14:paraId="6DCBF531"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RSO 1.5</w:t>
            </w:r>
          </w:p>
        </w:tc>
        <w:tc>
          <w:tcPr>
            <w:tcW w:w="910" w:type="dxa"/>
            <w:tcBorders>
              <w:top w:val="nil"/>
              <w:left w:val="nil"/>
              <w:bottom w:val="single" w:sz="4" w:space="0" w:color="auto"/>
              <w:right w:val="single" w:sz="4" w:space="0" w:color="auto"/>
            </w:tcBorders>
            <w:shd w:val="clear" w:color="auto" w:fill="auto"/>
            <w:noWrap/>
            <w:vAlign w:val="bottom"/>
            <w:hideMark/>
          </w:tcPr>
          <w:p w14:paraId="448A3DF4"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ESRR</w:t>
            </w:r>
          </w:p>
        </w:tc>
        <w:tc>
          <w:tcPr>
            <w:tcW w:w="1330" w:type="dxa"/>
            <w:tcBorders>
              <w:top w:val="nil"/>
              <w:left w:val="nil"/>
              <w:bottom w:val="single" w:sz="4" w:space="0" w:color="auto"/>
              <w:right w:val="single" w:sz="4" w:space="0" w:color="auto"/>
            </w:tcBorders>
            <w:shd w:val="clear" w:color="auto" w:fill="auto"/>
            <w:noWrap/>
            <w:vAlign w:val="bottom"/>
            <w:hideMark/>
          </w:tcPr>
          <w:p w14:paraId="06779BE0"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Vzhod</w:t>
            </w:r>
          </w:p>
        </w:tc>
        <w:tc>
          <w:tcPr>
            <w:tcW w:w="1747" w:type="dxa"/>
            <w:tcBorders>
              <w:top w:val="nil"/>
              <w:left w:val="nil"/>
              <w:bottom w:val="single" w:sz="4" w:space="0" w:color="auto"/>
              <w:right w:val="single" w:sz="4" w:space="0" w:color="auto"/>
            </w:tcBorders>
            <w:shd w:val="clear" w:color="auto" w:fill="auto"/>
            <w:noWrap/>
            <w:vAlign w:val="bottom"/>
            <w:hideMark/>
          </w:tcPr>
          <w:p w14:paraId="35A398DF" w14:textId="77777777" w:rsidR="00105179" w:rsidRPr="00AB429E" w:rsidRDefault="00105179" w:rsidP="00105179">
            <w:pPr>
              <w:suppressAutoHyphens w:val="0"/>
              <w:autoSpaceDN/>
              <w:spacing w:after="0" w:line="240" w:lineRule="auto"/>
              <w:jc w:val="right"/>
              <w:rPr>
                <w:rFonts w:cs="Arial"/>
                <w:sz w:val="18"/>
                <w:szCs w:val="18"/>
              </w:rPr>
            </w:pPr>
            <w:r w:rsidRPr="00AB429E">
              <w:rPr>
                <w:rFonts w:cs="Arial"/>
                <w:sz w:val="18"/>
                <w:szCs w:val="18"/>
              </w:rPr>
              <w:t>15.584.000</w:t>
            </w:r>
          </w:p>
        </w:tc>
        <w:tc>
          <w:tcPr>
            <w:tcW w:w="2268" w:type="dxa"/>
            <w:tcBorders>
              <w:top w:val="nil"/>
              <w:left w:val="nil"/>
              <w:bottom w:val="single" w:sz="4" w:space="0" w:color="auto"/>
              <w:right w:val="single" w:sz="4" w:space="0" w:color="auto"/>
            </w:tcBorders>
            <w:shd w:val="clear" w:color="auto" w:fill="auto"/>
            <w:noWrap/>
            <w:vAlign w:val="bottom"/>
            <w:hideMark/>
          </w:tcPr>
          <w:p w14:paraId="602C7B33"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bottom"/>
            <w:hideMark/>
          </w:tcPr>
          <w:p w14:paraId="257F4BB7"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1984" w:type="dxa"/>
            <w:tcBorders>
              <w:top w:val="nil"/>
              <w:left w:val="nil"/>
              <w:bottom w:val="single" w:sz="4" w:space="0" w:color="auto"/>
              <w:right w:val="single" w:sz="4" w:space="0" w:color="auto"/>
            </w:tcBorders>
            <w:shd w:val="clear" w:color="auto" w:fill="auto"/>
            <w:noWrap/>
            <w:vAlign w:val="bottom"/>
            <w:hideMark/>
          </w:tcPr>
          <w:p w14:paraId="1F886C72"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993" w:type="dxa"/>
            <w:tcBorders>
              <w:top w:val="nil"/>
              <w:left w:val="nil"/>
              <w:bottom w:val="single" w:sz="4" w:space="0" w:color="auto"/>
              <w:right w:val="single" w:sz="4" w:space="0" w:color="auto"/>
            </w:tcBorders>
            <w:shd w:val="clear" w:color="auto" w:fill="auto"/>
            <w:noWrap/>
            <w:vAlign w:val="bottom"/>
            <w:hideMark/>
          </w:tcPr>
          <w:p w14:paraId="4FB51765"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1984" w:type="dxa"/>
            <w:tcBorders>
              <w:top w:val="nil"/>
              <w:left w:val="nil"/>
              <w:bottom w:val="single" w:sz="4" w:space="0" w:color="auto"/>
              <w:right w:val="single" w:sz="4" w:space="0" w:color="auto"/>
            </w:tcBorders>
            <w:shd w:val="clear" w:color="auto" w:fill="auto"/>
            <w:noWrap/>
            <w:vAlign w:val="bottom"/>
            <w:hideMark/>
          </w:tcPr>
          <w:p w14:paraId="714F708E"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709" w:type="dxa"/>
            <w:tcBorders>
              <w:top w:val="nil"/>
              <w:left w:val="nil"/>
              <w:bottom w:val="single" w:sz="4" w:space="0" w:color="auto"/>
              <w:right w:val="single" w:sz="4" w:space="0" w:color="auto"/>
            </w:tcBorders>
            <w:shd w:val="clear" w:color="auto" w:fill="auto"/>
            <w:noWrap/>
            <w:vAlign w:val="bottom"/>
            <w:hideMark/>
          </w:tcPr>
          <w:p w14:paraId="0F9DE2E3"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r>
      <w:tr w:rsidR="00105179" w:rsidRPr="0050269E" w14:paraId="128D67FF" w14:textId="77777777" w:rsidTr="00A7284C">
        <w:trPr>
          <w:trHeight w:val="299"/>
          <w:jc w:val="center"/>
        </w:trPr>
        <w:tc>
          <w:tcPr>
            <w:tcW w:w="910" w:type="dxa"/>
            <w:tcBorders>
              <w:top w:val="nil"/>
              <w:left w:val="single" w:sz="4" w:space="0" w:color="auto"/>
              <w:bottom w:val="single" w:sz="4" w:space="0" w:color="auto"/>
              <w:right w:val="single" w:sz="4" w:space="0" w:color="auto"/>
            </w:tcBorders>
            <w:shd w:val="clear" w:color="auto" w:fill="auto"/>
            <w:noWrap/>
            <w:vAlign w:val="bottom"/>
            <w:hideMark/>
          </w:tcPr>
          <w:p w14:paraId="5BC4D4FB"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2</w:t>
            </w:r>
          </w:p>
        </w:tc>
        <w:tc>
          <w:tcPr>
            <w:tcW w:w="910" w:type="dxa"/>
            <w:tcBorders>
              <w:top w:val="nil"/>
              <w:left w:val="nil"/>
              <w:bottom w:val="single" w:sz="4" w:space="0" w:color="auto"/>
              <w:right w:val="single" w:sz="4" w:space="0" w:color="auto"/>
            </w:tcBorders>
            <w:shd w:val="clear" w:color="auto" w:fill="auto"/>
            <w:noWrap/>
            <w:vAlign w:val="bottom"/>
            <w:hideMark/>
          </w:tcPr>
          <w:p w14:paraId="292B79FA"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RSO 1.5</w:t>
            </w:r>
          </w:p>
        </w:tc>
        <w:tc>
          <w:tcPr>
            <w:tcW w:w="910" w:type="dxa"/>
            <w:tcBorders>
              <w:top w:val="nil"/>
              <w:left w:val="nil"/>
              <w:bottom w:val="single" w:sz="4" w:space="0" w:color="auto"/>
              <w:right w:val="single" w:sz="4" w:space="0" w:color="auto"/>
            </w:tcBorders>
            <w:shd w:val="clear" w:color="auto" w:fill="auto"/>
            <w:noWrap/>
            <w:vAlign w:val="bottom"/>
            <w:hideMark/>
          </w:tcPr>
          <w:p w14:paraId="03F328AB"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ESRR</w:t>
            </w:r>
          </w:p>
        </w:tc>
        <w:tc>
          <w:tcPr>
            <w:tcW w:w="1330" w:type="dxa"/>
            <w:tcBorders>
              <w:top w:val="nil"/>
              <w:left w:val="nil"/>
              <w:bottom w:val="single" w:sz="4" w:space="0" w:color="auto"/>
              <w:right w:val="single" w:sz="4" w:space="0" w:color="auto"/>
            </w:tcBorders>
            <w:shd w:val="clear" w:color="auto" w:fill="auto"/>
            <w:noWrap/>
            <w:vAlign w:val="bottom"/>
            <w:hideMark/>
          </w:tcPr>
          <w:p w14:paraId="226BC81E"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Zahod</w:t>
            </w:r>
          </w:p>
        </w:tc>
        <w:tc>
          <w:tcPr>
            <w:tcW w:w="1747" w:type="dxa"/>
            <w:tcBorders>
              <w:top w:val="nil"/>
              <w:left w:val="nil"/>
              <w:bottom w:val="single" w:sz="4" w:space="0" w:color="auto"/>
              <w:right w:val="single" w:sz="4" w:space="0" w:color="auto"/>
            </w:tcBorders>
            <w:shd w:val="clear" w:color="auto" w:fill="auto"/>
            <w:noWrap/>
            <w:vAlign w:val="bottom"/>
            <w:hideMark/>
          </w:tcPr>
          <w:p w14:paraId="1BE8EFE2" w14:textId="77777777" w:rsidR="00105179" w:rsidRPr="00AB429E" w:rsidRDefault="00105179" w:rsidP="00105179">
            <w:pPr>
              <w:suppressAutoHyphens w:val="0"/>
              <w:autoSpaceDN/>
              <w:spacing w:after="0" w:line="240" w:lineRule="auto"/>
              <w:jc w:val="right"/>
              <w:rPr>
                <w:rFonts w:cs="Arial"/>
                <w:sz w:val="18"/>
                <w:szCs w:val="18"/>
              </w:rPr>
            </w:pPr>
            <w:r w:rsidRPr="00AB429E">
              <w:rPr>
                <w:rFonts w:cs="Arial"/>
                <w:sz w:val="18"/>
                <w:szCs w:val="18"/>
              </w:rPr>
              <w:t>4.078.744</w:t>
            </w:r>
          </w:p>
        </w:tc>
        <w:tc>
          <w:tcPr>
            <w:tcW w:w="2268" w:type="dxa"/>
            <w:tcBorders>
              <w:top w:val="nil"/>
              <w:left w:val="nil"/>
              <w:bottom w:val="single" w:sz="4" w:space="0" w:color="auto"/>
              <w:right w:val="single" w:sz="4" w:space="0" w:color="auto"/>
            </w:tcBorders>
            <w:shd w:val="clear" w:color="auto" w:fill="auto"/>
            <w:noWrap/>
            <w:vAlign w:val="bottom"/>
            <w:hideMark/>
          </w:tcPr>
          <w:p w14:paraId="5247616E"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bottom"/>
            <w:hideMark/>
          </w:tcPr>
          <w:p w14:paraId="177198DF"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1984" w:type="dxa"/>
            <w:tcBorders>
              <w:top w:val="nil"/>
              <w:left w:val="nil"/>
              <w:bottom w:val="single" w:sz="4" w:space="0" w:color="auto"/>
              <w:right w:val="single" w:sz="4" w:space="0" w:color="auto"/>
            </w:tcBorders>
            <w:shd w:val="clear" w:color="auto" w:fill="auto"/>
            <w:noWrap/>
            <w:vAlign w:val="bottom"/>
            <w:hideMark/>
          </w:tcPr>
          <w:p w14:paraId="7C0269AA"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993" w:type="dxa"/>
            <w:tcBorders>
              <w:top w:val="nil"/>
              <w:left w:val="nil"/>
              <w:bottom w:val="single" w:sz="4" w:space="0" w:color="auto"/>
              <w:right w:val="single" w:sz="4" w:space="0" w:color="auto"/>
            </w:tcBorders>
            <w:shd w:val="clear" w:color="auto" w:fill="auto"/>
            <w:noWrap/>
            <w:vAlign w:val="bottom"/>
            <w:hideMark/>
          </w:tcPr>
          <w:p w14:paraId="039CA9FB"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1984" w:type="dxa"/>
            <w:tcBorders>
              <w:top w:val="nil"/>
              <w:left w:val="nil"/>
              <w:bottom w:val="single" w:sz="4" w:space="0" w:color="auto"/>
              <w:right w:val="single" w:sz="4" w:space="0" w:color="auto"/>
            </w:tcBorders>
            <w:shd w:val="clear" w:color="auto" w:fill="auto"/>
            <w:noWrap/>
            <w:vAlign w:val="bottom"/>
            <w:hideMark/>
          </w:tcPr>
          <w:p w14:paraId="2C31A22E"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709" w:type="dxa"/>
            <w:tcBorders>
              <w:top w:val="nil"/>
              <w:left w:val="nil"/>
              <w:bottom w:val="single" w:sz="4" w:space="0" w:color="auto"/>
              <w:right w:val="single" w:sz="4" w:space="0" w:color="auto"/>
            </w:tcBorders>
            <w:shd w:val="clear" w:color="auto" w:fill="auto"/>
            <w:noWrap/>
            <w:vAlign w:val="bottom"/>
            <w:hideMark/>
          </w:tcPr>
          <w:p w14:paraId="072787B2"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r>
      <w:tr w:rsidR="00105179" w:rsidRPr="0050269E" w14:paraId="60D8B525" w14:textId="77777777" w:rsidTr="00A7284C">
        <w:trPr>
          <w:trHeight w:val="299"/>
          <w:jc w:val="center"/>
        </w:trPr>
        <w:tc>
          <w:tcPr>
            <w:tcW w:w="910" w:type="dxa"/>
            <w:tcBorders>
              <w:top w:val="nil"/>
              <w:left w:val="single" w:sz="4" w:space="0" w:color="auto"/>
              <w:bottom w:val="single" w:sz="4" w:space="0" w:color="auto"/>
              <w:right w:val="single" w:sz="4" w:space="0" w:color="auto"/>
            </w:tcBorders>
            <w:shd w:val="clear" w:color="auto" w:fill="auto"/>
            <w:noWrap/>
            <w:vAlign w:val="bottom"/>
            <w:hideMark/>
          </w:tcPr>
          <w:p w14:paraId="55DB5B2E"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3</w:t>
            </w:r>
          </w:p>
        </w:tc>
        <w:tc>
          <w:tcPr>
            <w:tcW w:w="910" w:type="dxa"/>
            <w:tcBorders>
              <w:top w:val="nil"/>
              <w:left w:val="nil"/>
              <w:bottom w:val="single" w:sz="4" w:space="0" w:color="auto"/>
              <w:right w:val="single" w:sz="4" w:space="0" w:color="auto"/>
            </w:tcBorders>
            <w:shd w:val="clear" w:color="auto" w:fill="auto"/>
            <w:noWrap/>
            <w:vAlign w:val="bottom"/>
            <w:hideMark/>
          </w:tcPr>
          <w:p w14:paraId="5B45E0BB"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RSO 2.1</w:t>
            </w:r>
          </w:p>
        </w:tc>
        <w:tc>
          <w:tcPr>
            <w:tcW w:w="910" w:type="dxa"/>
            <w:tcBorders>
              <w:top w:val="nil"/>
              <w:left w:val="nil"/>
              <w:bottom w:val="single" w:sz="4" w:space="0" w:color="auto"/>
              <w:right w:val="single" w:sz="4" w:space="0" w:color="auto"/>
            </w:tcBorders>
            <w:shd w:val="clear" w:color="auto" w:fill="auto"/>
            <w:noWrap/>
            <w:vAlign w:val="bottom"/>
            <w:hideMark/>
          </w:tcPr>
          <w:p w14:paraId="22CB4ACA"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ESRR</w:t>
            </w:r>
          </w:p>
        </w:tc>
        <w:tc>
          <w:tcPr>
            <w:tcW w:w="1330" w:type="dxa"/>
            <w:tcBorders>
              <w:top w:val="nil"/>
              <w:left w:val="nil"/>
              <w:bottom w:val="single" w:sz="4" w:space="0" w:color="auto"/>
              <w:right w:val="single" w:sz="4" w:space="0" w:color="auto"/>
            </w:tcBorders>
            <w:shd w:val="clear" w:color="auto" w:fill="auto"/>
            <w:noWrap/>
            <w:vAlign w:val="bottom"/>
            <w:hideMark/>
          </w:tcPr>
          <w:p w14:paraId="6C00ED97"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Vzhod</w:t>
            </w:r>
          </w:p>
        </w:tc>
        <w:tc>
          <w:tcPr>
            <w:tcW w:w="1747" w:type="dxa"/>
            <w:tcBorders>
              <w:top w:val="nil"/>
              <w:left w:val="nil"/>
              <w:bottom w:val="single" w:sz="4" w:space="0" w:color="auto"/>
              <w:right w:val="single" w:sz="4" w:space="0" w:color="auto"/>
            </w:tcBorders>
            <w:shd w:val="clear" w:color="auto" w:fill="auto"/>
            <w:noWrap/>
            <w:vAlign w:val="bottom"/>
            <w:hideMark/>
          </w:tcPr>
          <w:p w14:paraId="7AA79B42" w14:textId="77777777" w:rsidR="00105179" w:rsidRPr="00AB429E" w:rsidRDefault="00105179" w:rsidP="00105179">
            <w:pPr>
              <w:suppressAutoHyphens w:val="0"/>
              <w:autoSpaceDN/>
              <w:spacing w:after="0" w:line="240" w:lineRule="auto"/>
              <w:jc w:val="right"/>
              <w:rPr>
                <w:rFonts w:cs="Arial"/>
                <w:sz w:val="18"/>
                <w:szCs w:val="18"/>
              </w:rPr>
            </w:pPr>
            <w:r w:rsidRPr="00AB429E">
              <w:rPr>
                <w:rFonts w:cs="Arial"/>
                <w:sz w:val="18"/>
                <w:szCs w:val="18"/>
              </w:rPr>
              <w:t>32.539.537</w:t>
            </w:r>
          </w:p>
        </w:tc>
        <w:tc>
          <w:tcPr>
            <w:tcW w:w="2268" w:type="dxa"/>
            <w:tcBorders>
              <w:top w:val="nil"/>
              <w:left w:val="nil"/>
              <w:bottom w:val="single" w:sz="4" w:space="0" w:color="auto"/>
              <w:right w:val="single" w:sz="4" w:space="0" w:color="auto"/>
            </w:tcBorders>
            <w:shd w:val="clear" w:color="auto" w:fill="auto"/>
            <w:noWrap/>
            <w:vAlign w:val="bottom"/>
            <w:hideMark/>
          </w:tcPr>
          <w:p w14:paraId="0AFC3847"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bottom"/>
            <w:hideMark/>
          </w:tcPr>
          <w:p w14:paraId="0907B4AB"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1984" w:type="dxa"/>
            <w:tcBorders>
              <w:top w:val="nil"/>
              <w:left w:val="nil"/>
              <w:bottom w:val="single" w:sz="4" w:space="0" w:color="auto"/>
              <w:right w:val="single" w:sz="4" w:space="0" w:color="auto"/>
            </w:tcBorders>
            <w:shd w:val="clear" w:color="auto" w:fill="auto"/>
            <w:noWrap/>
            <w:vAlign w:val="bottom"/>
            <w:hideMark/>
          </w:tcPr>
          <w:p w14:paraId="07AAB26E"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993" w:type="dxa"/>
            <w:tcBorders>
              <w:top w:val="nil"/>
              <w:left w:val="nil"/>
              <w:bottom w:val="single" w:sz="4" w:space="0" w:color="auto"/>
              <w:right w:val="single" w:sz="4" w:space="0" w:color="auto"/>
            </w:tcBorders>
            <w:shd w:val="clear" w:color="auto" w:fill="auto"/>
            <w:noWrap/>
            <w:vAlign w:val="bottom"/>
            <w:hideMark/>
          </w:tcPr>
          <w:p w14:paraId="3A8BE32E"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1984" w:type="dxa"/>
            <w:tcBorders>
              <w:top w:val="nil"/>
              <w:left w:val="nil"/>
              <w:bottom w:val="single" w:sz="4" w:space="0" w:color="auto"/>
              <w:right w:val="single" w:sz="4" w:space="0" w:color="auto"/>
            </w:tcBorders>
            <w:shd w:val="clear" w:color="auto" w:fill="auto"/>
            <w:noWrap/>
            <w:vAlign w:val="bottom"/>
            <w:hideMark/>
          </w:tcPr>
          <w:p w14:paraId="23971E8D"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709" w:type="dxa"/>
            <w:tcBorders>
              <w:top w:val="nil"/>
              <w:left w:val="nil"/>
              <w:bottom w:val="single" w:sz="4" w:space="0" w:color="auto"/>
              <w:right w:val="single" w:sz="4" w:space="0" w:color="auto"/>
            </w:tcBorders>
            <w:shd w:val="clear" w:color="auto" w:fill="auto"/>
            <w:noWrap/>
            <w:vAlign w:val="bottom"/>
            <w:hideMark/>
          </w:tcPr>
          <w:p w14:paraId="777BBB98"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r>
      <w:tr w:rsidR="00105179" w:rsidRPr="0050269E" w14:paraId="0E81FE4C" w14:textId="77777777" w:rsidTr="00A7284C">
        <w:trPr>
          <w:trHeight w:val="299"/>
          <w:jc w:val="center"/>
        </w:trPr>
        <w:tc>
          <w:tcPr>
            <w:tcW w:w="910" w:type="dxa"/>
            <w:tcBorders>
              <w:top w:val="nil"/>
              <w:left w:val="single" w:sz="4" w:space="0" w:color="auto"/>
              <w:bottom w:val="single" w:sz="4" w:space="0" w:color="auto"/>
              <w:right w:val="single" w:sz="4" w:space="0" w:color="auto"/>
            </w:tcBorders>
            <w:shd w:val="clear" w:color="auto" w:fill="auto"/>
            <w:noWrap/>
            <w:vAlign w:val="bottom"/>
            <w:hideMark/>
          </w:tcPr>
          <w:p w14:paraId="74AA4140"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3</w:t>
            </w:r>
          </w:p>
        </w:tc>
        <w:tc>
          <w:tcPr>
            <w:tcW w:w="910" w:type="dxa"/>
            <w:tcBorders>
              <w:top w:val="nil"/>
              <w:left w:val="nil"/>
              <w:bottom w:val="single" w:sz="4" w:space="0" w:color="auto"/>
              <w:right w:val="single" w:sz="4" w:space="0" w:color="auto"/>
            </w:tcBorders>
            <w:shd w:val="clear" w:color="auto" w:fill="auto"/>
            <w:noWrap/>
            <w:vAlign w:val="bottom"/>
            <w:hideMark/>
          </w:tcPr>
          <w:p w14:paraId="42963B45"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RSO 2.1</w:t>
            </w:r>
          </w:p>
        </w:tc>
        <w:tc>
          <w:tcPr>
            <w:tcW w:w="910" w:type="dxa"/>
            <w:tcBorders>
              <w:top w:val="nil"/>
              <w:left w:val="nil"/>
              <w:bottom w:val="single" w:sz="4" w:space="0" w:color="auto"/>
              <w:right w:val="single" w:sz="4" w:space="0" w:color="auto"/>
            </w:tcBorders>
            <w:shd w:val="clear" w:color="auto" w:fill="auto"/>
            <w:noWrap/>
            <w:vAlign w:val="bottom"/>
            <w:hideMark/>
          </w:tcPr>
          <w:p w14:paraId="186CAC32"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ESRR</w:t>
            </w:r>
          </w:p>
        </w:tc>
        <w:tc>
          <w:tcPr>
            <w:tcW w:w="1330" w:type="dxa"/>
            <w:tcBorders>
              <w:top w:val="nil"/>
              <w:left w:val="nil"/>
              <w:bottom w:val="single" w:sz="4" w:space="0" w:color="auto"/>
              <w:right w:val="single" w:sz="4" w:space="0" w:color="auto"/>
            </w:tcBorders>
            <w:shd w:val="clear" w:color="auto" w:fill="auto"/>
            <w:noWrap/>
            <w:vAlign w:val="bottom"/>
            <w:hideMark/>
          </w:tcPr>
          <w:p w14:paraId="1C16C3BF"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Zahod</w:t>
            </w:r>
          </w:p>
        </w:tc>
        <w:tc>
          <w:tcPr>
            <w:tcW w:w="1747" w:type="dxa"/>
            <w:tcBorders>
              <w:top w:val="nil"/>
              <w:left w:val="nil"/>
              <w:bottom w:val="single" w:sz="4" w:space="0" w:color="auto"/>
              <w:right w:val="single" w:sz="4" w:space="0" w:color="auto"/>
            </w:tcBorders>
            <w:shd w:val="clear" w:color="auto" w:fill="auto"/>
            <w:noWrap/>
            <w:vAlign w:val="bottom"/>
            <w:hideMark/>
          </w:tcPr>
          <w:p w14:paraId="3060381A" w14:textId="77777777" w:rsidR="00105179" w:rsidRPr="00AB429E" w:rsidRDefault="00105179" w:rsidP="00105179">
            <w:pPr>
              <w:suppressAutoHyphens w:val="0"/>
              <w:autoSpaceDN/>
              <w:spacing w:after="0" w:line="240" w:lineRule="auto"/>
              <w:jc w:val="right"/>
              <w:rPr>
                <w:rFonts w:cs="Arial"/>
                <w:sz w:val="18"/>
                <w:szCs w:val="18"/>
              </w:rPr>
            </w:pPr>
            <w:r w:rsidRPr="00AB429E">
              <w:rPr>
                <w:rFonts w:cs="Arial"/>
                <w:sz w:val="18"/>
                <w:szCs w:val="18"/>
              </w:rPr>
              <w:t>10.675.896</w:t>
            </w:r>
          </w:p>
        </w:tc>
        <w:tc>
          <w:tcPr>
            <w:tcW w:w="2268" w:type="dxa"/>
            <w:tcBorders>
              <w:top w:val="nil"/>
              <w:left w:val="nil"/>
              <w:bottom w:val="single" w:sz="4" w:space="0" w:color="auto"/>
              <w:right w:val="single" w:sz="4" w:space="0" w:color="auto"/>
            </w:tcBorders>
            <w:shd w:val="clear" w:color="auto" w:fill="auto"/>
            <w:noWrap/>
            <w:vAlign w:val="bottom"/>
            <w:hideMark/>
          </w:tcPr>
          <w:p w14:paraId="7654FC62"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bottom"/>
            <w:hideMark/>
          </w:tcPr>
          <w:p w14:paraId="35632B9F"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1984" w:type="dxa"/>
            <w:tcBorders>
              <w:top w:val="nil"/>
              <w:left w:val="nil"/>
              <w:bottom w:val="single" w:sz="4" w:space="0" w:color="auto"/>
              <w:right w:val="single" w:sz="4" w:space="0" w:color="auto"/>
            </w:tcBorders>
            <w:shd w:val="clear" w:color="auto" w:fill="auto"/>
            <w:noWrap/>
            <w:vAlign w:val="bottom"/>
            <w:hideMark/>
          </w:tcPr>
          <w:p w14:paraId="388D3B85"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993" w:type="dxa"/>
            <w:tcBorders>
              <w:top w:val="nil"/>
              <w:left w:val="nil"/>
              <w:bottom w:val="single" w:sz="4" w:space="0" w:color="auto"/>
              <w:right w:val="single" w:sz="4" w:space="0" w:color="auto"/>
            </w:tcBorders>
            <w:shd w:val="clear" w:color="auto" w:fill="auto"/>
            <w:noWrap/>
            <w:vAlign w:val="bottom"/>
            <w:hideMark/>
          </w:tcPr>
          <w:p w14:paraId="1D311F1B"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1984" w:type="dxa"/>
            <w:tcBorders>
              <w:top w:val="nil"/>
              <w:left w:val="nil"/>
              <w:bottom w:val="single" w:sz="4" w:space="0" w:color="auto"/>
              <w:right w:val="single" w:sz="4" w:space="0" w:color="auto"/>
            </w:tcBorders>
            <w:shd w:val="clear" w:color="auto" w:fill="auto"/>
            <w:noWrap/>
            <w:vAlign w:val="bottom"/>
            <w:hideMark/>
          </w:tcPr>
          <w:p w14:paraId="008314B9"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709" w:type="dxa"/>
            <w:tcBorders>
              <w:top w:val="nil"/>
              <w:left w:val="nil"/>
              <w:bottom w:val="single" w:sz="4" w:space="0" w:color="auto"/>
              <w:right w:val="single" w:sz="4" w:space="0" w:color="auto"/>
            </w:tcBorders>
            <w:shd w:val="clear" w:color="auto" w:fill="auto"/>
            <w:noWrap/>
            <w:vAlign w:val="bottom"/>
            <w:hideMark/>
          </w:tcPr>
          <w:p w14:paraId="3FBE9C61"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r>
      <w:tr w:rsidR="00105179" w:rsidRPr="0050269E" w14:paraId="587AC025" w14:textId="77777777" w:rsidTr="00A7284C">
        <w:trPr>
          <w:trHeight w:val="299"/>
          <w:jc w:val="center"/>
        </w:trPr>
        <w:tc>
          <w:tcPr>
            <w:tcW w:w="910" w:type="dxa"/>
            <w:tcBorders>
              <w:top w:val="nil"/>
              <w:left w:val="single" w:sz="4" w:space="0" w:color="auto"/>
              <w:bottom w:val="single" w:sz="4" w:space="0" w:color="auto"/>
              <w:right w:val="single" w:sz="4" w:space="0" w:color="auto"/>
            </w:tcBorders>
            <w:shd w:val="clear" w:color="auto" w:fill="auto"/>
            <w:noWrap/>
            <w:vAlign w:val="bottom"/>
            <w:hideMark/>
          </w:tcPr>
          <w:p w14:paraId="2C056C5F"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3</w:t>
            </w:r>
          </w:p>
        </w:tc>
        <w:tc>
          <w:tcPr>
            <w:tcW w:w="910" w:type="dxa"/>
            <w:tcBorders>
              <w:top w:val="nil"/>
              <w:left w:val="nil"/>
              <w:bottom w:val="single" w:sz="4" w:space="0" w:color="auto"/>
              <w:right w:val="single" w:sz="4" w:space="0" w:color="auto"/>
            </w:tcBorders>
            <w:shd w:val="clear" w:color="auto" w:fill="auto"/>
            <w:noWrap/>
            <w:vAlign w:val="bottom"/>
            <w:hideMark/>
          </w:tcPr>
          <w:p w14:paraId="671B4C48"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RSO 2.1</w:t>
            </w:r>
          </w:p>
        </w:tc>
        <w:tc>
          <w:tcPr>
            <w:tcW w:w="910" w:type="dxa"/>
            <w:tcBorders>
              <w:top w:val="nil"/>
              <w:left w:val="nil"/>
              <w:bottom w:val="single" w:sz="4" w:space="0" w:color="auto"/>
              <w:right w:val="single" w:sz="4" w:space="0" w:color="auto"/>
            </w:tcBorders>
            <w:shd w:val="clear" w:color="auto" w:fill="auto"/>
            <w:noWrap/>
            <w:vAlign w:val="bottom"/>
            <w:hideMark/>
          </w:tcPr>
          <w:p w14:paraId="1D4A42D8"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KS</w:t>
            </w:r>
          </w:p>
        </w:tc>
        <w:tc>
          <w:tcPr>
            <w:tcW w:w="1330" w:type="dxa"/>
            <w:tcBorders>
              <w:top w:val="nil"/>
              <w:left w:val="nil"/>
              <w:bottom w:val="single" w:sz="4" w:space="0" w:color="auto"/>
              <w:right w:val="single" w:sz="4" w:space="0" w:color="auto"/>
            </w:tcBorders>
            <w:shd w:val="clear" w:color="auto" w:fill="auto"/>
            <w:noWrap/>
            <w:vAlign w:val="bottom"/>
            <w:hideMark/>
          </w:tcPr>
          <w:p w14:paraId="44F32665"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Celotna SI</w:t>
            </w:r>
          </w:p>
        </w:tc>
        <w:tc>
          <w:tcPr>
            <w:tcW w:w="1747" w:type="dxa"/>
            <w:tcBorders>
              <w:top w:val="nil"/>
              <w:left w:val="nil"/>
              <w:bottom w:val="single" w:sz="4" w:space="0" w:color="auto"/>
              <w:right w:val="single" w:sz="4" w:space="0" w:color="auto"/>
            </w:tcBorders>
            <w:shd w:val="clear" w:color="auto" w:fill="auto"/>
            <w:noWrap/>
            <w:vAlign w:val="bottom"/>
            <w:hideMark/>
          </w:tcPr>
          <w:p w14:paraId="3F14C6EF" w14:textId="77777777" w:rsidR="00105179" w:rsidRPr="00AB429E" w:rsidRDefault="00105179" w:rsidP="00105179">
            <w:pPr>
              <w:suppressAutoHyphens w:val="0"/>
              <w:autoSpaceDN/>
              <w:spacing w:after="0" w:line="240" w:lineRule="auto"/>
              <w:jc w:val="right"/>
              <w:rPr>
                <w:rFonts w:cs="Arial"/>
                <w:sz w:val="18"/>
                <w:szCs w:val="18"/>
              </w:rPr>
            </w:pPr>
            <w:r w:rsidRPr="00AB429E">
              <w:rPr>
                <w:rFonts w:cs="Arial"/>
                <w:sz w:val="18"/>
                <w:szCs w:val="18"/>
              </w:rPr>
              <w:t>59.470.000</w:t>
            </w:r>
          </w:p>
        </w:tc>
        <w:tc>
          <w:tcPr>
            <w:tcW w:w="2268" w:type="dxa"/>
            <w:tcBorders>
              <w:top w:val="nil"/>
              <w:left w:val="nil"/>
              <w:bottom w:val="single" w:sz="4" w:space="0" w:color="auto"/>
              <w:right w:val="single" w:sz="4" w:space="0" w:color="auto"/>
            </w:tcBorders>
            <w:shd w:val="clear" w:color="auto" w:fill="auto"/>
            <w:noWrap/>
            <w:vAlign w:val="bottom"/>
            <w:hideMark/>
          </w:tcPr>
          <w:p w14:paraId="1B209B4A"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25.500.000</w:t>
            </w:r>
          </w:p>
        </w:tc>
        <w:tc>
          <w:tcPr>
            <w:tcW w:w="1276" w:type="dxa"/>
            <w:tcBorders>
              <w:top w:val="nil"/>
              <w:left w:val="nil"/>
              <w:bottom w:val="single" w:sz="4" w:space="0" w:color="auto"/>
              <w:right w:val="single" w:sz="4" w:space="0" w:color="auto"/>
            </w:tcBorders>
            <w:shd w:val="clear" w:color="auto" w:fill="auto"/>
            <w:noWrap/>
            <w:vAlign w:val="bottom"/>
            <w:hideMark/>
          </w:tcPr>
          <w:p w14:paraId="4CF21EE7"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43%</w:t>
            </w:r>
          </w:p>
        </w:tc>
        <w:tc>
          <w:tcPr>
            <w:tcW w:w="1984" w:type="dxa"/>
            <w:tcBorders>
              <w:top w:val="nil"/>
              <w:left w:val="nil"/>
              <w:bottom w:val="single" w:sz="4" w:space="0" w:color="auto"/>
              <w:right w:val="single" w:sz="4" w:space="0" w:color="auto"/>
            </w:tcBorders>
            <w:shd w:val="clear" w:color="auto" w:fill="auto"/>
            <w:noWrap/>
            <w:vAlign w:val="bottom"/>
            <w:hideMark/>
          </w:tcPr>
          <w:p w14:paraId="7F986685"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993" w:type="dxa"/>
            <w:tcBorders>
              <w:top w:val="nil"/>
              <w:left w:val="nil"/>
              <w:bottom w:val="single" w:sz="4" w:space="0" w:color="auto"/>
              <w:right w:val="single" w:sz="4" w:space="0" w:color="auto"/>
            </w:tcBorders>
            <w:shd w:val="clear" w:color="auto" w:fill="auto"/>
            <w:noWrap/>
            <w:vAlign w:val="bottom"/>
            <w:hideMark/>
          </w:tcPr>
          <w:p w14:paraId="14A1FE05"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1984" w:type="dxa"/>
            <w:tcBorders>
              <w:top w:val="nil"/>
              <w:left w:val="nil"/>
              <w:bottom w:val="single" w:sz="4" w:space="0" w:color="auto"/>
              <w:right w:val="single" w:sz="4" w:space="0" w:color="auto"/>
            </w:tcBorders>
            <w:shd w:val="clear" w:color="auto" w:fill="auto"/>
            <w:noWrap/>
            <w:vAlign w:val="bottom"/>
            <w:hideMark/>
          </w:tcPr>
          <w:p w14:paraId="259AC97B"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709" w:type="dxa"/>
            <w:tcBorders>
              <w:top w:val="nil"/>
              <w:left w:val="nil"/>
              <w:bottom w:val="single" w:sz="4" w:space="0" w:color="auto"/>
              <w:right w:val="single" w:sz="4" w:space="0" w:color="auto"/>
            </w:tcBorders>
            <w:shd w:val="clear" w:color="auto" w:fill="auto"/>
            <w:noWrap/>
            <w:vAlign w:val="bottom"/>
            <w:hideMark/>
          </w:tcPr>
          <w:p w14:paraId="3E3027FC"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r>
      <w:tr w:rsidR="00105179" w:rsidRPr="0050269E" w14:paraId="360B0837" w14:textId="77777777" w:rsidTr="00A7284C">
        <w:trPr>
          <w:trHeight w:val="299"/>
          <w:jc w:val="center"/>
        </w:trPr>
        <w:tc>
          <w:tcPr>
            <w:tcW w:w="910" w:type="dxa"/>
            <w:tcBorders>
              <w:top w:val="nil"/>
              <w:left w:val="single" w:sz="4" w:space="0" w:color="auto"/>
              <w:bottom w:val="single" w:sz="4" w:space="0" w:color="auto"/>
              <w:right w:val="single" w:sz="4" w:space="0" w:color="auto"/>
            </w:tcBorders>
            <w:shd w:val="clear" w:color="auto" w:fill="auto"/>
            <w:noWrap/>
            <w:vAlign w:val="bottom"/>
            <w:hideMark/>
          </w:tcPr>
          <w:p w14:paraId="782A1DDC"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3</w:t>
            </w:r>
          </w:p>
        </w:tc>
        <w:tc>
          <w:tcPr>
            <w:tcW w:w="910" w:type="dxa"/>
            <w:tcBorders>
              <w:top w:val="nil"/>
              <w:left w:val="nil"/>
              <w:bottom w:val="single" w:sz="4" w:space="0" w:color="auto"/>
              <w:right w:val="single" w:sz="4" w:space="0" w:color="auto"/>
            </w:tcBorders>
            <w:shd w:val="clear" w:color="auto" w:fill="auto"/>
            <w:noWrap/>
            <w:vAlign w:val="bottom"/>
            <w:hideMark/>
          </w:tcPr>
          <w:p w14:paraId="02C879A3"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RSO 2.2</w:t>
            </w:r>
          </w:p>
        </w:tc>
        <w:tc>
          <w:tcPr>
            <w:tcW w:w="910" w:type="dxa"/>
            <w:tcBorders>
              <w:top w:val="nil"/>
              <w:left w:val="nil"/>
              <w:bottom w:val="single" w:sz="4" w:space="0" w:color="auto"/>
              <w:right w:val="single" w:sz="4" w:space="0" w:color="auto"/>
            </w:tcBorders>
            <w:shd w:val="clear" w:color="auto" w:fill="auto"/>
            <w:noWrap/>
            <w:vAlign w:val="bottom"/>
            <w:hideMark/>
          </w:tcPr>
          <w:p w14:paraId="5FEF074D"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ESRR</w:t>
            </w:r>
          </w:p>
        </w:tc>
        <w:tc>
          <w:tcPr>
            <w:tcW w:w="1330" w:type="dxa"/>
            <w:tcBorders>
              <w:top w:val="nil"/>
              <w:left w:val="nil"/>
              <w:bottom w:val="single" w:sz="4" w:space="0" w:color="auto"/>
              <w:right w:val="single" w:sz="4" w:space="0" w:color="auto"/>
            </w:tcBorders>
            <w:shd w:val="clear" w:color="auto" w:fill="auto"/>
            <w:noWrap/>
            <w:vAlign w:val="bottom"/>
            <w:hideMark/>
          </w:tcPr>
          <w:p w14:paraId="6FF811CE"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Vzhod</w:t>
            </w:r>
          </w:p>
        </w:tc>
        <w:tc>
          <w:tcPr>
            <w:tcW w:w="1747" w:type="dxa"/>
            <w:tcBorders>
              <w:top w:val="nil"/>
              <w:left w:val="nil"/>
              <w:bottom w:val="single" w:sz="4" w:space="0" w:color="auto"/>
              <w:right w:val="single" w:sz="4" w:space="0" w:color="auto"/>
            </w:tcBorders>
            <w:shd w:val="clear" w:color="auto" w:fill="auto"/>
            <w:noWrap/>
            <w:vAlign w:val="bottom"/>
            <w:hideMark/>
          </w:tcPr>
          <w:p w14:paraId="1ACFEDD8" w14:textId="77777777" w:rsidR="00105179" w:rsidRPr="00AB429E" w:rsidRDefault="00105179" w:rsidP="00105179">
            <w:pPr>
              <w:suppressAutoHyphens w:val="0"/>
              <w:autoSpaceDN/>
              <w:spacing w:after="0" w:line="240" w:lineRule="auto"/>
              <w:jc w:val="right"/>
              <w:rPr>
                <w:rFonts w:cs="Arial"/>
                <w:sz w:val="18"/>
                <w:szCs w:val="18"/>
              </w:rPr>
            </w:pPr>
            <w:r w:rsidRPr="00AB429E">
              <w:rPr>
                <w:rFonts w:cs="Arial"/>
                <w:sz w:val="18"/>
                <w:szCs w:val="18"/>
              </w:rPr>
              <w:t>80.052.114</w:t>
            </w:r>
          </w:p>
        </w:tc>
        <w:tc>
          <w:tcPr>
            <w:tcW w:w="2268" w:type="dxa"/>
            <w:tcBorders>
              <w:top w:val="nil"/>
              <w:left w:val="nil"/>
              <w:bottom w:val="single" w:sz="4" w:space="0" w:color="auto"/>
              <w:right w:val="single" w:sz="4" w:space="0" w:color="auto"/>
            </w:tcBorders>
            <w:shd w:val="clear" w:color="auto" w:fill="auto"/>
            <w:noWrap/>
            <w:vAlign w:val="bottom"/>
            <w:hideMark/>
          </w:tcPr>
          <w:p w14:paraId="35E4416D"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3.600.000</w:t>
            </w:r>
          </w:p>
        </w:tc>
        <w:tc>
          <w:tcPr>
            <w:tcW w:w="1276" w:type="dxa"/>
            <w:tcBorders>
              <w:top w:val="nil"/>
              <w:left w:val="nil"/>
              <w:bottom w:val="single" w:sz="4" w:space="0" w:color="auto"/>
              <w:right w:val="single" w:sz="4" w:space="0" w:color="auto"/>
            </w:tcBorders>
            <w:shd w:val="clear" w:color="auto" w:fill="auto"/>
            <w:noWrap/>
            <w:vAlign w:val="bottom"/>
            <w:hideMark/>
          </w:tcPr>
          <w:p w14:paraId="10AEB0CB"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4%</w:t>
            </w:r>
          </w:p>
        </w:tc>
        <w:tc>
          <w:tcPr>
            <w:tcW w:w="1984" w:type="dxa"/>
            <w:tcBorders>
              <w:top w:val="nil"/>
              <w:left w:val="nil"/>
              <w:bottom w:val="single" w:sz="4" w:space="0" w:color="auto"/>
              <w:right w:val="single" w:sz="4" w:space="0" w:color="auto"/>
            </w:tcBorders>
            <w:shd w:val="clear" w:color="auto" w:fill="auto"/>
            <w:noWrap/>
            <w:vAlign w:val="bottom"/>
            <w:hideMark/>
          </w:tcPr>
          <w:p w14:paraId="18C10615"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993" w:type="dxa"/>
            <w:tcBorders>
              <w:top w:val="nil"/>
              <w:left w:val="nil"/>
              <w:bottom w:val="single" w:sz="4" w:space="0" w:color="auto"/>
              <w:right w:val="single" w:sz="4" w:space="0" w:color="auto"/>
            </w:tcBorders>
            <w:shd w:val="clear" w:color="auto" w:fill="auto"/>
            <w:noWrap/>
            <w:vAlign w:val="bottom"/>
            <w:hideMark/>
          </w:tcPr>
          <w:p w14:paraId="40131F28"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1984" w:type="dxa"/>
            <w:tcBorders>
              <w:top w:val="nil"/>
              <w:left w:val="nil"/>
              <w:bottom w:val="single" w:sz="4" w:space="0" w:color="auto"/>
              <w:right w:val="single" w:sz="4" w:space="0" w:color="auto"/>
            </w:tcBorders>
            <w:shd w:val="clear" w:color="auto" w:fill="auto"/>
            <w:noWrap/>
            <w:vAlign w:val="bottom"/>
            <w:hideMark/>
          </w:tcPr>
          <w:p w14:paraId="389F1EF8"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709" w:type="dxa"/>
            <w:tcBorders>
              <w:top w:val="nil"/>
              <w:left w:val="nil"/>
              <w:bottom w:val="single" w:sz="4" w:space="0" w:color="auto"/>
              <w:right w:val="single" w:sz="4" w:space="0" w:color="auto"/>
            </w:tcBorders>
            <w:shd w:val="clear" w:color="auto" w:fill="auto"/>
            <w:noWrap/>
            <w:vAlign w:val="bottom"/>
            <w:hideMark/>
          </w:tcPr>
          <w:p w14:paraId="4B73D6FA"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r>
      <w:tr w:rsidR="00105179" w:rsidRPr="0050269E" w14:paraId="6676EFBF" w14:textId="77777777" w:rsidTr="00A7284C">
        <w:trPr>
          <w:trHeight w:val="299"/>
          <w:jc w:val="center"/>
        </w:trPr>
        <w:tc>
          <w:tcPr>
            <w:tcW w:w="910" w:type="dxa"/>
            <w:tcBorders>
              <w:top w:val="nil"/>
              <w:left w:val="single" w:sz="4" w:space="0" w:color="auto"/>
              <w:bottom w:val="single" w:sz="4" w:space="0" w:color="auto"/>
              <w:right w:val="single" w:sz="4" w:space="0" w:color="auto"/>
            </w:tcBorders>
            <w:shd w:val="clear" w:color="auto" w:fill="auto"/>
            <w:noWrap/>
            <w:vAlign w:val="bottom"/>
            <w:hideMark/>
          </w:tcPr>
          <w:p w14:paraId="60470630"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3</w:t>
            </w:r>
          </w:p>
        </w:tc>
        <w:tc>
          <w:tcPr>
            <w:tcW w:w="910" w:type="dxa"/>
            <w:tcBorders>
              <w:top w:val="nil"/>
              <w:left w:val="nil"/>
              <w:bottom w:val="single" w:sz="4" w:space="0" w:color="auto"/>
              <w:right w:val="single" w:sz="4" w:space="0" w:color="auto"/>
            </w:tcBorders>
            <w:shd w:val="clear" w:color="auto" w:fill="auto"/>
            <w:noWrap/>
            <w:vAlign w:val="bottom"/>
            <w:hideMark/>
          </w:tcPr>
          <w:p w14:paraId="1FC541F8"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RSO 2.2</w:t>
            </w:r>
          </w:p>
        </w:tc>
        <w:tc>
          <w:tcPr>
            <w:tcW w:w="910" w:type="dxa"/>
            <w:tcBorders>
              <w:top w:val="nil"/>
              <w:left w:val="nil"/>
              <w:bottom w:val="single" w:sz="4" w:space="0" w:color="auto"/>
              <w:right w:val="single" w:sz="4" w:space="0" w:color="auto"/>
            </w:tcBorders>
            <w:shd w:val="clear" w:color="auto" w:fill="auto"/>
            <w:noWrap/>
            <w:vAlign w:val="bottom"/>
            <w:hideMark/>
          </w:tcPr>
          <w:p w14:paraId="6D809B76"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ESRR</w:t>
            </w:r>
          </w:p>
        </w:tc>
        <w:tc>
          <w:tcPr>
            <w:tcW w:w="1330" w:type="dxa"/>
            <w:tcBorders>
              <w:top w:val="nil"/>
              <w:left w:val="nil"/>
              <w:bottom w:val="single" w:sz="4" w:space="0" w:color="auto"/>
              <w:right w:val="single" w:sz="4" w:space="0" w:color="auto"/>
            </w:tcBorders>
            <w:shd w:val="clear" w:color="auto" w:fill="auto"/>
            <w:noWrap/>
            <w:vAlign w:val="bottom"/>
            <w:hideMark/>
          </w:tcPr>
          <w:p w14:paraId="79D8EBEF"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Zahod</w:t>
            </w:r>
          </w:p>
        </w:tc>
        <w:tc>
          <w:tcPr>
            <w:tcW w:w="1747" w:type="dxa"/>
            <w:tcBorders>
              <w:top w:val="nil"/>
              <w:left w:val="nil"/>
              <w:bottom w:val="single" w:sz="4" w:space="0" w:color="auto"/>
              <w:right w:val="single" w:sz="4" w:space="0" w:color="auto"/>
            </w:tcBorders>
            <w:shd w:val="clear" w:color="auto" w:fill="auto"/>
            <w:noWrap/>
            <w:vAlign w:val="bottom"/>
            <w:hideMark/>
          </w:tcPr>
          <w:p w14:paraId="11E02996" w14:textId="77777777" w:rsidR="00105179" w:rsidRPr="00AB429E" w:rsidRDefault="00105179" w:rsidP="00105179">
            <w:pPr>
              <w:suppressAutoHyphens w:val="0"/>
              <w:autoSpaceDN/>
              <w:spacing w:after="0" w:line="240" w:lineRule="auto"/>
              <w:jc w:val="right"/>
              <w:rPr>
                <w:rFonts w:cs="Arial"/>
                <w:sz w:val="18"/>
                <w:szCs w:val="18"/>
              </w:rPr>
            </w:pPr>
            <w:r w:rsidRPr="00AB429E">
              <w:rPr>
                <w:rFonts w:cs="Arial"/>
                <w:sz w:val="18"/>
                <w:szCs w:val="18"/>
              </w:rPr>
              <w:t>21.171.613</w:t>
            </w:r>
          </w:p>
        </w:tc>
        <w:tc>
          <w:tcPr>
            <w:tcW w:w="2268" w:type="dxa"/>
            <w:tcBorders>
              <w:top w:val="nil"/>
              <w:left w:val="nil"/>
              <w:bottom w:val="single" w:sz="4" w:space="0" w:color="auto"/>
              <w:right w:val="single" w:sz="4" w:space="0" w:color="auto"/>
            </w:tcBorders>
            <w:shd w:val="clear" w:color="auto" w:fill="auto"/>
            <w:noWrap/>
            <w:vAlign w:val="bottom"/>
            <w:hideMark/>
          </w:tcPr>
          <w:p w14:paraId="5FA81969"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900.000</w:t>
            </w:r>
          </w:p>
        </w:tc>
        <w:tc>
          <w:tcPr>
            <w:tcW w:w="1276" w:type="dxa"/>
            <w:tcBorders>
              <w:top w:val="nil"/>
              <w:left w:val="nil"/>
              <w:bottom w:val="single" w:sz="4" w:space="0" w:color="auto"/>
              <w:right w:val="single" w:sz="4" w:space="0" w:color="auto"/>
            </w:tcBorders>
            <w:shd w:val="clear" w:color="auto" w:fill="auto"/>
            <w:noWrap/>
            <w:vAlign w:val="bottom"/>
            <w:hideMark/>
          </w:tcPr>
          <w:p w14:paraId="4EE3BAA5"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4%</w:t>
            </w:r>
          </w:p>
        </w:tc>
        <w:tc>
          <w:tcPr>
            <w:tcW w:w="1984" w:type="dxa"/>
            <w:tcBorders>
              <w:top w:val="nil"/>
              <w:left w:val="nil"/>
              <w:bottom w:val="single" w:sz="4" w:space="0" w:color="auto"/>
              <w:right w:val="single" w:sz="4" w:space="0" w:color="auto"/>
            </w:tcBorders>
            <w:shd w:val="clear" w:color="auto" w:fill="auto"/>
            <w:noWrap/>
            <w:vAlign w:val="bottom"/>
            <w:hideMark/>
          </w:tcPr>
          <w:p w14:paraId="117C1C31"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993" w:type="dxa"/>
            <w:tcBorders>
              <w:top w:val="nil"/>
              <w:left w:val="nil"/>
              <w:bottom w:val="single" w:sz="4" w:space="0" w:color="auto"/>
              <w:right w:val="single" w:sz="4" w:space="0" w:color="auto"/>
            </w:tcBorders>
            <w:shd w:val="clear" w:color="auto" w:fill="auto"/>
            <w:noWrap/>
            <w:vAlign w:val="bottom"/>
            <w:hideMark/>
          </w:tcPr>
          <w:p w14:paraId="61524BE1"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1984" w:type="dxa"/>
            <w:tcBorders>
              <w:top w:val="nil"/>
              <w:left w:val="nil"/>
              <w:bottom w:val="single" w:sz="4" w:space="0" w:color="auto"/>
              <w:right w:val="single" w:sz="4" w:space="0" w:color="auto"/>
            </w:tcBorders>
            <w:shd w:val="clear" w:color="auto" w:fill="auto"/>
            <w:noWrap/>
            <w:vAlign w:val="bottom"/>
            <w:hideMark/>
          </w:tcPr>
          <w:p w14:paraId="2D35ECE7"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709" w:type="dxa"/>
            <w:tcBorders>
              <w:top w:val="nil"/>
              <w:left w:val="nil"/>
              <w:bottom w:val="single" w:sz="4" w:space="0" w:color="auto"/>
              <w:right w:val="single" w:sz="4" w:space="0" w:color="auto"/>
            </w:tcBorders>
            <w:shd w:val="clear" w:color="auto" w:fill="auto"/>
            <w:noWrap/>
            <w:vAlign w:val="bottom"/>
            <w:hideMark/>
          </w:tcPr>
          <w:p w14:paraId="08CE1E8E"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r>
      <w:tr w:rsidR="00105179" w:rsidRPr="0050269E" w14:paraId="6FDACE28" w14:textId="77777777" w:rsidTr="00A7284C">
        <w:trPr>
          <w:trHeight w:val="299"/>
          <w:jc w:val="center"/>
        </w:trPr>
        <w:tc>
          <w:tcPr>
            <w:tcW w:w="910" w:type="dxa"/>
            <w:tcBorders>
              <w:top w:val="nil"/>
              <w:left w:val="single" w:sz="4" w:space="0" w:color="auto"/>
              <w:bottom w:val="single" w:sz="4" w:space="0" w:color="auto"/>
              <w:right w:val="single" w:sz="4" w:space="0" w:color="auto"/>
            </w:tcBorders>
            <w:shd w:val="clear" w:color="auto" w:fill="auto"/>
            <w:noWrap/>
            <w:vAlign w:val="bottom"/>
            <w:hideMark/>
          </w:tcPr>
          <w:p w14:paraId="7BD85B22"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3</w:t>
            </w:r>
          </w:p>
        </w:tc>
        <w:tc>
          <w:tcPr>
            <w:tcW w:w="910" w:type="dxa"/>
            <w:tcBorders>
              <w:top w:val="nil"/>
              <w:left w:val="nil"/>
              <w:bottom w:val="single" w:sz="4" w:space="0" w:color="auto"/>
              <w:right w:val="single" w:sz="4" w:space="0" w:color="auto"/>
            </w:tcBorders>
            <w:shd w:val="clear" w:color="auto" w:fill="auto"/>
            <w:noWrap/>
            <w:vAlign w:val="bottom"/>
            <w:hideMark/>
          </w:tcPr>
          <w:p w14:paraId="362D2502"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RSO 2.2</w:t>
            </w:r>
          </w:p>
        </w:tc>
        <w:tc>
          <w:tcPr>
            <w:tcW w:w="910" w:type="dxa"/>
            <w:tcBorders>
              <w:top w:val="nil"/>
              <w:left w:val="nil"/>
              <w:bottom w:val="single" w:sz="4" w:space="0" w:color="auto"/>
              <w:right w:val="single" w:sz="4" w:space="0" w:color="auto"/>
            </w:tcBorders>
            <w:shd w:val="clear" w:color="auto" w:fill="auto"/>
            <w:noWrap/>
            <w:vAlign w:val="bottom"/>
            <w:hideMark/>
          </w:tcPr>
          <w:p w14:paraId="7CF188BA"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KS</w:t>
            </w:r>
          </w:p>
        </w:tc>
        <w:tc>
          <w:tcPr>
            <w:tcW w:w="1330" w:type="dxa"/>
            <w:tcBorders>
              <w:top w:val="nil"/>
              <w:left w:val="nil"/>
              <w:bottom w:val="single" w:sz="4" w:space="0" w:color="auto"/>
              <w:right w:val="single" w:sz="4" w:space="0" w:color="auto"/>
            </w:tcBorders>
            <w:shd w:val="clear" w:color="auto" w:fill="auto"/>
            <w:noWrap/>
            <w:vAlign w:val="bottom"/>
            <w:hideMark/>
          </w:tcPr>
          <w:p w14:paraId="591740F4"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Celotna SI</w:t>
            </w:r>
          </w:p>
        </w:tc>
        <w:tc>
          <w:tcPr>
            <w:tcW w:w="1747" w:type="dxa"/>
            <w:tcBorders>
              <w:top w:val="nil"/>
              <w:left w:val="nil"/>
              <w:bottom w:val="single" w:sz="4" w:space="0" w:color="auto"/>
              <w:right w:val="single" w:sz="4" w:space="0" w:color="auto"/>
            </w:tcBorders>
            <w:shd w:val="clear" w:color="auto" w:fill="auto"/>
            <w:noWrap/>
            <w:vAlign w:val="bottom"/>
            <w:hideMark/>
          </w:tcPr>
          <w:p w14:paraId="6C23B45E" w14:textId="77777777" w:rsidR="00105179" w:rsidRPr="00AB429E" w:rsidRDefault="00105179" w:rsidP="00105179">
            <w:pPr>
              <w:suppressAutoHyphens w:val="0"/>
              <w:autoSpaceDN/>
              <w:spacing w:after="0" w:line="240" w:lineRule="auto"/>
              <w:jc w:val="right"/>
              <w:rPr>
                <w:rFonts w:cs="Arial"/>
                <w:sz w:val="18"/>
                <w:szCs w:val="18"/>
              </w:rPr>
            </w:pPr>
            <w:r w:rsidRPr="00AB429E">
              <w:rPr>
                <w:rFonts w:cs="Arial"/>
                <w:sz w:val="18"/>
                <w:szCs w:val="18"/>
              </w:rPr>
              <w:t>13.433.041</w:t>
            </w:r>
          </w:p>
        </w:tc>
        <w:tc>
          <w:tcPr>
            <w:tcW w:w="2268" w:type="dxa"/>
            <w:tcBorders>
              <w:top w:val="nil"/>
              <w:left w:val="nil"/>
              <w:bottom w:val="single" w:sz="4" w:space="0" w:color="auto"/>
              <w:right w:val="single" w:sz="4" w:space="0" w:color="auto"/>
            </w:tcBorders>
            <w:shd w:val="clear" w:color="auto" w:fill="auto"/>
            <w:noWrap/>
            <w:vAlign w:val="bottom"/>
            <w:hideMark/>
          </w:tcPr>
          <w:p w14:paraId="30CB7149"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bottom"/>
            <w:hideMark/>
          </w:tcPr>
          <w:p w14:paraId="07C5D02B"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1984" w:type="dxa"/>
            <w:tcBorders>
              <w:top w:val="nil"/>
              <w:left w:val="nil"/>
              <w:bottom w:val="single" w:sz="4" w:space="0" w:color="auto"/>
              <w:right w:val="single" w:sz="4" w:space="0" w:color="auto"/>
            </w:tcBorders>
            <w:shd w:val="clear" w:color="auto" w:fill="auto"/>
            <w:noWrap/>
            <w:vAlign w:val="bottom"/>
            <w:hideMark/>
          </w:tcPr>
          <w:p w14:paraId="4ACFC282"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993" w:type="dxa"/>
            <w:tcBorders>
              <w:top w:val="nil"/>
              <w:left w:val="nil"/>
              <w:bottom w:val="single" w:sz="4" w:space="0" w:color="auto"/>
              <w:right w:val="single" w:sz="4" w:space="0" w:color="auto"/>
            </w:tcBorders>
            <w:shd w:val="clear" w:color="auto" w:fill="auto"/>
            <w:noWrap/>
            <w:vAlign w:val="bottom"/>
            <w:hideMark/>
          </w:tcPr>
          <w:p w14:paraId="1F65DA9B"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1984" w:type="dxa"/>
            <w:tcBorders>
              <w:top w:val="nil"/>
              <w:left w:val="nil"/>
              <w:bottom w:val="single" w:sz="4" w:space="0" w:color="auto"/>
              <w:right w:val="single" w:sz="4" w:space="0" w:color="auto"/>
            </w:tcBorders>
            <w:shd w:val="clear" w:color="auto" w:fill="auto"/>
            <w:noWrap/>
            <w:vAlign w:val="bottom"/>
            <w:hideMark/>
          </w:tcPr>
          <w:p w14:paraId="21803CEF"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709" w:type="dxa"/>
            <w:tcBorders>
              <w:top w:val="nil"/>
              <w:left w:val="nil"/>
              <w:bottom w:val="single" w:sz="4" w:space="0" w:color="auto"/>
              <w:right w:val="single" w:sz="4" w:space="0" w:color="auto"/>
            </w:tcBorders>
            <w:shd w:val="clear" w:color="auto" w:fill="auto"/>
            <w:noWrap/>
            <w:vAlign w:val="bottom"/>
            <w:hideMark/>
          </w:tcPr>
          <w:p w14:paraId="4FAE6162"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r>
      <w:tr w:rsidR="00105179" w:rsidRPr="0050269E" w14:paraId="6AC88B8B" w14:textId="77777777" w:rsidTr="00A7284C">
        <w:trPr>
          <w:trHeight w:val="299"/>
          <w:jc w:val="center"/>
        </w:trPr>
        <w:tc>
          <w:tcPr>
            <w:tcW w:w="910" w:type="dxa"/>
            <w:tcBorders>
              <w:top w:val="nil"/>
              <w:left w:val="single" w:sz="4" w:space="0" w:color="auto"/>
              <w:bottom w:val="single" w:sz="4" w:space="0" w:color="auto"/>
              <w:right w:val="single" w:sz="4" w:space="0" w:color="auto"/>
            </w:tcBorders>
            <w:shd w:val="clear" w:color="auto" w:fill="auto"/>
            <w:noWrap/>
            <w:vAlign w:val="bottom"/>
            <w:hideMark/>
          </w:tcPr>
          <w:p w14:paraId="3823C167"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3</w:t>
            </w:r>
          </w:p>
        </w:tc>
        <w:tc>
          <w:tcPr>
            <w:tcW w:w="910" w:type="dxa"/>
            <w:tcBorders>
              <w:top w:val="nil"/>
              <w:left w:val="nil"/>
              <w:bottom w:val="single" w:sz="4" w:space="0" w:color="auto"/>
              <w:right w:val="single" w:sz="4" w:space="0" w:color="auto"/>
            </w:tcBorders>
            <w:shd w:val="clear" w:color="auto" w:fill="auto"/>
            <w:noWrap/>
            <w:vAlign w:val="bottom"/>
            <w:hideMark/>
          </w:tcPr>
          <w:p w14:paraId="4EBF6369"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RSO 2.3</w:t>
            </w:r>
          </w:p>
        </w:tc>
        <w:tc>
          <w:tcPr>
            <w:tcW w:w="910" w:type="dxa"/>
            <w:tcBorders>
              <w:top w:val="nil"/>
              <w:left w:val="nil"/>
              <w:bottom w:val="single" w:sz="4" w:space="0" w:color="auto"/>
              <w:right w:val="single" w:sz="4" w:space="0" w:color="auto"/>
            </w:tcBorders>
            <w:shd w:val="clear" w:color="auto" w:fill="auto"/>
            <w:noWrap/>
            <w:vAlign w:val="bottom"/>
            <w:hideMark/>
          </w:tcPr>
          <w:p w14:paraId="1F558891"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ESRR</w:t>
            </w:r>
          </w:p>
        </w:tc>
        <w:tc>
          <w:tcPr>
            <w:tcW w:w="1330" w:type="dxa"/>
            <w:tcBorders>
              <w:top w:val="nil"/>
              <w:left w:val="nil"/>
              <w:bottom w:val="single" w:sz="4" w:space="0" w:color="auto"/>
              <w:right w:val="single" w:sz="4" w:space="0" w:color="auto"/>
            </w:tcBorders>
            <w:shd w:val="clear" w:color="auto" w:fill="auto"/>
            <w:noWrap/>
            <w:vAlign w:val="bottom"/>
            <w:hideMark/>
          </w:tcPr>
          <w:p w14:paraId="2F64D8DA"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Vzhod</w:t>
            </w:r>
          </w:p>
        </w:tc>
        <w:tc>
          <w:tcPr>
            <w:tcW w:w="1747" w:type="dxa"/>
            <w:tcBorders>
              <w:top w:val="nil"/>
              <w:left w:val="nil"/>
              <w:bottom w:val="single" w:sz="4" w:space="0" w:color="auto"/>
              <w:right w:val="single" w:sz="4" w:space="0" w:color="auto"/>
            </w:tcBorders>
            <w:shd w:val="clear" w:color="auto" w:fill="auto"/>
            <w:noWrap/>
            <w:vAlign w:val="bottom"/>
            <w:hideMark/>
          </w:tcPr>
          <w:p w14:paraId="4ADFE32F" w14:textId="77777777" w:rsidR="00105179" w:rsidRPr="00AB429E" w:rsidRDefault="00105179" w:rsidP="00105179">
            <w:pPr>
              <w:suppressAutoHyphens w:val="0"/>
              <w:autoSpaceDN/>
              <w:spacing w:after="0" w:line="240" w:lineRule="auto"/>
              <w:jc w:val="right"/>
              <w:rPr>
                <w:rFonts w:cs="Arial"/>
                <w:sz w:val="18"/>
                <w:szCs w:val="18"/>
              </w:rPr>
            </w:pPr>
            <w:r w:rsidRPr="00AB429E">
              <w:rPr>
                <w:rFonts w:cs="Arial"/>
                <w:sz w:val="18"/>
                <w:szCs w:val="18"/>
              </w:rPr>
              <w:t>33.002.978</w:t>
            </w:r>
          </w:p>
        </w:tc>
        <w:tc>
          <w:tcPr>
            <w:tcW w:w="2268" w:type="dxa"/>
            <w:tcBorders>
              <w:top w:val="nil"/>
              <w:left w:val="nil"/>
              <w:bottom w:val="single" w:sz="4" w:space="0" w:color="auto"/>
              <w:right w:val="single" w:sz="4" w:space="0" w:color="auto"/>
            </w:tcBorders>
            <w:shd w:val="clear" w:color="auto" w:fill="auto"/>
            <w:noWrap/>
            <w:vAlign w:val="bottom"/>
            <w:hideMark/>
          </w:tcPr>
          <w:p w14:paraId="0A1B6090"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bottom"/>
            <w:hideMark/>
          </w:tcPr>
          <w:p w14:paraId="575429A9"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1984" w:type="dxa"/>
            <w:tcBorders>
              <w:top w:val="nil"/>
              <w:left w:val="nil"/>
              <w:bottom w:val="single" w:sz="4" w:space="0" w:color="auto"/>
              <w:right w:val="single" w:sz="4" w:space="0" w:color="auto"/>
            </w:tcBorders>
            <w:shd w:val="clear" w:color="auto" w:fill="auto"/>
            <w:noWrap/>
            <w:vAlign w:val="bottom"/>
            <w:hideMark/>
          </w:tcPr>
          <w:p w14:paraId="52CF1ED2"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993" w:type="dxa"/>
            <w:tcBorders>
              <w:top w:val="nil"/>
              <w:left w:val="nil"/>
              <w:bottom w:val="single" w:sz="4" w:space="0" w:color="auto"/>
              <w:right w:val="single" w:sz="4" w:space="0" w:color="auto"/>
            </w:tcBorders>
            <w:shd w:val="clear" w:color="auto" w:fill="auto"/>
            <w:noWrap/>
            <w:vAlign w:val="bottom"/>
            <w:hideMark/>
          </w:tcPr>
          <w:p w14:paraId="6EDE43BD"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1984" w:type="dxa"/>
            <w:tcBorders>
              <w:top w:val="nil"/>
              <w:left w:val="nil"/>
              <w:bottom w:val="single" w:sz="4" w:space="0" w:color="auto"/>
              <w:right w:val="single" w:sz="4" w:space="0" w:color="auto"/>
            </w:tcBorders>
            <w:shd w:val="clear" w:color="auto" w:fill="auto"/>
            <w:noWrap/>
            <w:vAlign w:val="bottom"/>
            <w:hideMark/>
          </w:tcPr>
          <w:p w14:paraId="5FD9A79D"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709" w:type="dxa"/>
            <w:tcBorders>
              <w:top w:val="nil"/>
              <w:left w:val="nil"/>
              <w:bottom w:val="single" w:sz="4" w:space="0" w:color="auto"/>
              <w:right w:val="single" w:sz="4" w:space="0" w:color="auto"/>
            </w:tcBorders>
            <w:shd w:val="clear" w:color="auto" w:fill="auto"/>
            <w:noWrap/>
            <w:vAlign w:val="bottom"/>
            <w:hideMark/>
          </w:tcPr>
          <w:p w14:paraId="3C0018EA"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r>
      <w:tr w:rsidR="00105179" w:rsidRPr="0050269E" w14:paraId="176D0404" w14:textId="77777777" w:rsidTr="00A7284C">
        <w:trPr>
          <w:trHeight w:val="299"/>
          <w:jc w:val="center"/>
        </w:trPr>
        <w:tc>
          <w:tcPr>
            <w:tcW w:w="910" w:type="dxa"/>
            <w:tcBorders>
              <w:top w:val="nil"/>
              <w:left w:val="single" w:sz="4" w:space="0" w:color="auto"/>
              <w:bottom w:val="single" w:sz="4" w:space="0" w:color="auto"/>
              <w:right w:val="single" w:sz="4" w:space="0" w:color="auto"/>
            </w:tcBorders>
            <w:shd w:val="clear" w:color="auto" w:fill="auto"/>
            <w:noWrap/>
            <w:vAlign w:val="bottom"/>
            <w:hideMark/>
          </w:tcPr>
          <w:p w14:paraId="2A9E38BA"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lastRenderedPageBreak/>
              <w:t>3</w:t>
            </w:r>
          </w:p>
        </w:tc>
        <w:tc>
          <w:tcPr>
            <w:tcW w:w="910" w:type="dxa"/>
            <w:tcBorders>
              <w:top w:val="nil"/>
              <w:left w:val="nil"/>
              <w:bottom w:val="single" w:sz="4" w:space="0" w:color="auto"/>
              <w:right w:val="single" w:sz="4" w:space="0" w:color="auto"/>
            </w:tcBorders>
            <w:shd w:val="clear" w:color="auto" w:fill="auto"/>
            <w:noWrap/>
            <w:vAlign w:val="bottom"/>
            <w:hideMark/>
          </w:tcPr>
          <w:p w14:paraId="12F2FA56"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RSO 2.3</w:t>
            </w:r>
          </w:p>
        </w:tc>
        <w:tc>
          <w:tcPr>
            <w:tcW w:w="910" w:type="dxa"/>
            <w:tcBorders>
              <w:top w:val="nil"/>
              <w:left w:val="nil"/>
              <w:bottom w:val="single" w:sz="4" w:space="0" w:color="auto"/>
              <w:right w:val="single" w:sz="4" w:space="0" w:color="auto"/>
            </w:tcBorders>
            <w:shd w:val="clear" w:color="auto" w:fill="auto"/>
            <w:noWrap/>
            <w:vAlign w:val="bottom"/>
            <w:hideMark/>
          </w:tcPr>
          <w:p w14:paraId="0E7A62A7"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ESRR</w:t>
            </w:r>
          </w:p>
        </w:tc>
        <w:tc>
          <w:tcPr>
            <w:tcW w:w="1330" w:type="dxa"/>
            <w:tcBorders>
              <w:top w:val="nil"/>
              <w:left w:val="nil"/>
              <w:bottom w:val="single" w:sz="4" w:space="0" w:color="auto"/>
              <w:right w:val="single" w:sz="4" w:space="0" w:color="auto"/>
            </w:tcBorders>
            <w:shd w:val="clear" w:color="auto" w:fill="auto"/>
            <w:noWrap/>
            <w:vAlign w:val="bottom"/>
            <w:hideMark/>
          </w:tcPr>
          <w:p w14:paraId="082756FF"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Zahod</w:t>
            </w:r>
          </w:p>
        </w:tc>
        <w:tc>
          <w:tcPr>
            <w:tcW w:w="1747" w:type="dxa"/>
            <w:tcBorders>
              <w:top w:val="nil"/>
              <w:left w:val="nil"/>
              <w:bottom w:val="single" w:sz="4" w:space="0" w:color="auto"/>
              <w:right w:val="single" w:sz="4" w:space="0" w:color="auto"/>
            </w:tcBorders>
            <w:shd w:val="clear" w:color="auto" w:fill="auto"/>
            <w:noWrap/>
            <w:vAlign w:val="bottom"/>
            <w:hideMark/>
          </w:tcPr>
          <w:p w14:paraId="68411C32" w14:textId="77777777" w:rsidR="00105179" w:rsidRPr="00AB429E" w:rsidRDefault="00105179" w:rsidP="00105179">
            <w:pPr>
              <w:suppressAutoHyphens w:val="0"/>
              <w:autoSpaceDN/>
              <w:spacing w:after="0" w:line="240" w:lineRule="auto"/>
              <w:jc w:val="right"/>
              <w:rPr>
                <w:rFonts w:cs="Arial"/>
                <w:sz w:val="18"/>
                <w:szCs w:val="18"/>
              </w:rPr>
            </w:pPr>
            <w:r w:rsidRPr="00AB429E">
              <w:rPr>
                <w:rFonts w:cs="Arial"/>
                <w:sz w:val="18"/>
                <w:szCs w:val="18"/>
              </w:rPr>
              <w:t>5.997.912</w:t>
            </w:r>
          </w:p>
        </w:tc>
        <w:tc>
          <w:tcPr>
            <w:tcW w:w="2268" w:type="dxa"/>
            <w:tcBorders>
              <w:top w:val="nil"/>
              <w:left w:val="nil"/>
              <w:bottom w:val="single" w:sz="4" w:space="0" w:color="auto"/>
              <w:right w:val="single" w:sz="4" w:space="0" w:color="auto"/>
            </w:tcBorders>
            <w:shd w:val="clear" w:color="auto" w:fill="auto"/>
            <w:noWrap/>
            <w:vAlign w:val="bottom"/>
            <w:hideMark/>
          </w:tcPr>
          <w:p w14:paraId="24E3A6C6"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bottom"/>
            <w:hideMark/>
          </w:tcPr>
          <w:p w14:paraId="4C81B007"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1984" w:type="dxa"/>
            <w:tcBorders>
              <w:top w:val="nil"/>
              <w:left w:val="nil"/>
              <w:bottom w:val="single" w:sz="4" w:space="0" w:color="auto"/>
              <w:right w:val="single" w:sz="4" w:space="0" w:color="auto"/>
            </w:tcBorders>
            <w:shd w:val="clear" w:color="auto" w:fill="auto"/>
            <w:noWrap/>
            <w:vAlign w:val="bottom"/>
            <w:hideMark/>
          </w:tcPr>
          <w:p w14:paraId="264ADBEE"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993" w:type="dxa"/>
            <w:tcBorders>
              <w:top w:val="nil"/>
              <w:left w:val="nil"/>
              <w:bottom w:val="single" w:sz="4" w:space="0" w:color="auto"/>
              <w:right w:val="single" w:sz="4" w:space="0" w:color="auto"/>
            </w:tcBorders>
            <w:shd w:val="clear" w:color="auto" w:fill="auto"/>
            <w:noWrap/>
            <w:vAlign w:val="bottom"/>
            <w:hideMark/>
          </w:tcPr>
          <w:p w14:paraId="20E3F5B5"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1984" w:type="dxa"/>
            <w:tcBorders>
              <w:top w:val="nil"/>
              <w:left w:val="nil"/>
              <w:bottom w:val="single" w:sz="4" w:space="0" w:color="auto"/>
              <w:right w:val="single" w:sz="4" w:space="0" w:color="auto"/>
            </w:tcBorders>
            <w:shd w:val="clear" w:color="auto" w:fill="auto"/>
            <w:noWrap/>
            <w:vAlign w:val="bottom"/>
            <w:hideMark/>
          </w:tcPr>
          <w:p w14:paraId="6455D5BA"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709" w:type="dxa"/>
            <w:tcBorders>
              <w:top w:val="nil"/>
              <w:left w:val="nil"/>
              <w:bottom w:val="single" w:sz="4" w:space="0" w:color="auto"/>
              <w:right w:val="single" w:sz="4" w:space="0" w:color="auto"/>
            </w:tcBorders>
            <w:shd w:val="clear" w:color="auto" w:fill="auto"/>
            <w:noWrap/>
            <w:vAlign w:val="bottom"/>
            <w:hideMark/>
          </w:tcPr>
          <w:p w14:paraId="4BF52A85"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r>
      <w:tr w:rsidR="00105179" w:rsidRPr="0050269E" w14:paraId="123C8A35" w14:textId="77777777" w:rsidTr="00A7284C">
        <w:trPr>
          <w:trHeight w:val="299"/>
          <w:jc w:val="center"/>
        </w:trPr>
        <w:tc>
          <w:tcPr>
            <w:tcW w:w="910" w:type="dxa"/>
            <w:tcBorders>
              <w:top w:val="nil"/>
              <w:left w:val="single" w:sz="4" w:space="0" w:color="auto"/>
              <w:bottom w:val="single" w:sz="4" w:space="0" w:color="auto"/>
              <w:right w:val="single" w:sz="4" w:space="0" w:color="auto"/>
            </w:tcBorders>
            <w:shd w:val="clear" w:color="auto" w:fill="auto"/>
            <w:noWrap/>
            <w:vAlign w:val="bottom"/>
            <w:hideMark/>
          </w:tcPr>
          <w:p w14:paraId="4C3FBCCF"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3</w:t>
            </w:r>
          </w:p>
        </w:tc>
        <w:tc>
          <w:tcPr>
            <w:tcW w:w="910" w:type="dxa"/>
            <w:tcBorders>
              <w:top w:val="nil"/>
              <w:left w:val="nil"/>
              <w:bottom w:val="single" w:sz="4" w:space="0" w:color="auto"/>
              <w:right w:val="single" w:sz="4" w:space="0" w:color="auto"/>
            </w:tcBorders>
            <w:shd w:val="clear" w:color="auto" w:fill="auto"/>
            <w:noWrap/>
            <w:vAlign w:val="bottom"/>
            <w:hideMark/>
          </w:tcPr>
          <w:p w14:paraId="443B233F"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RSO 2.3</w:t>
            </w:r>
          </w:p>
        </w:tc>
        <w:tc>
          <w:tcPr>
            <w:tcW w:w="910" w:type="dxa"/>
            <w:tcBorders>
              <w:top w:val="nil"/>
              <w:left w:val="nil"/>
              <w:bottom w:val="single" w:sz="4" w:space="0" w:color="auto"/>
              <w:right w:val="single" w:sz="4" w:space="0" w:color="auto"/>
            </w:tcBorders>
            <w:shd w:val="clear" w:color="auto" w:fill="auto"/>
            <w:noWrap/>
            <w:vAlign w:val="bottom"/>
            <w:hideMark/>
          </w:tcPr>
          <w:p w14:paraId="2BC3FDC2"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KS</w:t>
            </w:r>
          </w:p>
        </w:tc>
        <w:tc>
          <w:tcPr>
            <w:tcW w:w="1330" w:type="dxa"/>
            <w:tcBorders>
              <w:top w:val="nil"/>
              <w:left w:val="nil"/>
              <w:bottom w:val="single" w:sz="4" w:space="0" w:color="auto"/>
              <w:right w:val="single" w:sz="4" w:space="0" w:color="auto"/>
            </w:tcBorders>
            <w:shd w:val="clear" w:color="auto" w:fill="auto"/>
            <w:noWrap/>
            <w:vAlign w:val="bottom"/>
            <w:hideMark/>
          </w:tcPr>
          <w:p w14:paraId="18EAB519"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Celotna SI</w:t>
            </w:r>
          </w:p>
        </w:tc>
        <w:tc>
          <w:tcPr>
            <w:tcW w:w="1747" w:type="dxa"/>
            <w:tcBorders>
              <w:top w:val="nil"/>
              <w:left w:val="nil"/>
              <w:bottom w:val="single" w:sz="4" w:space="0" w:color="auto"/>
              <w:right w:val="single" w:sz="4" w:space="0" w:color="auto"/>
            </w:tcBorders>
            <w:shd w:val="clear" w:color="auto" w:fill="auto"/>
            <w:noWrap/>
            <w:vAlign w:val="bottom"/>
            <w:hideMark/>
          </w:tcPr>
          <w:p w14:paraId="7F324DB4" w14:textId="77777777" w:rsidR="00105179" w:rsidRPr="00AB429E" w:rsidRDefault="00105179" w:rsidP="00105179">
            <w:pPr>
              <w:suppressAutoHyphens w:val="0"/>
              <w:autoSpaceDN/>
              <w:spacing w:after="0" w:line="240" w:lineRule="auto"/>
              <w:jc w:val="right"/>
              <w:rPr>
                <w:rFonts w:cs="Arial"/>
                <w:sz w:val="18"/>
                <w:szCs w:val="18"/>
              </w:rPr>
            </w:pPr>
            <w:r w:rsidRPr="00AB429E">
              <w:rPr>
                <w:rFonts w:cs="Arial"/>
                <w:sz w:val="18"/>
                <w:szCs w:val="18"/>
              </w:rPr>
              <w:t>15.000.000</w:t>
            </w:r>
          </w:p>
        </w:tc>
        <w:tc>
          <w:tcPr>
            <w:tcW w:w="2268" w:type="dxa"/>
            <w:tcBorders>
              <w:top w:val="nil"/>
              <w:left w:val="nil"/>
              <w:bottom w:val="single" w:sz="4" w:space="0" w:color="auto"/>
              <w:right w:val="single" w:sz="4" w:space="0" w:color="auto"/>
            </w:tcBorders>
            <w:shd w:val="clear" w:color="auto" w:fill="auto"/>
            <w:noWrap/>
            <w:vAlign w:val="bottom"/>
            <w:hideMark/>
          </w:tcPr>
          <w:p w14:paraId="47DBF97C"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bottom"/>
            <w:hideMark/>
          </w:tcPr>
          <w:p w14:paraId="5CFEF711"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1984" w:type="dxa"/>
            <w:tcBorders>
              <w:top w:val="nil"/>
              <w:left w:val="nil"/>
              <w:bottom w:val="single" w:sz="4" w:space="0" w:color="auto"/>
              <w:right w:val="single" w:sz="4" w:space="0" w:color="auto"/>
            </w:tcBorders>
            <w:shd w:val="clear" w:color="auto" w:fill="auto"/>
            <w:noWrap/>
            <w:vAlign w:val="bottom"/>
            <w:hideMark/>
          </w:tcPr>
          <w:p w14:paraId="3C592C08"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993" w:type="dxa"/>
            <w:tcBorders>
              <w:top w:val="nil"/>
              <w:left w:val="nil"/>
              <w:bottom w:val="single" w:sz="4" w:space="0" w:color="auto"/>
              <w:right w:val="single" w:sz="4" w:space="0" w:color="auto"/>
            </w:tcBorders>
            <w:shd w:val="clear" w:color="auto" w:fill="auto"/>
            <w:noWrap/>
            <w:vAlign w:val="bottom"/>
            <w:hideMark/>
          </w:tcPr>
          <w:p w14:paraId="43FAF51D"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1984" w:type="dxa"/>
            <w:tcBorders>
              <w:top w:val="nil"/>
              <w:left w:val="nil"/>
              <w:bottom w:val="single" w:sz="4" w:space="0" w:color="auto"/>
              <w:right w:val="single" w:sz="4" w:space="0" w:color="auto"/>
            </w:tcBorders>
            <w:shd w:val="clear" w:color="auto" w:fill="auto"/>
            <w:noWrap/>
            <w:vAlign w:val="bottom"/>
            <w:hideMark/>
          </w:tcPr>
          <w:p w14:paraId="0D9A3AF2"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709" w:type="dxa"/>
            <w:tcBorders>
              <w:top w:val="nil"/>
              <w:left w:val="nil"/>
              <w:bottom w:val="single" w:sz="4" w:space="0" w:color="auto"/>
              <w:right w:val="single" w:sz="4" w:space="0" w:color="auto"/>
            </w:tcBorders>
            <w:shd w:val="clear" w:color="auto" w:fill="auto"/>
            <w:noWrap/>
            <w:vAlign w:val="bottom"/>
            <w:hideMark/>
          </w:tcPr>
          <w:p w14:paraId="70D40E7B"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r>
      <w:tr w:rsidR="00105179" w:rsidRPr="0050269E" w14:paraId="778C1FC6" w14:textId="77777777" w:rsidTr="00A7284C">
        <w:trPr>
          <w:trHeight w:val="299"/>
          <w:jc w:val="center"/>
        </w:trPr>
        <w:tc>
          <w:tcPr>
            <w:tcW w:w="910" w:type="dxa"/>
            <w:tcBorders>
              <w:top w:val="nil"/>
              <w:left w:val="single" w:sz="4" w:space="0" w:color="auto"/>
              <w:bottom w:val="single" w:sz="4" w:space="0" w:color="auto"/>
              <w:right w:val="single" w:sz="4" w:space="0" w:color="auto"/>
            </w:tcBorders>
            <w:shd w:val="clear" w:color="auto" w:fill="auto"/>
            <w:noWrap/>
            <w:vAlign w:val="bottom"/>
            <w:hideMark/>
          </w:tcPr>
          <w:p w14:paraId="378EE11B"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3</w:t>
            </w:r>
          </w:p>
        </w:tc>
        <w:tc>
          <w:tcPr>
            <w:tcW w:w="910" w:type="dxa"/>
            <w:tcBorders>
              <w:top w:val="nil"/>
              <w:left w:val="nil"/>
              <w:bottom w:val="single" w:sz="4" w:space="0" w:color="auto"/>
              <w:right w:val="single" w:sz="4" w:space="0" w:color="auto"/>
            </w:tcBorders>
            <w:shd w:val="clear" w:color="auto" w:fill="auto"/>
            <w:noWrap/>
            <w:vAlign w:val="bottom"/>
            <w:hideMark/>
          </w:tcPr>
          <w:p w14:paraId="7F5E9814"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RSO 2.4</w:t>
            </w:r>
          </w:p>
        </w:tc>
        <w:tc>
          <w:tcPr>
            <w:tcW w:w="910" w:type="dxa"/>
            <w:tcBorders>
              <w:top w:val="nil"/>
              <w:left w:val="nil"/>
              <w:bottom w:val="single" w:sz="4" w:space="0" w:color="auto"/>
              <w:right w:val="single" w:sz="4" w:space="0" w:color="auto"/>
            </w:tcBorders>
            <w:shd w:val="clear" w:color="auto" w:fill="auto"/>
            <w:noWrap/>
            <w:vAlign w:val="bottom"/>
            <w:hideMark/>
          </w:tcPr>
          <w:p w14:paraId="6AFD3E36"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ESRR</w:t>
            </w:r>
          </w:p>
        </w:tc>
        <w:tc>
          <w:tcPr>
            <w:tcW w:w="1330" w:type="dxa"/>
            <w:tcBorders>
              <w:top w:val="nil"/>
              <w:left w:val="nil"/>
              <w:bottom w:val="single" w:sz="4" w:space="0" w:color="auto"/>
              <w:right w:val="single" w:sz="4" w:space="0" w:color="auto"/>
            </w:tcBorders>
            <w:shd w:val="clear" w:color="auto" w:fill="auto"/>
            <w:noWrap/>
            <w:vAlign w:val="bottom"/>
            <w:hideMark/>
          </w:tcPr>
          <w:p w14:paraId="10487CB4"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Vzhod</w:t>
            </w:r>
          </w:p>
        </w:tc>
        <w:tc>
          <w:tcPr>
            <w:tcW w:w="1747" w:type="dxa"/>
            <w:tcBorders>
              <w:top w:val="nil"/>
              <w:left w:val="nil"/>
              <w:bottom w:val="single" w:sz="4" w:space="0" w:color="auto"/>
              <w:right w:val="single" w:sz="4" w:space="0" w:color="auto"/>
            </w:tcBorders>
            <w:shd w:val="clear" w:color="auto" w:fill="auto"/>
            <w:noWrap/>
            <w:vAlign w:val="bottom"/>
            <w:hideMark/>
          </w:tcPr>
          <w:p w14:paraId="47E4CC33" w14:textId="77777777" w:rsidR="00105179" w:rsidRPr="00AB429E" w:rsidRDefault="00105179" w:rsidP="00105179">
            <w:pPr>
              <w:suppressAutoHyphens w:val="0"/>
              <w:autoSpaceDN/>
              <w:spacing w:after="0" w:line="240" w:lineRule="auto"/>
              <w:jc w:val="right"/>
              <w:rPr>
                <w:rFonts w:cs="Arial"/>
                <w:sz w:val="18"/>
                <w:szCs w:val="18"/>
              </w:rPr>
            </w:pPr>
            <w:r w:rsidRPr="00AB429E">
              <w:rPr>
                <w:rFonts w:cs="Arial"/>
                <w:sz w:val="18"/>
                <w:szCs w:val="18"/>
              </w:rPr>
              <w:t>109.313.122</w:t>
            </w:r>
          </w:p>
        </w:tc>
        <w:tc>
          <w:tcPr>
            <w:tcW w:w="2268" w:type="dxa"/>
            <w:tcBorders>
              <w:top w:val="nil"/>
              <w:left w:val="nil"/>
              <w:bottom w:val="single" w:sz="4" w:space="0" w:color="auto"/>
              <w:right w:val="single" w:sz="4" w:space="0" w:color="auto"/>
            </w:tcBorders>
            <w:shd w:val="clear" w:color="auto" w:fill="auto"/>
            <w:noWrap/>
            <w:vAlign w:val="bottom"/>
            <w:hideMark/>
          </w:tcPr>
          <w:p w14:paraId="2F7A8CF5"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74.623.110</w:t>
            </w:r>
          </w:p>
        </w:tc>
        <w:tc>
          <w:tcPr>
            <w:tcW w:w="1276" w:type="dxa"/>
            <w:tcBorders>
              <w:top w:val="nil"/>
              <w:left w:val="nil"/>
              <w:bottom w:val="single" w:sz="4" w:space="0" w:color="auto"/>
              <w:right w:val="single" w:sz="4" w:space="0" w:color="auto"/>
            </w:tcBorders>
            <w:shd w:val="clear" w:color="auto" w:fill="auto"/>
            <w:noWrap/>
            <w:vAlign w:val="bottom"/>
            <w:hideMark/>
          </w:tcPr>
          <w:p w14:paraId="0B7E50F9"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68%</w:t>
            </w:r>
          </w:p>
        </w:tc>
        <w:tc>
          <w:tcPr>
            <w:tcW w:w="1984" w:type="dxa"/>
            <w:tcBorders>
              <w:top w:val="nil"/>
              <w:left w:val="nil"/>
              <w:bottom w:val="single" w:sz="4" w:space="0" w:color="auto"/>
              <w:right w:val="single" w:sz="4" w:space="0" w:color="auto"/>
            </w:tcBorders>
            <w:shd w:val="clear" w:color="auto" w:fill="auto"/>
            <w:noWrap/>
            <w:vAlign w:val="bottom"/>
            <w:hideMark/>
          </w:tcPr>
          <w:p w14:paraId="07F51C41"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74.623.110</w:t>
            </w:r>
          </w:p>
        </w:tc>
        <w:tc>
          <w:tcPr>
            <w:tcW w:w="993" w:type="dxa"/>
            <w:tcBorders>
              <w:top w:val="nil"/>
              <w:left w:val="nil"/>
              <w:bottom w:val="single" w:sz="4" w:space="0" w:color="auto"/>
              <w:right w:val="single" w:sz="4" w:space="0" w:color="auto"/>
            </w:tcBorders>
            <w:shd w:val="clear" w:color="auto" w:fill="auto"/>
            <w:noWrap/>
            <w:vAlign w:val="bottom"/>
            <w:hideMark/>
          </w:tcPr>
          <w:p w14:paraId="61499B24"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68%</w:t>
            </w:r>
          </w:p>
        </w:tc>
        <w:tc>
          <w:tcPr>
            <w:tcW w:w="1984" w:type="dxa"/>
            <w:tcBorders>
              <w:top w:val="nil"/>
              <w:left w:val="nil"/>
              <w:bottom w:val="single" w:sz="4" w:space="0" w:color="auto"/>
              <w:right w:val="single" w:sz="4" w:space="0" w:color="auto"/>
            </w:tcBorders>
            <w:shd w:val="clear" w:color="auto" w:fill="auto"/>
            <w:noWrap/>
            <w:vAlign w:val="bottom"/>
            <w:hideMark/>
          </w:tcPr>
          <w:p w14:paraId="5FD19063"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14.937.665</w:t>
            </w:r>
          </w:p>
        </w:tc>
        <w:tc>
          <w:tcPr>
            <w:tcW w:w="709" w:type="dxa"/>
            <w:tcBorders>
              <w:top w:val="nil"/>
              <w:left w:val="nil"/>
              <w:bottom w:val="single" w:sz="4" w:space="0" w:color="auto"/>
              <w:right w:val="single" w:sz="4" w:space="0" w:color="auto"/>
            </w:tcBorders>
            <w:shd w:val="clear" w:color="auto" w:fill="auto"/>
            <w:noWrap/>
            <w:vAlign w:val="bottom"/>
            <w:hideMark/>
          </w:tcPr>
          <w:p w14:paraId="059D1DC7"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14%</w:t>
            </w:r>
          </w:p>
        </w:tc>
      </w:tr>
      <w:tr w:rsidR="00105179" w:rsidRPr="0050269E" w14:paraId="505153BC" w14:textId="77777777" w:rsidTr="00A7284C">
        <w:trPr>
          <w:trHeight w:val="299"/>
          <w:jc w:val="center"/>
        </w:trPr>
        <w:tc>
          <w:tcPr>
            <w:tcW w:w="910" w:type="dxa"/>
            <w:tcBorders>
              <w:top w:val="nil"/>
              <w:left w:val="single" w:sz="4" w:space="0" w:color="auto"/>
              <w:bottom w:val="single" w:sz="4" w:space="0" w:color="auto"/>
              <w:right w:val="single" w:sz="4" w:space="0" w:color="auto"/>
            </w:tcBorders>
            <w:shd w:val="clear" w:color="auto" w:fill="auto"/>
            <w:noWrap/>
            <w:vAlign w:val="bottom"/>
            <w:hideMark/>
          </w:tcPr>
          <w:p w14:paraId="55ABEFE1"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3</w:t>
            </w:r>
          </w:p>
        </w:tc>
        <w:tc>
          <w:tcPr>
            <w:tcW w:w="910" w:type="dxa"/>
            <w:tcBorders>
              <w:top w:val="nil"/>
              <w:left w:val="nil"/>
              <w:bottom w:val="single" w:sz="4" w:space="0" w:color="auto"/>
              <w:right w:val="single" w:sz="4" w:space="0" w:color="auto"/>
            </w:tcBorders>
            <w:shd w:val="clear" w:color="auto" w:fill="auto"/>
            <w:noWrap/>
            <w:vAlign w:val="bottom"/>
            <w:hideMark/>
          </w:tcPr>
          <w:p w14:paraId="401E7BCE"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RSO 2.4</w:t>
            </w:r>
          </w:p>
        </w:tc>
        <w:tc>
          <w:tcPr>
            <w:tcW w:w="910" w:type="dxa"/>
            <w:tcBorders>
              <w:top w:val="nil"/>
              <w:left w:val="nil"/>
              <w:bottom w:val="single" w:sz="4" w:space="0" w:color="auto"/>
              <w:right w:val="single" w:sz="4" w:space="0" w:color="auto"/>
            </w:tcBorders>
            <w:shd w:val="clear" w:color="auto" w:fill="auto"/>
            <w:noWrap/>
            <w:vAlign w:val="bottom"/>
            <w:hideMark/>
          </w:tcPr>
          <w:p w14:paraId="6C806B58"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KS</w:t>
            </w:r>
          </w:p>
        </w:tc>
        <w:tc>
          <w:tcPr>
            <w:tcW w:w="1330" w:type="dxa"/>
            <w:tcBorders>
              <w:top w:val="nil"/>
              <w:left w:val="nil"/>
              <w:bottom w:val="single" w:sz="4" w:space="0" w:color="auto"/>
              <w:right w:val="single" w:sz="4" w:space="0" w:color="auto"/>
            </w:tcBorders>
            <w:shd w:val="clear" w:color="auto" w:fill="auto"/>
            <w:noWrap/>
            <w:vAlign w:val="bottom"/>
            <w:hideMark/>
          </w:tcPr>
          <w:p w14:paraId="15A3032F"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Celotna SI</w:t>
            </w:r>
          </w:p>
        </w:tc>
        <w:tc>
          <w:tcPr>
            <w:tcW w:w="1747" w:type="dxa"/>
            <w:tcBorders>
              <w:top w:val="nil"/>
              <w:left w:val="nil"/>
              <w:bottom w:val="single" w:sz="4" w:space="0" w:color="auto"/>
              <w:right w:val="single" w:sz="4" w:space="0" w:color="auto"/>
            </w:tcBorders>
            <w:shd w:val="clear" w:color="auto" w:fill="auto"/>
            <w:noWrap/>
            <w:vAlign w:val="bottom"/>
            <w:hideMark/>
          </w:tcPr>
          <w:p w14:paraId="29BDF16D" w14:textId="77777777" w:rsidR="00105179" w:rsidRPr="00AB429E" w:rsidRDefault="00105179" w:rsidP="00105179">
            <w:pPr>
              <w:suppressAutoHyphens w:val="0"/>
              <w:autoSpaceDN/>
              <w:spacing w:after="0" w:line="240" w:lineRule="auto"/>
              <w:jc w:val="right"/>
              <w:rPr>
                <w:rFonts w:cs="Arial"/>
                <w:sz w:val="18"/>
                <w:szCs w:val="18"/>
              </w:rPr>
            </w:pPr>
            <w:r w:rsidRPr="00AB429E">
              <w:rPr>
                <w:rFonts w:cs="Arial"/>
                <w:sz w:val="18"/>
                <w:szCs w:val="18"/>
              </w:rPr>
              <w:t>49.730.000</w:t>
            </w:r>
          </w:p>
        </w:tc>
        <w:tc>
          <w:tcPr>
            <w:tcW w:w="2268" w:type="dxa"/>
            <w:tcBorders>
              <w:top w:val="nil"/>
              <w:left w:val="nil"/>
              <w:bottom w:val="single" w:sz="4" w:space="0" w:color="auto"/>
              <w:right w:val="single" w:sz="4" w:space="0" w:color="auto"/>
            </w:tcBorders>
            <w:shd w:val="clear" w:color="auto" w:fill="auto"/>
            <w:noWrap/>
            <w:vAlign w:val="bottom"/>
            <w:hideMark/>
          </w:tcPr>
          <w:p w14:paraId="76E3A3C8"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37.341.094</w:t>
            </w:r>
          </w:p>
        </w:tc>
        <w:tc>
          <w:tcPr>
            <w:tcW w:w="1276" w:type="dxa"/>
            <w:tcBorders>
              <w:top w:val="nil"/>
              <w:left w:val="nil"/>
              <w:bottom w:val="single" w:sz="4" w:space="0" w:color="auto"/>
              <w:right w:val="single" w:sz="4" w:space="0" w:color="auto"/>
            </w:tcBorders>
            <w:shd w:val="clear" w:color="auto" w:fill="auto"/>
            <w:noWrap/>
            <w:vAlign w:val="bottom"/>
            <w:hideMark/>
          </w:tcPr>
          <w:p w14:paraId="160F30E9"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75%</w:t>
            </w:r>
          </w:p>
        </w:tc>
        <w:tc>
          <w:tcPr>
            <w:tcW w:w="1984" w:type="dxa"/>
            <w:tcBorders>
              <w:top w:val="nil"/>
              <w:left w:val="nil"/>
              <w:bottom w:val="single" w:sz="4" w:space="0" w:color="auto"/>
              <w:right w:val="single" w:sz="4" w:space="0" w:color="auto"/>
            </w:tcBorders>
            <w:shd w:val="clear" w:color="auto" w:fill="auto"/>
            <w:noWrap/>
            <w:vAlign w:val="bottom"/>
            <w:hideMark/>
          </w:tcPr>
          <w:p w14:paraId="5FD41ADB"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37.341.094</w:t>
            </w:r>
          </w:p>
        </w:tc>
        <w:tc>
          <w:tcPr>
            <w:tcW w:w="993" w:type="dxa"/>
            <w:tcBorders>
              <w:top w:val="nil"/>
              <w:left w:val="nil"/>
              <w:bottom w:val="single" w:sz="4" w:space="0" w:color="auto"/>
              <w:right w:val="single" w:sz="4" w:space="0" w:color="auto"/>
            </w:tcBorders>
            <w:shd w:val="clear" w:color="auto" w:fill="auto"/>
            <w:noWrap/>
            <w:vAlign w:val="bottom"/>
            <w:hideMark/>
          </w:tcPr>
          <w:p w14:paraId="671736F2"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75%</w:t>
            </w:r>
          </w:p>
        </w:tc>
        <w:tc>
          <w:tcPr>
            <w:tcW w:w="1984" w:type="dxa"/>
            <w:tcBorders>
              <w:top w:val="nil"/>
              <w:left w:val="nil"/>
              <w:bottom w:val="single" w:sz="4" w:space="0" w:color="auto"/>
              <w:right w:val="single" w:sz="4" w:space="0" w:color="auto"/>
            </w:tcBorders>
            <w:shd w:val="clear" w:color="auto" w:fill="auto"/>
            <w:noWrap/>
            <w:vAlign w:val="bottom"/>
            <w:hideMark/>
          </w:tcPr>
          <w:p w14:paraId="00A3D7A1"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8.737.820</w:t>
            </w:r>
          </w:p>
        </w:tc>
        <w:tc>
          <w:tcPr>
            <w:tcW w:w="709" w:type="dxa"/>
            <w:tcBorders>
              <w:top w:val="nil"/>
              <w:left w:val="nil"/>
              <w:bottom w:val="single" w:sz="4" w:space="0" w:color="auto"/>
              <w:right w:val="single" w:sz="4" w:space="0" w:color="auto"/>
            </w:tcBorders>
            <w:shd w:val="clear" w:color="auto" w:fill="auto"/>
            <w:noWrap/>
            <w:vAlign w:val="bottom"/>
            <w:hideMark/>
          </w:tcPr>
          <w:p w14:paraId="2893FCAD"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18%</w:t>
            </w:r>
          </w:p>
        </w:tc>
      </w:tr>
      <w:tr w:rsidR="00105179" w:rsidRPr="0050269E" w14:paraId="2C5A84AF" w14:textId="77777777" w:rsidTr="00A7284C">
        <w:trPr>
          <w:trHeight w:val="299"/>
          <w:jc w:val="center"/>
        </w:trPr>
        <w:tc>
          <w:tcPr>
            <w:tcW w:w="910" w:type="dxa"/>
            <w:tcBorders>
              <w:top w:val="nil"/>
              <w:left w:val="single" w:sz="4" w:space="0" w:color="auto"/>
              <w:bottom w:val="single" w:sz="4" w:space="0" w:color="auto"/>
              <w:right w:val="single" w:sz="4" w:space="0" w:color="auto"/>
            </w:tcBorders>
            <w:shd w:val="clear" w:color="auto" w:fill="auto"/>
            <w:noWrap/>
            <w:vAlign w:val="bottom"/>
            <w:hideMark/>
          </w:tcPr>
          <w:p w14:paraId="5B06454D"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3</w:t>
            </w:r>
          </w:p>
        </w:tc>
        <w:tc>
          <w:tcPr>
            <w:tcW w:w="910" w:type="dxa"/>
            <w:tcBorders>
              <w:top w:val="nil"/>
              <w:left w:val="nil"/>
              <w:bottom w:val="single" w:sz="4" w:space="0" w:color="auto"/>
              <w:right w:val="single" w:sz="4" w:space="0" w:color="auto"/>
            </w:tcBorders>
            <w:shd w:val="clear" w:color="auto" w:fill="auto"/>
            <w:noWrap/>
            <w:vAlign w:val="bottom"/>
            <w:hideMark/>
          </w:tcPr>
          <w:p w14:paraId="1A9D6FA5"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RSO 2.5</w:t>
            </w:r>
          </w:p>
        </w:tc>
        <w:tc>
          <w:tcPr>
            <w:tcW w:w="910" w:type="dxa"/>
            <w:tcBorders>
              <w:top w:val="nil"/>
              <w:left w:val="nil"/>
              <w:bottom w:val="single" w:sz="4" w:space="0" w:color="auto"/>
              <w:right w:val="single" w:sz="4" w:space="0" w:color="auto"/>
            </w:tcBorders>
            <w:shd w:val="clear" w:color="auto" w:fill="auto"/>
            <w:noWrap/>
            <w:vAlign w:val="bottom"/>
            <w:hideMark/>
          </w:tcPr>
          <w:p w14:paraId="24D0CA29"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ESRR</w:t>
            </w:r>
          </w:p>
        </w:tc>
        <w:tc>
          <w:tcPr>
            <w:tcW w:w="1330" w:type="dxa"/>
            <w:tcBorders>
              <w:top w:val="nil"/>
              <w:left w:val="nil"/>
              <w:bottom w:val="single" w:sz="4" w:space="0" w:color="auto"/>
              <w:right w:val="single" w:sz="4" w:space="0" w:color="auto"/>
            </w:tcBorders>
            <w:shd w:val="clear" w:color="auto" w:fill="auto"/>
            <w:noWrap/>
            <w:vAlign w:val="bottom"/>
            <w:hideMark/>
          </w:tcPr>
          <w:p w14:paraId="78E849BA"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Zahod</w:t>
            </w:r>
          </w:p>
        </w:tc>
        <w:tc>
          <w:tcPr>
            <w:tcW w:w="1747" w:type="dxa"/>
            <w:tcBorders>
              <w:top w:val="nil"/>
              <w:left w:val="nil"/>
              <w:bottom w:val="single" w:sz="4" w:space="0" w:color="auto"/>
              <w:right w:val="single" w:sz="4" w:space="0" w:color="auto"/>
            </w:tcBorders>
            <w:shd w:val="clear" w:color="auto" w:fill="auto"/>
            <w:noWrap/>
            <w:vAlign w:val="bottom"/>
            <w:hideMark/>
          </w:tcPr>
          <w:p w14:paraId="026165AD" w14:textId="77777777" w:rsidR="00105179" w:rsidRPr="00AB429E" w:rsidRDefault="00105179" w:rsidP="00105179">
            <w:pPr>
              <w:suppressAutoHyphens w:val="0"/>
              <w:autoSpaceDN/>
              <w:spacing w:after="0" w:line="240" w:lineRule="auto"/>
              <w:jc w:val="right"/>
              <w:rPr>
                <w:rFonts w:cs="Arial"/>
                <w:sz w:val="18"/>
                <w:szCs w:val="18"/>
              </w:rPr>
            </w:pPr>
            <w:r w:rsidRPr="00AB429E">
              <w:rPr>
                <w:rFonts w:cs="Arial"/>
                <w:sz w:val="18"/>
                <w:szCs w:val="18"/>
              </w:rPr>
              <w:t>13.306.048</w:t>
            </w:r>
          </w:p>
        </w:tc>
        <w:tc>
          <w:tcPr>
            <w:tcW w:w="2268" w:type="dxa"/>
            <w:tcBorders>
              <w:top w:val="nil"/>
              <w:left w:val="nil"/>
              <w:bottom w:val="single" w:sz="4" w:space="0" w:color="auto"/>
              <w:right w:val="single" w:sz="4" w:space="0" w:color="auto"/>
            </w:tcBorders>
            <w:shd w:val="clear" w:color="auto" w:fill="auto"/>
            <w:noWrap/>
            <w:vAlign w:val="bottom"/>
            <w:hideMark/>
          </w:tcPr>
          <w:p w14:paraId="6D86501F"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bottom"/>
            <w:hideMark/>
          </w:tcPr>
          <w:p w14:paraId="54BCB0E5"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1984" w:type="dxa"/>
            <w:tcBorders>
              <w:top w:val="nil"/>
              <w:left w:val="nil"/>
              <w:bottom w:val="single" w:sz="4" w:space="0" w:color="auto"/>
              <w:right w:val="single" w:sz="4" w:space="0" w:color="auto"/>
            </w:tcBorders>
            <w:shd w:val="clear" w:color="auto" w:fill="auto"/>
            <w:noWrap/>
            <w:vAlign w:val="bottom"/>
            <w:hideMark/>
          </w:tcPr>
          <w:p w14:paraId="65DB26DE"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993" w:type="dxa"/>
            <w:tcBorders>
              <w:top w:val="nil"/>
              <w:left w:val="nil"/>
              <w:bottom w:val="single" w:sz="4" w:space="0" w:color="auto"/>
              <w:right w:val="single" w:sz="4" w:space="0" w:color="auto"/>
            </w:tcBorders>
            <w:shd w:val="clear" w:color="auto" w:fill="auto"/>
            <w:noWrap/>
            <w:vAlign w:val="bottom"/>
            <w:hideMark/>
          </w:tcPr>
          <w:p w14:paraId="236EFF26"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1984" w:type="dxa"/>
            <w:tcBorders>
              <w:top w:val="nil"/>
              <w:left w:val="nil"/>
              <w:bottom w:val="single" w:sz="4" w:space="0" w:color="auto"/>
              <w:right w:val="single" w:sz="4" w:space="0" w:color="auto"/>
            </w:tcBorders>
            <w:shd w:val="clear" w:color="auto" w:fill="auto"/>
            <w:noWrap/>
            <w:vAlign w:val="bottom"/>
            <w:hideMark/>
          </w:tcPr>
          <w:p w14:paraId="743F08E1"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709" w:type="dxa"/>
            <w:tcBorders>
              <w:top w:val="nil"/>
              <w:left w:val="nil"/>
              <w:bottom w:val="single" w:sz="4" w:space="0" w:color="auto"/>
              <w:right w:val="single" w:sz="4" w:space="0" w:color="auto"/>
            </w:tcBorders>
            <w:shd w:val="clear" w:color="auto" w:fill="auto"/>
            <w:noWrap/>
            <w:vAlign w:val="bottom"/>
            <w:hideMark/>
          </w:tcPr>
          <w:p w14:paraId="314482CB"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r>
      <w:tr w:rsidR="00105179" w:rsidRPr="0050269E" w14:paraId="62B8017D" w14:textId="77777777" w:rsidTr="00A7284C">
        <w:trPr>
          <w:trHeight w:val="299"/>
          <w:jc w:val="center"/>
        </w:trPr>
        <w:tc>
          <w:tcPr>
            <w:tcW w:w="910" w:type="dxa"/>
            <w:tcBorders>
              <w:top w:val="nil"/>
              <w:left w:val="single" w:sz="4" w:space="0" w:color="auto"/>
              <w:bottom w:val="single" w:sz="4" w:space="0" w:color="auto"/>
              <w:right w:val="single" w:sz="4" w:space="0" w:color="auto"/>
            </w:tcBorders>
            <w:shd w:val="clear" w:color="auto" w:fill="auto"/>
            <w:noWrap/>
            <w:vAlign w:val="bottom"/>
            <w:hideMark/>
          </w:tcPr>
          <w:p w14:paraId="27A0E65F"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3</w:t>
            </w:r>
          </w:p>
        </w:tc>
        <w:tc>
          <w:tcPr>
            <w:tcW w:w="910" w:type="dxa"/>
            <w:tcBorders>
              <w:top w:val="nil"/>
              <w:left w:val="nil"/>
              <w:bottom w:val="single" w:sz="4" w:space="0" w:color="auto"/>
              <w:right w:val="single" w:sz="4" w:space="0" w:color="auto"/>
            </w:tcBorders>
            <w:shd w:val="clear" w:color="auto" w:fill="auto"/>
            <w:noWrap/>
            <w:vAlign w:val="bottom"/>
            <w:hideMark/>
          </w:tcPr>
          <w:p w14:paraId="62B29836"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RSO 2.5</w:t>
            </w:r>
          </w:p>
        </w:tc>
        <w:tc>
          <w:tcPr>
            <w:tcW w:w="910" w:type="dxa"/>
            <w:tcBorders>
              <w:top w:val="nil"/>
              <w:left w:val="nil"/>
              <w:bottom w:val="single" w:sz="4" w:space="0" w:color="auto"/>
              <w:right w:val="single" w:sz="4" w:space="0" w:color="auto"/>
            </w:tcBorders>
            <w:shd w:val="clear" w:color="auto" w:fill="auto"/>
            <w:noWrap/>
            <w:vAlign w:val="bottom"/>
            <w:hideMark/>
          </w:tcPr>
          <w:p w14:paraId="78863751"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KS</w:t>
            </w:r>
          </w:p>
        </w:tc>
        <w:tc>
          <w:tcPr>
            <w:tcW w:w="1330" w:type="dxa"/>
            <w:tcBorders>
              <w:top w:val="nil"/>
              <w:left w:val="nil"/>
              <w:bottom w:val="single" w:sz="4" w:space="0" w:color="auto"/>
              <w:right w:val="single" w:sz="4" w:space="0" w:color="auto"/>
            </w:tcBorders>
            <w:shd w:val="clear" w:color="auto" w:fill="auto"/>
            <w:noWrap/>
            <w:vAlign w:val="bottom"/>
            <w:hideMark/>
          </w:tcPr>
          <w:p w14:paraId="50050740"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Celotna SI</w:t>
            </w:r>
          </w:p>
        </w:tc>
        <w:tc>
          <w:tcPr>
            <w:tcW w:w="1747" w:type="dxa"/>
            <w:tcBorders>
              <w:top w:val="nil"/>
              <w:left w:val="nil"/>
              <w:bottom w:val="single" w:sz="4" w:space="0" w:color="auto"/>
              <w:right w:val="single" w:sz="4" w:space="0" w:color="auto"/>
            </w:tcBorders>
            <w:shd w:val="clear" w:color="auto" w:fill="auto"/>
            <w:noWrap/>
            <w:vAlign w:val="bottom"/>
            <w:hideMark/>
          </w:tcPr>
          <w:p w14:paraId="6BF40095" w14:textId="77777777" w:rsidR="00105179" w:rsidRPr="00AB429E" w:rsidRDefault="00105179" w:rsidP="00105179">
            <w:pPr>
              <w:suppressAutoHyphens w:val="0"/>
              <w:autoSpaceDN/>
              <w:spacing w:after="0" w:line="240" w:lineRule="auto"/>
              <w:jc w:val="right"/>
              <w:rPr>
                <w:rFonts w:cs="Arial"/>
                <w:sz w:val="18"/>
                <w:szCs w:val="18"/>
              </w:rPr>
            </w:pPr>
            <w:r w:rsidRPr="00AB429E">
              <w:rPr>
                <w:rFonts w:cs="Arial"/>
                <w:sz w:val="18"/>
                <w:szCs w:val="18"/>
              </w:rPr>
              <w:t>155.350.000</w:t>
            </w:r>
          </w:p>
        </w:tc>
        <w:tc>
          <w:tcPr>
            <w:tcW w:w="2268" w:type="dxa"/>
            <w:tcBorders>
              <w:top w:val="nil"/>
              <w:left w:val="nil"/>
              <w:bottom w:val="single" w:sz="4" w:space="0" w:color="auto"/>
              <w:right w:val="single" w:sz="4" w:space="0" w:color="auto"/>
            </w:tcBorders>
            <w:shd w:val="clear" w:color="auto" w:fill="auto"/>
            <w:noWrap/>
            <w:vAlign w:val="bottom"/>
            <w:hideMark/>
          </w:tcPr>
          <w:p w14:paraId="0AC74845"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bottom"/>
            <w:hideMark/>
          </w:tcPr>
          <w:p w14:paraId="1A2C4786"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1984" w:type="dxa"/>
            <w:tcBorders>
              <w:top w:val="nil"/>
              <w:left w:val="nil"/>
              <w:bottom w:val="single" w:sz="4" w:space="0" w:color="auto"/>
              <w:right w:val="single" w:sz="4" w:space="0" w:color="auto"/>
            </w:tcBorders>
            <w:shd w:val="clear" w:color="auto" w:fill="auto"/>
            <w:noWrap/>
            <w:vAlign w:val="bottom"/>
            <w:hideMark/>
          </w:tcPr>
          <w:p w14:paraId="2FC0ABF5"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993" w:type="dxa"/>
            <w:tcBorders>
              <w:top w:val="nil"/>
              <w:left w:val="nil"/>
              <w:bottom w:val="single" w:sz="4" w:space="0" w:color="auto"/>
              <w:right w:val="single" w:sz="4" w:space="0" w:color="auto"/>
            </w:tcBorders>
            <w:shd w:val="clear" w:color="auto" w:fill="auto"/>
            <w:noWrap/>
            <w:vAlign w:val="bottom"/>
            <w:hideMark/>
          </w:tcPr>
          <w:p w14:paraId="0D91AC66"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1984" w:type="dxa"/>
            <w:tcBorders>
              <w:top w:val="nil"/>
              <w:left w:val="nil"/>
              <w:bottom w:val="single" w:sz="4" w:space="0" w:color="auto"/>
              <w:right w:val="single" w:sz="4" w:space="0" w:color="auto"/>
            </w:tcBorders>
            <w:shd w:val="clear" w:color="auto" w:fill="auto"/>
            <w:noWrap/>
            <w:vAlign w:val="bottom"/>
            <w:hideMark/>
          </w:tcPr>
          <w:p w14:paraId="288F8917"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709" w:type="dxa"/>
            <w:tcBorders>
              <w:top w:val="nil"/>
              <w:left w:val="nil"/>
              <w:bottom w:val="single" w:sz="4" w:space="0" w:color="auto"/>
              <w:right w:val="single" w:sz="4" w:space="0" w:color="auto"/>
            </w:tcBorders>
            <w:shd w:val="clear" w:color="auto" w:fill="auto"/>
            <w:noWrap/>
            <w:vAlign w:val="bottom"/>
            <w:hideMark/>
          </w:tcPr>
          <w:p w14:paraId="258B0E80"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r>
      <w:tr w:rsidR="00105179" w:rsidRPr="0050269E" w14:paraId="179D47ED" w14:textId="77777777" w:rsidTr="00A7284C">
        <w:trPr>
          <w:trHeight w:val="299"/>
          <w:jc w:val="center"/>
        </w:trPr>
        <w:tc>
          <w:tcPr>
            <w:tcW w:w="910" w:type="dxa"/>
            <w:tcBorders>
              <w:top w:val="nil"/>
              <w:left w:val="single" w:sz="4" w:space="0" w:color="auto"/>
              <w:bottom w:val="single" w:sz="4" w:space="0" w:color="auto"/>
              <w:right w:val="single" w:sz="4" w:space="0" w:color="auto"/>
            </w:tcBorders>
            <w:shd w:val="clear" w:color="auto" w:fill="auto"/>
            <w:noWrap/>
            <w:vAlign w:val="bottom"/>
            <w:hideMark/>
          </w:tcPr>
          <w:p w14:paraId="481E1311"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3</w:t>
            </w:r>
          </w:p>
        </w:tc>
        <w:tc>
          <w:tcPr>
            <w:tcW w:w="910" w:type="dxa"/>
            <w:tcBorders>
              <w:top w:val="nil"/>
              <w:left w:val="nil"/>
              <w:bottom w:val="single" w:sz="4" w:space="0" w:color="auto"/>
              <w:right w:val="single" w:sz="4" w:space="0" w:color="auto"/>
            </w:tcBorders>
            <w:shd w:val="clear" w:color="auto" w:fill="auto"/>
            <w:noWrap/>
            <w:vAlign w:val="bottom"/>
            <w:hideMark/>
          </w:tcPr>
          <w:p w14:paraId="44CE5A47"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RSO 2.6</w:t>
            </w:r>
          </w:p>
        </w:tc>
        <w:tc>
          <w:tcPr>
            <w:tcW w:w="910" w:type="dxa"/>
            <w:tcBorders>
              <w:top w:val="nil"/>
              <w:left w:val="nil"/>
              <w:bottom w:val="single" w:sz="4" w:space="0" w:color="auto"/>
              <w:right w:val="single" w:sz="4" w:space="0" w:color="auto"/>
            </w:tcBorders>
            <w:shd w:val="clear" w:color="auto" w:fill="auto"/>
            <w:noWrap/>
            <w:vAlign w:val="bottom"/>
            <w:hideMark/>
          </w:tcPr>
          <w:p w14:paraId="3B6A2D3C"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ESRR</w:t>
            </w:r>
          </w:p>
        </w:tc>
        <w:tc>
          <w:tcPr>
            <w:tcW w:w="1330" w:type="dxa"/>
            <w:tcBorders>
              <w:top w:val="nil"/>
              <w:left w:val="nil"/>
              <w:bottom w:val="single" w:sz="4" w:space="0" w:color="auto"/>
              <w:right w:val="single" w:sz="4" w:space="0" w:color="auto"/>
            </w:tcBorders>
            <w:shd w:val="clear" w:color="auto" w:fill="auto"/>
            <w:noWrap/>
            <w:vAlign w:val="bottom"/>
            <w:hideMark/>
          </w:tcPr>
          <w:p w14:paraId="73562FA9"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Vzhod</w:t>
            </w:r>
          </w:p>
        </w:tc>
        <w:tc>
          <w:tcPr>
            <w:tcW w:w="1747" w:type="dxa"/>
            <w:tcBorders>
              <w:top w:val="nil"/>
              <w:left w:val="nil"/>
              <w:bottom w:val="single" w:sz="4" w:space="0" w:color="auto"/>
              <w:right w:val="single" w:sz="4" w:space="0" w:color="auto"/>
            </w:tcBorders>
            <w:shd w:val="clear" w:color="auto" w:fill="auto"/>
            <w:noWrap/>
            <w:vAlign w:val="bottom"/>
            <w:hideMark/>
          </w:tcPr>
          <w:p w14:paraId="4C6F5091" w14:textId="77777777" w:rsidR="00105179" w:rsidRPr="00AB429E" w:rsidRDefault="00105179" w:rsidP="00105179">
            <w:pPr>
              <w:suppressAutoHyphens w:val="0"/>
              <w:autoSpaceDN/>
              <w:spacing w:after="0" w:line="240" w:lineRule="auto"/>
              <w:jc w:val="right"/>
              <w:rPr>
                <w:rFonts w:cs="Arial"/>
                <w:sz w:val="18"/>
                <w:szCs w:val="18"/>
              </w:rPr>
            </w:pPr>
            <w:r w:rsidRPr="00AB429E">
              <w:rPr>
                <w:rFonts w:cs="Arial"/>
                <w:sz w:val="18"/>
                <w:szCs w:val="18"/>
              </w:rPr>
              <w:t>41.573.100</w:t>
            </w:r>
          </w:p>
        </w:tc>
        <w:tc>
          <w:tcPr>
            <w:tcW w:w="2268" w:type="dxa"/>
            <w:tcBorders>
              <w:top w:val="nil"/>
              <w:left w:val="nil"/>
              <w:bottom w:val="single" w:sz="4" w:space="0" w:color="auto"/>
              <w:right w:val="single" w:sz="4" w:space="0" w:color="auto"/>
            </w:tcBorders>
            <w:shd w:val="clear" w:color="auto" w:fill="auto"/>
            <w:noWrap/>
            <w:vAlign w:val="bottom"/>
            <w:hideMark/>
          </w:tcPr>
          <w:p w14:paraId="6572B359"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3.516.505</w:t>
            </w:r>
          </w:p>
        </w:tc>
        <w:tc>
          <w:tcPr>
            <w:tcW w:w="1276" w:type="dxa"/>
            <w:tcBorders>
              <w:top w:val="nil"/>
              <w:left w:val="nil"/>
              <w:bottom w:val="single" w:sz="4" w:space="0" w:color="auto"/>
              <w:right w:val="single" w:sz="4" w:space="0" w:color="auto"/>
            </w:tcBorders>
            <w:shd w:val="clear" w:color="auto" w:fill="auto"/>
            <w:noWrap/>
            <w:vAlign w:val="bottom"/>
            <w:hideMark/>
          </w:tcPr>
          <w:p w14:paraId="7C575404"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8%</w:t>
            </w:r>
          </w:p>
        </w:tc>
        <w:tc>
          <w:tcPr>
            <w:tcW w:w="1984" w:type="dxa"/>
            <w:tcBorders>
              <w:top w:val="nil"/>
              <w:left w:val="nil"/>
              <w:bottom w:val="single" w:sz="4" w:space="0" w:color="auto"/>
              <w:right w:val="single" w:sz="4" w:space="0" w:color="auto"/>
            </w:tcBorders>
            <w:shd w:val="clear" w:color="auto" w:fill="auto"/>
            <w:noWrap/>
            <w:vAlign w:val="bottom"/>
            <w:hideMark/>
          </w:tcPr>
          <w:p w14:paraId="3D3F12DE"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1.958.200</w:t>
            </w:r>
          </w:p>
        </w:tc>
        <w:tc>
          <w:tcPr>
            <w:tcW w:w="993" w:type="dxa"/>
            <w:tcBorders>
              <w:top w:val="nil"/>
              <w:left w:val="nil"/>
              <w:bottom w:val="single" w:sz="4" w:space="0" w:color="auto"/>
              <w:right w:val="single" w:sz="4" w:space="0" w:color="auto"/>
            </w:tcBorders>
            <w:shd w:val="clear" w:color="auto" w:fill="auto"/>
            <w:noWrap/>
            <w:vAlign w:val="bottom"/>
            <w:hideMark/>
          </w:tcPr>
          <w:p w14:paraId="37C39A67"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5%</w:t>
            </w:r>
          </w:p>
        </w:tc>
        <w:tc>
          <w:tcPr>
            <w:tcW w:w="1984" w:type="dxa"/>
            <w:tcBorders>
              <w:top w:val="nil"/>
              <w:left w:val="nil"/>
              <w:bottom w:val="single" w:sz="4" w:space="0" w:color="auto"/>
              <w:right w:val="single" w:sz="4" w:space="0" w:color="auto"/>
            </w:tcBorders>
            <w:shd w:val="clear" w:color="auto" w:fill="auto"/>
            <w:noWrap/>
            <w:vAlign w:val="bottom"/>
            <w:hideMark/>
          </w:tcPr>
          <w:p w14:paraId="66072D65"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30.805</w:t>
            </w:r>
          </w:p>
        </w:tc>
        <w:tc>
          <w:tcPr>
            <w:tcW w:w="709" w:type="dxa"/>
            <w:tcBorders>
              <w:top w:val="nil"/>
              <w:left w:val="nil"/>
              <w:bottom w:val="single" w:sz="4" w:space="0" w:color="auto"/>
              <w:right w:val="single" w:sz="4" w:space="0" w:color="auto"/>
            </w:tcBorders>
            <w:shd w:val="clear" w:color="auto" w:fill="auto"/>
            <w:noWrap/>
            <w:vAlign w:val="bottom"/>
            <w:hideMark/>
          </w:tcPr>
          <w:p w14:paraId="3C655C93"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r>
      <w:tr w:rsidR="00105179" w:rsidRPr="0050269E" w14:paraId="4046E1FC" w14:textId="77777777" w:rsidTr="00A7284C">
        <w:trPr>
          <w:trHeight w:val="299"/>
          <w:jc w:val="center"/>
        </w:trPr>
        <w:tc>
          <w:tcPr>
            <w:tcW w:w="910" w:type="dxa"/>
            <w:tcBorders>
              <w:top w:val="nil"/>
              <w:left w:val="single" w:sz="4" w:space="0" w:color="auto"/>
              <w:bottom w:val="single" w:sz="4" w:space="0" w:color="auto"/>
              <w:right w:val="single" w:sz="4" w:space="0" w:color="auto"/>
            </w:tcBorders>
            <w:shd w:val="clear" w:color="auto" w:fill="auto"/>
            <w:noWrap/>
            <w:vAlign w:val="bottom"/>
            <w:hideMark/>
          </w:tcPr>
          <w:p w14:paraId="07DCFE62"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3</w:t>
            </w:r>
          </w:p>
        </w:tc>
        <w:tc>
          <w:tcPr>
            <w:tcW w:w="910" w:type="dxa"/>
            <w:tcBorders>
              <w:top w:val="nil"/>
              <w:left w:val="nil"/>
              <w:bottom w:val="single" w:sz="4" w:space="0" w:color="auto"/>
              <w:right w:val="single" w:sz="4" w:space="0" w:color="auto"/>
            </w:tcBorders>
            <w:shd w:val="clear" w:color="auto" w:fill="auto"/>
            <w:noWrap/>
            <w:vAlign w:val="bottom"/>
            <w:hideMark/>
          </w:tcPr>
          <w:p w14:paraId="44179A51"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RSO 2.6</w:t>
            </w:r>
          </w:p>
        </w:tc>
        <w:tc>
          <w:tcPr>
            <w:tcW w:w="910" w:type="dxa"/>
            <w:tcBorders>
              <w:top w:val="nil"/>
              <w:left w:val="nil"/>
              <w:bottom w:val="single" w:sz="4" w:space="0" w:color="auto"/>
              <w:right w:val="single" w:sz="4" w:space="0" w:color="auto"/>
            </w:tcBorders>
            <w:shd w:val="clear" w:color="auto" w:fill="auto"/>
            <w:noWrap/>
            <w:vAlign w:val="bottom"/>
            <w:hideMark/>
          </w:tcPr>
          <w:p w14:paraId="5887EF6A"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ESRR</w:t>
            </w:r>
          </w:p>
        </w:tc>
        <w:tc>
          <w:tcPr>
            <w:tcW w:w="1330" w:type="dxa"/>
            <w:tcBorders>
              <w:top w:val="nil"/>
              <w:left w:val="nil"/>
              <w:bottom w:val="single" w:sz="4" w:space="0" w:color="auto"/>
              <w:right w:val="single" w:sz="4" w:space="0" w:color="auto"/>
            </w:tcBorders>
            <w:shd w:val="clear" w:color="auto" w:fill="auto"/>
            <w:noWrap/>
            <w:vAlign w:val="bottom"/>
            <w:hideMark/>
          </w:tcPr>
          <w:p w14:paraId="71F8951D"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Zahod</w:t>
            </w:r>
          </w:p>
        </w:tc>
        <w:tc>
          <w:tcPr>
            <w:tcW w:w="1747" w:type="dxa"/>
            <w:tcBorders>
              <w:top w:val="nil"/>
              <w:left w:val="nil"/>
              <w:bottom w:val="single" w:sz="4" w:space="0" w:color="auto"/>
              <w:right w:val="single" w:sz="4" w:space="0" w:color="auto"/>
            </w:tcBorders>
            <w:shd w:val="clear" w:color="auto" w:fill="auto"/>
            <w:noWrap/>
            <w:vAlign w:val="bottom"/>
            <w:hideMark/>
          </w:tcPr>
          <w:p w14:paraId="687D710B" w14:textId="77777777" w:rsidR="00105179" w:rsidRPr="00AB429E" w:rsidRDefault="00105179" w:rsidP="00105179">
            <w:pPr>
              <w:suppressAutoHyphens w:val="0"/>
              <w:autoSpaceDN/>
              <w:spacing w:after="0" w:line="240" w:lineRule="auto"/>
              <w:jc w:val="right"/>
              <w:rPr>
                <w:rFonts w:cs="Arial"/>
                <w:sz w:val="18"/>
                <w:szCs w:val="18"/>
              </w:rPr>
            </w:pPr>
            <w:r w:rsidRPr="00AB429E">
              <w:rPr>
                <w:rFonts w:cs="Arial"/>
                <w:sz w:val="18"/>
                <w:szCs w:val="18"/>
              </w:rPr>
              <w:t>15.772.600</w:t>
            </w:r>
          </w:p>
        </w:tc>
        <w:tc>
          <w:tcPr>
            <w:tcW w:w="2268" w:type="dxa"/>
            <w:tcBorders>
              <w:top w:val="nil"/>
              <w:left w:val="nil"/>
              <w:bottom w:val="single" w:sz="4" w:space="0" w:color="auto"/>
              <w:right w:val="single" w:sz="4" w:space="0" w:color="auto"/>
            </w:tcBorders>
            <w:shd w:val="clear" w:color="auto" w:fill="auto"/>
            <w:noWrap/>
            <w:vAlign w:val="bottom"/>
            <w:hideMark/>
          </w:tcPr>
          <w:p w14:paraId="2F66A869"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1.065.180</w:t>
            </w:r>
          </w:p>
        </w:tc>
        <w:tc>
          <w:tcPr>
            <w:tcW w:w="1276" w:type="dxa"/>
            <w:tcBorders>
              <w:top w:val="nil"/>
              <w:left w:val="nil"/>
              <w:bottom w:val="single" w:sz="4" w:space="0" w:color="auto"/>
              <w:right w:val="single" w:sz="4" w:space="0" w:color="auto"/>
            </w:tcBorders>
            <w:shd w:val="clear" w:color="auto" w:fill="auto"/>
            <w:noWrap/>
            <w:vAlign w:val="bottom"/>
            <w:hideMark/>
          </w:tcPr>
          <w:p w14:paraId="10578FD3"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7%</w:t>
            </w:r>
          </w:p>
        </w:tc>
        <w:tc>
          <w:tcPr>
            <w:tcW w:w="1984" w:type="dxa"/>
            <w:tcBorders>
              <w:top w:val="nil"/>
              <w:left w:val="nil"/>
              <w:bottom w:val="single" w:sz="4" w:space="0" w:color="auto"/>
              <w:right w:val="single" w:sz="4" w:space="0" w:color="auto"/>
            </w:tcBorders>
            <w:shd w:val="clear" w:color="auto" w:fill="auto"/>
            <w:noWrap/>
            <w:vAlign w:val="bottom"/>
            <w:hideMark/>
          </w:tcPr>
          <w:p w14:paraId="0A3556AA"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398.500</w:t>
            </w:r>
          </w:p>
        </w:tc>
        <w:tc>
          <w:tcPr>
            <w:tcW w:w="993" w:type="dxa"/>
            <w:tcBorders>
              <w:top w:val="nil"/>
              <w:left w:val="nil"/>
              <w:bottom w:val="single" w:sz="4" w:space="0" w:color="auto"/>
              <w:right w:val="single" w:sz="4" w:space="0" w:color="auto"/>
            </w:tcBorders>
            <w:shd w:val="clear" w:color="auto" w:fill="auto"/>
            <w:noWrap/>
            <w:vAlign w:val="bottom"/>
            <w:hideMark/>
          </w:tcPr>
          <w:p w14:paraId="3B4A7666"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3%</w:t>
            </w:r>
          </w:p>
        </w:tc>
        <w:tc>
          <w:tcPr>
            <w:tcW w:w="1984" w:type="dxa"/>
            <w:tcBorders>
              <w:top w:val="nil"/>
              <w:left w:val="nil"/>
              <w:bottom w:val="single" w:sz="4" w:space="0" w:color="auto"/>
              <w:right w:val="single" w:sz="4" w:space="0" w:color="auto"/>
            </w:tcBorders>
            <w:shd w:val="clear" w:color="auto" w:fill="auto"/>
            <w:noWrap/>
            <w:vAlign w:val="bottom"/>
            <w:hideMark/>
          </w:tcPr>
          <w:p w14:paraId="32ACFB33"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6.272</w:t>
            </w:r>
          </w:p>
        </w:tc>
        <w:tc>
          <w:tcPr>
            <w:tcW w:w="709" w:type="dxa"/>
            <w:tcBorders>
              <w:top w:val="nil"/>
              <w:left w:val="nil"/>
              <w:bottom w:val="single" w:sz="4" w:space="0" w:color="auto"/>
              <w:right w:val="single" w:sz="4" w:space="0" w:color="auto"/>
            </w:tcBorders>
            <w:shd w:val="clear" w:color="auto" w:fill="auto"/>
            <w:noWrap/>
            <w:vAlign w:val="bottom"/>
            <w:hideMark/>
          </w:tcPr>
          <w:p w14:paraId="312DACB1"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r>
      <w:tr w:rsidR="00105179" w:rsidRPr="0050269E" w14:paraId="4E18CAD6" w14:textId="77777777" w:rsidTr="00A7284C">
        <w:trPr>
          <w:trHeight w:val="299"/>
          <w:jc w:val="center"/>
        </w:trPr>
        <w:tc>
          <w:tcPr>
            <w:tcW w:w="910" w:type="dxa"/>
            <w:tcBorders>
              <w:top w:val="nil"/>
              <w:left w:val="single" w:sz="4" w:space="0" w:color="auto"/>
              <w:bottom w:val="single" w:sz="4" w:space="0" w:color="auto"/>
              <w:right w:val="single" w:sz="4" w:space="0" w:color="auto"/>
            </w:tcBorders>
            <w:shd w:val="clear" w:color="auto" w:fill="auto"/>
            <w:noWrap/>
            <w:vAlign w:val="bottom"/>
            <w:hideMark/>
          </w:tcPr>
          <w:p w14:paraId="7A5858A9"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3</w:t>
            </w:r>
          </w:p>
        </w:tc>
        <w:tc>
          <w:tcPr>
            <w:tcW w:w="910" w:type="dxa"/>
            <w:tcBorders>
              <w:top w:val="nil"/>
              <w:left w:val="nil"/>
              <w:bottom w:val="single" w:sz="4" w:space="0" w:color="auto"/>
              <w:right w:val="single" w:sz="4" w:space="0" w:color="auto"/>
            </w:tcBorders>
            <w:shd w:val="clear" w:color="auto" w:fill="auto"/>
            <w:noWrap/>
            <w:vAlign w:val="bottom"/>
            <w:hideMark/>
          </w:tcPr>
          <w:p w14:paraId="2A4E3C9D"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RSO 2.7</w:t>
            </w:r>
          </w:p>
        </w:tc>
        <w:tc>
          <w:tcPr>
            <w:tcW w:w="910" w:type="dxa"/>
            <w:tcBorders>
              <w:top w:val="nil"/>
              <w:left w:val="nil"/>
              <w:bottom w:val="single" w:sz="4" w:space="0" w:color="auto"/>
              <w:right w:val="single" w:sz="4" w:space="0" w:color="auto"/>
            </w:tcBorders>
            <w:shd w:val="clear" w:color="auto" w:fill="auto"/>
            <w:noWrap/>
            <w:vAlign w:val="bottom"/>
            <w:hideMark/>
          </w:tcPr>
          <w:p w14:paraId="16781832"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ESRR</w:t>
            </w:r>
          </w:p>
        </w:tc>
        <w:tc>
          <w:tcPr>
            <w:tcW w:w="1330" w:type="dxa"/>
            <w:tcBorders>
              <w:top w:val="nil"/>
              <w:left w:val="nil"/>
              <w:bottom w:val="single" w:sz="4" w:space="0" w:color="auto"/>
              <w:right w:val="single" w:sz="4" w:space="0" w:color="auto"/>
            </w:tcBorders>
            <w:shd w:val="clear" w:color="auto" w:fill="auto"/>
            <w:noWrap/>
            <w:vAlign w:val="bottom"/>
            <w:hideMark/>
          </w:tcPr>
          <w:p w14:paraId="184502BE"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Vzhod</w:t>
            </w:r>
          </w:p>
        </w:tc>
        <w:tc>
          <w:tcPr>
            <w:tcW w:w="1747" w:type="dxa"/>
            <w:tcBorders>
              <w:top w:val="nil"/>
              <w:left w:val="nil"/>
              <w:bottom w:val="single" w:sz="4" w:space="0" w:color="auto"/>
              <w:right w:val="single" w:sz="4" w:space="0" w:color="auto"/>
            </w:tcBorders>
            <w:shd w:val="clear" w:color="auto" w:fill="auto"/>
            <w:noWrap/>
            <w:vAlign w:val="bottom"/>
            <w:hideMark/>
          </w:tcPr>
          <w:p w14:paraId="2A86FEED" w14:textId="77777777" w:rsidR="00105179" w:rsidRPr="00AB429E" w:rsidRDefault="00105179" w:rsidP="00105179">
            <w:pPr>
              <w:suppressAutoHyphens w:val="0"/>
              <w:autoSpaceDN/>
              <w:spacing w:after="0" w:line="240" w:lineRule="auto"/>
              <w:jc w:val="right"/>
              <w:rPr>
                <w:rFonts w:cs="Arial"/>
                <w:sz w:val="18"/>
                <w:szCs w:val="18"/>
              </w:rPr>
            </w:pPr>
            <w:r w:rsidRPr="00AB429E">
              <w:rPr>
                <w:rFonts w:cs="Arial"/>
                <w:sz w:val="18"/>
                <w:szCs w:val="18"/>
              </w:rPr>
              <w:t>52.033.677</w:t>
            </w:r>
          </w:p>
        </w:tc>
        <w:tc>
          <w:tcPr>
            <w:tcW w:w="2268" w:type="dxa"/>
            <w:tcBorders>
              <w:top w:val="nil"/>
              <w:left w:val="nil"/>
              <w:bottom w:val="single" w:sz="4" w:space="0" w:color="auto"/>
              <w:right w:val="single" w:sz="4" w:space="0" w:color="auto"/>
            </w:tcBorders>
            <w:shd w:val="clear" w:color="auto" w:fill="auto"/>
            <w:noWrap/>
            <w:vAlign w:val="bottom"/>
            <w:hideMark/>
          </w:tcPr>
          <w:p w14:paraId="17EEA404"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bottom"/>
            <w:hideMark/>
          </w:tcPr>
          <w:p w14:paraId="3916DFBB"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1984" w:type="dxa"/>
            <w:tcBorders>
              <w:top w:val="nil"/>
              <w:left w:val="nil"/>
              <w:bottom w:val="single" w:sz="4" w:space="0" w:color="auto"/>
              <w:right w:val="single" w:sz="4" w:space="0" w:color="auto"/>
            </w:tcBorders>
            <w:shd w:val="clear" w:color="auto" w:fill="auto"/>
            <w:noWrap/>
            <w:vAlign w:val="bottom"/>
            <w:hideMark/>
          </w:tcPr>
          <w:p w14:paraId="3D91DE34"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993" w:type="dxa"/>
            <w:tcBorders>
              <w:top w:val="nil"/>
              <w:left w:val="nil"/>
              <w:bottom w:val="single" w:sz="4" w:space="0" w:color="auto"/>
              <w:right w:val="single" w:sz="4" w:space="0" w:color="auto"/>
            </w:tcBorders>
            <w:shd w:val="clear" w:color="auto" w:fill="auto"/>
            <w:noWrap/>
            <w:vAlign w:val="bottom"/>
            <w:hideMark/>
          </w:tcPr>
          <w:p w14:paraId="20063F7E"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1984" w:type="dxa"/>
            <w:tcBorders>
              <w:top w:val="nil"/>
              <w:left w:val="nil"/>
              <w:bottom w:val="single" w:sz="4" w:space="0" w:color="auto"/>
              <w:right w:val="single" w:sz="4" w:space="0" w:color="auto"/>
            </w:tcBorders>
            <w:shd w:val="clear" w:color="auto" w:fill="auto"/>
            <w:noWrap/>
            <w:vAlign w:val="bottom"/>
            <w:hideMark/>
          </w:tcPr>
          <w:p w14:paraId="2ABE8D02"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709" w:type="dxa"/>
            <w:tcBorders>
              <w:top w:val="nil"/>
              <w:left w:val="nil"/>
              <w:bottom w:val="single" w:sz="4" w:space="0" w:color="auto"/>
              <w:right w:val="single" w:sz="4" w:space="0" w:color="auto"/>
            </w:tcBorders>
            <w:shd w:val="clear" w:color="auto" w:fill="auto"/>
            <w:noWrap/>
            <w:vAlign w:val="bottom"/>
            <w:hideMark/>
          </w:tcPr>
          <w:p w14:paraId="6B343D19"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r>
      <w:tr w:rsidR="00105179" w:rsidRPr="0050269E" w14:paraId="7D7AA0C8" w14:textId="77777777" w:rsidTr="00A7284C">
        <w:trPr>
          <w:trHeight w:val="299"/>
          <w:jc w:val="center"/>
        </w:trPr>
        <w:tc>
          <w:tcPr>
            <w:tcW w:w="910" w:type="dxa"/>
            <w:tcBorders>
              <w:top w:val="nil"/>
              <w:left w:val="single" w:sz="4" w:space="0" w:color="auto"/>
              <w:bottom w:val="single" w:sz="4" w:space="0" w:color="auto"/>
              <w:right w:val="single" w:sz="4" w:space="0" w:color="auto"/>
            </w:tcBorders>
            <w:shd w:val="clear" w:color="auto" w:fill="auto"/>
            <w:noWrap/>
            <w:vAlign w:val="bottom"/>
            <w:hideMark/>
          </w:tcPr>
          <w:p w14:paraId="282A5D2B"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3</w:t>
            </w:r>
          </w:p>
        </w:tc>
        <w:tc>
          <w:tcPr>
            <w:tcW w:w="910" w:type="dxa"/>
            <w:tcBorders>
              <w:top w:val="nil"/>
              <w:left w:val="nil"/>
              <w:bottom w:val="single" w:sz="4" w:space="0" w:color="auto"/>
              <w:right w:val="single" w:sz="4" w:space="0" w:color="auto"/>
            </w:tcBorders>
            <w:shd w:val="clear" w:color="auto" w:fill="auto"/>
            <w:noWrap/>
            <w:vAlign w:val="bottom"/>
            <w:hideMark/>
          </w:tcPr>
          <w:p w14:paraId="7C4503E6"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RSO 2.7</w:t>
            </w:r>
          </w:p>
        </w:tc>
        <w:tc>
          <w:tcPr>
            <w:tcW w:w="910" w:type="dxa"/>
            <w:tcBorders>
              <w:top w:val="nil"/>
              <w:left w:val="nil"/>
              <w:bottom w:val="single" w:sz="4" w:space="0" w:color="auto"/>
              <w:right w:val="single" w:sz="4" w:space="0" w:color="auto"/>
            </w:tcBorders>
            <w:shd w:val="clear" w:color="auto" w:fill="auto"/>
            <w:noWrap/>
            <w:vAlign w:val="bottom"/>
            <w:hideMark/>
          </w:tcPr>
          <w:p w14:paraId="7EB3811E"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ESRR</w:t>
            </w:r>
          </w:p>
        </w:tc>
        <w:tc>
          <w:tcPr>
            <w:tcW w:w="1330" w:type="dxa"/>
            <w:tcBorders>
              <w:top w:val="nil"/>
              <w:left w:val="nil"/>
              <w:bottom w:val="single" w:sz="4" w:space="0" w:color="auto"/>
              <w:right w:val="single" w:sz="4" w:space="0" w:color="auto"/>
            </w:tcBorders>
            <w:shd w:val="clear" w:color="auto" w:fill="auto"/>
            <w:noWrap/>
            <w:vAlign w:val="bottom"/>
            <w:hideMark/>
          </w:tcPr>
          <w:p w14:paraId="476D51C3"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Zahod</w:t>
            </w:r>
          </w:p>
        </w:tc>
        <w:tc>
          <w:tcPr>
            <w:tcW w:w="1747" w:type="dxa"/>
            <w:tcBorders>
              <w:top w:val="nil"/>
              <w:left w:val="nil"/>
              <w:bottom w:val="single" w:sz="4" w:space="0" w:color="auto"/>
              <w:right w:val="single" w:sz="4" w:space="0" w:color="auto"/>
            </w:tcBorders>
            <w:shd w:val="clear" w:color="auto" w:fill="auto"/>
            <w:noWrap/>
            <w:vAlign w:val="bottom"/>
            <w:hideMark/>
          </w:tcPr>
          <w:p w14:paraId="47E6750A" w14:textId="77777777" w:rsidR="00105179" w:rsidRPr="00AB429E" w:rsidRDefault="00105179" w:rsidP="00105179">
            <w:pPr>
              <w:suppressAutoHyphens w:val="0"/>
              <w:autoSpaceDN/>
              <w:spacing w:after="0" w:line="240" w:lineRule="auto"/>
              <w:jc w:val="right"/>
              <w:rPr>
                <w:rFonts w:cs="Arial"/>
                <w:sz w:val="18"/>
                <w:szCs w:val="18"/>
              </w:rPr>
            </w:pPr>
            <w:r w:rsidRPr="00AB429E">
              <w:rPr>
                <w:rFonts w:cs="Arial"/>
                <w:sz w:val="18"/>
                <w:szCs w:val="18"/>
              </w:rPr>
              <w:t>28.145.544</w:t>
            </w:r>
          </w:p>
        </w:tc>
        <w:tc>
          <w:tcPr>
            <w:tcW w:w="2268" w:type="dxa"/>
            <w:tcBorders>
              <w:top w:val="nil"/>
              <w:left w:val="nil"/>
              <w:bottom w:val="single" w:sz="4" w:space="0" w:color="auto"/>
              <w:right w:val="single" w:sz="4" w:space="0" w:color="auto"/>
            </w:tcBorders>
            <w:shd w:val="clear" w:color="auto" w:fill="auto"/>
            <w:noWrap/>
            <w:vAlign w:val="bottom"/>
            <w:hideMark/>
          </w:tcPr>
          <w:p w14:paraId="6F24DA3F"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bottom"/>
            <w:hideMark/>
          </w:tcPr>
          <w:p w14:paraId="73D58604"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1984" w:type="dxa"/>
            <w:tcBorders>
              <w:top w:val="nil"/>
              <w:left w:val="nil"/>
              <w:bottom w:val="single" w:sz="4" w:space="0" w:color="auto"/>
              <w:right w:val="single" w:sz="4" w:space="0" w:color="auto"/>
            </w:tcBorders>
            <w:shd w:val="clear" w:color="auto" w:fill="auto"/>
            <w:noWrap/>
            <w:vAlign w:val="bottom"/>
            <w:hideMark/>
          </w:tcPr>
          <w:p w14:paraId="61832D47"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993" w:type="dxa"/>
            <w:tcBorders>
              <w:top w:val="nil"/>
              <w:left w:val="nil"/>
              <w:bottom w:val="single" w:sz="4" w:space="0" w:color="auto"/>
              <w:right w:val="single" w:sz="4" w:space="0" w:color="auto"/>
            </w:tcBorders>
            <w:shd w:val="clear" w:color="auto" w:fill="auto"/>
            <w:noWrap/>
            <w:vAlign w:val="bottom"/>
            <w:hideMark/>
          </w:tcPr>
          <w:p w14:paraId="006CF74E"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1984" w:type="dxa"/>
            <w:tcBorders>
              <w:top w:val="nil"/>
              <w:left w:val="nil"/>
              <w:bottom w:val="single" w:sz="4" w:space="0" w:color="auto"/>
              <w:right w:val="single" w:sz="4" w:space="0" w:color="auto"/>
            </w:tcBorders>
            <w:shd w:val="clear" w:color="auto" w:fill="auto"/>
            <w:noWrap/>
            <w:vAlign w:val="bottom"/>
            <w:hideMark/>
          </w:tcPr>
          <w:p w14:paraId="6F581E22"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709" w:type="dxa"/>
            <w:tcBorders>
              <w:top w:val="nil"/>
              <w:left w:val="nil"/>
              <w:bottom w:val="single" w:sz="4" w:space="0" w:color="auto"/>
              <w:right w:val="single" w:sz="4" w:space="0" w:color="auto"/>
            </w:tcBorders>
            <w:shd w:val="clear" w:color="auto" w:fill="auto"/>
            <w:noWrap/>
            <w:vAlign w:val="bottom"/>
            <w:hideMark/>
          </w:tcPr>
          <w:p w14:paraId="22890467"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r>
      <w:tr w:rsidR="00105179" w:rsidRPr="0050269E" w14:paraId="2E726429" w14:textId="77777777" w:rsidTr="00A7284C">
        <w:trPr>
          <w:trHeight w:val="299"/>
          <w:jc w:val="center"/>
        </w:trPr>
        <w:tc>
          <w:tcPr>
            <w:tcW w:w="910" w:type="dxa"/>
            <w:tcBorders>
              <w:top w:val="nil"/>
              <w:left w:val="single" w:sz="4" w:space="0" w:color="auto"/>
              <w:bottom w:val="single" w:sz="4" w:space="0" w:color="auto"/>
              <w:right w:val="single" w:sz="4" w:space="0" w:color="auto"/>
            </w:tcBorders>
            <w:shd w:val="clear" w:color="auto" w:fill="auto"/>
            <w:noWrap/>
            <w:vAlign w:val="bottom"/>
            <w:hideMark/>
          </w:tcPr>
          <w:p w14:paraId="64770FCA"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3</w:t>
            </w:r>
          </w:p>
        </w:tc>
        <w:tc>
          <w:tcPr>
            <w:tcW w:w="910" w:type="dxa"/>
            <w:tcBorders>
              <w:top w:val="nil"/>
              <w:left w:val="nil"/>
              <w:bottom w:val="single" w:sz="4" w:space="0" w:color="auto"/>
              <w:right w:val="single" w:sz="4" w:space="0" w:color="auto"/>
            </w:tcBorders>
            <w:shd w:val="clear" w:color="auto" w:fill="auto"/>
            <w:noWrap/>
            <w:vAlign w:val="bottom"/>
            <w:hideMark/>
          </w:tcPr>
          <w:p w14:paraId="46A5B164"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RSO 2.7</w:t>
            </w:r>
          </w:p>
        </w:tc>
        <w:tc>
          <w:tcPr>
            <w:tcW w:w="910" w:type="dxa"/>
            <w:tcBorders>
              <w:top w:val="nil"/>
              <w:left w:val="nil"/>
              <w:bottom w:val="single" w:sz="4" w:space="0" w:color="auto"/>
              <w:right w:val="single" w:sz="4" w:space="0" w:color="auto"/>
            </w:tcBorders>
            <w:shd w:val="clear" w:color="auto" w:fill="auto"/>
            <w:noWrap/>
            <w:vAlign w:val="bottom"/>
            <w:hideMark/>
          </w:tcPr>
          <w:p w14:paraId="5D933094"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KS</w:t>
            </w:r>
          </w:p>
        </w:tc>
        <w:tc>
          <w:tcPr>
            <w:tcW w:w="1330" w:type="dxa"/>
            <w:tcBorders>
              <w:top w:val="nil"/>
              <w:left w:val="nil"/>
              <w:bottom w:val="single" w:sz="4" w:space="0" w:color="auto"/>
              <w:right w:val="single" w:sz="4" w:space="0" w:color="auto"/>
            </w:tcBorders>
            <w:shd w:val="clear" w:color="auto" w:fill="auto"/>
            <w:noWrap/>
            <w:vAlign w:val="bottom"/>
            <w:hideMark/>
          </w:tcPr>
          <w:p w14:paraId="72BB8324"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Celotna SI</w:t>
            </w:r>
          </w:p>
        </w:tc>
        <w:tc>
          <w:tcPr>
            <w:tcW w:w="1747" w:type="dxa"/>
            <w:tcBorders>
              <w:top w:val="nil"/>
              <w:left w:val="nil"/>
              <w:bottom w:val="single" w:sz="4" w:space="0" w:color="auto"/>
              <w:right w:val="single" w:sz="4" w:space="0" w:color="auto"/>
            </w:tcBorders>
            <w:shd w:val="clear" w:color="auto" w:fill="auto"/>
            <w:noWrap/>
            <w:vAlign w:val="bottom"/>
            <w:hideMark/>
          </w:tcPr>
          <w:p w14:paraId="1EA2F311" w14:textId="77777777" w:rsidR="00105179" w:rsidRPr="00AB429E" w:rsidRDefault="00105179" w:rsidP="00105179">
            <w:pPr>
              <w:suppressAutoHyphens w:val="0"/>
              <w:autoSpaceDN/>
              <w:spacing w:after="0" w:line="240" w:lineRule="auto"/>
              <w:jc w:val="right"/>
              <w:rPr>
                <w:rFonts w:cs="Arial"/>
                <w:sz w:val="18"/>
                <w:szCs w:val="18"/>
              </w:rPr>
            </w:pPr>
            <w:r w:rsidRPr="00AB429E">
              <w:rPr>
                <w:rFonts w:cs="Arial"/>
                <w:sz w:val="18"/>
                <w:szCs w:val="18"/>
              </w:rPr>
              <w:t>2.550.000</w:t>
            </w:r>
          </w:p>
        </w:tc>
        <w:tc>
          <w:tcPr>
            <w:tcW w:w="2268" w:type="dxa"/>
            <w:tcBorders>
              <w:top w:val="nil"/>
              <w:left w:val="nil"/>
              <w:bottom w:val="single" w:sz="4" w:space="0" w:color="auto"/>
              <w:right w:val="single" w:sz="4" w:space="0" w:color="auto"/>
            </w:tcBorders>
            <w:shd w:val="clear" w:color="auto" w:fill="auto"/>
            <w:noWrap/>
            <w:vAlign w:val="bottom"/>
            <w:hideMark/>
          </w:tcPr>
          <w:p w14:paraId="6C5397BC"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2.550.000</w:t>
            </w:r>
          </w:p>
        </w:tc>
        <w:tc>
          <w:tcPr>
            <w:tcW w:w="1276" w:type="dxa"/>
            <w:tcBorders>
              <w:top w:val="nil"/>
              <w:left w:val="nil"/>
              <w:bottom w:val="single" w:sz="4" w:space="0" w:color="auto"/>
              <w:right w:val="single" w:sz="4" w:space="0" w:color="auto"/>
            </w:tcBorders>
            <w:shd w:val="clear" w:color="auto" w:fill="auto"/>
            <w:noWrap/>
            <w:vAlign w:val="bottom"/>
            <w:hideMark/>
          </w:tcPr>
          <w:p w14:paraId="5DF0E8DA"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100%</w:t>
            </w:r>
          </w:p>
        </w:tc>
        <w:tc>
          <w:tcPr>
            <w:tcW w:w="1984" w:type="dxa"/>
            <w:tcBorders>
              <w:top w:val="nil"/>
              <w:left w:val="nil"/>
              <w:bottom w:val="single" w:sz="4" w:space="0" w:color="auto"/>
              <w:right w:val="single" w:sz="4" w:space="0" w:color="auto"/>
            </w:tcBorders>
            <w:shd w:val="clear" w:color="auto" w:fill="auto"/>
            <w:noWrap/>
            <w:vAlign w:val="bottom"/>
            <w:hideMark/>
          </w:tcPr>
          <w:p w14:paraId="7E21E036"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2.550.000</w:t>
            </w:r>
          </w:p>
        </w:tc>
        <w:tc>
          <w:tcPr>
            <w:tcW w:w="993" w:type="dxa"/>
            <w:tcBorders>
              <w:top w:val="nil"/>
              <w:left w:val="nil"/>
              <w:bottom w:val="single" w:sz="4" w:space="0" w:color="auto"/>
              <w:right w:val="single" w:sz="4" w:space="0" w:color="auto"/>
            </w:tcBorders>
            <w:shd w:val="clear" w:color="auto" w:fill="auto"/>
            <w:noWrap/>
            <w:vAlign w:val="bottom"/>
            <w:hideMark/>
          </w:tcPr>
          <w:p w14:paraId="74A382D5"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100%</w:t>
            </w:r>
          </w:p>
        </w:tc>
        <w:tc>
          <w:tcPr>
            <w:tcW w:w="1984" w:type="dxa"/>
            <w:tcBorders>
              <w:top w:val="nil"/>
              <w:left w:val="nil"/>
              <w:bottom w:val="single" w:sz="4" w:space="0" w:color="auto"/>
              <w:right w:val="single" w:sz="4" w:space="0" w:color="auto"/>
            </w:tcBorders>
            <w:shd w:val="clear" w:color="auto" w:fill="auto"/>
            <w:noWrap/>
            <w:vAlign w:val="bottom"/>
            <w:hideMark/>
          </w:tcPr>
          <w:p w14:paraId="3FDF121A"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4.703</w:t>
            </w:r>
          </w:p>
        </w:tc>
        <w:tc>
          <w:tcPr>
            <w:tcW w:w="709" w:type="dxa"/>
            <w:tcBorders>
              <w:top w:val="nil"/>
              <w:left w:val="nil"/>
              <w:bottom w:val="single" w:sz="4" w:space="0" w:color="auto"/>
              <w:right w:val="single" w:sz="4" w:space="0" w:color="auto"/>
            </w:tcBorders>
            <w:shd w:val="clear" w:color="auto" w:fill="auto"/>
            <w:noWrap/>
            <w:vAlign w:val="bottom"/>
            <w:hideMark/>
          </w:tcPr>
          <w:p w14:paraId="6BC63880"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r>
      <w:tr w:rsidR="00105179" w:rsidRPr="0050269E" w14:paraId="44A77A5B" w14:textId="77777777" w:rsidTr="00A7284C">
        <w:trPr>
          <w:trHeight w:val="299"/>
          <w:jc w:val="center"/>
        </w:trPr>
        <w:tc>
          <w:tcPr>
            <w:tcW w:w="910" w:type="dxa"/>
            <w:tcBorders>
              <w:top w:val="nil"/>
              <w:left w:val="single" w:sz="4" w:space="0" w:color="auto"/>
              <w:bottom w:val="single" w:sz="4" w:space="0" w:color="auto"/>
              <w:right w:val="single" w:sz="4" w:space="0" w:color="auto"/>
            </w:tcBorders>
            <w:shd w:val="clear" w:color="auto" w:fill="auto"/>
            <w:noWrap/>
            <w:vAlign w:val="bottom"/>
            <w:hideMark/>
          </w:tcPr>
          <w:p w14:paraId="757954D4"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4</w:t>
            </w:r>
          </w:p>
        </w:tc>
        <w:tc>
          <w:tcPr>
            <w:tcW w:w="910" w:type="dxa"/>
            <w:tcBorders>
              <w:top w:val="nil"/>
              <w:left w:val="nil"/>
              <w:bottom w:val="single" w:sz="4" w:space="0" w:color="auto"/>
              <w:right w:val="single" w:sz="4" w:space="0" w:color="auto"/>
            </w:tcBorders>
            <w:shd w:val="clear" w:color="auto" w:fill="auto"/>
            <w:noWrap/>
            <w:vAlign w:val="bottom"/>
            <w:hideMark/>
          </w:tcPr>
          <w:p w14:paraId="4AB84459"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RSO 2.8</w:t>
            </w:r>
          </w:p>
        </w:tc>
        <w:tc>
          <w:tcPr>
            <w:tcW w:w="910" w:type="dxa"/>
            <w:tcBorders>
              <w:top w:val="nil"/>
              <w:left w:val="nil"/>
              <w:bottom w:val="single" w:sz="4" w:space="0" w:color="auto"/>
              <w:right w:val="single" w:sz="4" w:space="0" w:color="auto"/>
            </w:tcBorders>
            <w:shd w:val="clear" w:color="auto" w:fill="auto"/>
            <w:noWrap/>
            <w:vAlign w:val="bottom"/>
            <w:hideMark/>
          </w:tcPr>
          <w:p w14:paraId="1A22E393"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ESRR</w:t>
            </w:r>
          </w:p>
        </w:tc>
        <w:tc>
          <w:tcPr>
            <w:tcW w:w="1330" w:type="dxa"/>
            <w:tcBorders>
              <w:top w:val="nil"/>
              <w:left w:val="nil"/>
              <w:bottom w:val="single" w:sz="4" w:space="0" w:color="auto"/>
              <w:right w:val="single" w:sz="4" w:space="0" w:color="auto"/>
            </w:tcBorders>
            <w:shd w:val="clear" w:color="auto" w:fill="auto"/>
            <w:noWrap/>
            <w:vAlign w:val="bottom"/>
            <w:hideMark/>
          </w:tcPr>
          <w:p w14:paraId="47813EB1"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Vzhod</w:t>
            </w:r>
          </w:p>
        </w:tc>
        <w:tc>
          <w:tcPr>
            <w:tcW w:w="1747" w:type="dxa"/>
            <w:tcBorders>
              <w:top w:val="nil"/>
              <w:left w:val="nil"/>
              <w:bottom w:val="single" w:sz="4" w:space="0" w:color="auto"/>
              <w:right w:val="single" w:sz="4" w:space="0" w:color="auto"/>
            </w:tcBorders>
            <w:shd w:val="clear" w:color="auto" w:fill="auto"/>
            <w:noWrap/>
            <w:vAlign w:val="bottom"/>
            <w:hideMark/>
          </w:tcPr>
          <w:p w14:paraId="444EE04C" w14:textId="77777777" w:rsidR="00105179" w:rsidRPr="00AB429E" w:rsidRDefault="00105179" w:rsidP="00105179">
            <w:pPr>
              <w:suppressAutoHyphens w:val="0"/>
              <w:autoSpaceDN/>
              <w:spacing w:after="0" w:line="240" w:lineRule="auto"/>
              <w:jc w:val="right"/>
              <w:rPr>
                <w:rFonts w:cs="Arial"/>
                <w:sz w:val="18"/>
                <w:szCs w:val="18"/>
              </w:rPr>
            </w:pPr>
            <w:r w:rsidRPr="00AB429E">
              <w:rPr>
                <w:rFonts w:cs="Arial"/>
                <w:sz w:val="18"/>
                <w:szCs w:val="18"/>
              </w:rPr>
              <w:t>37.272.561</w:t>
            </w:r>
          </w:p>
        </w:tc>
        <w:tc>
          <w:tcPr>
            <w:tcW w:w="2268" w:type="dxa"/>
            <w:tcBorders>
              <w:top w:val="nil"/>
              <w:left w:val="nil"/>
              <w:bottom w:val="single" w:sz="4" w:space="0" w:color="auto"/>
              <w:right w:val="single" w:sz="4" w:space="0" w:color="auto"/>
            </w:tcBorders>
            <w:shd w:val="clear" w:color="auto" w:fill="auto"/>
            <w:noWrap/>
            <w:vAlign w:val="bottom"/>
            <w:hideMark/>
          </w:tcPr>
          <w:p w14:paraId="20FF8ED7"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bottom"/>
            <w:hideMark/>
          </w:tcPr>
          <w:p w14:paraId="07178FAC"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1984" w:type="dxa"/>
            <w:tcBorders>
              <w:top w:val="nil"/>
              <w:left w:val="nil"/>
              <w:bottom w:val="single" w:sz="4" w:space="0" w:color="auto"/>
              <w:right w:val="single" w:sz="4" w:space="0" w:color="auto"/>
            </w:tcBorders>
            <w:shd w:val="clear" w:color="auto" w:fill="auto"/>
            <w:noWrap/>
            <w:vAlign w:val="bottom"/>
            <w:hideMark/>
          </w:tcPr>
          <w:p w14:paraId="2DEF6A7D"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993" w:type="dxa"/>
            <w:tcBorders>
              <w:top w:val="nil"/>
              <w:left w:val="nil"/>
              <w:bottom w:val="single" w:sz="4" w:space="0" w:color="auto"/>
              <w:right w:val="single" w:sz="4" w:space="0" w:color="auto"/>
            </w:tcBorders>
            <w:shd w:val="clear" w:color="auto" w:fill="auto"/>
            <w:noWrap/>
            <w:vAlign w:val="bottom"/>
            <w:hideMark/>
          </w:tcPr>
          <w:p w14:paraId="54D50F4E"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1984" w:type="dxa"/>
            <w:tcBorders>
              <w:top w:val="nil"/>
              <w:left w:val="nil"/>
              <w:bottom w:val="single" w:sz="4" w:space="0" w:color="auto"/>
              <w:right w:val="single" w:sz="4" w:space="0" w:color="auto"/>
            </w:tcBorders>
            <w:shd w:val="clear" w:color="auto" w:fill="auto"/>
            <w:noWrap/>
            <w:vAlign w:val="bottom"/>
            <w:hideMark/>
          </w:tcPr>
          <w:p w14:paraId="0CB911A2"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709" w:type="dxa"/>
            <w:tcBorders>
              <w:top w:val="nil"/>
              <w:left w:val="nil"/>
              <w:bottom w:val="single" w:sz="4" w:space="0" w:color="auto"/>
              <w:right w:val="single" w:sz="4" w:space="0" w:color="auto"/>
            </w:tcBorders>
            <w:shd w:val="clear" w:color="auto" w:fill="auto"/>
            <w:noWrap/>
            <w:vAlign w:val="bottom"/>
            <w:hideMark/>
          </w:tcPr>
          <w:p w14:paraId="32E635B7"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r>
      <w:tr w:rsidR="00105179" w:rsidRPr="0050269E" w14:paraId="20B7BB56" w14:textId="77777777" w:rsidTr="00A7284C">
        <w:trPr>
          <w:trHeight w:val="299"/>
          <w:jc w:val="center"/>
        </w:trPr>
        <w:tc>
          <w:tcPr>
            <w:tcW w:w="910" w:type="dxa"/>
            <w:tcBorders>
              <w:top w:val="nil"/>
              <w:left w:val="single" w:sz="4" w:space="0" w:color="auto"/>
              <w:bottom w:val="single" w:sz="4" w:space="0" w:color="auto"/>
              <w:right w:val="single" w:sz="4" w:space="0" w:color="auto"/>
            </w:tcBorders>
            <w:shd w:val="clear" w:color="auto" w:fill="auto"/>
            <w:noWrap/>
            <w:vAlign w:val="bottom"/>
            <w:hideMark/>
          </w:tcPr>
          <w:p w14:paraId="680DDCD5"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4</w:t>
            </w:r>
          </w:p>
        </w:tc>
        <w:tc>
          <w:tcPr>
            <w:tcW w:w="910" w:type="dxa"/>
            <w:tcBorders>
              <w:top w:val="nil"/>
              <w:left w:val="nil"/>
              <w:bottom w:val="single" w:sz="4" w:space="0" w:color="auto"/>
              <w:right w:val="single" w:sz="4" w:space="0" w:color="auto"/>
            </w:tcBorders>
            <w:shd w:val="clear" w:color="auto" w:fill="auto"/>
            <w:noWrap/>
            <w:vAlign w:val="bottom"/>
            <w:hideMark/>
          </w:tcPr>
          <w:p w14:paraId="76DDC72B"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RSO 2.8</w:t>
            </w:r>
          </w:p>
        </w:tc>
        <w:tc>
          <w:tcPr>
            <w:tcW w:w="910" w:type="dxa"/>
            <w:tcBorders>
              <w:top w:val="nil"/>
              <w:left w:val="nil"/>
              <w:bottom w:val="single" w:sz="4" w:space="0" w:color="auto"/>
              <w:right w:val="single" w:sz="4" w:space="0" w:color="auto"/>
            </w:tcBorders>
            <w:shd w:val="clear" w:color="auto" w:fill="auto"/>
            <w:noWrap/>
            <w:vAlign w:val="bottom"/>
            <w:hideMark/>
          </w:tcPr>
          <w:p w14:paraId="352EBD20"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ESRR</w:t>
            </w:r>
          </w:p>
        </w:tc>
        <w:tc>
          <w:tcPr>
            <w:tcW w:w="1330" w:type="dxa"/>
            <w:tcBorders>
              <w:top w:val="nil"/>
              <w:left w:val="nil"/>
              <w:bottom w:val="single" w:sz="4" w:space="0" w:color="auto"/>
              <w:right w:val="single" w:sz="4" w:space="0" w:color="auto"/>
            </w:tcBorders>
            <w:shd w:val="clear" w:color="auto" w:fill="auto"/>
            <w:noWrap/>
            <w:vAlign w:val="bottom"/>
            <w:hideMark/>
          </w:tcPr>
          <w:p w14:paraId="5D1A3BE1"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Zahod</w:t>
            </w:r>
          </w:p>
        </w:tc>
        <w:tc>
          <w:tcPr>
            <w:tcW w:w="1747" w:type="dxa"/>
            <w:tcBorders>
              <w:top w:val="nil"/>
              <w:left w:val="nil"/>
              <w:bottom w:val="single" w:sz="4" w:space="0" w:color="auto"/>
              <w:right w:val="single" w:sz="4" w:space="0" w:color="auto"/>
            </w:tcBorders>
            <w:shd w:val="clear" w:color="auto" w:fill="auto"/>
            <w:noWrap/>
            <w:vAlign w:val="bottom"/>
            <w:hideMark/>
          </w:tcPr>
          <w:p w14:paraId="52781CF9" w14:textId="77777777" w:rsidR="00105179" w:rsidRPr="00AB429E" w:rsidRDefault="00105179" w:rsidP="00105179">
            <w:pPr>
              <w:suppressAutoHyphens w:val="0"/>
              <w:autoSpaceDN/>
              <w:spacing w:after="0" w:line="240" w:lineRule="auto"/>
              <w:jc w:val="right"/>
              <w:rPr>
                <w:rFonts w:cs="Arial"/>
                <w:sz w:val="18"/>
                <w:szCs w:val="18"/>
              </w:rPr>
            </w:pPr>
            <w:r w:rsidRPr="00AB429E">
              <w:rPr>
                <w:rFonts w:cs="Arial"/>
                <w:sz w:val="18"/>
                <w:szCs w:val="18"/>
              </w:rPr>
              <w:t>16.644.692</w:t>
            </w:r>
          </w:p>
        </w:tc>
        <w:tc>
          <w:tcPr>
            <w:tcW w:w="2268" w:type="dxa"/>
            <w:tcBorders>
              <w:top w:val="nil"/>
              <w:left w:val="nil"/>
              <w:bottom w:val="single" w:sz="4" w:space="0" w:color="auto"/>
              <w:right w:val="single" w:sz="4" w:space="0" w:color="auto"/>
            </w:tcBorders>
            <w:shd w:val="clear" w:color="auto" w:fill="auto"/>
            <w:noWrap/>
            <w:vAlign w:val="bottom"/>
            <w:hideMark/>
          </w:tcPr>
          <w:p w14:paraId="64FC6E6C"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bottom"/>
            <w:hideMark/>
          </w:tcPr>
          <w:p w14:paraId="432509A3"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1984" w:type="dxa"/>
            <w:tcBorders>
              <w:top w:val="nil"/>
              <w:left w:val="nil"/>
              <w:bottom w:val="single" w:sz="4" w:space="0" w:color="auto"/>
              <w:right w:val="single" w:sz="4" w:space="0" w:color="auto"/>
            </w:tcBorders>
            <w:shd w:val="clear" w:color="auto" w:fill="auto"/>
            <w:noWrap/>
            <w:vAlign w:val="bottom"/>
            <w:hideMark/>
          </w:tcPr>
          <w:p w14:paraId="7EEF9B56"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993" w:type="dxa"/>
            <w:tcBorders>
              <w:top w:val="nil"/>
              <w:left w:val="nil"/>
              <w:bottom w:val="single" w:sz="4" w:space="0" w:color="auto"/>
              <w:right w:val="single" w:sz="4" w:space="0" w:color="auto"/>
            </w:tcBorders>
            <w:shd w:val="clear" w:color="auto" w:fill="auto"/>
            <w:noWrap/>
            <w:vAlign w:val="bottom"/>
            <w:hideMark/>
          </w:tcPr>
          <w:p w14:paraId="49272C60"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1984" w:type="dxa"/>
            <w:tcBorders>
              <w:top w:val="nil"/>
              <w:left w:val="nil"/>
              <w:bottom w:val="single" w:sz="4" w:space="0" w:color="auto"/>
              <w:right w:val="single" w:sz="4" w:space="0" w:color="auto"/>
            </w:tcBorders>
            <w:shd w:val="clear" w:color="auto" w:fill="auto"/>
            <w:noWrap/>
            <w:vAlign w:val="bottom"/>
            <w:hideMark/>
          </w:tcPr>
          <w:p w14:paraId="7EDE3BB5"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709" w:type="dxa"/>
            <w:tcBorders>
              <w:top w:val="nil"/>
              <w:left w:val="nil"/>
              <w:bottom w:val="single" w:sz="4" w:space="0" w:color="auto"/>
              <w:right w:val="single" w:sz="4" w:space="0" w:color="auto"/>
            </w:tcBorders>
            <w:shd w:val="clear" w:color="auto" w:fill="auto"/>
            <w:noWrap/>
            <w:vAlign w:val="bottom"/>
            <w:hideMark/>
          </w:tcPr>
          <w:p w14:paraId="2EA590FB"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r>
      <w:tr w:rsidR="00105179" w:rsidRPr="0050269E" w14:paraId="2D8BBF70" w14:textId="77777777" w:rsidTr="00A7284C">
        <w:trPr>
          <w:trHeight w:val="299"/>
          <w:jc w:val="center"/>
        </w:trPr>
        <w:tc>
          <w:tcPr>
            <w:tcW w:w="910" w:type="dxa"/>
            <w:tcBorders>
              <w:top w:val="nil"/>
              <w:left w:val="single" w:sz="4" w:space="0" w:color="auto"/>
              <w:bottom w:val="single" w:sz="4" w:space="0" w:color="auto"/>
              <w:right w:val="single" w:sz="4" w:space="0" w:color="auto"/>
            </w:tcBorders>
            <w:shd w:val="clear" w:color="auto" w:fill="auto"/>
            <w:noWrap/>
            <w:vAlign w:val="bottom"/>
            <w:hideMark/>
          </w:tcPr>
          <w:p w14:paraId="439A9707"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5</w:t>
            </w:r>
          </w:p>
        </w:tc>
        <w:tc>
          <w:tcPr>
            <w:tcW w:w="910" w:type="dxa"/>
            <w:tcBorders>
              <w:top w:val="nil"/>
              <w:left w:val="nil"/>
              <w:bottom w:val="single" w:sz="4" w:space="0" w:color="auto"/>
              <w:right w:val="single" w:sz="4" w:space="0" w:color="auto"/>
            </w:tcBorders>
            <w:shd w:val="clear" w:color="auto" w:fill="auto"/>
            <w:noWrap/>
            <w:vAlign w:val="bottom"/>
            <w:hideMark/>
          </w:tcPr>
          <w:p w14:paraId="1CA0B7A5"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RSO 3.1</w:t>
            </w:r>
          </w:p>
        </w:tc>
        <w:tc>
          <w:tcPr>
            <w:tcW w:w="910" w:type="dxa"/>
            <w:tcBorders>
              <w:top w:val="nil"/>
              <w:left w:val="nil"/>
              <w:bottom w:val="single" w:sz="4" w:space="0" w:color="auto"/>
              <w:right w:val="single" w:sz="4" w:space="0" w:color="auto"/>
            </w:tcBorders>
            <w:shd w:val="clear" w:color="auto" w:fill="auto"/>
            <w:noWrap/>
            <w:vAlign w:val="bottom"/>
            <w:hideMark/>
          </w:tcPr>
          <w:p w14:paraId="5CB1EF16"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KS</w:t>
            </w:r>
          </w:p>
        </w:tc>
        <w:tc>
          <w:tcPr>
            <w:tcW w:w="1330" w:type="dxa"/>
            <w:tcBorders>
              <w:top w:val="nil"/>
              <w:left w:val="nil"/>
              <w:bottom w:val="single" w:sz="4" w:space="0" w:color="auto"/>
              <w:right w:val="single" w:sz="4" w:space="0" w:color="auto"/>
            </w:tcBorders>
            <w:shd w:val="clear" w:color="auto" w:fill="auto"/>
            <w:noWrap/>
            <w:vAlign w:val="bottom"/>
            <w:hideMark/>
          </w:tcPr>
          <w:p w14:paraId="312DF709"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Celotna SI</w:t>
            </w:r>
          </w:p>
        </w:tc>
        <w:tc>
          <w:tcPr>
            <w:tcW w:w="1747" w:type="dxa"/>
            <w:tcBorders>
              <w:top w:val="nil"/>
              <w:left w:val="nil"/>
              <w:bottom w:val="single" w:sz="4" w:space="0" w:color="auto"/>
              <w:right w:val="single" w:sz="4" w:space="0" w:color="auto"/>
            </w:tcBorders>
            <w:shd w:val="clear" w:color="auto" w:fill="auto"/>
            <w:noWrap/>
            <w:vAlign w:val="bottom"/>
            <w:hideMark/>
          </w:tcPr>
          <w:p w14:paraId="4B6AD827" w14:textId="77777777" w:rsidR="00105179" w:rsidRPr="00AB429E" w:rsidRDefault="00105179" w:rsidP="00105179">
            <w:pPr>
              <w:suppressAutoHyphens w:val="0"/>
              <w:autoSpaceDN/>
              <w:spacing w:after="0" w:line="240" w:lineRule="auto"/>
              <w:jc w:val="right"/>
              <w:rPr>
                <w:rFonts w:cs="Arial"/>
                <w:sz w:val="18"/>
                <w:szCs w:val="18"/>
              </w:rPr>
            </w:pPr>
            <w:r w:rsidRPr="00AB429E">
              <w:rPr>
                <w:rFonts w:cs="Arial"/>
                <w:sz w:val="18"/>
                <w:szCs w:val="18"/>
              </w:rPr>
              <w:t>284.140.000</w:t>
            </w:r>
          </w:p>
        </w:tc>
        <w:tc>
          <w:tcPr>
            <w:tcW w:w="2268" w:type="dxa"/>
            <w:tcBorders>
              <w:top w:val="nil"/>
              <w:left w:val="nil"/>
              <w:bottom w:val="single" w:sz="4" w:space="0" w:color="auto"/>
              <w:right w:val="single" w:sz="4" w:space="0" w:color="auto"/>
            </w:tcBorders>
            <w:shd w:val="clear" w:color="auto" w:fill="auto"/>
            <w:noWrap/>
            <w:vAlign w:val="bottom"/>
            <w:hideMark/>
          </w:tcPr>
          <w:p w14:paraId="5CF33FBC"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22.813.033</w:t>
            </w:r>
          </w:p>
        </w:tc>
        <w:tc>
          <w:tcPr>
            <w:tcW w:w="1276" w:type="dxa"/>
            <w:tcBorders>
              <w:top w:val="nil"/>
              <w:left w:val="nil"/>
              <w:bottom w:val="single" w:sz="4" w:space="0" w:color="auto"/>
              <w:right w:val="single" w:sz="4" w:space="0" w:color="auto"/>
            </w:tcBorders>
            <w:shd w:val="clear" w:color="auto" w:fill="auto"/>
            <w:noWrap/>
            <w:vAlign w:val="bottom"/>
            <w:hideMark/>
          </w:tcPr>
          <w:p w14:paraId="7AE0FAE4"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8%</w:t>
            </w:r>
          </w:p>
        </w:tc>
        <w:tc>
          <w:tcPr>
            <w:tcW w:w="1984" w:type="dxa"/>
            <w:tcBorders>
              <w:top w:val="nil"/>
              <w:left w:val="nil"/>
              <w:bottom w:val="single" w:sz="4" w:space="0" w:color="auto"/>
              <w:right w:val="single" w:sz="4" w:space="0" w:color="auto"/>
            </w:tcBorders>
            <w:shd w:val="clear" w:color="auto" w:fill="auto"/>
            <w:noWrap/>
            <w:vAlign w:val="bottom"/>
            <w:hideMark/>
          </w:tcPr>
          <w:p w14:paraId="2405F6BD"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993" w:type="dxa"/>
            <w:tcBorders>
              <w:top w:val="nil"/>
              <w:left w:val="nil"/>
              <w:bottom w:val="single" w:sz="4" w:space="0" w:color="auto"/>
              <w:right w:val="single" w:sz="4" w:space="0" w:color="auto"/>
            </w:tcBorders>
            <w:shd w:val="clear" w:color="auto" w:fill="auto"/>
            <w:noWrap/>
            <w:vAlign w:val="bottom"/>
            <w:hideMark/>
          </w:tcPr>
          <w:p w14:paraId="13D77885"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1984" w:type="dxa"/>
            <w:tcBorders>
              <w:top w:val="nil"/>
              <w:left w:val="nil"/>
              <w:bottom w:val="single" w:sz="4" w:space="0" w:color="auto"/>
              <w:right w:val="single" w:sz="4" w:space="0" w:color="auto"/>
            </w:tcBorders>
            <w:shd w:val="clear" w:color="auto" w:fill="auto"/>
            <w:noWrap/>
            <w:vAlign w:val="bottom"/>
            <w:hideMark/>
          </w:tcPr>
          <w:p w14:paraId="4C374136"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709" w:type="dxa"/>
            <w:tcBorders>
              <w:top w:val="nil"/>
              <w:left w:val="nil"/>
              <w:bottom w:val="single" w:sz="4" w:space="0" w:color="auto"/>
              <w:right w:val="single" w:sz="4" w:space="0" w:color="auto"/>
            </w:tcBorders>
            <w:shd w:val="clear" w:color="auto" w:fill="auto"/>
            <w:noWrap/>
            <w:vAlign w:val="bottom"/>
            <w:hideMark/>
          </w:tcPr>
          <w:p w14:paraId="7ECD859C"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r>
      <w:tr w:rsidR="00105179" w:rsidRPr="0050269E" w14:paraId="1238924C" w14:textId="77777777" w:rsidTr="00A7284C">
        <w:trPr>
          <w:trHeight w:val="299"/>
          <w:jc w:val="center"/>
        </w:trPr>
        <w:tc>
          <w:tcPr>
            <w:tcW w:w="910" w:type="dxa"/>
            <w:tcBorders>
              <w:top w:val="nil"/>
              <w:left w:val="single" w:sz="4" w:space="0" w:color="auto"/>
              <w:bottom w:val="single" w:sz="4" w:space="0" w:color="auto"/>
              <w:right w:val="single" w:sz="4" w:space="0" w:color="auto"/>
            </w:tcBorders>
            <w:shd w:val="clear" w:color="auto" w:fill="auto"/>
            <w:noWrap/>
            <w:vAlign w:val="bottom"/>
            <w:hideMark/>
          </w:tcPr>
          <w:p w14:paraId="653BF8A3"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5</w:t>
            </w:r>
          </w:p>
        </w:tc>
        <w:tc>
          <w:tcPr>
            <w:tcW w:w="910" w:type="dxa"/>
            <w:tcBorders>
              <w:top w:val="nil"/>
              <w:left w:val="nil"/>
              <w:bottom w:val="single" w:sz="4" w:space="0" w:color="auto"/>
              <w:right w:val="single" w:sz="4" w:space="0" w:color="auto"/>
            </w:tcBorders>
            <w:shd w:val="clear" w:color="auto" w:fill="auto"/>
            <w:noWrap/>
            <w:vAlign w:val="bottom"/>
            <w:hideMark/>
          </w:tcPr>
          <w:p w14:paraId="48BE73F5"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RSO 3.2</w:t>
            </w:r>
          </w:p>
        </w:tc>
        <w:tc>
          <w:tcPr>
            <w:tcW w:w="910" w:type="dxa"/>
            <w:tcBorders>
              <w:top w:val="nil"/>
              <w:left w:val="nil"/>
              <w:bottom w:val="single" w:sz="4" w:space="0" w:color="auto"/>
              <w:right w:val="single" w:sz="4" w:space="0" w:color="auto"/>
            </w:tcBorders>
            <w:shd w:val="clear" w:color="auto" w:fill="auto"/>
            <w:noWrap/>
            <w:vAlign w:val="bottom"/>
            <w:hideMark/>
          </w:tcPr>
          <w:p w14:paraId="4D7369AD"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ESRR</w:t>
            </w:r>
          </w:p>
        </w:tc>
        <w:tc>
          <w:tcPr>
            <w:tcW w:w="1330" w:type="dxa"/>
            <w:tcBorders>
              <w:top w:val="nil"/>
              <w:left w:val="nil"/>
              <w:bottom w:val="single" w:sz="4" w:space="0" w:color="auto"/>
              <w:right w:val="single" w:sz="4" w:space="0" w:color="auto"/>
            </w:tcBorders>
            <w:shd w:val="clear" w:color="auto" w:fill="auto"/>
            <w:noWrap/>
            <w:vAlign w:val="bottom"/>
            <w:hideMark/>
          </w:tcPr>
          <w:p w14:paraId="5FA9EC5C"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Vzhod</w:t>
            </w:r>
          </w:p>
        </w:tc>
        <w:tc>
          <w:tcPr>
            <w:tcW w:w="1747" w:type="dxa"/>
            <w:tcBorders>
              <w:top w:val="nil"/>
              <w:left w:val="nil"/>
              <w:bottom w:val="single" w:sz="4" w:space="0" w:color="auto"/>
              <w:right w:val="single" w:sz="4" w:space="0" w:color="auto"/>
            </w:tcBorders>
            <w:shd w:val="clear" w:color="auto" w:fill="auto"/>
            <w:noWrap/>
            <w:vAlign w:val="bottom"/>
            <w:hideMark/>
          </w:tcPr>
          <w:p w14:paraId="14DD6F73" w14:textId="77777777" w:rsidR="00105179" w:rsidRPr="00AB429E" w:rsidRDefault="00105179" w:rsidP="00105179">
            <w:pPr>
              <w:suppressAutoHyphens w:val="0"/>
              <w:autoSpaceDN/>
              <w:spacing w:after="0" w:line="240" w:lineRule="auto"/>
              <w:jc w:val="right"/>
              <w:rPr>
                <w:rFonts w:cs="Arial"/>
                <w:sz w:val="18"/>
                <w:szCs w:val="18"/>
              </w:rPr>
            </w:pPr>
            <w:r w:rsidRPr="00AB429E">
              <w:rPr>
                <w:rFonts w:cs="Arial"/>
                <w:sz w:val="18"/>
                <w:szCs w:val="18"/>
              </w:rPr>
              <w:t>105.888.481</w:t>
            </w:r>
          </w:p>
        </w:tc>
        <w:tc>
          <w:tcPr>
            <w:tcW w:w="2268" w:type="dxa"/>
            <w:tcBorders>
              <w:top w:val="nil"/>
              <w:left w:val="nil"/>
              <w:bottom w:val="single" w:sz="4" w:space="0" w:color="auto"/>
              <w:right w:val="single" w:sz="4" w:space="0" w:color="auto"/>
            </w:tcBorders>
            <w:shd w:val="clear" w:color="auto" w:fill="auto"/>
            <w:noWrap/>
            <w:vAlign w:val="bottom"/>
            <w:hideMark/>
          </w:tcPr>
          <w:p w14:paraId="0E094315"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bottom"/>
            <w:hideMark/>
          </w:tcPr>
          <w:p w14:paraId="145F27DE"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1984" w:type="dxa"/>
            <w:tcBorders>
              <w:top w:val="nil"/>
              <w:left w:val="nil"/>
              <w:bottom w:val="single" w:sz="4" w:space="0" w:color="auto"/>
              <w:right w:val="single" w:sz="4" w:space="0" w:color="auto"/>
            </w:tcBorders>
            <w:shd w:val="clear" w:color="auto" w:fill="auto"/>
            <w:noWrap/>
            <w:vAlign w:val="bottom"/>
            <w:hideMark/>
          </w:tcPr>
          <w:p w14:paraId="21891BB5"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993" w:type="dxa"/>
            <w:tcBorders>
              <w:top w:val="nil"/>
              <w:left w:val="nil"/>
              <w:bottom w:val="single" w:sz="4" w:space="0" w:color="auto"/>
              <w:right w:val="single" w:sz="4" w:space="0" w:color="auto"/>
            </w:tcBorders>
            <w:shd w:val="clear" w:color="auto" w:fill="auto"/>
            <w:noWrap/>
            <w:vAlign w:val="bottom"/>
            <w:hideMark/>
          </w:tcPr>
          <w:p w14:paraId="23F8C11A"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1984" w:type="dxa"/>
            <w:tcBorders>
              <w:top w:val="nil"/>
              <w:left w:val="nil"/>
              <w:bottom w:val="single" w:sz="4" w:space="0" w:color="auto"/>
              <w:right w:val="single" w:sz="4" w:space="0" w:color="auto"/>
            </w:tcBorders>
            <w:shd w:val="clear" w:color="auto" w:fill="auto"/>
            <w:noWrap/>
            <w:vAlign w:val="bottom"/>
            <w:hideMark/>
          </w:tcPr>
          <w:p w14:paraId="1914CDD3"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709" w:type="dxa"/>
            <w:tcBorders>
              <w:top w:val="nil"/>
              <w:left w:val="nil"/>
              <w:bottom w:val="single" w:sz="4" w:space="0" w:color="auto"/>
              <w:right w:val="single" w:sz="4" w:space="0" w:color="auto"/>
            </w:tcBorders>
            <w:shd w:val="clear" w:color="auto" w:fill="auto"/>
            <w:noWrap/>
            <w:vAlign w:val="bottom"/>
            <w:hideMark/>
          </w:tcPr>
          <w:p w14:paraId="4E28E727"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r>
      <w:tr w:rsidR="00105179" w:rsidRPr="0050269E" w14:paraId="6BCD5F12" w14:textId="77777777" w:rsidTr="00A7284C">
        <w:trPr>
          <w:trHeight w:val="299"/>
          <w:jc w:val="center"/>
        </w:trPr>
        <w:tc>
          <w:tcPr>
            <w:tcW w:w="910" w:type="dxa"/>
            <w:tcBorders>
              <w:top w:val="nil"/>
              <w:left w:val="single" w:sz="4" w:space="0" w:color="auto"/>
              <w:bottom w:val="single" w:sz="4" w:space="0" w:color="auto"/>
              <w:right w:val="single" w:sz="4" w:space="0" w:color="auto"/>
            </w:tcBorders>
            <w:shd w:val="clear" w:color="auto" w:fill="auto"/>
            <w:noWrap/>
            <w:vAlign w:val="bottom"/>
            <w:hideMark/>
          </w:tcPr>
          <w:p w14:paraId="1F5119E5"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5</w:t>
            </w:r>
          </w:p>
        </w:tc>
        <w:tc>
          <w:tcPr>
            <w:tcW w:w="910" w:type="dxa"/>
            <w:tcBorders>
              <w:top w:val="nil"/>
              <w:left w:val="nil"/>
              <w:bottom w:val="single" w:sz="4" w:space="0" w:color="auto"/>
              <w:right w:val="single" w:sz="4" w:space="0" w:color="auto"/>
            </w:tcBorders>
            <w:shd w:val="clear" w:color="auto" w:fill="auto"/>
            <w:noWrap/>
            <w:vAlign w:val="bottom"/>
            <w:hideMark/>
          </w:tcPr>
          <w:p w14:paraId="055B2715"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RSO 3.2</w:t>
            </w:r>
          </w:p>
        </w:tc>
        <w:tc>
          <w:tcPr>
            <w:tcW w:w="910" w:type="dxa"/>
            <w:tcBorders>
              <w:top w:val="nil"/>
              <w:left w:val="nil"/>
              <w:bottom w:val="single" w:sz="4" w:space="0" w:color="auto"/>
              <w:right w:val="single" w:sz="4" w:space="0" w:color="auto"/>
            </w:tcBorders>
            <w:shd w:val="clear" w:color="auto" w:fill="auto"/>
            <w:noWrap/>
            <w:vAlign w:val="bottom"/>
            <w:hideMark/>
          </w:tcPr>
          <w:p w14:paraId="14F70FA6"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KS</w:t>
            </w:r>
          </w:p>
        </w:tc>
        <w:tc>
          <w:tcPr>
            <w:tcW w:w="1330" w:type="dxa"/>
            <w:tcBorders>
              <w:top w:val="nil"/>
              <w:left w:val="nil"/>
              <w:bottom w:val="single" w:sz="4" w:space="0" w:color="auto"/>
              <w:right w:val="single" w:sz="4" w:space="0" w:color="auto"/>
            </w:tcBorders>
            <w:shd w:val="clear" w:color="auto" w:fill="auto"/>
            <w:noWrap/>
            <w:vAlign w:val="bottom"/>
            <w:hideMark/>
          </w:tcPr>
          <w:p w14:paraId="651FFD90"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Celotna SI</w:t>
            </w:r>
          </w:p>
        </w:tc>
        <w:tc>
          <w:tcPr>
            <w:tcW w:w="1747" w:type="dxa"/>
            <w:tcBorders>
              <w:top w:val="nil"/>
              <w:left w:val="nil"/>
              <w:bottom w:val="single" w:sz="4" w:space="0" w:color="auto"/>
              <w:right w:val="single" w:sz="4" w:space="0" w:color="auto"/>
            </w:tcBorders>
            <w:shd w:val="clear" w:color="auto" w:fill="auto"/>
            <w:noWrap/>
            <w:vAlign w:val="bottom"/>
            <w:hideMark/>
          </w:tcPr>
          <w:p w14:paraId="174F683D" w14:textId="77777777" w:rsidR="00105179" w:rsidRPr="00AB429E" w:rsidRDefault="00105179" w:rsidP="00105179">
            <w:pPr>
              <w:suppressAutoHyphens w:val="0"/>
              <w:autoSpaceDN/>
              <w:spacing w:after="0" w:line="240" w:lineRule="auto"/>
              <w:jc w:val="right"/>
              <w:rPr>
                <w:rFonts w:cs="Arial"/>
                <w:sz w:val="18"/>
                <w:szCs w:val="18"/>
              </w:rPr>
            </w:pPr>
            <w:r w:rsidRPr="00AB429E">
              <w:rPr>
                <w:rFonts w:cs="Arial"/>
                <w:sz w:val="18"/>
                <w:szCs w:val="18"/>
              </w:rPr>
              <w:t>121.002.680</w:t>
            </w:r>
          </w:p>
        </w:tc>
        <w:tc>
          <w:tcPr>
            <w:tcW w:w="2268" w:type="dxa"/>
            <w:tcBorders>
              <w:top w:val="nil"/>
              <w:left w:val="nil"/>
              <w:bottom w:val="single" w:sz="4" w:space="0" w:color="auto"/>
              <w:right w:val="single" w:sz="4" w:space="0" w:color="auto"/>
            </w:tcBorders>
            <w:shd w:val="clear" w:color="auto" w:fill="auto"/>
            <w:noWrap/>
            <w:vAlign w:val="bottom"/>
            <w:hideMark/>
          </w:tcPr>
          <w:p w14:paraId="5C5EA75A"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16.821.535</w:t>
            </w:r>
          </w:p>
        </w:tc>
        <w:tc>
          <w:tcPr>
            <w:tcW w:w="1276" w:type="dxa"/>
            <w:tcBorders>
              <w:top w:val="nil"/>
              <w:left w:val="nil"/>
              <w:bottom w:val="single" w:sz="4" w:space="0" w:color="auto"/>
              <w:right w:val="single" w:sz="4" w:space="0" w:color="auto"/>
            </w:tcBorders>
            <w:shd w:val="clear" w:color="auto" w:fill="auto"/>
            <w:noWrap/>
            <w:vAlign w:val="bottom"/>
            <w:hideMark/>
          </w:tcPr>
          <w:p w14:paraId="36471491"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14%</w:t>
            </w:r>
          </w:p>
        </w:tc>
        <w:tc>
          <w:tcPr>
            <w:tcW w:w="1984" w:type="dxa"/>
            <w:tcBorders>
              <w:top w:val="nil"/>
              <w:left w:val="nil"/>
              <w:bottom w:val="single" w:sz="4" w:space="0" w:color="auto"/>
              <w:right w:val="single" w:sz="4" w:space="0" w:color="auto"/>
            </w:tcBorders>
            <w:shd w:val="clear" w:color="auto" w:fill="auto"/>
            <w:noWrap/>
            <w:vAlign w:val="bottom"/>
            <w:hideMark/>
          </w:tcPr>
          <w:p w14:paraId="5FECD597"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16.211.065</w:t>
            </w:r>
          </w:p>
        </w:tc>
        <w:tc>
          <w:tcPr>
            <w:tcW w:w="993" w:type="dxa"/>
            <w:tcBorders>
              <w:top w:val="nil"/>
              <w:left w:val="nil"/>
              <w:bottom w:val="single" w:sz="4" w:space="0" w:color="auto"/>
              <w:right w:val="single" w:sz="4" w:space="0" w:color="auto"/>
            </w:tcBorders>
            <w:shd w:val="clear" w:color="auto" w:fill="auto"/>
            <w:noWrap/>
            <w:vAlign w:val="bottom"/>
            <w:hideMark/>
          </w:tcPr>
          <w:p w14:paraId="1BCAF6AC"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13%</w:t>
            </w:r>
          </w:p>
        </w:tc>
        <w:tc>
          <w:tcPr>
            <w:tcW w:w="1984" w:type="dxa"/>
            <w:tcBorders>
              <w:top w:val="nil"/>
              <w:left w:val="nil"/>
              <w:bottom w:val="single" w:sz="4" w:space="0" w:color="auto"/>
              <w:right w:val="single" w:sz="4" w:space="0" w:color="auto"/>
            </w:tcBorders>
            <w:shd w:val="clear" w:color="auto" w:fill="auto"/>
            <w:noWrap/>
            <w:vAlign w:val="bottom"/>
            <w:hideMark/>
          </w:tcPr>
          <w:p w14:paraId="5465DEC7"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11.010.792</w:t>
            </w:r>
          </w:p>
        </w:tc>
        <w:tc>
          <w:tcPr>
            <w:tcW w:w="709" w:type="dxa"/>
            <w:tcBorders>
              <w:top w:val="nil"/>
              <w:left w:val="nil"/>
              <w:bottom w:val="single" w:sz="4" w:space="0" w:color="auto"/>
              <w:right w:val="single" w:sz="4" w:space="0" w:color="auto"/>
            </w:tcBorders>
            <w:shd w:val="clear" w:color="auto" w:fill="auto"/>
            <w:noWrap/>
            <w:vAlign w:val="bottom"/>
            <w:hideMark/>
          </w:tcPr>
          <w:p w14:paraId="63205E45"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9%</w:t>
            </w:r>
          </w:p>
        </w:tc>
      </w:tr>
      <w:tr w:rsidR="00105179" w:rsidRPr="0050269E" w14:paraId="0AB1824C" w14:textId="77777777" w:rsidTr="00A7284C">
        <w:trPr>
          <w:trHeight w:val="299"/>
          <w:jc w:val="center"/>
        </w:trPr>
        <w:tc>
          <w:tcPr>
            <w:tcW w:w="910" w:type="dxa"/>
            <w:tcBorders>
              <w:top w:val="nil"/>
              <w:left w:val="single" w:sz="4" w:space="0" w:color="auto"/>
              <w:bottom w:val="single" w:sz="4" w:space="0" w:color="auto"/>
              <w:right w:val="single" w:sz="4" w:space="0" w:color="auto"/>
            </w:tcBorders>
            <w:shd w:val="clear" w:color="auto" w:fill="auto"/>
            <w:noWrap/>
            <w:vAlign w:val="bottom"/>
            <w:hideMark/>
          </w:tcPr>
          <w:p w14:paraId="40C525DB"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6</w:t>
            </w:r>
          </w:p>
        </w:tc>
        <w:tc>
          <w:tcPr>
            <w:tcW w:w="910" w:type="dxa"/>
            <w:tcBorders>
              <w:top w:val="nil"/>
              <w:left w:val="nil"/>
              <w:bottom w:val="single" w:sz="4" w:space="0" w:color="auto"/>
              <w:right w:val="single" w:sz="4" w:space="0" w:color="auto"/>
            </w:tcBorders>
            <w:shd w:val="clear" w:color="auto" w:fill="auto"/>
            <w:noWrap/>
            <w:vAlign w:val="bottom"/>
            <w:hideMark/>
          </w:tcPr>
          <w:p w14:paraId="664A272F"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ESO 4.1</w:t>
            </w:r>
          </w:p>
        </w:tc>
        <w:tc>
          <w:tcPr>
            <w:tcW w:w="910" w:type="dxa"/>
            <w:tcBorders>
              <w:top w:val="nil"/>
              <w:left w:val="nil"/>
              <w:bottom w:val="single" w:sz="4" w:space="0" w:color="auto"/>
              <w:right w:val="single" w:sz="4" w:space="0" w:color="auto"/>
            </w:tcBorders>
            <w:shd w:val="clear" w:color="auto" w:fill="auto"/>
            <w:noWrap/>
            <w:vAlign w:val="bottom"/>
            <w:hideMark/>
          </w:tcPr>
          <w:p w14:paraId="45CE341B"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ESS+</w:t>
            </w:r>
          </w:p>
        </w:tc>
        <w:tc>
          <w:tcPr>
            <w:tcW w:w="1330" w:type="dxa"/>
            <w:tcBorders>
              <w:top w:val="nil"/>
              <w:left w:val="nil"/>
              <w:bottom w:val="single" w:sz="4" w:space="0" w:color="auto"/>
              <w:right w:val="single" w:sz="4" w:space="0" w:color="auto"/>
            </w:tcBorders>
            <w:shd w:val="clear" w:color="auto" w:fill="auto"/>
            <w:noWrap/>
            <w:vAlign w:val="bottom"/>
            <w:hideMark/>
          </w:tcPr>
          <w:p w14:paraId="12B1B738"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Vzhod</w:t>
            </w:r>
          </w:p>
        </w:tc>
        <w:tc>
          <w:tcPr>
            <w:tcW w:w="1747" w:type="dxa"/>
            <w:tcBorders>
              <w:top w:val="nil"/>
              <w:left w:val="nil"/>
              <w:bottom w:val="single" w:sz="4" w:space="0" w:color="auto"/>
              <w:right w:val="single" w:sz="4" w:space="0" w:color="auto"/>
            </w:tcBorders>
            <w:shd w:val="clear" w:color="auto" w:fill="auto"/>
            <w:noWrap/>
            <w:vAlign w:val="bottom"/>
            <w:hideMark/>
          </w:tcPr>
          <w:p w14:paraId="46CE96CA" w14:textId="77777777" w:rsidR="00105179" w:rsidRPr="00AB429E" w:rsidRDefault="00105179" w:rsidP="00105179">
            <w:pPr>
              <w:suppressAutoHyphens w:val="0"/>
              <w:autoSpaceDN/>
              <w:spacing w:after="0" w:line="240" w:lineRule="auto"/>
              <w:jc w:val="right"/>
              <w:rPr>
                <w:rFonts w:cs="Arial"/>
                <w:sz w:val="18"/>
                <w:szCs w:val="18"/>
              </w:rPr>
            </w:pPr>
            <w:r w:rsidRPr="00AB429E">
              <w:rPr>
                <w:rFonts w:cs="Arial"/>
                <w:sz w:val="18"/>
                <w:szCs w:val="18"/>
              </w:rPr>
              <w:t>126.089.721</w:t>
            </w:r>
          </w:p>
        </w:tc>
        <w:tc>
          <w:tcPr>
            <w:tcW w:w="2268" w:type="dxa"/>
            <w:tcBorders>
              <w:top w:val="nil"/>
              <w:left w:val="nil"/>
              <w:bottom w:val="single" w:sz="4" w:space="0" w:color="auto"/>
              <w:right w:val="single" w:sz="4" w:space="0" w:color="auto"/>
            </w:tcBorders>
            <w:shd w:val="clear" w:color="auto" w:fill="auto"/>
            <w:noWrap/>
            <w:vAlign w:val="bottom"/>
            <w:hideMark/>
          </w:tcPr>
          <w:p w14:paraId="7E7BAD1A"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108.761.189</w:t>
            </w:r>
          </w:p>
        </w:tc>
        <w:tc>
          <w:tcPr>
            <w:tcW w:w="1276" w:type="dxa"/>
            <w:tcBorders>
              <w:top w:val="nil"/>
              <w:left w:val="nil"/>
              <w:bottom w:val="single" w:sz="4" w:space="0" w:color="auto"/>
              <w:right w:val="single" w:sz="4" w:space="0" w:color="auto"/>
            </w:tcBorders>
            <w:shd w:val="clear" w:color="auto" w:fill="auto"/>
            <w:noWrap/>
            <w:vAlign w:val="bottom"/>
            <w:hideMark/>
          </w:tcPr>
          <w:p w14:paraId="69ACC9F6"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86%</w:t>
            </w:r>
          </w:p>
        </w:tc>
        <w:tc>
          <w:tcPr>
            <w:tcW w:w="1984" w:type="dxa"/>
            <w:tcBorders>
              <w:top w:val="nil"/>
              <w:left w:val="nil"/>
              <w:bottom w:val="single" w:sz="4" w:space="0" w:color="auto"/>
              <w:right w:val="single" w:sz="4" w:space="0" w:color="auto"/>
            </w:tcBorders>
            <w:shd w:val="clear" w:color="auto" w:fill="auto"/>
            <w:noWrap/>
            <w:vAlign w:val="bottom"/>
            <w:hideMark/>
          </w:tcPr>
          <w:p w14:paraId="24CCC49A"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108.138.345</w:t>
            </w:r>
          </w:p>
        </w:tc>
        <w:tc>
          <w:tcPr>
            <w:tcW w:w="993" w:type="dxa"/>
            <w:tcBorders>
              <w:top w:val="nil"/>
              <w:left w:val="nil"/>
              <w:bottom w:val="single" w:sz="4" w:space="0" w:color="auto"/>
              <w:right w:val="single" w:sz="4" w:space="0" w:color="auto"/>
            </w:tcBorders>
            <w:shd w:val="clear" w:color="auto" w:fill="auto"/>
            <w:noWrap/>
            <w:vAlign w:val="bottom"/>
            <w:hideMark/>
          </w:tcPr>
          <w:p w14:paraId="5E9F0071"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86%</w:t>
            </w:r>
          </w:p>
        </w:tc>
        <w:tc>
          <w:tcPr>
            <w:tcW w:w="1984" w:type="dxa"/>
            <w:tcBorders>
              <w:top w:val="nil"/>
              <w:left w:val="nil"/>
              <w:bottom w:val="single" w:sz="4" w:space="0" w:color="auto"/>
              <w:right w:val="single" w:sz="4" w:space="0" w:color="auto"/>
            </w:tcBorders>
            <w:shd w:val="clear" w:color="auto" w:fill="auto"/>
            <w:noWrap/>
            <w:vAlign w:val="bottom"/>
            <w:hideMark/>
          </w:tcPr>
          <w:p w14:paraId="14E0C73F"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2.656.426</w:t>
            </w:r>
          </w:p>
        </w:tc>
        <w:tc>
          <w:tcPr>
            <w:tcW w:w="709" w:type="dxa"/>
            <w:tcBorders>
              <w:top w:val="nil"/>
              <w:left w:val="nil"/>
              <w:bottom w:val="single" w:sz="4" w:space="0" w:color="auto"/>
              <w:right w:val="single" w:sz="4" w:space="0" w:color="auto"/>
            </w:tcBorders>
            <w:shd w:val="clear" w:color="auto" w:fill="auto"/>
            <w:noWrap/>
            <w:vAlign w:val="bottom"/>
            <w:hideMark/>
          </w:tcPr>
          <w:p w14:paraId="0E486759"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2%</w:t>
            </w:r>
          </w:p>
        </w:tc>
      </w:tr>
      <w:tr w:rsidR="00105179" w:rsidRPr="0050269E" w14:paraId="49C935A2" w14:textId="77777777" w:rsidTr="00A7284C">
        <w:trPr>
          <w:trHeight w:val="299"/>
          <w:jc w:val="center"/>
        </w:trPr>
        <w:tc>
          <w:tcPr>
            <w:tcW w:w="910" w:type="dxa"/>
            <w:tcBorders>
              <w:top w:val="nil"/>
              <w:left w:val="single" w:sz="4" w:space="0" w:color="auto"/>
              <w:bottom w:val="single" w:sz="4" w:space="0" w:color="auto"/>
              <w:right w:val="single" w:sz="4" w:space="0" w:color="auto"/>
            </w:tcBorders>
            <w:shd w:val="clear" w:color="auto" w:fill="auto"/>
            <w:noWrap/>
            <w:vAlign w:val="bottom"/>
            <w:hideMark/>
          </w:tcPr>
          <w:p w14:paraId="56E06397"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6</w:t>
            </w:r>
          </w:p>
        </w:tc>
        <w:tc>
          <w:tcPr>
            <w:tcW w:w="910" w:type="dxa"/>
            <w:tcBorders>
              <w:top w:val="nil"/>
              <w:left w:val="nil"/>
              <w:bottom w:val="single" w:sz="4" w:space="0" w:color="auto"/>
              <w:right w:val="single" w:sz="4" w:space="0" w:color="auto"/>
            </w:tcBorders>
            <w:shd w:val="clear" w:color="auto" w:fill="auto"/>
            <w:noWrap/>
            <w:vAlign w:val="bottom"/>
            <w:hideMark/>
          </w:tcPr>
          <w:p w14:paraId="79598AB8"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ESO 4.1</w:t>
            </w:r>
          </w:p>
        </w:tc>
        <w:tc>
          <w:tcPr>
            <w:tcW w:w="910" w:type="dxa"/>
            <w:tcBorders>
              <w:top w:val="nil"/>
              <w:left w:val="nil"/>
              <w:bottom w:val="single" w:sz="4" w:space="0" w:color="auto"/>
              <w:right w:val="single" w:sz="4" w:space="0" w:color="auto"/>
            </w:tcBorders>
            <w:shd w:val="clear" w:color="auto" w:fill="auto"/>
            <w:noWrap/>
            <w:vAlign w:val="bottom"/>
            <w:hideMark/>
          </w:tcPr>
          <w:p w14:paraId="7B2BA023"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ESS+</w:t>
            </w:r>
          </w:p>
        </w:tc>
        <w:tc>
          <w:tcPr>
            <w:tcW w:w="1330" w:type="dxa"/>
            <w:tcBorders>
              <w:top w:val="nil"/>
              <w:left w:val="nil"/>
              <w:bottom w:val="single" w:sz="4" w:space="0" w:color="auto"/>
              <w:right w:val="single" w:sz="4" w:space="0" w:color="auto"/>
            </w:tcBorders>
            <w:shd w:val="clear" w:color="auto" w:fill="auto"/>
            <w:noWrap/>
            <w:vAlign w:val="bottom"/>
            <w:hideMark/>
          </w:tcPr>
          <w:p w14:paraId="53AB631D"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Zahod</w:t>
            </w:r>
          </w:p>
        </w:tc>
        <w:tc>
          <w:tcPr>
            <w:tcW w:w="1747" w:type="dxa"/>
            <w:tcBorders>
              <w:top w:val="nil"/>
              <w:left w:val="nil"/>
              <w:bottom w:val="single" w:sz="4" w:space="0" w:color="auto"/>
              <w:right w:val="single" w:sz="4" w:space="0" w:color="auto"/>
            </w:tcBorders>
            <w:shd w:val="clear" w:color="auto" w:fill="auto"/>
            <w:noWrap/>
            <w:vAlign w:val="bottom"/>
            <w:hideMark/>
          </w:tcPr>
          <w:p w14:paraId="710627DF" w14:textId="77777777" w:rsidR="00105179" w:rsidRPr="00AB429E" w:rsidRDefault="00105179" w:rsidP="00105179">
            <w:pPr>
              <w:suppressAutoHyphens w:val="0"/>
              <w:autoSpaceDN/>
              <w:spacing w:after="0" w:line="240" w:lineRule="auto"/>
              <w:jc w:val="right"/>
              <w:rPr>
                <w:rFonts w:cs="Arial"/>
                <w:sz w:val="18"/>
                <w:szCs w:val="18"/>
              </w:rPr>
            </w:pPr>
            <w:r w:rsidRPr="00AB429E">
              <w:rPr>
                <w:rFonts w:cs="Arial"/>
                <w:sz w:val="18"/>
                <w:szCs w:val="18"/>
              </w:rPr>
              <w:t>17.879.783</w:t>
            </w:r>
          </w:p>
        </w:tc>
        <w:tc>
          <w:tcPr>
            <w:tcW w:w="2268" w:type="dxa"/>
            <w:tcBorders>
              <w:top w:val="nil"/>
              <w:left w:val="nil"/>
              <w:bottom w:val="single" w:sz="4" w:space="0" w:color="auto"/>
              <w:right w:val="single" w:sz="4" w:space="0" w:color="auto"/>
            </w:tcBorders>
            <w:shd w:val="clear" w:color="auto" w:fill="auto"/>
            <w:noWrap/>
            <w:vAlign w:val="bottom"/>
            <w:hideMark/>
          </w:tcPr>
          <w:p w14:paraId="14349C23"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14.521.487</w:t>
            </w:r>
          </w:p>
        </w:tc>
        <w:tc>
          <w:tcPr>
            <w:tcW w:w="1276" w:type="dxa"/>
            <w:tcBorders>
              <w:top w:val="nil"/>
              <w:left w:val="nil"/>
              <w:bottom w:val="single" w:sz="4" w:space="0" w:color="auto"/>
              <w:right w:val="single" w:sz="4" w:space="0" w:color="auto"/>
            </w:tcBorders>
            <w:shd w:val="clear" w:color="auto" w:fill="auto"/>
            <w:noWrap/>
            <w:vAlign w:val="bottom"/>
            <w:hideMark/>
          </w:tcPr>
          <w:p w14:paraId="4156A396"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81%</w:t>
            </w:r>
          </w:p>
        </w:tc>
        <w:tc>
          <w:tcPr>
            <w:tcW w:w="1984" w:type="dxa"/>
            <w:tcBorders>
              <w:top w:val="nil"/>
              <w:left w:val="nil"/>
              <w:bottom w:val="single" w:sz="4" w:space="0" w:color="auto"/>
              <w:right w:val="single" w:sz="4" w:space="0" w:color="auto"/>
            </w:tcBorders>
            <w:shd w:val="clear" w:color="auto" w:fill="auto"/>
            <w:noWrap/>
            <w:vAlign w:val="bottom"/>
            <w:hideMark/>
          </w:tcPr>
          <w:p w14:paraId="33CE862A"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14.382.711</w:t>
            </w:r>
          </w:p>
        </w:tc>
        <w:tc>
          <w:tcPr>
            <w:tcW w:w="993" w:type="dxa"/>
            <w:tcBorders>
              <w:top w:val="nil"/>
              <w:left w:val="nil"/>
              <w:bottom w:val="single" w:sz="4" w:space="0" w:color="auto"/>
              <w:right w:val="single" w:sz="4" w:space="0" w:color="auto"/>
            </w:tcBorders>
            <w:shd w:val="clear" w:color="auto" w:fill="auto"/>
            <w:noWrap/>
            <w:vAlign w:val="bottom"/>
            <w:hideMark/>
          </w:tcPr>
          <w:p w14:paraId="14FDB67A"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80%</w:t>
            </w:r>
          </w:p>
        </w:tc>
        <w:tc>
          <w:tcPr>
            <w:tcW w:w="1984" w:type="dxa"/>
            <w:tcBorders>
              <w:top w:val="nil"/>
              <w:left w:val="nil"/>
              <w:bottom w:val="single" w:sz="4" w:space="0" w:color="auto"/>
              <w:right w:val="single" w:sz="4" w:space="0" w:color="auto"/>
            </w:tcBorders>
            <w:shd w:val="clear" w:color="auto" w:fill="auto"/>
            <w:noWrap/>
            <w:vAlign w:val="bottom"/>
            <w:hideMark/>
          </w:tcPr>
          <w:p w14:paraId="644E2928"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688.399</w:t>
            </w:r>
          </w:p>
        </w:tc>
        <w:tc>
          <w:tcPr>
            <w:tcW w:w="709" w:type="dxa"/>
            <w:tcBorders>
              <w:top w:val="nil"/>
              <w:left w:val="nil"/>
              <w:bottom w:val="single" w:sz="4" w:space="0" w:color="auto"/>
              <w:right w:val="single" w:sz="4" w:space="0" w:color="auto"/>
            </w:tcBorders>
            <w:shd w:val="clear" w:color="auto" w:fill="auto"/>
            <w:noWrap/>
            <w:vAlign w:val="bottom"/>
            <w:hideMark/>
          </w:tcPr>
          <w:p w14:paraId="258DBE45"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4%</w:t>
            </w:r>
          </w:p>
        </w:tc>
      </w:tr>
      <w:tr w:rsidR="00105179" w:rsidRPr="0050269E" w14:paraId="3CE40055" w14:textId="77777777" w:rsidTr="00A7284C">
        <w:trPr>
          <w:trHeight w:val="299"/>
          <w:jc w:val="center"/>
        </w:trPr>
        <w:tc>
          <w:tcPr>
            <w:tcW w:w="910" w:type="dxa"/>
            <w:tcBorders>
              <w:top w:val="nil"/>
              <w:left w:val="single" w:sz="4" w:space="0" w:color="auto"/>
              <w:bottom w:val="single" w:sz="4" w:space="0" w:color="auto"/>
              <w:right w:val="single" w:sz="4" w:space="0" w:color="auto"/>
            </w:tcBorders>
            <w:shd w:val="clear" w:color="auto" w:fill="auto"/>
            <w:noWrap/>
            <w:vAlign w:val="bottom"/>
            <w:hideMark/>
          </w:tcPr>
          <w:p w14:paraId="471B5627"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6</w:t>
            </w:r>
          </w:p>
        </w:tc>
        <w:tc>
          <w:tcPr>
            <w:tcW w:w="910" w:type="dxa"/>
            <w:tcBorders>
              <w:top w:val="nil"/>
              <w:left w:val="nil"/>
              <w:bottom w:val="single" w:sz="4" w:space="0" w:color="auto"/>
              <w:right w:val="single" w:sz="4" w:space="0" w:color="auto"/>
            </w:tcBorders>
            <w:shd w:val="clear" w:color="auto" w:fill="auto"/>
            <w:noWrap/>
            <w:vAlign w:val="bottom"/>
            <w:hideMark/>
          </w:tcPr>
          <w:p w14:paraId="7EC4E8E3"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ESO 4.2</w:t>
            </w:r>
          </w:p>
        </w:tc>
        <w:tc>
          <w:tcPr>
            <w:tcW w:w="910" w:type="dxa"/>
            <w:tcBorders>
              <w:top w:val="nil"/>
              <w:left w:val="nil"/>
              <w:bottom w:val="single" w:sz="4" w:space="0" w:color="auto"/>
              <w:right w:val="single" w:sz="4" w:space="0" w:color="auto"/>
            </w:tcBorders>
            <w:shd w:val="clear" w:color="auto" w:fill="auto"/>
            <w:noWrap/>
            <w:vAlign w:val="bottom"/>
            <w:hideMark/>
          </w:tcPr>
          <w:p w14:paraId="63273AAF"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ESS+</w:t>
            </w:r>
          </w:p>
        </w:tc>
        <w:tc>
          <w:tcPr>
            <w:tcW w:w="1330" w:type="dxa"/>
            <w:tcBorders>
              <w:top w:val="nil"/>
              <w:left w:val="nil"/>
              <w:bottom w:val="single" w:sz="4" w:space="0" w:color="auto"/>
              <w:right w:val="single" w:sz="4" w:space="0" w:color="auto"/>
            </w:tcBorders>
            <w:shd w:val="clear" w:color="auto" w:fill="auto"/>
            <w:noWrap/>
            <w:vAlign w:val="bottom"/>
            <w:hideMark/>
          </w:tcPr>
          <w:p w14:paraId="73032CE7"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Vzhod</w:t>
            </w:r>
          </w:p>
        </w:tc>
        <w:tc>
          <w:tcPr>
            <w:tcW w:w="1747" w:type="dxa"/>
            <w:tcBorders>
              <w:top w:val="nil"/>
              <w:left w:val="nil"/>
              <w:bottom w:val="single" w:sz="4" w:space="0" w:color="auto"/>
              <w:right w:val="single" w:sz="4" w:space="0" w:color="auto"/>
            </w:tcBorders>
            <w:shd w:val="clear" w:color="auto" w:fill="auto"/>
            <w:noWrap/>
            <w:vAlign w:val="bottom"/>
            <w:hideMark/>
          </w:tcPr>
          <w:p w14:paraId="5BDE983F" w14:textId="77777777" w:rsidR="00105179" w:rsidRPr="00AB429E" w:rsidRDefault="00105179" w:rsidP="00105179">
            <w:pPr>
              <w:suppressAutoHyphens w:val="0"/>
              <w:autoSpaceDN/>
              <w:spacing w:after="0" w:line="240" w:lineRule="auto"/>
              <w:jc w:val="right"/>
              <w:rPr>
                <w:rFonts w:cs="Arial"/>
                <w:sz w:val="18"/>
                <w:szCs w:val="18"/>
              </w:rPr>
            </w:pPr>
            <w:r w:rsidRPr="00AB429E">
              <w:rPr>
                <w:rFonts w:cs="Arial"/>
                <w:sz w:val="18"/>
                <w:szCs w:val="18"/>
              </w:rPr>
              <w:t>17.640.000</w:t>
            </w:r>
          </w:p>
        </w:tc>
        <w:tc>
          <w:tcPr>
            <w:tcW w:w="2268" w:type="dxa"/>
            <w:tcBorders>
              <w:top w:val="nil"/>
              <w:left w:val="nil"/>
              <w:bottom w:val="single" w:sz="4" w:space="0" w:color="auto"/>
              <w:right w:val="single" w:sz="4" w:space="0" w:color="auto"/>
            </w:tcBorders>
            <w:shd w:val="clear" w:color="auto" w:fill="auto"/>
            <w:noWrap/>
            <w:vAlign w:val="bottom"/>
            <w:hideMark/>
          </w:tcPr>
          <w:p w14:paraId="05838C52"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17.187.000</w:t>
            </w:r>
          </w:p>
        </w:tc>
        <w:tc>
          <w:tcPr>
            <w:tcW w:w="1276" w:type="dxa"/>
            <w:tcBorders>
              <w:top w:val="nil"/>
              <w:left w:val="nil"/>
              <w:bottom w:val="single" w:sz="4" w:space="0" w:color="auto"/>
              <w:right w:val="single" w:sz="4" w:space="0" w:color="auto"/>
            </w:tcBorders>
            <w:shd w:val="clear" w:color="auto" w:fill="auto"/>
            <w:noWrap/>
            <w:vAlign w:val="bottom"/>
            <w:hideMark/>
          </w:tcPr>
          <w:p w14:paraId="22AADAB1"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97%</w:t>
            </w:r>
          </w:p>
        </w:tc>
        <w:tc>
          <w:tcPr>
            <w:tcW w:w="1984" w:type="dxa"/>
            <w:tcBorders>
              <w:top w:val="nil"/>
              <w:left w:val="nil"/>
              <w:bottom w:val="single" w:sz="4" w:space="0" w:color="auto"/>
              <w:right w:val="single" w:sz="4" w:space="0" w:color="auto"/>
            </w:tcBorders>
            <w:shd w:val="clear" w:color="auto" w:fill="auto"/>
            <w:noWrap/>
            <w:vAlign w:val="bottom"/>
            <w:hideMark/>
          </w:tcPr>
          <w:p w14:paraId="0F9474EC"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17.187.000</w:t>
            </w:r>
          </w:p>
        </w:tc>
        <w:tc>
          <w:tcPr>
            <w:tcW w:w="993" w:type="dxa"/>
            <w:tcBorders>
              <w:top w:val="nil"/>
              <w:left w:val="nil"/>
              <w:bottom w:val="single" w:sz="4" w:space="0" w:color="auto"/>
              <w:right w:val="single" w:sz="4" w:space="0" w:color="auto"/>
            </w:tcBorders>
            <w:shd w:val="clear" w:color="auto" w:fill="auto"/>
            <w:noWrap/>
            <w:vAlign w:val="bottom"/>
            <w:hideMark/>
          </w:tcPr>
          <w:p w14:paraId="4D563330"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97%</w:t>
            </w:r>
          </w:p>
        </w:tc>
        <w:tc>
          <w:tcPr>
            <w:tcW w:w="1984" w:type="dxa"/>
            <w:tcBorders>
              <w:top w:val="nil"/>
              <w:left w:val="nil"/>
              <w:bottom w:val="single" w:sz="4" w:space="0" w:color="auto"/>
              <w:right w:val="single" w:sz="4" w:space="0" w:color="auto"/>
            </w:tcBorders>
            <w:shd w:val="clear" w:color="auto" w:fill="auto"/>
            <w:noWrap/>
            <w:vAlign w:val="bottom"/>
            <w:hideMark/>
          </w:tcPr>
          <w:p w14:paraId="7EF68DC7"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886.484</w:t>
            </w:r>
          </w:p>
        </w:tc>
        <w:tc>
          <w:tcPr>
            <w:tcW w:w="709" w:type="dxa"/>
            <w:tcBorders>
              <w:top w:val="nil"/>
              <w:left w:val="nil"/>
              <w:bottom w:val="single" w:sz="4" w:space="0" w:color="auto"/>
              <w:right w:val="single" w:sz="4" w:space="0" w:color="auto"/>
            </w:tcBorders>
            <w:shd w:val="clear" w:color="auto" w:fill="auto"/>
            <w:noWrap/>
            <w:vAlign w:val="bottom"/>
            <w:hideMark/>
          </w:tcPr>
          <w:p w14:paraId="53AA0739"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5%</w:t>
            </w:r>
          </w:p>
        </w:tc>
      </w:tr>
      <w:tr w:rsidR="00105179" w:rsidRPr="0050269E" w14:paraId="31C3BE86" w14:textId="77777777" w:rsidTr="00A7284C">
        <w:trPr>
          <w:trHeight w:val="299"/>
          <w:jc w:val="center"/>
        </w:trPr>
        <w:tc>
          <w:tcPr>
            <w:tcW w:w="910" w:type="dxa"/>
            <w:tcBorders>
              <w:top w:val="nil"/>
              <w:left w:val="single" w:sz="4" w:space="0" w:color="auto"/>
              <w:bottom w:val="single" w:sz="4" w:space="0" w:color="auto"/>
              <w:right w:val="single" w:sz="4" w:space="0" w:color="auto"/>
            </w:tcBorders>
            <w:shd w:val="clear" w:color="auto" w:fill="auto"/>
            <w:noWrap/>
            <w:vAlign w:val="bottom"/>
            <w:hideMark/>
          </w:tcPr>
          <w:p w14:paraId="11ED8291"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6</w:t>
            </w:r>
          </w:p>
        </w:tc>
        <w:tc>
          <w:tcPr>
            <w:tcW w:w="910" w:type="dxa"/>
            <w:tcBorders>
              <w:top w:val="nil"/>
              <w:left w:val="nil"/>
              <w:bottom w:val="single" w:sz="4" w:space="0" w:color="auto"/>
              <w:right w:val="single" w:sz="4" w:space="0" w:color="auto"/>
            </w:tcBorders>
            <w:shd w:val="clear" w:color="auto" w:fill="auto"/>
            <w:noWrap/>
            <w:vAlign w:val="bottom"/>
            <w:hideMark/>
          </w:tcPr>
          <w:p w14:paraId="5FB6A54D"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ESO 4.2</w:t>
            </w:r>
          </w:p>
        </w:tc>
        <w:tc>
          <w:tcPr>
            <w:tcW w:w="910" w:type="dxa"/>
            <w:tcBorders>
              <w:top w:val="nil"/>
              <w:left w:val="nil"/>
              <w:bottom w:val="single" w:sz="4" w:space="0" w:color="auto"/>
              <w:right w:val="single" w:sz="4" w:space="0" w:color="auto"/>
            </w:tcBorders>
            <w:shd w:val="clear" w:color="auto" w:fill="auto"/>
            <w:noWrap/>
            <w:vAlign w:val="bottom"/>
            <w:hideMark/>
          </w:tcPr>
          <w:p w14:paraId="7CF076C0"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ESS+</w:t>
            </w:r>
          </w:p>
        </w:tc>
        <w:tc>
          <w:tcPr>
            <w:tcW w:w="1330" w:type="dxa"/>
            <w:tcBorders>
              <w:top w:val="nil"/>
              <w:left w:val="nil"/>
              <w:bottom w:val="single" w:sz="4" w:space="0" w:color="auto"/>
              <w:right w:val="single" w:sz="4" w:space="0" w:color="auto"/>
            </w:tcBorders>
            <w:shd w:val="clear" w:color="auto" w:fill="auto"/>
            <w:noWrap/>
            <w:vAlign w:val="bottom"/>
            <w:hideMark/>
          </w:tcPr>
          <w:p w14:paraId="3008A6A7"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Zahod</w:t>
            </w:r>
          </w:p>
        </w:tc>
        <w:tc>
          <w:tcPr>
            <w:tcW w:w="1747" w:type="dxa"/>
            <w:tcBorders>
              <w:top w:val="nil"/>
              <w:left w:val="nil"/>
              <w:bottom w:val="single" w:sz="4" w:space="0" w:color="auto"/>
              <w:right w:val="single" w:sz="4" w:space="0" w:color="auto"/>
            </w:tcBorders>
            <w:shd w:val="clear" w:color="auto" w:fill="auto"/>
            <w:noWrap/>
            <w:vAlign w:val="bottom"/>
            <w:hideMark/>
          </w:tcPr>
          <w:p w14:paraId="56EE14BB" w14:textId="77777777" w:rsidR="00105179" w:rsidRPr="00AB429E" w:rsidRDefault="00105179" w:rsidP="00105179">
            <w:pPr>
              <w:suppressAutoHyphens w:val="0"/>
              <w:autoSpaceDN/>
              <w:spacing w:after="0" w:line="240" w:lineRule="auto"/>
              <w:jc w:val="right"/>
              <w:rPr>
                <w:rFonts w:cs="Arial"/>
                <w:sz w:val="18"/>
                <w:szCs w:val="18"/>
              </w:rPr>
            </w:pPr>
            <w:r w:rsidRPr="00AB429E">
              <w:rPr>
                <w:rFonts w:cs="Arial"/>
                <w:sz w:val="18"/>
                <w:szCs w:val="18"/>
              </w:rPr>
              <w:t>6.370.000</w:t>
            </w:r>
          </w:p>
        </w:tc>
        <w:tc>
          <w:tcPr>
            <w:tcW w:w="2268" w:type="dxa"/>
            <w:tcBorders>
              <w:top w:val="nil"/>
              <w:left w:val="nil"/>
              <w:bottom w:val="single" w:sz="4" w:space="0" w:color="auto"/>
              <w:right w:val="single" w:sz="4" w:space="0" w:color="auto"/>
            </w:tcBorders>
            <w:shd w:val="clear" w:color="auto" w:fill="auto"/>
            <w:noWrap/>
            <w:vAlign w:val="bottom"/>
            <w:hideMark/>
          </w:tcPr>
          <w:p w14:paraId="069E2F64"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6.192.000</w:t>
            </w:r>
          </w:p>
        </w:tc>
        <w:tc>
          <w:tcPr>
            <w:tcW w:w="1276" w:type="dxa"/>
            <w:tcBorders>
              <w:top w:val="nil"/>
              <w:left w:val="nil"/>
              <w:bottom w:val="single" w:sz="4" w:space="0" w:color="auto"/>
              <w:right w:val="single" w:sz="4" w:space="0" w:color="auto"/>
            </w:tcBorders>
            <w:shd w:val="clear" w:color="auto" w:fill="auto"/>
            <w:noWrap/>
            <w:vAlign w:val="bottom"/>
            <w:hideMark/>
          </w:tcPr>
          <w:p w14:paraId="7D8CC08D"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97%</w:t>
            </w:r>
          </w:p>
        </w:tc>
        <w:tc>
          <w:tcPr>
            <w:tcW w:w="1984" w:type="dxa"/>
            <w:tcBorders>
              <w:top w:val="nil"/>
              <w:left w:val="nil"/>
              <w:bottom w:val="single" w:sz="4" w:space="0" w:color="auto"/>
              <w:right w:val="single" w:sz="4" w:space="0" w:color="auto"/>
            </w:tcBorders>
            <w:shd w:val="clear" w:color="auto" w:fill="auto"/>
            <w:noWrap/>
            <w:vAlign w:val="bottom"/>
            <w:hideMark/>
          </w:tcPr>
          <w:p w14:paraId="1BC3EE64"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6.192.000</w:t>
            </w:r>
          </w:p>
        </w:tc>
        <w:tc>
          <w:tcPr>
            <w:tcW w:w="993" w:type="dxa"/>
            <w:tcBorders>
              <w:top w:val="nil"/>
              <w:left w:val="nil"/>
              <w:bottom w:val="single" w:sz="4" w:space="0" w:color="auto"/>
              <w:right w:val="single" w:sz="4" w:space="0" w:color="auto"/>
            </w:tcBorders>
            <w:shd w:val="clear" w:color="auto" w:fill="auto"/>
            <w:noWrap/>
            <w:vAlign w:val="bottom"/>
            <w:hideMark/>
          </w:tcPr>
          <w:p w14:paraId="469D2DE5"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97%</w:t>
            </w:r>
          </w:p>
        </w:tc>
        <w:tc>
          <w:tcPr>
            <w:tcW w:w="1984" w:type="dxa"/>
            <w:tcBorders>
              <w:top w:val="nil"/>
              <w:left w:val="nil"/>
              <w:bottom w:val="single" w:sz="4" w:space="0" w:color="auto"/>
              <w:right w:val="single" w:sz="4" w:space="0" w:color="auto"/>
            </w:tcBorders>
            <w:shd w:val="clear" w:color="auto" w:fill="auto"/>
            <w:noWrap/>
            <w:vAlign w:val="bottom"/>
            <w:hideMark/>
          </w:tcPr>
          <w:p w14:paraId="16F6938B"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253.410</w:t>
            </w:r>
          </w:p>
        </w:tc>
        <w:tc>
          <w:tcPr>
            <w:tcW w:w="709" w:type="dxa"/>
            <w:tcBorders>
              <w:top w:val="nil"/>
              <w:left w:val="nil"/>
              <w:bottom w:val="single" w:sz="4" w:space="0" w:color="auto"/>
              <w:right w:val="single" w:sz="4" w:space="0" w:color="auto"/>
            </w:tcBorders>
            <w:shd w:val="clear" w:color="auto" w:fill="auto"/>
            <w:noWrap/>
            <w:vAlign w:val="bottom"/>
            <w:hideMark/>
          </w:tcPr>
          <w:p w14:paraId="0C86FDD0"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4%</w:t>
            </w:r>
          </w:p>
        </w:tc>
      </w:tr>
      <w:tr w:rsidR="00105179" w:rsidRPr="0050269E" w14:paraId="0024D343" w14:textId="77777777" w:rsidTr="00A7284C">
        <w:trPr>
          <w:trHeight w:val="299"/>
          <w:jc w:val="center"/>
        </w:trPr>
        <w:tc>
          <w:tcPr>
            <w:tcW w:w="910" w:type="dxa"/>
            <w:tcBorders>
              <w:top w:val="nil"/>
              <w:left w:val="single" w:sz="4" w:space="0" w:color="auto"/>
              <w:bottom w:val="single" w:sz="4" w:space="0" w:color="auto"/>
              <w:right w:val="single" w:sz="4" w:space="0" w:color="auto"/>
            </w:tcBorders>
            <w:shd w:val="clear" w:color="auto" w:fill="auto"/>
            <w:noWrap/>
            <w:vAlign w:val="bottom"/>
            <w:hideMark/>
          </w:tcPr>
          <w:p w14:paraId="3D70E9BB"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6</w:t>
            </w:r>
          </w:p>
        </w:tc>
        <w:tc>
          <w:tcPr>
            <w:tcW w:w="910" w:type="dxa"/>
            <w:tcBorders>
              <w:top w:val="nil"/>
              <w:left w:val="nil"/>
              <w:bottom w:val="single" w:sz="4" w:space="0" w:color="auto"/>
              <w:right w:val="single" w:sz="4" w:space="0" w:color="auto"/>
            </w:tcBorders>
            <w:shd w:val="clear" w:color="auto" w:fill="auto"/>
            <w:noWrap/>
            <w:vAlign w:val="bottom"/>
            <w:hideMark/>
          </w:tcPr>
          <w:p w14:paraId="2FC3769D"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ESO 4.4</w:t>
            </w:r>
          </w:p>
        </w:tc>
        <w:tc>
          <w:tcPr>
            <w:tcW w:w="910" w:type="dxa"/>
            <w:tcBorders>
              <w:top w:val="nil"/>
              <w:left w:val="nil"/>
              <w:bottom w:val="single" w:sz="4" w:space="0" w:color="auto"/>
              <w:right w:val="single" w:sz="4" w:space="0" w:color="auto"/>
            </w:tcBorders>
            <w:shd w:val="clear" w:color="auto" w:fill="auto"/>
            <w:noWrap/>
            <w:vAlign w:val="bottom"/>
            <w:hideMark/>
          </w:tcPr>
          <w:p w14:paraId="78AA2A0A"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ESS+</w:t>
            </w:r>
          </w:p>
        </w:tc>
        <w:tc>
          <w:tcPr>
            <w:tcW w:w="1330" w:type="dxa"/>
            <w:tcBorders>
              <w:top w:val="nil"/>
              <w:left w:val="nil"/>
              <w:bottom w:val="single" w:sz="4" w:space="0" w:color="auto"/>
              <w:right w:val="single" w:sz="4" w:space="0" w:color="auto"/>
            </w:tcBorders>
            <w:shd w:val="clear" w:color="auto" w:fill="auto"/>
            <w:noWrap/>
            <w:vAlign w:val="bottom"/>
            <w:hideMark/>
          </w:tcPr>
          <w:p w14:paraId="331BCD00"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Vzhod</w:t>
            </w:r>
          </w:p>
        </w:tc>
        <w:tc>
          <w:tcPr>
            <w:tcW w:w="1747" w:type="dxa"/>
            <w:tcBorders>
              <w:top w:val="nil"/>
              <w:left w:val="nil"/>
              <w:bottom w:val="single" w:sz="4" w:space="0" w:color="auto"/>
              <w:right w:val="single" w:sz="4" w:space="0" w:color="auto"/>
            </w:tcBorders>
            <w:shd w:val="clear" w:color="auto" w:fill="auto"/>
            <w:noWrap/>
            <w:vAlign w:val="bottom"/>
            <w:hideMark/>
          </w:tcPr>
          <w:p w14:paraId="4C944D25" w14:textId="77777777" w:rsidR="00105179" w:rsidRPr="00AB429E" w:rsidRDefault="00105179" w:rsidP="00105179">
            <w:pPr>
              <w:suppressAutoHyphens w:val="0"/>
              <w:autoSpaceDN/>
              <w:spacing w:after="0" w:line="240" w:lineRule="auto"/>
              <w:jc w:val="right"/>
              <w:rPr>
                <w:rFonts w:cs="Arial"/>
                <w:sz w:val="18"/>
                <w:szCs w:val="18"/>
              </w:rPr>
            </w:pPr>
            <w:r w:rsidRPr="00AB429E">
              <w:rPr>
                <w:rFonts w:cs="Arial"/>
                <w:sz w:val="18"/>
                <w:szCs w:val="18"/>
              </w:rPr>
              <w:t>23.692.000</w:t>
            </w:r>
          </w:p>
        </w:tc>
        <w:tc>
          <w:tcPr>
            <w:tcW w:w="2268" w:type="dxa"/>
            <w:tcBorders>
              <w:top w:val="nil"/>
              <w:left w:val="nil"/>
              <w:bottom w:val="single" w:sz="4" w:space="0" w:color="auto"/>
              <w:right w:val="single" w:sz="4" w:space="0" w:color="auto"/>
            </w:tcBorders>
            <w:shd w:val="clear" w:color="auto" w:fill="auto"/>
            <w:noWrap/>
            <w:vAlign w:val="bottom"/>
            <w:hideMark/>
          </w:tcPr>
          <w:p w14:paraId="70605D9A"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10.418.100</w:t>
            </w:r>
          </w:p>
        </w:tc>
        <w:tc>
          <w:tcPr>
            <w:tcW w:w="1276" w:type="dxa"/>
            <w:tcBorders>
              <w:top w:val="nil"/>
              <w:left w:val="nil"/>
              <w:bottom w:val="single" w:sz="4" w:space="0" w:color="auto"/>
              <w:right w:val="single" w:sz="4" w:space="0" w:color="auto"/>
            </w:tcBorders>
            <w:shd w:val="clear" w:color="auto" w:fill="auto"/>
            <w:noWrap/>
            <w:vAlign w:val="bottom"/>
            <w:hideMark/>
          </w:tcPr>
          <w:p w14:paraId="3BF3E2FE"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44%</w:t>
            </w:r>
          </w:p>
        </w:tc>
        <w:tc>
          <w:tcPr>
            <w:tcW w:w="1984" w:type="dxa"/>
            <w:tcBorders>
              <w:top w:val="nil"/>
              <w:left w:val="nil"/>
              <w:bottom w:val="single" w:sz="4" w:space="0" w:color="auto"/>
              <w:right w:val="single" w:sz="4" w:space="0" w:color="auto"/>
            </w:tcBorders>
            <w:shd w:val="clear" w:color="auto" w:fill="auto"/>
            <w:noWrap/>
            <w:vAlign w:val="bottom"/>
            <w:hideMark/>
          </w:tcPr>
          <w:p w14:paraId="16580278"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10.418.100</w:t>
            </w:r>
          </w:p>
        </w:tc>
        <w:tc>
          <w:tcPr>
            <w:tcW w:w="993" w:type="dxa"/>
            <w:tcBorders>
              <w:top w:val="nil"/>
              <w:left w:val="nil"/>
              <w:bottom w:val="single" w:sz="4" w:space="0" w:color="auto"/>
              <w:right w:val="single" w:sz="4" w:space="0" w:color="auto"/>
            </w:tcBorders>
            <w:shd w:val="clear" w:color="auto" w:fill="auto"/>
            <w:noWrap/>
            <w:vAlign w:val="bottom"/>
            <w:hideMark/>
          </w:tcPr>
          <w:p w14:paraId="4963610D"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44%</w:t>
            </w:r>
          </w:p>
        </w:tc>
        <w:tc>
          <w:tcPr>
            <w:tcW w:w="1984" w:type="dxa"/>
            <w:tcBorders>
              <w:top w:val="nil"/>
              <w:left w:val="nil"/>
              <w:bottom w:val="single" w:sz="4" w:space="0" w:color="auto"/>
              <w:right w:val="single" w:sz="4" w:space="0" w:color="auto"/>
            </w:tcBorders>
            <w:shd w:val="clear" w:color="auto" w:fill="auto"/>
            <w:noWrap/>
            <w:vAlign w:val="bottom"/>
            <w:hideMark/>
          </w:tcPr>
          <w:p w14:paraId="048F170D"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709" w:type="dxa"/>
            <w:tcBorders>
              <w:top w:val="nil"/>
              <w:left w:val="nil"/>
              <w:bottom w:val="single" w:sz="4" w:space="0" w:color="auto"/>
              <w:right w:val="single" w:sz="4" w:space="0" w:color="auto"/>
            </w:tcBorders>
            <w:shd w:val="clear" w:color="auto" w:fill="auto"/>
            <w:noWrap/>
            <w:vAlign w:val="bottom"/>
            <w:hideMark/>
          </w:tcPr>
          <w:p w14:paraId="007413B6"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r>
      <w:tr w:rsidR="00105179" w:rsidRPr="0050269E" w14:paraId="42DF61D6" w14:textId="77777777" w:rsidTr="00A7284C">
        <w:trPr>
          <w:trHeight w:val="299"/>
          <w:jc w:val="center"/>
        </w:trPr>
        <w:tc>
          <w:tcPr>
            <w:tcW w:w="910" w:type="dxa"/>
            <w:tcBorders>
              <w:top w:val="nil"/>
              <w:left w:val="single" w:sz="4" w:space="0" w:color="auto"/>
              <w:bottom w:val="single" w:sz="4" w:space="0" w:color="auto"/>
              <w:right w:val="single" w:sz="4" w:space="0" w:color="auto"/>
            </w:tcBorders>
            <w:shd w:val="clear" w:color="auto" w:fill="auto"/>
            <w:noWrap/>
            <w:vAlign w:val="bottom"/>
            <w:hideMark/>
          </w:tcPr>
          <w:p w14:paraId="1FC94FEA"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6</w:t>
            </w:r>
          </w:p>
        </w:tc>
        <w:tc>
          <w:tcPr>
            <w:tcW w:w="910" w:type="dxa"/>
            <w:tcBorders>
              <w:top w:val="nil"/>
              <w:left w:val="nil"/>
              <w:bottom w:val="single" w:sz="4" w:space="0" w:color="auto"/>
              <w:right w:val="single" w:sz="4" w:space="0" w:color="auto"/>
            </w:tcBorders>
            <w:shd w:val="clear" w:color="auto" w:fill="auto"/>
            <w:noWrap/>
            <w:vAlign w:val="bottom"/>
            <w:hideMark/>
          </w:tcPr>
          <w:p w14:paraId="090B872F"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ESO 4.4</w:t>
            </w:r>
          </w:p>
        </w:tc>
        <w:tc>
          <w:tcPr>
            <w:tcW w:w="910" w:type="dxa"/>
            <w:tcBorders>
              <w:top w:val="nil"/>
              <w:left w:val="nil"/>
              <w:bottom w:val="single" w:sz="4" w:space="0" w:color="auto"/>
              <w:right w:val="single" w:sz="4" w:space="0" w:color="auto"/>
            </w:tcBorders>
            <w:shd w:val="clear" w:color="auto" w:fill="auto"/>
            <w:noWrap/>
            <w:vAlign w:val="bottom"/>
            <w:hideMark/>
          </w:tcPr>
          <w:p w14:paraId="1A4DC282"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ESS+</w:t>
            </w:r>
          </w:p>
        </w:tc>
        <w:tc>
          <w:tcPr>
            <w:tcW w:w="1330" w:type="dxa"/>
            <w:tcBorders>
              <w:top w:val="nil"/>
              <w:left w:val="nil"/>
              <w:bottom w:val="single" w:sz="4" w:space="0" w:color="auto"/>
              <w:right w:val="single" w:sz="4" w:space="0" w:color="auto"/>
            </w:tcBorders>
            <w:shd w:val="clear" w:color="auto" w:fill="auto"/>
            <w:noWrap/>
            <w:vAlign w:val="bottom"/>
            <w:hideMark/>
          </w:tcPr>
          <w:p w14:paraId="342BC40D"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Zahod</w:t>
            </w:r>
          </w:p>
        </w:tc>
        <w:tc>
          <w:tcPr>
            <w:tcW w:w="1747" w:type="dxa"/>
            <w:tcBorders>
              <w:top w:val="nil"/>
              <w:left w:val="nil"/>
              <w:bottom w:val="single" w:sz="4" w:space="0" w:color="auto"/>
              <w:right w:val="single" w:sz="4" w:space="0" w:color="auto"/>
            </w:tcBorders>
            <w:shd w:val="clear" w:color="auto" w:fill="auto"/>
            <w:noWrap/>
            <w:vAlign w:val="bottom"/>
            <w:hideMark/>
          </w:tcPr>
          <w:p w14:paraId="0E0D03DD" w14:textId="77777777" w:rsidR="00105179" w:rsidRPr="00AB429E" w:rsidRDefault="00105179" w:rsidP="00105179">
            <w:pPr>
              <w:suppressAutoHyphens w:val="0"/>
              <w:autoSpaceDN/>
              <w:spacing w:after="0" w:line="240" w:lineRule="auto"/>
              <w:jc w:val="right"/>
              <w:rPr>
                <w:rFonts w:cs="Arial"/>
                <w:sz w:val="18"/>
                <w:szCs w:val="18"/>
              </w:rPr>
            </w:pPr>
            <w:r w:rsidRPr="00AB429E">
              <w:rPr>
                <w:rFonts w:cs="Arial"/>
                <w:sz w:val="18"/>
                <w:szCs w:val="18"/>
              </w:rPr>
              <w:t>7.550.000</w:t>
            </w:r>
          </w:p>
        </w:tc>
        <w:tc>
          <w:tcPr>
            <w:tcW w:w="2268" w:type="dxa"/>
            <w:tcBorders>
              <w:top w:val="nil"/>
              <w:left w:val="nil"/>
              <w:bottom w:val="single" w:sz="4" w:space="0" w:color="auto"/>
              <w:right w:val="single" w:sz="4" w:space="0" w:color="auto"/>
            </w:tcBorders>
            <w:shd w:val="clear" w:color="auto" w:fill="auto"/>
            <w:noWrap/>
            <w:vAlign w:val="bottom"/>
            <w:hideMark/>
          </w:tcPr>
          <w:p w14:paraId="2459E04C"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2.525.600</w:t>
            </w:r>
          </w:p>
        </w:tc>
        <w:tc>
          <w:tcPr>
            <w:tcW w:w="1276" w:type="dxa"/>
            <w:tcBorders>
              <w:top w:val="nil"/>
              <w:left w:val="nil"/>
              <w:bottom w:val="single" w:sz="4" w:space="0" w:color="auto"/>
              <w:right w:val="single" w:sz="4" w:space="0" w:color="auto"/>
            </w:tcBorders>
            <w:shd w:val="clear" w:color="auto" w:fill="auto"/>
            <w:noWrap/>
            <w:vAlign w:val="bottom"/>
            <w:hideMark/>
          </w:tcPr>
          <w:p w14:paraId="26FE8121"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33%</w:t>
            </w:r>
          </w:p>
        </w:tc>
        <w:tc>
          <w:tcPr>
            <w:tcW w:w="1984" w:type="dxa"/>
            <w:tcBorders>
              <w:top w:val="nil"/>
              <w:left w:val="nil"/>
              <w:bottom w:val="single" w:sz="4" w:space="0" w:color="auto"/>
              <w:right w:val="single" w:sz="4" w:space="0" w:color="auto"/>
            </w:tcBorders>
            <w:shd w:val="clear" w:color="auto" w:fill="auto"/>
            <w:noWrap/>
            <w:vAlign w:val="bottom"/>
            <w:hideMark/>
          </w:tcPr>
          <w:p w14:paraId="0CAC8756"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2.525.600</w:t>
            </w:r>
          </w:p>
        </w:tc>
        <w:tc>
          <w:tcPr>
            <w:tcW w:w="993" w:type="dxa"/>
            <w:tcBorders>
              <w:top w:val="nil"/>
              <w:left w:val="nil"/>
              <w:bottom w:val="single" w:sz="4" w:space="0" w:color="auto"/>
              <w:right w:val="single" w:sz="4" w:space="0" w:color="auto"/>
            </w:tcBorders>
            <w:shd w:val="clear" w:color="auto" w:fill="auto"/>
            <w:noWrap/>
            <w:vAlign w:val="bottom"/>
            <w:hideMark/>
          </w:tcPr>
          <w:p w14:paraId="51D0B87F"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33%</w:t>
            </w:r>
          </w:p>
        </w:tc>
        <w:tc>
          <w:tcPr>
            <w:tcW w:w="1984" w:type="dxa"/>
            <w:tcBorders>
              <w:top w:val="nil"/>
              <w:left w:val="nil"/>
              <w:bottom w:val="single" w:sz="4" w:space="0" w:color="auto"/>
              <w:right w:val="single" w:sz="4" w:space="0" w:color="auto"/>
            </w:tcBorders>
            <w:shd w:val="clear" w:color="auto" w:fill="auto"/>
            <w:noWrap/>
            <w:vAlign w:val="bottom"/>
            <w:hideMark/>
          </w:tcPr>
          <w:p w14:paraId="4F42BA33"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709" w:type="dxa"/>
            <w:tcBorders>
              <w:top w:val="nil"/>
              <w:left w:val="nil"/>
              <w:bottom w:val="single" w:sz="4" w:space="0" w:color="auto"/>
              <w:right w:val="single" w:sz="4" w:space="0" w:color="auto"/>
            </w:tcBorders>
            <w:shd w:val="clear" w:color="auto" w:fill="auto"/>
            <w:noWrap/>
            <w:vAlign w:val="bottom"/>
            <w:hideMark/>
          </w:tcPr>
          <w:p w14:paraId="4DEE1D1B"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r>
      <w:tr w:rsidR="00105179" w:rsidRPr="0050269E" w14:paraId="63A7D375" w14:textId="77777777" w:rsidTr="00A7284C">
        <w:trPr>
          <w:trHeight w:val="299"/>
          <w:jc w:val="center"/>
        </w:trPr>
        <w:tc>
          <w:tcPr>
            <w:tcW w:w="910" w:type="dxa"/>
            <w:tcBorders>
              <w:top w:val="nil"/>
              <w:left w:val="single" w:sz="4" w:space="0" w:color="auto"/>
              <w:bottom w:val="single" w:sz="4" w:space="0" w:color="auto"/>
              <w:right w:val="single" w:sz="4" w:space="0" w:color="auto"/>
            </w:tcBorders>
            <w:shd w:val="clear" w:color="auto" w:fill="auto"/>
            <w:noWrap/>
            <w:vAlign w:val="bottom"/>
            <w:hideMark/>
          </w:tcPr>
          <w:p w14:paraId="0EB91E18"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6</w:t>
            </w:r>
          </w:p>
        </w:tc>
        <w:tc>
          <w:tcPr>
            <w:tcW w:w="910" w:type="dxa"/>
            <w:tcBorders>
              <w:top w:val="nil"/>
              <w:left w:val="nil"/>
              <w:bottom w:val="single" w:sz="4" w:space="0" w:color="auto"/>
              <w:right w:val="single" w:sz="4" w:space="0" w:color="auto"/>
            </w:tcBorders>
            <w:shd w:val="clear" w:color="auto" w:fill="auto"/>
            <w:noWrap/>
            <w:vAlign w:val="bottom"/>
            <w:hideMark/>
          </w:tcPr>
          <w:p w14:paraId="6EC43FE7"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ESO 4.5</w:t>
            </w:r>
          </w:p>
        </w:tc>
        <w:tc>
          <w:tcPr>
            <w:tcW w:w="910" w:type="dxa"/>
            <w:tcBorders>
              <w:top w:val="nil"/>
              <w:left w:val="nil"/>
              <w:bottom w:val="single" w:sz="4" w:space="0" w:color="auto"/>
              <w:right w:val="single" w:sz="4" w:space="0" w:color="auto"/>
            </w:tcBorders>
            <w:shd w:val="clear" w:color="auto" w:fill="auto"/>
            <w:noWrap/>
            <w:vAlign w:val="bottom"/>
            <w:hideMark/>
          </w:tcPr>
          <w:p w14:paraId="79D4822B"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ESS+</w:t>
            </w:r>
          </w:p>
        </w:tc>
        <w:tc>
          <w:tcPr>
            <w:tcW w:w="1330" w:type="dxa"/>
            <w:tcBorders>
              <w:top w:val="nil"/>
              <w:left w:val="nil"/>
              <w:bottom w:val="single" w:sz="4" w:space="0" w:color="auto"/>
              <w:right w:val="single" w:sz="4" w:space="0" w:color="auto"/>
            </w:tcBorders>
            <w:shd w:val="clear" w:color="auto" w:fill="auto"/>
            <w:noWrap/>
            <w:vAlign w:val="bottom"/>
            <w:hideMark/>
          </w:tcPr>
          <w:p w14:paraId="68929232"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Vzhod</w:t>
            </w:r>
          </w:p>
        </w:tc>
        <w:tc>
          <w:tcPr>
            <w:tcW w:w="1747" w:type="dxa"/>
            <w:tcBorders>
              <w:top w:val="nil"/>
              <w:left w:val="nil"/>
              <w:bottom w:val="single" w:sz="4" w:space="0" w:color="auto"/>
              <w:right w:val="single" w:sz="4" w:space="0" w:color="auto"/>
            </w:tcBorders>
            <w:shd w:val="clear" w:color="auto" w:fill="auto"/>
            <w:noWrap/>
            <w:vAlign w:val="bottom"/>
            <w:hideMark/>
          </w:tcPr>
          <w:p w14:paraId="59FF7BA1" w14:textId="77777777" w:rsidR="00105179" w:rsidRPr="00AB429E" w:rsidRDefault="00105179" w:rsidP="00105179">
            <w:pPr>
              <w:suppressAutoHyphens w:val="0"/>
              <w:autoSpaceDN/>
              <w:spacing w:after="0" w:line="240" w:lineRule="auto"/>
              <w:jc w:val="right"/>
              <w:rPr>
                <w:rFonts w:cs="Arial"/>
                <w:sz w:val="18"/>
                <w:szCs w:val="18"/>
              </w:rPr>
            </w:pPr>
            <w:r w:rsidRPr="00AB429E">
              <w:rPr>
                <w:rFonts w:cs="Arial"/>
                <w:sz w:val="18"/>
                <w:szCs w:val="18"/>
              </w:rPr>
              <w:t>95.168.800</w:t>
            </w:r>
          </w:p>
        </w:tc>
        <w:tc>
          <w:tcPr>
            <w:tcW w:w="2268" w:type="dxa"/>
            <w:tcBorders>
              <w:top w:val="nil"/>
              <w:left w:val="nil"/>
              <w:bottom w:val="single" w:sz="4" w:space="0" w:color="auto"/>
              <w:right w:val="single" w:sz="4" w:space="0" w:color="auto"/>
            </w:tcBorders>
            <w:shd w:val="clear" w:color="auto" w:fill="auto"/>
            <w:noWrap/>
            <w:vAlign w:val="bottom"/>
            <w:hideMark/>
          </w:tcPr>
          <w:p w14:paraId="3936A5CE"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8.421.306</w:t>
            </w:r>
          </w:p>
        </w:tc>
        <w:tc>
          <w:tcPr>
            <w:tcW w:w="1276" w:type="dxa"/>
            <w:tcBorders>
              <w:top w:val="nil"/>
              <w:left w:val="nil"/>
              <w:bottom w:val="single" w:sz="4" w:space="0" w:color="auto"/>
              <w:right w:val="single" w:sz="4" w:space="0" w:color="auto"/>
            </w:tcBorders>
            <w:shd w:val="clear" w:color="auto" w:fill="auto"/>
            <w:noWrap/>
            <w:vAlign w:val="bottom"/>
            <w:hideMark/>
          </w:tcPr>
          <w:p w14:paraId="0083B345"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9%</w:t>
            </w:r>
          </w:p>
        </w:tc>
        <w:tc>
          <w:tcPr>
            <w:tcW w:w="1984" w:type="dxa"/>
            <w:tcBorders>
              <w:top w:val="nil"/>
              <w:left w:val="nil"/>
              <w:bottom w:val="single" w:sz="4" w:space="0" w:color="auto"/>
              <w:right w:val="single" w:sz="4" w:space="0" w:color="auto"/>
            </w:tcBorders>
            <w:shd w:val="clear" w:color="auto" w:fill="auto"/>
            <w:noWrap/>
            <w:vAlign w:val="bottom"/>
            <w:hideMark/>
          </w:tcPr>
          <w:p w14:paraId="578112F7"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4.793.270</w:t>
            </w:r>
          </w:p>
        </w:tc>
        <w:tc>
          <w:tcPr>
            <w:tcW w:w="993" w:type="dxa"/>
            <w:tcBorders>
              <w:top w:val="nil"/>
              <w:left w:val="nil"/>
              <w:bottom w:val="single" w:sz="4" w:space="0" w:color="auto"/>
              <w:right w:val="single" w:sz="4" w:space="0" w:color="auto"/>
            </w:tcBorders>
            <w:shd w:val="clear" w:color="auto" w:fill="auto"/>
            <w:noWrap/>
            <w:vAlign w:val="bottom"/>
            <w:hideMark/>
          </w:tcPr>
          <w:p w14:paraId="0DC170B7"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5%</w:t>
            </w:r>
          </w:p>
        </w:tc>
        <w:tc>
          <w:tcPr>
            <w:tcW w:w="1984" w:type="dxa"/>
            <w:tcBorders>
              <w:top w:val="nil"/>
              <w:left w:val="nil"/>
              <w:bottom w:val="single" w:sz="4" w:space="0" w:color="auto"/>
              <w:right w:val="single" w:sz="4" w:space="0" w:color="auto"/>
            </w:tcBorders>
            <w:shd w:val="clear" w:color="auto" w:fill="auto"/>
            <w:noWrap/>
            <w:vAlign w:val="bottom"/>
            <w:hideMark/>
          </w:tcPr>
          <w:p w14:paraId="510DD965"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391.785</w:t>
            </w:r>
          </w:p>
        </w:tc>
        <w:tc>
          <w:tcPr>
            <w:tcW w:w="709" w:type="dxa"/>
            <w:tcBorders>
              <w:top w:val="nil"/>
              <w:left w:val="nil"/>
              <w:bottom w:val="single" w:sz="4" w:space="0" w:color="auto"/>
              <w:right w:val="single" w:sz="4" w:space="0" w:color="auto"/>
            </w:tcBorders>
            <w:shd w:val="clear" w:color="auto" w:fill="auto"/>
            <w:noWrap/>
            <w:vAlign w:val="bottom"/>
            <w:hideMark/>
          </w:tcPr>
          <w:p w14:paraId="1B59EB62"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r>
      <w:tr w:rsidR="00105179" w:rsidRPr="0050269E" w14:paraId="055319AF" w14:textId="77777777" w:rsidTr="00A7284C">
        <w:trPr>
          <w:trHeight w:val="299"/>
          <w:jc w:val="center"/>
        </w:trPr>
        <w:tc>
          <w:tcPr>
            <w:tcW w:w="910" w:type="dxa"/>
            <w:tcBorders>
              <w:top w:val="nil"/>
              <w:left w:val="single" w:sz="4" w:space="0" w:color="auto"/>
              <w:bottom w:val="single" w:sz="4" w:space="0" w:color="auto"/>
              <w:right w:val="single" w:sz="4" w:space="0" w:color="auto"/>
            </w:tcBorders>
            <w:shd w:val="clear" w:color="auto" w:fill="auto"/>
            <w:noWrap/>
            <w:vAlign w:val="bottom"/>
            <w:hideMark/>
          </w:tcPr>
          <w:p w14:paraId="38682CEF"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6</w:t>
            </w:r>
          </w:p>
        </w:tc>
        <w:tc>
          <w:tcPr>
            <w:tcW w:w="910" w:type="dxa"/>
            <w:tcBorders>
              <w:top w:val="nil"/>
              <w:left w:val="nil"/>
              <w:bottom w:val="single" w:sz="4" w:space="0" w:color="auto"/>
              <w:right w:val="single" w:sz="4" w:space="0" w:color="auto"/>
            </w:tcBorders>
            <w:shd w:val="clear" w:color="auto" w:fill="auto"/>
            <w:noWrap/>
            <w:vAlign w:val="bottom"/>
            <w:hideMark/>
          </w:tcPr>
          <w:p w14:paraId="0F90A937"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ESO 4.5</w:t>
            </w:r>
          </w:p>
        </w:tc>
        <w:tc>
          <w:tcPr>
            <w:tcW w:w="910" w:type="dxa"/>
            <w:tcBorders>
              <w:top w:val="nil"/>
              <w:left w:val="nil"/>
              <w:bottom w:val="single" w:sz="4" w:space="0" w:color="auto"/>
              <w:right w:val="single" w:sz="4" w:space="0" w:color="auto"/>
            </w:tcBorders>
            <w:shd w:val="clear" w:color="auto" w:fill="auto"/>
            <w:noWrap/>
            <w:vAlign w:val="bottom"/>
            <w:hideMark/>
          </w:tcPr>
          <w:p w14:paraId="3BB85508"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ESS+</w:t>
            </w:r>
          </w:p>
        </w:tc>
        <w:tc>
          <w:tcPr>
            <w:tcW w:w="1330" w:type="dxa"/>
            <w:tcBorders>
              <w:top w:val="nil"/>
              <w:left w:val="nil"/>
              <w:bottom w:val="single" w:sz="4" w:space="0" w:color="auto"/>
              <w:right w:val="single" w:sz="4" w:space="0" w:color="auto"/>
            </w:tcBorders>
            <w:shd w:val="clear" w:color="auto" w:fill="auto"/>
            <w:noWrap/>
            <w:vAlign w:val="bottom"/>
            <w:hideMark/>
          </w:tcPr>
          <w:p w14:paraId="29A2FAA2"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Zahod</w:t>
            </w:r>
          </w:p>
        </w:tc>
        <w:tc>
          <w:tcPr>
            <w:tcW w:w="1747" w:type="dxa"/>
            <w:tcBorders>
              <w:top w:val="nil"/>
              <w:left w:val="nil"/>
              <w:bottom w:val="single" w:sz="4" w:space="0" w:color="auto"/>
              <w:right w:val="single" w:sz="4" w:space="0" w:color="auto"/>
            </w:tcBorders>
            <w:shd w:val="clear" w:color="auto" w:fill="auto"/>
            <w:noWrap/>
            <w:vAlign w:val="bottom"/>
            <w:hideMark/>
          </w:tcPr>
          <w:p w14:paraId="6C75F3D0" w14:textId="77777777" w:rsidR="00105179" w:rsidRPr="00AB429E" w:rsidRDefault="00105179" w:rsidP="00105179">
            <w:pPr>
              <w:suppressAutoHyphens w:val="0"/>
              <w:autoSpaceDN/>
              <w:spacing w:after="0" w:line="240" w:lineRule="auto"/>
              <w:jc w:val="right"/>
              <w:rPr>
                <w:rFonts w:cs="Arial"/>
                <w:sz w:val="18"/>
                <w:szCs w:val="18"/>
              </w:rPr>
            </w:pPr>
            <w:r w:rsidRPr="00AB429E">
              <w:rPr>
                <w:rFonts w:cs="Arial"/>
                <w:sz w:val="18"/>
                <w:szCs w:val="18"/>
              </w:rPr>
              <w:t>42.265.000</w:t>
            </w:r>
          </w:p>
        </w:tc>
        <w:tc>
          <w:tcPr>
            <w:tcW w:w="2268" w:type="dxa"/>
            <w:tcBorders>
              <w:top w:val="nil"/>
              <w:left w:val="nil"/>
              <w:bottom w:val="single" w:sz="4" w:space="0" w:color="auto"/>
              <w:right w:val="single" w:sz="4" w:space="0" w:color="auto"/>
            </w:tcBorders>
            <w:shd w:val="clear" w:color="auto" w:fill="auto"/>
            <w:noWrap/>
            <w:vAlign w:val="bottom"/>
            <w:hideMark/>
          </w:tcPr>
          <w:p w14:paraId="04176009"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5.991.135</w:t>
            </w:r>
          </w:p>
        </w:tc>
        <w:tc>
          <w:tcPr>
            <w:tcW w:w="1276" w:type="dxa"/>
            <w:tcBorders>
              <w:top w:val="nil"/>
              <w:left w:val="nil"/>
              <w:bottom w:val="single" w:sz="4" w:space="0" w:color="auto"/>
              <w:right w:val="single" w:sz="4" w:space="0" w:color="auto"/>
            </w:tcBorders>
            <w:shd w:val="clear" w:color="auto" w:fill="auto"/>
            <w:noWrap/>
            <w:vAlign w:val="bottom"/>
            <w:hideMark/>
          </w:tcPr>
          <w:p w14:paraId="0FCBFB49"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14%</w:t>
            </w:r>
          </w:p>
        </w:tc>
        <w:tc>
          <w:tcPr>
            <w:tcW w:w="1984" w:type="dxa"/>
            <w:tcBorders>
              <w:top w:val="nil"/>
              <w:left w:val="nil"/>
              <w:bottom w:val="single" w:sz="4" w:space="0" w:color="auto"/>
              <w:right w:val="single" w:sz="4" w:space="0" w:color="auto"/>
            </w:tcBorders>
            <w:shd w:val="clear" w:color="auto" w:fill="auto"/>
            <w:noWrap/>
            <w:vAlign w:val="bottom"/>
            <w:hideMark/>
          </w:tcPr>
          <w:p w14:paraId="1F73D3F9"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2.310.167</w:t>
            </w:r>
          </w:p>
        </w:tc>
        <w:tc>
          <w:tcPr>
            <w:tcW w:w="993" w:type="dxa"/>
            <w:tcBorders>
              <w:top w:val="nil"/>
              <w:left w:val="nil"/>
              <w:bottom w:val="single" w:sz="4" w:space="0" w:color="auto"/>
              <w:right w:val="single" w:sz="4" w:space="0" w:color="auto"/>
            </w:tcBorders>
            <w:shd w:val="clear" w:color="auto" w:fill="auto"/>
            <w:noWrap/>
            <w:vAlign w:val="bottom"/>
            <w:hideMark/>
          </w:tcPr>
          <w:p w14:paraId="3997B0A1"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5%</w:t>
            </w:r>
          </w:p>
        </w:tc>
        <w:tc>
          <w:tcPr>
            <w:tcW w:w="1984" w:type="dxa"/>
            <w:tcBorders>
              <w:top w:val="nil"/>
              <w:left w:val="nil"/>
              <w:bottom w:val="single" w:sz="4" w:space="0" w:color="auto"/>
              <w:right w:val="single" w:sz="4" w:space="0" w:color="auto"/>
            </w:tcBorders>
            <w:shd w:val="clear" w:color="auto" w:fill="auto"/>
            <w:noWrap/>
            <w:vAlign w:val="bottom"/>
            <w:hideMark/>
          </w:tcPr>
          <w:p w14:paraId="0B5FDAAC"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167.274</w:t>
            </w:r>
          </w:p>
        </w:tc>
        <w:tc>
          <w:tcPr>
            <w:tcW w:w="709" w:type="dxa"/>
            <w:tcBorders>
              <w:top w:val="nil"/>
              <w:left w:val="nil"/>
              <w:bottom w:val="single" w:sz="4" w:space="0" w:color="auto"/>
              <w:right w:val="single" w:sz="4" w:space="0" w:color="auto"/>
            </w:tcBorders>
            <w:shd w:val="clear" w:color="auto" w:fill="auto"/>
            <w:noWrap/>
            <w:vAlign w:val="bottom"/>
            <w:hideMark/>
          </w:tcPr>
          <w:p w14:paraId="7754A537"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r>
      <w:tr w:rsidR="00105179" w:rsidRPr="0050269E" w14:paraId="66C19464" w14:textId="77777777" w:rsidTr="00A7284C">
        <w:trPr>
          <w:trHeight w:val="299"/>
          <w:jc w:val="center"/>
        </w:trPr>
        <w:tc>
          <w:tcPr>
            <w:tcW w:w="910" w:type="dxa"/>
            <w:tcBorders>
              <w:top w:val="nil"/>
              <w:left w:val="single" w:sz="4" w:space="0" w:color="auto"/>
              <w:bottom w:val="single" w:sz="4" w:space="0" w:color="auto"/>
              <w:right w:val="single" w:sz="4" w:space="0" w:color="auto"/>
            </w:tcBorders>
            <w:shd w:val="clear" w:color="auto" w:fill="auto"/>
            <w:noWrap/>
            <w:vAlign w:val="bottom"/>
            <w:hideMark/>
          </w:tcPr>
          <w:p w14:paraId="600CF4DC"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6</w:t>
            </w:r>
          </w:p>
        </w:tc>
        <w:tc>
          <w:tcPr>
            <w:tcW w:w="910" w:type="dxa"/>
            <w:tcBorders>
              <w:top w:val="nil"/>
              <w:left w:val="nil"/>
              <w:bottom w:val="single" w:sz="4" w:space="0" w:color="auto"/>
              <w:right w:val="single" w:sz="4" w:space="0" w:color="auto"/>
            </w:tcBorders>
            <w:shd w:val="clear" w:color="auto" w:fill="auto"/>
            <w:noWrap/>
            <w:vAlign w:val="bottom"/>
            <w:hideMark/>
          </w:tcPr>
          <w:p w14:paraId="6C1A9527"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ESO 4.7</w:t>
            </w:r>
          </w:p>
        </w:tc>
        <w:tc>
          <w:tcPr>
            <w:tcW w:w="910" w:type="dxa"/>
            <w:tcBorders>
              <w:top w:val="nil"/>
              <w:left w:val="nil"/>
              <w:bottom w:val="single" w:sz="4" w:space="0" w:color="auto"/>
              <w:right w:val="single" w:sz="4" w:space="0" w:color="auto"/>
            </w:tcBorders>
            <w:shd w:val="clear" w:color="auto" w:fill="auto"/>
            <w:noWrap/>
            <w:vAlign w:val="bottom"/>
            <w:hideMark/>
          </w:tcPr>
          <w:p w14:paraId="52D8F553"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ESS+</w:t>
            </w:r>
          </w:p>
        </w:tc>
        <w:tc>
          <w:tcPr>
            <w:tcW w:w="1330" w:type="dxa"/>
            <w:tcBorders>
              <w:top w:val="nil"/>
              <w:left w:val="nil"/>
              <w:bottom w:val="single" w:sz="4" w:space="0" w:color="auto"/>
              <w:right w:val="single" w:sz="4" w:space="0" w:color="auto"/>
            </w:tcBorders>
            <w:shd w:val="clear" w:color="auto" w:fill="auto"/>
            <w:noWrap/>
            <w:vAlign w:val="bottom"/>
            <w:hideMark/>
          </w:tcPr>
          <w:p w14:paraId="68484A3D"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Vzhod</w:t>
            </w:r>
          </w:p>
        </w:tc>
        <w:tc>
          <w:tcPr>
            <w:tcW w:w="1747" w:type="dxa"/>
            <w:tcBorders>
              <w:top w:val="nil"/>
              <w:left w:val="nil"/>
              <w:bottom w:val="single" w:sz="4" w:space="0" w:color="auto"/>
              <w:right w:val="single" w:sz="4" w:space="0" w:color="auto"/>
            </w:tcBorders>
            <w:shd w:val="clear" w:color="auto" w:fill="auto"/>
            <w:noWrap/>
            <w:vAlign w:val="bottom"/>
            <w:hideMark/>
          </w:tcPr>
          <w:p w14:paraId="3855053D" w14:textId="77777777" w:rsidR="00105179" w:rsidRPr="00AB429E" w:rsidRDefault="00105179" w:rsidP="00105179">
            <w:pPr>
              <w:suppressAutoHyphens w:val="0"/>
              <w:autoSpaceDN/>
              <w:spacing w:after="0" w:line="240" w:lineRule="auto"/>
              <w:jc w:val="right"/>
              <w:rPr>
                <w:rFonts w:cs="Arial"/>
                <w:sz w:val="18"/>
                <w:szCs w:val="18"/>
              </w:rPr>
            </w:pPr>
            <w:r w:rsidRPr="00AB429E">
              <w:rPr>
                <w:rFonts w:cs="Arial"/>
                <w:sz w:val="18"/>
                <w:szCs w:val="18"/>
              </w:rPr>
              <w:t>53.980.000</w:t>
            </w:r>
          </w:p>
        </w:tc>
        <w:tc>
          <w:tcPr>
            <w:tcW w:w="2268" w:type="dxa"/>
            <w:tcBorders>
              <w:top w:val="nil"/>
              <w:left w:val="nil"/>
              <w:bottom w:val="single" w:sz="4" w:space="0" w:color="auto"/>
              <w:right w:val="single" w:sz="4" w:space="0" w:color="auto"/>
            </w:tcBorders>
            <w:shd w:val="clear" w:color="auto" w:fill="auto"/>
            <w:noWrap/>
            <w:vAlign w:val="bottom"/>
            <w:hideMark/>
          </w:tcPr>
          <w:p w14:paraId="30B6D166"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29.502.443</w:t>
            </w:r>
          </w:p>
        </w:tc>
        <w:tc>
          <w:tcPr>
            <w:tcW w:w="1276" w:type="dxa"/>
            <w:tcBorders>
              <w:top w:val="nil"/>
              <w:left w:val="nil"/>
              <w:bottom w:val="single" w:sz="4" w:space="0" w:color="auto"/>
              <w:right w:val="single" w:sz="4" w:space="0" w:color="auto"/>
            </w:tcBorders>
            <w:shd w:val="clear" w:color="auto" w:fill="auto"/>
            <w:noWrap/>
            <w:vAlign w:val="bottom"/>
            <w:hideMark/>
          </w:tcPr>
          <w:p w14:paraId="708C0088"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55%</w:t>
            </w:r>
          </w:p>
        </w:tc>
        <w:tc>
          <w:tcPr>
            <w:tcW w:w="1984" w:type="dxa"/>
            <w:tcBorders>
              <w:top w:val="nil"/>
              <w:left w:val="nil"/>
              <w:bottom w:val="single" w:sz="4" w:space="0" w:color="auto"/>
              <w:right w:val="single" w:sz="4" w:space="0" w:color="auto"/>
            </w:tcBorders>
            <w:shd w:val="clear" w:color="auto" w:fill="auto"/>
            <w:noWrap/>
            <w:vAlign w:val="bottom"/>
            <w:hideMark/>
          </w:tcPr>
          <w:p w14:paraId="45FD5060"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28.939.715</w:t>
            </w:r>
          </w:p>
        </w:tc>
        <w:tc>
          <w:tcPr>
            <w:tcW w:w="993" w:type="dxa"/>
            <w:tcBorders>
              <w:top w:val="nil"/>
              <w:left w:val="nil"/>
              <w:bottom w:val="single" w:sz="4" w:space="0" w:color="auto"/>
              <w:right w:val="single" w:sz="4" w:space="0" w:color="auto"/>
            </w:tcBorders>
            <w:shd w:val="clear" w:color="auto" w:fill="auto"/>
            <w:noWrap/>
            <w:vAlign w:val="bottom"/>
            <w:hideMark/>
          </w:tcPr>
          <w:p w14:paraId="22014D2A"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54%</w:t>
            </w:r>
          </w:p>
        </w:tc>
        <w:tc>
          <w:tcPr>
            <w:tcW w:w="1984" w:type="dxa"/>
            <w:tcBorders>
              <w:top w:val="nil"/>
              <w:left w:val="nil"/>
              <w:bottom w:val="single" w:sz="4" w:space="0" w:color="auto"/>
              <w:right w:val="single" w:sz="4" w:space="0" w:color="auto"/>
            </w:tcBorders>
            <w:shd w:val="clear" w:color="auto" w:fill="auto"/>
            <w:noWrap/>
            <w:vAlign w:val="bottom"/>
            <w:hideMark/>
          </w:tcPr>
          <w:p w14:paraId="26FA1961"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4.735.076</w:t>
            </w:r>
          </w:p>
        </w:tc>
        <w:tc>
          <w:tcPr>
            <w:tcW w:w="709" w:type="dxa"/>
            <w:tcBorders>
              <w:top w:val="nil"/>
              <w:left w:val="nil"/>
              <w:bottom w:val="single" w:sz="4" w:space="0" w:color="auto"/>
              <w:right w:val="single" w:sz="4" w:space="0" w:color="auto"/>
            </w:tcBorders>
            <w:shd w:val="clear" w:color="auto" w:fill="auto"/>
            <w:noWrap/>
            <w:vAlign w:val="bottom"/>
            <w:hideMark/>
          </w:tcPr>
          <w:p w14:paraId="63AC5EE6"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9%</w:t>
            </w:r>
          </w:p>
        </w:tc>
      </w:tr>
      <w:tr w:rsidR="00105179" w:rsidRPr="0050269E" w14:paraId="0472340D" w14:textId="77777777" w:rsidTr="00A7284C">
        <w:trPr>
          <w:trHeight w:val="299"/>
          <w:jc w:val="center"/>
        </w:trPr>
        <w:tc>
          <w:tcPr>
            <w:tcW w:w="910" w:type="dxa"/>
            <w:tcBorders>
              <w:top w:val="nil"/>
              <w:left w:val="single" w:sz="4" w:space="0" w:color="auto"/>
              <w:bottom w:val="single" w:sz="4" w:space="0" w:color="auto"/>
              <w:right w:val="single" w:sz="4" w:space="0" w:color="auto"/>
            </w:tcBorders>
            <w:shd w:val="clear" w:color="auto" w:fill="auto"/>
            <w:noWrap/>
            <w:vAlign w:val="bottom"/>
            <w:hideMark/>
          </w:tcPr>
          <w:p w14:paraId="2B669D51"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6</w:t>
            </w:r>
          </w:p>
        </w:tc>
        <w:tc>
          <w:tcPr>
            <w:tcW w:w="910" w:type="dxa"/>
            <w:tcBorders>
              <w:top w:val="nil"/>
              <w:left w:val="nil"/>
              <w:bottom w:val="single" w:sz="4" w:space="0" w:color="auto"/>
              <w:right w:val="single" w:sz="4" w:space="0" w:color="auto"/>
            </w:tcBorders>
            <w:shd w:val="clear" w:color="auto" w:fill="auto"/>
            <w:noWrap/>
            <w:vAlign w:val="bottom"/>
            <w:hideMark/>
          </w:tcPr>
          <w:p w14:paraId="1AADEFDD"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ESO 4.7</w:t>
            </w:r>
          </w:p>
        </w:tc>
        <w:tc>
          <w:tcPr>
            <w:tcW w:w="910" w:type="dxa"/>
            <w:tcBorders>
              <w:top w:val="nil"/>
              <w:left w:val="nil"/>
              <w:bottom w:val="single" w:sz="4" w:space="0" w:color="auto"/>
              <w:right w:val="single" w:sz="4" w:space="0" w:color="auto"/>
            </w:tcBorders>
            <w:shd w:val="clear" w:color="auto" w:fill="auto"/>
            <w:noWrap/>
            <w:vAlign w:val="bottom"/>
            <w:hideMark/>
          </w:tcPr>
          <w:p w14:paraId="1DD7B70C"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ESS+</w:t>
            </w:r>
          </w:p>
        </w:tc>
        <w:tc>
          <w:tcPr>
            <w:tcW w:w="1330" w:type="dxa"/>
            <w:tcBorders>
              <w:top w:val="nil"/>
              <w:left w:val="nil"/>
              <w:bottom w:val="single" w:sz="4" w:space="0" w:color="auto"/>
              <w:right w:val="single" w:sz="4" w:space="0" w:color="auto"/>
            </w:tcBorders>
            <w:shd w:val="clear" w:color="auto" w:fill="auto"/>
            <w:noWrap/>
            <w:vAlign w:val="bottom"/>
            <w:hideMark/>
          </w:tcPr>
          <w:p w14:paraId="7795FEF4"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Zahod</w:t>
            </w:r>
          </w:p>
        </w:tc>
        <w:tc>
          <w:tcPr>
            <w:tcW w:w="1747" w:type="dxa"/>
            <w:tcBorders>
              <w:top w:val="nil"/>
              <w:left w:val="nil"/>
              <w:bottom w:val="single" w:sz="4" w:space="0" w:color="auto"/>
              <w:right w:val="single" w:sz="4" w:space="0" w:color="auto"/>
            </w:tcBorders>
            <w:shd w:val="clear" w:color="auto" w:fill="auto"/>
            <w:noWrap/>
            <w:vAlign w:val="bottom"/>
            <w:hideMark/>
          </w:tcPr>
          <w:p w14:paraId="5062CE4D" w14:textId="77777777" w:rsidR="00105179" w:rsidRPr="00AB429E" w:rsidRDefault="00105179" w:rsidP="00105179">
            <w:pPr>
              <w:suppressAutoHyphens w:val="0"/>
              <w:autoSpaceDN/>
              <w:spacing w:after="0" w:line="240" w:lineRule="auto"/>
              <w:jc w:val="right"/>
              <w:rPr>
                <w:rFonts w:cs="Arial"/>
                <w:sz w:val="18"/>
                <w:szCs w:val="18"/>
              </w:rPr>
            </w:pPr>
            <w:r w:rsidRPr="00AB429E">
              <w:rPr>
                <w:rFonts w:cs="Arial"/>
                <w:sz w:val="18"/>
                <w:szCs w:val="18"/>
              </w:rPr>
              <w:t>15.988.500</w:t>
            </w:r>
          </w:p>
        </w:tc>
        <w:tc>
          <w:tcPr>
            <w:tcW w:w="2268" w:type="dxa"/>
            <w:tcBorders>
              <w:top w:val="nil"/>
              <w:left w:val="nil"/>
              <w:bottom w:val="single" w:sz="4" w:space="0" w:color="auto"/>
              <w:right w:val="single" w:sz="4" w:space="0" w:color="auto"/>
            </w:tcBorders>
            <w:shd w:val="clear" w:color="auto" w:fill="auto"/>
            <w:noWrap/>
            <w:vAlign w:val="bottom"/>
            <w:hideMark/>
          </w:tcPr>
          <w:p w14:paraId="79913CF5"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7.954.120</w:t>
            </w:r>
          </w:p>
        </w:tc>
        <w:tc>
          <w:tcPr>
            <w:tcW w:w="1276" w:type="dxa"/>
            <w:tcBorders>
              <w:top w:val="nil"/>
              <w:left w:val="nil"/>
              <w:bottom w:val="single" w:sz="4" w:space="0" w:color="auto"/>
              <w:right w:val="single" w:sz="4" w:space="0" w:color="auto"/>
            </w:tcBorders>
            <w:shd w:val="clear" w:color="auto" w:fill="auto"/>
            <w:noWrap/>
            <w:vAlign w:val="bottom"/>
            <w:hideMark/>
          </w:tcPr>
          <w:p w14:paraId="53DC6CCD"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50%</w:t>
            </w:r>
          </w:p>
        </w:tc>
        <w:tc>
          <w:tcPr>
            <w:tcW w:w="1984" w:type="dxa"/>
            <w:tcBorders>
              <w:top w:val="nil"/>
              <w:left w:val="nil"/>
              <w:bottom w:val="single" w:sz="4" w:space="0" w:color="auto"/>
              <w:right w:val="single" w:sz="4" w:space="0" w:color="auto"/>
            </w:tcBorders>
            <w:shd w:val="clear" w:color="auto" w:fill="auto"/>
            <w:noWrap/>
            <w:vAlign w:val="bottom"/>
            <w:hideMark/>
          </w:tcPr>
          <w:p w14:paraId="4A46E098"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7.637.200</w:t>
            </w:r>
          </w:p>
        </w:tc>
        <w:tc>
          <w:tcPr>
            <w:tcW w:w="993" w:type="dxa"/>
            <w:tcBorders>
              <w:top w:val="nil"/>
              <w:left w:val="nil"/>
              <w:bottom w:val="single" w:sz="4" w:space="0" w:color="auto"/>
              <w:right w:val="single" w:sz="4" w:space="0" w:color="auto"/>
            </w:tcBorders>
            <w:shd w:val="clear" w:color="auto" w:fill="auto"/>
            <w:noWrap/>
            <w:vAlign w:val="bottom"/>
            <w:hideMark/>
          </w:tcPr>
          <w:p w14:paraId="1C23052E"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48%</w:t>
            </w:r>
          </w:p>
        </w:tc>
        <w:tc>
          <w:tcPr>
            <w:tcW w:w="1984" w:type="dxa"/>
            <w:tcBorders>
              <w:top w:val="nil"/>
              <w:left w:val="nil"/>
              <w:bottom w:val="single" w:sz="4" w:space="0" w:color="auto"/>
              <w:right w:val="single" w:sz="4" w:space="0" w:color="auto"/>
            </w:tcBorders>
            <w:shd w:val="clear" w:color="auto" w:fill="auto"/>
            <w:noWrap/>
            <w:vAlign w:val="bottom"/>
            <w:hideMark/>
          </w:tcPr>
          <w:p w14:paraId="068A8703"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1.462.157</w:t>
            </w:r>
          </w:p>
        </w:tc>
        <w:tc>
          <w:tcPr>
            <w:tcW w:w="709" w:type="dxa"/>
            <w:tcBorders>
              <w:top w:val="nil"/>
              <w:left w:val="nil"/>
              <w:bottom w:val="single" w:sz="4" w:space="0" w:color="auto"/>
              <w:right w:val="single" w:sz="4" w:space="0" w:color="auto"/>
            </w:tcBorders>
            <w:shd w:val="clear" w:color="auto" w:fill="auto"/>
            <w:noWrap/>
            <w:vAlign w:val="bottom"/>
            <w:hideMark/>
          </w:tcPr>
          <w:p w14:paraId="0B6A34A4"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9%</w:t>
            </w:r>
          </w:p>
        </w:tc>
      </w:tr>
      <w:tr w:rsidR="00105179" w:rsidRPr="0050269E" w14:paraId="54F87D25" w14:textId="77777777" w:rsidTr="00A7284C">
        <w:trPr>
          <w:trHeight w:val="299"/>
          <w:jc w:val="center"/>
        </w:trPr>
        <w:tc>
          <w:tcPr>
            <w:tcW w:w="910" w:type="dxa"/>
            <w:tcBorders>
              <w:top w:val="nil"/>
              <w:left w:val="single" w:sz="4" w:space="0" w:color="auto"/>
              <w:bottom w:val="single" w:sz="4" w:space="0" w:color="auto"/>
              <w:right w:val="single" w:sz="4" w:space="0" w:color="auto"/>
            </w:tcBorders>
            <w:shd w:val="clear" w:color="auto" w:fill="auto"/>
            <w:noWrap/>
            <w:vAlign w:val="bottom"/>
            <w:hideMark/>
          </w:tcPr>
          <w:p w14:paraId="2C437A3D"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6</w:t>
            </w:r>
          </w:p>
        </w:tc>
        <w:tc>
          <w:tcPr>
            <w:tcW w:w="910" w:type="dxa"/>
            <w:tcBorders>
              <w:top w:val="nil"/>
              <w:left w:val="nil"/>
              <w:bottom w:val="single" w:sz="4" w:space="0" w:color="auto"/>
              <w:right w:val="single" w:sz="4" w:space="0" w:color="auto"/>
            </w:tcBorders>
            <w:shd w:val="clear" w:color="auto" w:fill="auto"/>
            <w:noWrap/>
            <w:vAlign w:val="bottom"/>
            <w:hideMark/>
          </w:tcPr>
          <w:p w14:paraId="33B553BF"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RSO 4.2</w:t>
            </w:r>
          </w:p>
        </w:tc>
        <w:tc>
          <w:tcPr>
            <w:tcW w:w="910" w:type="dxa"/>
            <w:tcBorders>
              <w:top w:val="nil"/>
              <w:left w:val="nil"/>
              <w:bottom w:val="single" w:sz="4" w:space="0" w:color="auto"/>
              <w:right w:val="single" w:sz="4" w:space="0" w:color="auto"/>
            </w:tcBorders>
            <w:shd w:val="clear" w:color="auto" w:fill="auto"/>
            <w:noWrap/>
            <w:vAlign w:val="bottom"/>
            <w:hideMark/>
          </w:tcPr>
          <w:p w14:paraId="4E5A9B34"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ESRR</w:t>
            </w:r>
          </w:p>
        </w:tc>
        <w:tc>
          <w:tcPr>
            <w:tcW w:w="1330" w:type="dxa"/>
            <w:tcBorders>
              <w:top w:val="nil"/>
              <w:left w:val="nil"/>
              <w:bottom w:val="single" w:sz="4" w:space="0" w:color="auto"/>
              <w:right w:val="single" w:sz="4" w:space="0" w:color="auto"/>
            </w:tcBorders>
            <w:shd w:val="clear" w:color="auto" w:fill="auto"/>
            <w:noWrap/>
            <w:vAlign w:val="bottom"/>
            <w:hideMark/>
          </w:tcPr>
          <w:p w14:paraId="05010B69"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Vzhod</w:t>
            </w:r>
          </w:p>
        </w:tc>
        <w:tc>
          <w:tcPr>
            <w:tcW w:w="1747" w:type="dxa"/>
            <w:tcBorders>
              <w:top w:val="nil"/>
              <w:left w:val="nil"/>
              <w:bottom w:val="single" w:sz="4" w:space="0" w:color="auto"/>
              <w:right w:val="single" w:sz="4" w:space="0" w:color="auto"/>
            </w:tcBorders>
            <w:shd w:val="clear" w:color="auto" w:fill="auto"/>
            <w:noWrap/>
            <w:vAlign w:val="bottom"/>
            <w:hideMark/>
          </w:tcPr>
          <w:p w14:paraId="141F75BE" w14:textId="77777777" w:rsidR="00105179" w:rsidRPr="00AB429E" w:rsidRDefault="00105179" w:rsidP="00105179">
            <w:pPr>
              <w:suppressAutoHyphens w:val="0"/>
              <w:autoSpaceDN/>
              <w:spacing w:after="0" w:line="240" w:lineRule="auto"/>
              <w:jc w:val="right"/>
              <w:rPr>
                <w:rFonts w:cs="Arial"/>
                <w:sz w:val="18"/>
                <w:szCs w:val="18"/>
              </w:rPr>
            </w:pPr>
            <w:r w:rsidRPr="00AB429E">
              <w:rPr>
                <w:rFonts w:cs="Arial"/>
                <w:sz w:val="18"/>
                <w:szCs w:val="18"/>
              </w:rPr>
              <w:t>32.800.061</w:t>
            </w:r>
          </w:p>
        </w:tc>
        <w:tc>
          <w:tcPr>
            <w:tcW w:w="2268" w:type="dxa"/>
            <w:tcBorders>
              <w:top w:val="nil"/>
              <w:left w:val="nil"/>
              <w:bottom w:val="single" w:sz="4" w:space="0" w:color="auto"/>
              <w:right w:val="single" w:sz="4" w:space="0" w:color="auto"/>
            </w:tcBorders>
            <w:shd w:val="clear" w:color="auto" w:fill="auto"/>
            <w:noWrap/>
            <w:vAlign w:val="bottom"/>
            <w:hideMark/>
          </w:tcPr>
          <w:p w14:paraId="15F4AF27"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bottom"/>
            <w:hideMark/>
          </w:tcPr>
          <w:p w14:paraId="66F01653"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1984" w:type="dxa"/>
            <w:tcBorders>
              <w:top w:val="nil"/>
              <w:left w:val="nil"/>
              <w:bottom w:val="single" w:sz="4" w:space="0" w:color="auto"/>
              <w:right w:val="single" w:sz="4" w:space="0" w:color="auto"/>
            </w:tcBorders>
            <w:shd w:val="clear" w:color="auto" w:fill="auto"/>
            <w:noWrap/>
            <w:vAlign w:val="bottom"/>
            <w:hideMark/>
          </w:tcPr>
          <w:p w14:paraId="23955FF8"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993" w:type="dxa"/>
            <w:tcBorders>
              <w:top w:val="nil"/>
              <w:left w:val="nil"/>
              <w:bottom w:val="single" w:sz="4" w:space="0" w:color="auto"/>
              <w:right w:val="single" w:sz="4" w:space="0" w:color="auto"/>
            </w:tcBorders>
            <w:shd w:val="clear" w:color="auto" w:fill="auto"/>
            <w:noWrap/>
            <w:vAlign w:val="bottom"/>
            <w:hideMark/>
          </w:tcPr>
          <w:p w14:paraId="348F8390"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1984" w:type="dxa"/>
            <w:tcBorders>
              <w:top w:val="nil"/>
              <w:left w:val="nil"/>
              <w:bottom w:val="single" w:sz="4" w:space="0" w:color="auto"/>
              <w:right w:val="single" w:sz="4" w:space="0" w:color="auto"/>
            </w:tcBorders>
            <w:shd w:val="clear" w:color="auto" w:fill="auto"/>
            <w:noWrap/>
            <w:vAlign w:val="bottom"/>
            <w:hideMark/>
          </w:tcPr>
          <w:p w14:paraId="00B6F652"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709" w:type="dxa"/>
            <w:tcBorders>
              <w:top w:val="nil"/>
              <w:left w:val="nil"/>
              <w:bottom w:val="single" w:sz="4" w:space="0" w:color="auto"/>
              <w:right w:val="single" w:sz="4" w:space="0" w:color="auto"/>
            </w:tcBorders>
            <w:shd w:val="clear" w:color="auto" w:fill="auto"/>
            <w:noWrap/>
            <w:vAlign w:val="bottom"/>
            <w:hideMark/>
          </w:tcPr>
          <w:p w14:paraId="06145473"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r>
      <w:tr w:rsidR="00105179" w:rsidRPr="0050269E" w14:paraId="1D29B656" w14:textId="77777777" w:rsidTr="00A7284C">
        <w:trPr>
          <w:trHeight w:val="299"/>
          <w:jc w:val="center"/>
        </w:trPr>
        <w:tc>
          <w:tcPr>
            <w:tcW w:w="910" w:type="dxa"/>
            <w:tcBorders>
              <w:top w:val="nil"/>
              <w:left w:val="single" w:sz="4" w:space="0" w:color="auto"/>
              <w:bottom w:val="single" w:sz="4" w:space="0" w:color="auto"/>
              <w:right w:val="single" w:sz="4" w:space="0" w:color="auto"/>
            </w:tcBorders>
            <w:shd w:val="clear" w:color="auto" w:fill="auto"/>
            <w:noWrap/>
            <w:vAlign w:val="bottom"/>
            <w:hideMark/>
          </w:tcPr>
          <w:p w14:paraId="5BE5D0B6"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7</w:t>
            </w:r>
          </w:p>
        </w:tc>
        <w:tc>
          <w:tcPr>
            <w:tcW w:w="910" w:type="dxa"/>
            <w:tcBorders>
              <w:top w:val="nil"/>
              <w:left w:val="nil"/>
              <w:bottom w:val="single" w:sz="4" w:space="0" w:color="auto"/>
              <w:right w:val="single" w:sz="4" w:space="0" w:color="auto"/>
            </w:tcBorders>
            <w:shd w:val="clear" w:color="auto" w:fill="auto"/>
            <w:noWrap/>
            <w:vAlign w:val="bottom"/>
            <w:hideMark/>
          </w:tcPr>
          <w:p w14:paraId="1A84AFA9"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ESO 4.11</w:t>
            </w:r>
          </w:p>
        </w:tc>
        <w:tc>
          <w:tcPr>
            <w:tcW w:w="910" w:type="dxa"/>
            <w:tcBorders>
              <w:top w:val="nil"/>
              <w:left w:val="nil"/>
              <w:bottom w:val="single" w:sz="4" w:space="0" w:color="auto"/>
              <w:right w:val="single" w:sz="4" w:space="0" w:color="auto"/>
            </w:tcBorders>
            <w:shd w:val="clear" w:color="auto" w:fill="auto"/>
            <w:noWrap/>
            <w:vAlign w:val="bottom"/>
            <w:hideMark/>
          </w:tcPr>
          <w:p w14:paraId="6F539C31"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ESS+</w:t>
            </w:r>
          </w:p>
        </w:tc>
        <w:tc>
          <w:tcPr>
            <w:tcW w:w="1330" w:type="dxa"/>
            <w:tcBorders>
              <w:top w:val="nil"/>
              <w:left w:val="nil"/>
              <w:bottom w:val="single" w:sz="4" w:space="0" w:color="auto"/>
              <w:right w:val="single" w:sz="4" w:space="0" w:color="auto"/>
            </w:tcBorders>
            <w:shd w:val="clear" w:color="auto" w:fill="auto"/>
            <w:noWrap/>
            <w:vAlign w:val="bottom"/>
            <w:hideMark/>
          </w:tcPr>
          <w:p w14:paraId="759BEDAC"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Vzhod</w:t>
            </w:r>
          </w:p>
        </w:tc>
        <w:tc>
          <w:tcPr>
            <w:tcW w:w="1747" w:type="dxa"/>
            <w:tcBorders>
              <w:top w:val="nil"/>
              <w:left w:val="nil"/>
              <w:bottom w:val="single" w:sz="4" w:space="0" w:color="auto"/>
              <w:right w:val="single" w:sz="4" w:space="0" w:color="auto"/>
            </w:tcBorders>
            <w:shd w:val="clear" w:color="auto" w:fill="auto"/>
            <w:noWrap/>
            <w:vAlign w:val="bottom"/>
            <w:hideMark/>
          </w:tcPr>
          <w:p w14:paraId="79F9D2A5" w14:textId="77777777" w:rsidR="00105179" w:rsidRPr="00AB429E" w:rsidRDefault="00105179" w:rsidP="00105179">
            <w:pPr>
              <w:suppressAutoHyphens w:val="0"/>
              <w:autoSpaceDN/>
              <w:spacing w:after="0" w:line="240" w:lineRule="auto"/>
              <w:jc w:val="right"/>
              <w:rPr>
                <w:rFonts w:cs="Arial"/>
                <w:sz w:val="18"/>
                <w:szCs w:val="18"/>
              </w:rPr>
            </w:pPr>
            <w:r w:rsidRPr="00AB429E">
              <w:rPr>
                <w:rFonts w:cs="Arial"/>
                <w:sz w:val="18"/>
                <w:szCs w:val="18"/>
              </w:rPr>
              <w:t>79.698.001</w:t>
            </w:r>
          </w:p>
        </w:tc>
        <w:tc>
          <w:tcPr>
            <w:tcW w:w="2268" w:type="dxa"/>
            <w:tcBorders>
              <w:top w:val="nil"/>
              <w:left w:val="nil"/>
              <w:bottom w:val="single" w:sz="4" w:space="0" w:color="auto"/>
              <w:right w:val="single" w:sz="4" w:space="0" w:color="auto"/>
            </w:tcBorders>
            <w:shd w:val="clear" w:color="auto" w:fill="auto"/>
            <w:noWrap/>
            <w:vAlign w:val="bottom"/>
            <w:hideMark/>
          </w:tcPr>
          <w:p w14:paraId="00130B31"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9.561.321</w:t>
            </w:r>
          </w:p>
        </w:tc>
        <w:tc>
          <w:tcPr>
            <w:tcW w:w="1276" w:type="dxa"/>
            <w:tcBorders>
              <w:top w:val="nil"/>
              <w:left w:val="nil"/>
              <w:bottom w:val="single" w:sz="4" w:space="0" w:color="auto"/>
              <w:right w:val="single" w:sz="4" w:space="0" w:color="auto"/>
            </w:tcBorders>
            <w:shd w:val="clear" w:color="auto" w:fill="auto"/>
            <w:noWrap/>
            <w:vAlign w:val="bottom"/>
            <w:hideMark/>
          </w:tcPr>
          <w:p w14:paraId="75A10507"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12%</w:t>
            </w:r>
          </w:p>
        </w:tc>
        <w:tc>
          <w:tcPr>
            <w:tcW w:w="1984" w:type="dxa"/>
            <w:tcBorders>
              <w:top w:val="nil"/>
              <w:left w:val="nil"/>
              <w:bottom w:val="single" w:sz="4" w:space="0" w:color="auto"/>
              <w:right w:val="single" w:sz="4" w:space="0" w:color="auto"/>
            </w:tcBorders>
            <w:shd w:val="clear" w:color="auto" w:fill="auto"/>
            <w:noWrap/>
            <w:vAlign w:val="bottom"/>
            <w:hideMark/>
          </w:tcPr>
          <w:p w14:paraId="3D4AE085"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8.451.849</w:t>
            </w:r>
          </w:p>
        </w:tc>
        <w:tc>
          <w:tcPr>
            <w:tcW w:w="993" w:type="dxa"/>
            <w:tcBorders>
              <w:top w:val="nil"/>
              <w:left w:val="nil"/>
              <w:bottom w:val="single" w:sz="4" w:space="0" w:color="auto"/>
              <w:right w:val="single" w:sz="4" w:space="0" w:color="auto"/>
            </w:tcBorders>
            <w:shd w:val="clear" w:color="auto" w:fill="auto"/>
            <w:noWrap/>
            <w:vAlign w:val="bottom"/>
            <w:hideMark/>
          </w:tcPr>
          <w:p w14:paraId="7C94230F"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11%</w:t>
            </w:r>
          </w:p>
        </w:tc>
        <w:tc>
          <w:tcPr>
            <w:tcW w:w="1984" w:type="dxa"/>
            <w:tcBorders>
              <w:top w:val="nil"/>
              <w:left w:val="nil"/>
              <w:bottom w:val="single" w:sz="4" w:space="0" w:color="auto"/>
              <w:right w:val="single" w:sz="4" w:space="0" w:color="auto"/>
            </w:tcBorders>
            <w:shd w:val="clear" w:color="auto" w:fill="auto"/>
            <w:noWrap/>
            <w:vAlign w:val="bottom"/>
            <w:hideMark/>
          </w:tcPr>
          <w:p w14:paraId="5A11E0FF"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864.239</w:t>
            </w:r>
          </w:p>
        </w:tc>
        <w:tc>
          <w:tcPr>
            <w:tcW w:w="709" w:type="dxa"/>
            <w:tcBorders>
              <w:top w:val="nil"/>
              <w:left w:val="nil"/>
              <w:bottom w:val="single" w:sz="4" w:space="0" w:color="auto"/>
              <w:right w:val="single" w:sz="4" w:space="0" w:color="auto"/>
            </w:tcBorders>
            <w:shd w:val="clear" w:color="auto" w:fill="auto"/>
            <w:noWrap/>
            <w:vAlign w:val="bottom"/>
            <w:hideMark/>
          </w:tcPr>
          <w:p w14:paraId="7AF17BDD"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1%</w:t>
            </w:r>
          </w:p>
        </w:tc>
      </w:tr>
      <w:tr w:rsidR="00105179" w:rsidRPr="0050269E" w14:paraId="14D3B9D8" w14:textId="77777777" w:rsidTr="00A7284C">
        <w:trPr>
          <w:trHeight w:val="299"/>
          <w:jc w:val="center"/>
        </w:trPr>
        <w:tc>
          <w:tcPr>
            <w:tcW w:w="910" w:type="dxa"/>
            <w:tcBorders>
              <w:top w:val="nil"/>
              <w:left w:val="single" w:sz="4" w:space="0" w:color="auto"/>
              <w:bottom w:val="single" w:sz="4" w:space="0" w:color="auto"/>
              <w:right w:val="single" w:sz="4" w:space="0" w:color="auto"/>
            </w:tcBorders>
            <w:shd w:val="clear" w:color="auto" w:fill="auto"/>
            <w:noWrap/>
            <w:vAlign w:val="bottom"/>
            <w:hideMark/>
          </w:tcPr>
          <w:p w14:paraId="6444CE31"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lastRenderedPageBreak/>
              <w:t>7</w:t>
            </w:r>
          </w:p>
        </w:tc>
        <w:tc>
          <w:tcPr>
            <w:tcW w:w="910" w:type="dxa"/>
            <w:tcBorders>
              <w:top w:val="nil"/>
              <w:left w:val="nil"/>
              <w:bottom w:val="single" w:sz="4" w:space="0" w:color="auto"/>
              <w:right w:val="single" w:sz="4" w:space="0" w:color="auto"/>
            </w:tcBorders>
            <w:shd w:val="clear" w:color="auto" w:fill="auto"/>
            <w:noWrap/>
            <w:vAlign w:val="bottom"/>
            <w:hideMark/>
          </w:tcPr>
          <w:p w14:paraId="3EA71C8C"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ESO 4.11</w:t>
            </w:r>
          </w:p>
        </w:tc>
        <w:tc>
          <w:tcPr>
            <w:tcW w:w="910" w:type="dxa"/>
            <w:tcBorders>
              <w:top w:val="nil"/>
              <w:left w:val="nil"/>
              <w:bottom w:val="single" w:sz="4" w:space="0" w:color="auto"/>
              <w:right w:val="single" w:sz="4" w:space="0" w:color="auto"/>
            </w:tcBorders>
            <w:shd w:val="clear" w:color="auto" w:fill="auto"/>
            <w:noWrap/>
            <w:vAlign w:val="bottom"/>
            <w:hideMark/>
          </w:tcPr>
          <w:p w14:paraId="2BFEEC2B"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ESS+</w:t>
            </w:r>
          </w:p>
        </w:tc>
        <w:tc>
          <w:tcPr>
            <w:tcW w:w="1330" w:type="dxa"/>
            <w:tcBorders>
              <w:top w:val="nil"/>
              <w:left w:val="nil"/>
              <w:bottom w:val="single" w:sz="4" w:space="0" w:color="auto"/>
              <w:right w:val="single" w:sz="4" w:space="0" w:color="auto"/>
            </w:tcBorders>
            <w:shd w:val="clear" w:color="auto" w:fill="auto"/>
            <w:noWrap/>
            <w:vAlign w:val="bottom"/>
            <w:hideMark/>
          </w:tcPr>
          <w:p w14:paraId="6DB70822"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Zahod</w:t>
            </w:r>
          </w:p>
        </w:tc>
        <w:tc>
          <w:tcPr>
            <w:tcW w:w="1747" w:type="dxa"/>
            <w:tcBorders>
              <w:top w:val="nil"/>
              <w:left w:val="nil"/>
              <w:bottom w:val="single" w:sz="4" w:space="0" w:color="auto"/>
              <w:right w:val="single" w:sz="4" w:space="0" w:color="auto"/>
            </w:tcBorders>
            <w:shd w:val="clear" w:color="auto" w:fill="auto"/>
            <w:noWrap/>
            <w:vAlign w:val="bottom"/>
            <w:hideMark/>
          </w:tcPr>
          <w:p w14:paraId="21BFEA61" w14:textId="77777777" w:rsidR="00105179" w:rsidRPr="00AB429E" w:rsidRDefault="00105179" w:rsidP="00105179">
            <w:pPr>
              <w:suppressAutoHyphens w:val="0"/>
              <w:autoSpaceDN/>
              <w:spacing w:after="0" w:line="240" w:lineRule="auto"/>
              <w:jc w:val="right"/>
              <w:rPr>
                <w:rFonts w:cs="Arial"/>
                <w:sz w:val="18"/>
                <w:szCs w:val="18"/>
              </w:rPr>
            </w:pPr>
            <w:r w:rsidRPr="00AB429E">
              <w:rPr>
                <w:rFonts w:cs="Arial"/>
                <w:sz w:val="18"/>
                <w:szCs w:val="18"/>
              </w:rPr>
              <w:t>28.354.518</w:t>
            </w:r>
          </w:p>
        </w:tc>
        <w:tc>
          <w:tcPr>
            <w:tcW w:w="2268" w:type="dxa"/>
            <w:tcBorders>
              <w:top w:val="nil"/>
              <w:left w:val="nil"/>
              <w:bottom w:val="single" w:sz="4" w:space="0" w:color="auto"/>
              <w:right w:val="single" w:sz="4" w:space="0" w:color="auto"/>
            </w:tcBorders>
            <w:shd w:val="clear" w:color="auto" w:fill="auto"/>
            <w:noWrap/>
            <w:vAlign w:val="bottom"/>
            <w:hideMark/>
          </w:tcPr>
          <w:p w14:paraId="5A8F3F9D"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3.348.845</w:t>
            </w:r>
          </w:p>
        </w:tc>
        <w:tc>
          <w:tcPr>
            <w:tcW w:w="1276" w:type="dxa"/>
            <w:tcBorders>
              <w:top w:val="nil"/>
              <w:left w:val="nil"/>
              <w:bottom w:val="single" w:sz="4" w:space="0" w:color="auto"/>
              <w:right w:val="single" w:sz="4" w:space="0" w:color="auto"/>
            </w:tcBorders>
            <w:shd w:val="clear" w:color="auto" w:fill="auto"/>
            <w:noWrap/>
            <w:vAlign w:val="bottom"/>
            <w:hideMark/>
          </w:tcPr>
          <w:p w14:paraId="4488429A"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12%</w:t>
            </w:r>
          </w:p>
        </w:tc>
        <w:tc>
          <w:tcPr>
            <w:tcW w:w="1984" w:type="dxa"/>
            <w:tcBorders>
              <w:top w:val="nil"/>
              <w:left w:val="nil"/>
              <w:bottom w:val="single" w:sz="4" w:space="0" w:color="auto"/>
              <w:right w:val="single" w:sz="4" w:space="0" w:color="auto"/>
            </w:tcBorders>
            <w:shd w:val="clear" w:color="auto" w:fill="auto"/>
            <w:noWrap/>
            <w:vAlign w:val="bottom"/>
            <w:hideMark/>
          </w:tcPr>
          <w:p w14:paraId="3A6FDC3F"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2.804.521</w:t>
            </w:r>
          </w:p>
        </w:tc>
        <w:tc>
          <w:tcPr>
            <w:tcW w:w="993" w:type="dxa"/>
            <w:tcBorders>
              <w:top w:val="nil"/>
              <w:left w:val="nil"/>
              <w:bottom w:val="single" w:sz="4" w:space="0" w:color="auto"/>
              <w:right w:val="single" w:sz="4" w:space="0" w:color="auto"/>
            </w:tcBorders>
            <w:shd w:val="clear" w:color="auto" w:fill="auto"/>
            <w:noWrap/>
            <w:vAlign w:val="bottom"/>
            <w:hideMark/>
          </w:tcPr>
          <w:p w14:paraId="70612F9B"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10%</w:t>
            </w:r>
          </w:p>
        </w:tc>
        <w:tc>
          <w:tcPr>
            <w:tcW w:w="1984" w:type="dxa"/>
            <w:tcBorders>
              <w:top w:val="nil"/>
              <w:left w:val="nil"/>
              <w:bottom w:val="single" w:sz="4" w:space="0" w:color="auto"/>
              <w:right w:val="single" w:sz="4" w:space="0" w:color="auto"/>
            </w:tcBorders>
            <w:shd w:val="clear" w:color="auto" w:fill="auto"/>
            <w:noWrap/>
            <w:vAlign w:val="bottom"/>
            <w:hideMark/>
          </w:tcPr>
          <w:p w14:paraId="5B6C3B87"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211.260</w:t>
            </w:r>
          </w:p>
        </w:tc>
        <w:tc>
          <w:tcPr>
            <w:tcW w:w="709" w:type="dxa"/>
            <w:tcBorders>
              <w:top w:val="nil"/>
              <w:left w:val="nil"/>
              <w:bottom w:val="single" w:sz="4" w:space="0" w:color="auto"/>
              <w:right w:val="single" w:sz="4" w:space="0" w:color="auto"/>
            </w:tcBorders>
            <w:shd w:val="clear" w:color="auto" w:fill="auto"/>
            <w:noWrap/>
            <w:vAlign w:val="bottom"/>
            <w:hideMark/>
          </w:tcPr>
          <w:p w14:paraId="62348B60"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1%</w:t>
            </w:r>
          </w:p>
        </w:tc>
      </w:tr>
      <w:tr w:rsidR="00105179" w:rsidRPr="0050269E" w14:paraId="4E0C704D" w14:textId="77777777" w:rsidTr="00A7284C">
        <w:trPr>
          <w:trHeight w:val="299"/>
          <w:jc w:val="center"/>
        </w:trPr>
        <w:tc>
          <w:tcPr>
            <w:tcW w:w="910" w:type="dxa"/>
            <w:tcBorders>
              <w:top w:val="nil"/>
              <w:left w:val="single" w:sz="4" w:space="0" w:color="auto"/>
              <w:bottom w:val="single" w:sz="4" w:space="0" w:color="auto"/>
              <w:right w:val="single" w:sz="4" w:space="0" w:color="auto"/>
            </w:tcBorders>
            <w:shd w:val="clear" w:color="auto" w:fill="auto"/>
            <w:noWrap/>
            <w:vAlign w:val="bottom"/>
            <w:hideMark/>
          </w:tcPr>
          <w:p w14:paraId="198D5063"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7</w:t>
            </w:r>
          </w:p>
        </w:tc>
        <w:tc>
          <w:tcPr>
            <w:tcW w:w="910" w:type="dxa"/>
            <w:tcBorders>
              <w:top w:val="nil"/>
              <w:left w:val="nil"/>
              <w:bottom w:val="single" w:sz="4" w:space="0" w:color="auto"/>
              <w:right w:val="single" w:sz="4" w:space="0" w:color="auto"/>
            </w:tcBorders>
            <w:shd w:val="clear" w:color="auto" w:fill="auto"/>
            <w:noWrap/>
            <w:vAlign w:val="bottom"/>
            <w:hideMark/>
          </w:tcPr>
          <w:p w14:paraId="5D51B34A"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ESO 4.12</w:t>
            </w:r>
          </w:p>
        </w:tc>
        <w:tc>
          <w:tcPr>
            <w:tcW w:w="910" w:type="dxa"/>
            <w:tcBorders>
              <w:top w:val="nil"/>
              <w:left w:val="nil"/>
              <w:bottom w:val="single" w:sz="4" w:space="0" w:color="auto"/>
              <w:right w:val="single" w:sz="4" w:space="0" w:color="auto"/>
            </w:tcBorders>
            <w:shd w:val="clear" w:color="auto" w:fill="auto"/>
            <w:noWrap/>
            <w:vAlign w:val="bottom"/>
            <w:hideMark/>
          </w:tcPr>
          <w:p w14:paraId="2258091B"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ESS+</w:t>
            </w:r>
          </w:p>
        </w:tc>
        <w:tc>
          <w:tcPr>
            <w:tcW w:w="1330" w:type="dxa"/>
            <w:tcBorders>
              <w:top w:val="nil"/>
              <w:left w:val="nil"/>
              <w:bottom w:val="single" w:sz="4" w:space="0" w:color="auto"/>
              <w:right w:val="single" w:sz="4" w:space="0" w:color="auto"/>
            </w:tcBorders>
            <w:shd w:val="clear" w:color="auto" w:fill="auto"/>
            <w:noWrap/>
            <w:vAlign w:val="bottom"/>
            <w:hideMark/>
          </w:tcPr>
          <w:p w14:paraId="266227E1"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Vzhod</w:t>
            </w:r>
          </w:p>
        </w:tc>
        <w:tc>
          <w:tcPr>
            <w:tcW w:w="1747" w:type="dxa"/>
            <w:tcBorders>
              <w:top w:val="nil"/>
              <w:left w:val="nil"/>
              <w:bottom w:val="single" w:sz="4" w:space="0" w:color="auto"/>
              <w:right w:val="single" w:sz="4" w:space="0" w:color="auto"/>
            </w:tcBorders>
            <w:shd w:val="clear" w:color="auto" w:fill="auto"/>
            <w:noWrap/>
            <w:vAlign w:val="bottom"/>
            <w:hideMark/>
          </w:tcPr>
          <w:p w14:paraId="1EA098C4" w14:textId="77777777" w:rsidR="00105179" w:rsidRPr="00AB429E" w:rsidRDefault="00105179" w:rsidP="00105179">
            <w:pPr>
              <w:suppressAutoHyphens w:val="0"/>
              <w:autoSpaceDN/>
              <w:spacing w:after="0" w:line="240" w:lineRule="auto"/>
              <w:jc w:val="right"/>
              <w:rPr>
                <w:rFonts w:cs="Arial"/>
                <w:sz w:val="18"/>
                <w:szCs w:val="18"/>
              </w:rPr>
            </w:pPr>
            <w:r w:rsidRPr="00AB429E">
              <w:rPr>
                <w:rFonts w:cs="Arial"/>
                <w:sz w:val="18"/>
                <w:szCs w:val="18"/>
              </w:rPr>
              <w:t>44.329.000</w:t>
            </w:r>
          </w:p>
        </w:tc>
        <w:tc>
          <w:tcPr>
            <w:tcW w:w="2268" w:type="dxa"/>
            <w:tcBorders>
              <w:top w:val="nil"/>
              <w:left w:val="nil"/>
              <w:bottom w:val="single" w:sz="4" w:space="0" w:color="auto"/>
              <w:right w:val="single" w:sz="4" w:space="0" w:color="auto"/>
            </w:tcBorders>
            <w:shd w:val="clear" w:color="auto" w:fill="auto"/>
            <w:noWrap/>
            <w:vAlign w:val="bottom"/>
            <w:hideMark/>
          </w:tcPr>
          <w:p w14:paraId="12114942"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24.888.069</w:t>
            </w:r>
          </w:p>
        </w:tc>
        <w:tc>
          <w:tcPr>
            <w:tcW w:w="1276" w:type="dxa"/>
            <w:tcBorders>
              <w:top w:val="nil"/>
              <w:left w:val="nil"/>
              <w:bottom w:val="single" w:sz="4" w:space="0" w:color="auto"/>
              <w:right w:val="single" w:sz="4" w:space="0" w:color="auto"/>
            </w:tcBorders>
            <w:shd w:val="clear" w:color="auto" w:fill="auto"/>
            <w:noWrap/>
            <w:vAlign w:val="bottom"/>
            <w:hideMark/>
          </w:tcPr>
          <w:p w14:paraId="3C342957"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56%</w:t>
            </w:r>
          </w:p>
        </w:tc>
        <w:tc>
          <w:tcPr>
            <w:tcW w:w="1984" w:type="dxa"/>
            <w:tcBorders>
              <w:top w:val="nil"/>
              <w:left w:val="nil"/>
              <w:bottom w:val="single" w:sz="4" w:space="0" w:color="auto"/>
              <w:right w:val="single" w:sz="4" w:space="0" w:color="auto"/>
            </w:tcBorders>
            <w:shd w:val="clear" w:color="auto" w:fill="auto"/>
            <w:noWrap/>
            <w:vAlign w:val="bottom"/>
            <w:hideMark/>
          </w:tcPr>
          <w:p w14:paraId="3822C992"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21.515.236</w:t>
            </w:r>
          </w:p>
        </w:tc>
        <w:tc>
          <w:tcPr>
            <w:tcW w:w="993" w:type="dxa"/>
            <w:tcBorders>
              <w:top w:val="nil"/>
              <w:left w:val="nil"/>
              <w:bottom w:val="single" w:sz="4" w:space="0" w:color="auto"/>
              <w:right w:val="single" w:sz="4" w:space="0" w:color="auto"/>
            </w:tcBorders>
            <w:shd w:val="clear" w:color="auto" w:fill="auto"/>
            <w:noWrap/>
            <w:vAlign w:val="bottom"/>
            <w:hideMark/>
          </w:tcPr>
          <w:p w14:paraId="299BAD26"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49%</w:t>
            </w:r>
          </w:p>
        </w:tc>
        <w:tc>
          <w:tcPr>
            <w:tcW w:w="1984" w:type="dxa"/>
            <w:tcBorders>
              <w:top w:val="nil"/>
              <w:left w:val="nil"/>
              <w:bottom w:val="single" w:sz="4" w:space="0" w:color="auto"/>
              <w:right w:val="single" w:sz="4" w:space="0" w:color="auto"/>
            </w:tcBorders>
            <w:shd w:val="clear" w:color="auto" w:fill="auto"/>
            <w:noWrap/>
            <w:vAlign w:val="bottom"/>
            <w:hideMark/>
          </w:tcPr>
          <w:p w14:paraId="544E4CBE"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1.712.721</w:t>
            </w:r>
          </w:p>
        </w:tc>
        <w:tc>
          <w:tcPr>
            <w:tcW w:w="709" w:type="dxa"/>
            <w:tcBorders>
              <w:top w:val="nil"/>
              <w:left w:val="nil"/>
              <w:bottom w:val="single" w:sz="4" w:space="0" w:color="auto"/>
              <w:right w:val="single" w:sz="4" w:space="0" w:color="auto"/>
            </w:tcBorders>
            <w:shd w:val="clear" w:color="auto" w:fill="auto"/>
            <w:noWrap/>
            <w:vAlign w:val="bottom"/>
            <w:hideMark/>
          </w:tcPr>
          <w:p w14:paraId="5AE2E8DE"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4%</w:t>
            </w:r>
          </w:p>
        </w:tc>
      </w:tr>
      <w:tr w:rsidR="00105179" w:rsidRPr="0050269E" w14:paraId="12C77700" w14:textId="77777777" w:rsidTr="00A7284C">
        <w:trPr>
          <w:trHeight w:val="299"/>
          <w:jc w:val="center"/>
        </w:trPr>
        <w:tc>
          <w:tcPr>
            <w:tcW w:w="910" w:type="dxa"/>
            <w:tcBorders>
              <w:top w:val="nil"/>
              <w:left w:val="single" w:sz="4" w:space="0" w:color="auto"/>
              <w:bottom w:val="single" w:sz="4" w:space="0" w:color="auto"/>
              <w:right w:val="single" w:sz="4" w:space="0" w:color="auto"/>
            </w:tcBorders>
            <w:shd w:val="clear" w:color="auto" w:fill="auto"/>
            <w:noWrap/>
            <w:vAlign w:val="bottom"/>
            <w:hideMark/>
          </w:tcPr>
          <w:p w14:paraId="4E3D2A24"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7</w:t>
            </w:r>
          </w:p>
        </w:tc>
        <w:tc>
          <w:tcPr>
            <w:tcW w:w="910" w:type="dxa"/>
            <w:tcBorders>
              <w:top w:val="nil"/>
              <w:left w:val="nil"/>
              <w:bottom w:val="single" w:sz="4" w:space="0" w:color="auto"/>
              <w:right w:val="single" w:sz="4" w:space="0" w:color="auto"/>
            </w:tcBorders>
            <w:shd w:val="clear" w:color="auto" w:fill="auto"/>
            <w:noWrap/>
            <w:vAlign w:val="bottom"/>
            <w:hideMark/>
          </w:tcPr>
          <w:p w14:paraId="1B867DB3"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ESO 4.12</w:t>
            </w:r>
          </w:p>
        </w:tc>
        <w:tc>
          <w:tcPr>
            <w:tcW w:w="910" w:type="dxa"/>
            <w:tcBorders>
              <w:top w:val="nil"/>
              <w:left w:val="nil"/>
              <w:bottom w:val="single" w:sz="4" w:space="0" w:color="auto"/>
              <w:right w:val="single" w:sz="4" w:space="0" w:color="auto"/>
            </w:tcBorders>
            <w:shd w:val="clear" w:color="auto" w:fill="auto"/>
            <w:noWrap/>
            <w:vAlign w:val="bottom"/>
            <w:hideMark/>
          </w:tcPr>
          <w:p w14:paraId="1190EE9B"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ESS+</w:t>
            </w:r>
          </w:p>
        </w:tc>
        <w:tc>
          <w:tcPr>
            <w:tcW w:w="1330" w:type="dxa"/>
            <w:tcBorders>
              <w:top w:val="nil"/>
              <w:left w:val="nil"/>
              <w:bottom w:val="single" w:sz="4" w:space="0" w:color="auto"/>
              <w:right w:val="single" w:sz="4" w:space="0" w:color="auto"/>
            </w:tcBorders>
            <w:shd w:val="clear" w:color="auto" w:fill="auto"/>
            <w:noWrap/>
            <w:vAlign w:val="bottom"/>
            <w:hideMark/>
          </w:tcPr>
          <w:p w14:paraId="001E7B17"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Zahod</w:t>
            </w:r>
          </w:p>
        </w:tc>
        <w:tc>
          <w:tcPr>
            <w:tcW w:w="1747" w:type="dxa"/>
            <w:tcBorders>
              <w:top w:val="nil"/>
              <w:left w:val="nil"/>
              <w:bottom w:val="single" w:sz="4" w:space="0" w:color="auto"/>
              <w:right w:val="single" w:sz="4" w:space="0" w:color="auto"/>
            </w:tcBorders>
            <w:shd w:val="clear" w:color="auto" w:fill="auto"/>
            <w:noWrap/>
            <w:vAlign w:val="bottom"/>
            <w:hideMark/>
          </w:tcPr>
          <w:p w14:paraId="2C64DF79" w14:textId="77777777" w:rsidR="00105179" w:rsidRPr="00AB429E" w:rsidRDefault="00105179" w:rsidP="00105179">
            <w:pPr>
              <w:suppressAutoHyphens w:val="0"/>
              <w:autoSpaceDN/>
              <w:spacing w:after="0" w:line="240" w:lineRule="auto"/>
              <w:jc w:val="right"/>
              <w:rPr>
                <w:rFonts w:cs="Arial"/>
                <w:sz w:val="18"/>
                <w:szCs w:val="18"/>
              </w:rPr>
            </w:pPr>
            <w:r w:rsidRPr="00AB429E">
              <w:rPr>
                <w:rFonts w:cs="Arial"/>
                <w:sz w:val="18"/>
                <w:szCs w:val="18"/>
              </w:rPr>
              <w:t>16.559.482</w:t>
            </w:r>
          </w:p>
        </w:tc>
        <w:tc>
          <w:tcPr>
            <w:tcW w:w="2268" w:type="dxa"/>
            <w:tcBorders>
              <w:top w:val="nil"/>
              <w:left w:val="nil"/>
              <w:bottom w:val="single" w:sz="4" w:space="0" w:color="auto"/>
              <w:right w:val="single" w:sz="4" w:space="0" w:color="auto"/>
            </w:tcBorders>
            <w:shd w:val="clear" w:color="auto" w:fill="auto"/>
            <w:noWrap/>
            <w:vAlign w:val="bottom"/>
            <w:hideMark/>
          </w:tcPr>
          <w:p w14:paraId="34DDEEB0"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4.562.791</w:t>
            </w:r>
          </w:p>
        </w:tc>
        <w:tc>
          <w:tcPr>
            <w:tcW w:w="1276" w:type="dxa"/>
            <w:tcBorders>
              <w:top w:val="nil"/>
              <w:left w:val="nil"/>
              <w:bottom w:val="single" w:sz="4" w:space="0" w:color="auto"/>
              <w:right w:val="single" w:sz="4" w:space="0" w:color="auto"/>
            </w:tcBorders>
            <w:shd w:val="clear" w:color="auto" w:fill="auto"/>
            <w:noWrap/>
            <w:vAlign w:val="bottom"/>
            <w:hideMark/>
          </w:tcPr>
          <w:p w14:paraId="411AB3F9"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28%</w:t>
            </w:r>
          </w:p>
        </w:tc>
        <w:tc>
          <w:tcPr>
            <w:tcW w:w="1984" w:type="dxa"/>
            <w:tcBorders>
              <w:top w:val="nil"/>
              <w:left w:val="nil"/>
              <w:bottom w:val="single" w:sz="4" w:space="0" w:color="auto"/>
              <w:right w:val="single" w:sz="4" w:space="0" w:color="auto"/>
            </w:tcBorders>
            <w:shd w:val="clear" w:color="auto" w:fill="auto"/>
            <w:noWrap/>
            <w:vAlign w:val="bottom"/>
            <w:hideMark/>
          </w:tcPr>
          <w:p w14:paraId="38772FB9"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3.960.945</w:t>
            </w:r>
          </w:p>
        </w:tc>
        <w:tc>
          <w:tcPr>
            <w:tcW w:w="993" w:type="dxa"/>
            <w:tcBorders>
              <w:top w:val="nil"/>
              <w:left w:val="nil"/>
              <w:bottom w:val="single" w:sz="4" w:space="0" w:color="auto"/>
              <w:right w:val="single" w:sz="4" w:space="0" w:color="auto"/>
            </w:tcBorders>
            <w:shd w:val="clear" w:color="auto" w:fill="auto"/>
            <w:noWrap/>
            <w:vAlign w:val="bottom"/>
            <w:hideMark/>
          </w:tcPr>
          <w:p w14:paraId="4F6EA4FF"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24%</w:t>
            </w:r>
          </w:p>
        </w:tc>
        <w:tc>
          <w:tcPr>
            <w:tcW w:w="1984" w:type="dxa"/>
            <w:tcBorders>
              <w:top w:val="nil"/>
              <w:left w:val="nil"/>
              <w:bottom w:val="single" w:sz="4" w:space="0" w:color="auto"/>
              <w:right w:val="single" w:sz="4" w:space="0" w:color="auto"/>
            </w:tcBorders>
            <w:shd w:val="clear" w:color="auto" w:fill="auto"/>
            <w:noWrap/>
            <w:vAlign w:val="bottom"/>
            <w:hideMark/>
          </w:tcPr>
          <w:p w14:paraId="62BCADD7"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165.584</w:t>
            </w:r>
          </w:p>
        </w:tc>
        <w:tc>
          <w:tcPr>
            <w:tcW w:w="709" w:type="dxa"/>
            <w:tcBorders>
              <w:top w:val="nil"/>
              <w:left w:val="nil"/>
              <w:bottom w:val="single" w:sz="4" w:space="0" w:color="auto"/>
              <w:right w:val="single" w:sz="4" w:space="0" w:color="auto"/>
            </w:tcBorders>
            <w:shd w:val="clear" w:color="auto" w:fill="auto"/>
            <w:noWrap/>
            <w:vAlign w:val="bottom"/>
            <w:hideMark/>
          </w:tcPr>
          <w:p w14:paraId="7B65FDD3"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1%</w:t>
            </w:r>
          </w:p>
        </w:tc>
      </w:tr>
      <w:tr w:rsidR="00105179" w:rsidRPr="0050269E" w14:paraId="43FFC409" w14:textId="77777777" w:rsidTr="00A7284C">
        <w:trPr>
          <w:trHeight w:val="299"/>
          <w:jc w:val="center"/>
        </w:trPr>
        <w:tc>
          <w:tcPr>
            <w:tcW w:w="910" w:type="dxa"/>
            <w:tcBorders>
              <w:top w:val="nil"/>
              <w:left w:val="single" w:sz="4" w:space="0" w:color="auto"/>
              <w:bottom w:val="single" w:sz="4" w:space="0" w:color="auto"/>
              <w:right w:val="single" w:sz="4" w:space="0" w:color="auto"/>
            </w:tcBorders>
            <w:shd w:val="clear" w:color="auto" w:fill="auto"/>
            <w:noWrap/>
            <w:vAlign w:val="bottom"/>
            <w:hideMark/>
          </w:tcPr>
          <w:p w14:paraId="092CEB7B"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7</w:t>
            </w:r>
          </w:p>
        </w:tc>
        <w:tc>
          <w:tcPr>
            <w:tcW w:w="910" w:type="dxa"/>
            <w:tcBorders>
              <w:top w:val="nil"/>
              <w:left w:val="nil"/>
              <w:bottom w:val="single" w:sz="4" w:space="0" w:color="auto"/>
              <w:right w:val="single" w:sz="4" w:space="0" w:color="auto"/>
            </w:tcBorders>
            <w:shd w:val="clear" w:color="auto" w:fill="auto"/>
            <w:noWrap/>
            <w:vAlign w:val="bottom"/>
            <w:hideMark/>
          </w:tcPr>
          <w:p w14:paraId="1B52952B"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ESO 4.8</w:t>
            </w:r>
          </w:p>
        </w:tc>
        <w:tc>
          <w:tcPr>
            <w:tcW w:w="910" w:type="dxa"/>
            <w:tcBorders>
              <w:top w:val="nil"/>
              <w:left w:val="nil"/>
              <w:bottom w:val="single" w:sz="4" w:space="0" w:color="auto"/>
              <w:right w:val="single" w:sz="4" w:space="0" w:color="auto"/>
            </w:tcBorders>
            <w:shd w:val="clear" w:color="auto" w:fill="auto"/>
            <w:noWrap/>
            <w:vAlign w:val="bottom"/>
            <w:hideMark/>
          </w:tcPr>
          <w:p w14:paraId="4A315109"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ESS+</w:t>
            </w:r>
          </w:p>
        </w:tc>
        <w:tc>
          <w:tcPr>
            <w:tcW w:w="1330" w:type="dxa"/>
            <w:tcBorders>
              <w:top w:val="nil"/>
              <w:left w:val="nil"/>
              <w:bottom w:val="single" w:sz="4" w:space="0" w:color="auto"/>
              <w:right w:val="single" w:sz="4" w:space="0" w:color="auto"/>
            </w:tcBorders>
            <w:shd w:val="clear" w:color="auto" w:fill="auto"/>
            <w:noWrap/>
            <w:vAlign w:val="bottom"/>
            <w:hideMark/>
          </w:tcPr>
          <w:p w14:paraId="60FEABDF"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Vzhod</w:t>
            </w:r>
          </w:p>
        </w:tc>
        <w:tc>
          <w:tcPr>
            <w:tcW w:w="1747" w:type="dxa"/>
            <w:tcBorders>
              <w:top w:val="nil"/>
              <w:left w:val="nil"/>
              <w:bottom w:val="single" w:sz="4" w:space="0" w:color="auto"/>
              <w:right w:val="single" w:sz="4" w:space="0" w:color="auto"/>
            </w:tcBorders>
            <w:shd w:val="clear" w:color="auto" w:fill="auto"/>
            <w:noWrap/>
            <w:vAlign w:val="bottom"/>
            <w:hideMark/>
          </w:tcPr>
          <w:p w14:paraId="25146F8B" w14:textId="77777777" w:rsidR="00105179" w:rsidRPr="00AB429E" w:rsidRDefault="00105179" w:rsidP="00105179">
            <w:pPr>
              <w:suppressAutoHyphens w:val="0"/>
              <w:autoSpaceDN/>
              <w:spacing w:after="0" w:line="240" w:lineRule="auto"/>
              <w:jc w:val="right"/>
              <w:rPr>
                <w:rFonts w:cs="Arial"/>
                <w:sz w:val="18"/>
                <w:szCs w:val="18"/>
              </w:rPr>
            </w:pPr>
            <w:r w:rsidRPr="00AB429E">
              <w:rPr>
                <w:rFonts w:cs="Arial"/>
                <w:sz w:val="18"/>
                <w:szCs w:val="18"/>
              </w:rPr>
              <w:t>28.800.000</w:t>
            </w:r>
          </w:p>
        </w:tc>
        <w:tc>
          <w:tcPr>
            <w:tcW w:w="2268" w:type="dxa"/>
            <w:tcBorders>
              <w:top w:val="nil"/>
              <w:left w:val="nil"/>
              <w:bottom w:val="single" w:sz="4" w:space="0" w:color="auto"/>
              <w:right w:val="single" w:sz="4" w:space="0" w:color="auto"/>
            </w:tcBorders>
            <w:shd w:val="clear" w:color="auto" w:fill="auto"/>
            <w:noWrap/>
            <w:vAlign w:val="bottom"/>
            <w:hideMark/>
          </w:tcPr>
          <w:p w14:paraId="1C07DFB2"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24.605.216</w:t>
            </w:r>
          </w:p>
        </w:tc>
        <w:tc>
          <w:tcPr>
            <w:tcW w:w="1276" w:type="dxa"/>
            <w:tcBorders>
              <w:top w:val="nil"/>
              <w:left w:val="nil"/>
              <w:bottom w:val="single" w:sz="4" w:space="0" w:color="auto"/>
              <w:right w:val="single" w:sz="4" w:space="0" w:color="auto"/>
            </w:tcBorders>
            <w:shd w:val="clear" w:color="auto" w:fill="auto"/>
            <w:noWrap/>
            <w:vAlign w:val="bottom"/>
            <w:hideMark/>
          </w:tcPr>
          <w:p w14:paraId="751D6BFA"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85%</w:t>
            </w:r>
          </w:p>
        </w:tc>
        <w:tc>
          <w:tcPr>
            <w:tcW w:w="1984" w:type="dxa"/>
            <w:tcBorders>
              <w:top w:val="nil"/>
              <w:left w:val="nil"/>
              <w:bottom w:val="single" w:sz="4" w:space="0" w:color="auto"/>
              <w:right w:val="single" w:sz="4" w:space="0" w:color="auto"/>
            </w:tcBorders>
            <w:shd w:val="clear" w:color="auto" w:fill="auto"/>
            <w:noWrap/>
            <w:vAlign w:val="bottom"/>
            <w:hideMark/>
          </w:tcPr>
          <w:p w14:paraId="04C45E7E"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22.565.222</w:t>
            </w:r>
          </w:p>
        </w:tc>
        <w:tc>
          <w:tcPr>
            <w:tcW w:w="993" w:type="dxa"/>
            <w:tcBorders>
              <w:top w:val="nil"/>
              <w:left w:val="nil"/>
              <w:bottom w:val="single" w:sz="4" w:space="0" w:color="auto"/>
              <w:right w:val="single" w:sz="4" w:space="0" w:color="auto"/>
            </w:tcBorders>
            <w:shd w:val="clear" w:color="auto" w:fill="auto"/>
            <w:noWrap/>
            <w:vAlign w:val="bottom"/>
            <w:hideMark/>
          </w:tcPr>
          <w:p w14:paraId="7C69C73C"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78%</w:t>
            </w:r>
          </w:p>
        </w:tc>
        <w:tc>
          <w:tcPr>
            <w:tcW w:w="1984" w:type="dxa"/>
            <w:tcBorders>
              <w:top w:val="nil"/>
              <w:left w:val="nil"/>
              <w:bottom w:val="single" w:sz="4" w:space="0" w:color="auto"/>
              <w:right w:val="single" w:sz="4" w:space="0" w:color="auto"/>
            </w:tcBorders>
            <w:shd w:val="clear" w:color="auto" w:fill="auto"/>
            <w:noWrap/>
            <w:vAlign w:val="bottom"/>
            <w:hideMark/>
          </w:tcPr>
          <w:p w14:paraId="010D433C"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2.270.875</w:t>
            </w:r>
          </w:p>
        </w:tc>
        <w:tc>
          <w:tcPr>
            <w:tcW w:w="709" w:type="dxa"/>
            <w:tcBorders>
              <w:top w:val="nil"/>
              <w:left w:val="nil"/>
              <w:bottom w:val="single" w:sz="4" w:space="0" w:color="auto"/>
              <w:right w:val="single" w:sz="4" w:space="0" w:color="auto"/>
            </w:tcBorders>
            <w:shd w:val="clear" w:color="auto" w:fill="auto"/>
            <w:noWrap/>
            <w:vAlign w:val="bottom"/>
            <w:hideMark/>
          </w:tcPr>
          <w:p w14:paraId="74D900C7"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8%</w:t>
            </w:r>
          </w:p>
        </w:tc>
      </w:tr>
      <w:tr w:rsidR="00105179" w:rsidRPr="0050269E" w14:paraId="214B0837" w14:textId="77777777" w:rsidTr="00A7284C">
        <w:trPr>
          <w:trHeight w:val="299"/>
          <w:jc w:val="center"/>
        </w:trPr>
        <w:tc>
          <w:tcPr>
            <w:tcW w:w="910" w:type="dxa"/>
            <w:tcBorders>
              <w:top w:val="nil"/>
              <w:left w:val="single" w:sz="4" w:space="0" w:color="auto"/>
              <w:bottom w:val="single" w:sz="4" w:space="0" w:color="auto"/>
              <w:right w:val="single" w:sz="4" w:space="0" w:color="auto"/>
            </w:tcBorders>
            <w:shd w:val="clear" w:color="auto" w:fill="auto"/>
            <w:noWrap/>
            <w:vAlign w:val="bottom"/>
            <w:hideMark/>
          </w:tcPr>
          <w:p w14:paraId="4610684F"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7</w:t>
            </w:r>
          </w:p>
        </w:tc>
        <w:tc>
          <w:tcPr>
            <w:tcW w:w="910" w:type="dxa"/>
            <w:tcBorders>
              <w:top w:val="nil"/>
              <w:left w:val="nil"/>
              <w:bottom w:val="single" w:sz="4" w:space="0" w:color="auto"/>
              <w:right w:val="single" w:sz="4" w:space="0" w:color="auto"/>
            </w:tcBorders>
            <w:shd w:val="clear" w:color="auto" w:fill="auto"/>
            <w:noWrap/>
            <w:vAlign w:val="bottom"/>
            <w:hideMark/>
          </w:tcPr>
          <w:p w14:paraId="7E7E6CC5"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ESO 4.8</w:t>
            </w:r>
          </w:p>
        </w:tc>
        <w:tc>
          <w:tcPr>
            <w:tcW w:w="910" w:type="dxa"/>
            <w:tcBorders>
              <w:top w:val="nil"/>
              <w:left w:val="nil"/>
              <w:bottom w:val="single" w:sz="4" w:space="0" w:color="auto"/>
              <w:right w:val="single" w:sz="4" w:space="0" w:color="auto"/>
            </w:tcBorders>
            <w:shd w:val="clear" w:color="auto" w:fill="auto"/>
            <w:noWrap/>
            <w:vAlign w:val="bottom"/>
            <w:hideMark/>
          </w:tcPr>
          <w:p w14:paraId="531FCC1C"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ESS+</w:t>
            </w:r>
          </w:p>
        </w:tc>
        <w:tc>
          <w:tcPr>
            <w:tcW w:w="1330" w:type="dxa"/>
            <w:tcBorders>
              <w:top w:val="nil"/>
              <w:left w:val="nil"/>
              <w:bottom w:val="single" w:sz="4" w:space="0" w:color="auto"/>
              <w:right w:val="single" w:sz="4" w:space="0" w:color="auto"/>
            </w:tcBorders>
            <w:shd w:val="clear" w:color="auto" w:fill="auto"/>
            <w:noWrap/>
            <w:vAlign w:val="bottom"/>
            <w:hideMark/>
          </w:tcPr>
          <w:p w14:paraId="05E62278"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Zahod</w:t>
            </w:r>
          </w:p>
        </w:tc>
        <w:tc>
          <w:tcPr>
            <w:tcW w:w="1747" w:type="dxa"/>
            <w:tcBorders>
              <w:top w:val="nil"/>
              <w:left w:val="nil"/>
              <w:bottom w:val="single" w:sz="4" w:space="0" w:color="auto"/>
              <w:right w:val="single" w:sz="4" w:space="0" w:color="auto"/>
            </w:tcBorders>
            <w:shd w:val="clear" w:color="auto" w:fill="auto"/>
            <w:noWrap/>
            <w:vAlign w:val="bottom"/>
            <w:hideMark/>
          </w:tcPr>
          <w:p w14:paraId="68C51654" w14:textId="77777777" w:rsidR="00105179" w:rsidRPr="00AB429E" w:rsidRDefault="00105179" w:rsidP="00105179">
            <w:pPr>
              <w:suppressAutoHyphens w:val="0"/>
              <w:autoSpaceDN/>
              <w:spacing w:after="0" w:line="240" w:lineRule="auto"/>
              <w:jc w:val="right"/>
              <w:rPr>
                <w:rFonts w:cs="Arial"/>
                <w:sz w:val="18"/>
                <w:szCs w:val="18"/>
              </w:rPr>
            </w:pPr>
            <w:r w:rsidRPr="00AB429E">
              <w:rPr>
                <w:rFonts w:cs="Arial"/>
                <w:sz w:val="18"/>
                <w:szCs w:val="18"/>
              </w:rPr>
              <w:t>7.140.000</w:t>
            </w:r>
          </w:p>
        </w:tc>
        <w:tc>
          <w:tcPr>
            <w:tcW w:w="2268" w:type="dxa"/>
            <w:tcBorders>
              <w:top w:val="nil"/>
              <w:left w:val="nil"/>
              <w:bottom w:val="single" w:sz="4" w:space="0" w:color="auto"/>
              <w:right w:val="single" w:sz="4" w:space="0" w:color="auto"/>
            </w:tcBorders>
            <w:shd w:val="clear" w:color="auto" w:fill="auto"/>
            <w:noWrap/>
            <w:vAlign w:val="bottom"/>
            <w:hideMark/>
          </w:tcPr>
          <w:p w14:paraId="6BF69251"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5.621.025</w:t>
            </w:r>
          </w:p>
        </w:tc>
        <w:tc>
          <w:tcPr>
            <w:tcW w:w="1276" w:type="dxa"/>
            <w:tcBorders>
              <w:top w:val="nil"/>
              <w:left w:val="nil"/>
              <w:bottom w:val="single" w:sz="4" w:space="0" w:color="auto"/>
              <w:right w:val="single" w:sz="4" w:space="0" w:color="auto"/>
            </w:tcBorders>
            <w:shd w:val="clear" w:color="auto" w:fill="auto"/>
            <w:noWrap/>
            <w:vAlign w:val="bottom"/>
            <w:hideMark/>
          </w:tcPr>
          <w:p w14:paraId="6D582CA7"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79%</w:t>
            </w:r>
          </w:p>
        </w:tc>
        <w:tc>
          <w:tcPr>
            <w:tcW w:w="1984" w:type="dxa"/>
            <w:tcBorders>
              <w:top w:val="nil"/>
              <w:left w:val="nil"/>
              <w:bottom w:val="single" w:sz="4" w:space="0" w:color="auto"/>
              <w:right w:val="single" w:sz="4" w:space="0" w:color="auto"/>
            </w:tcBorders>
            <w:shd w:val="clear" w:color="auto" w:fill="auto"/>
            <w:noWrap/>
            <w:vAlign w:val="bottom"/>
            <w:hideMark/>
          </w:tcPr>
          <w:p w14:paraId="6AB5ECFD"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4.341.033</w:t>
            </w:r>
          </w:p>
        </w:tc>
        <w:tc>
          <w:tcPr>
            <w:tcW w:w="993" w:type="dxa"/>
            <w:tcBorders>
              <w:top w:val="nil"/>
              <w:left w:val="nil"/>
              <w:bottom w:val="single" w:sz="4" w:space="0" w:color="auto"/>
              <w:right w:val="single" w:sz="4" w:space="0" w:color="auto"/>
            </w:tcBorders>
            <w:shd w:val="clear" w:color="auto" w:fill="auto"/>
            <w:noWrap/>
            <w:vAlign w:val="bottom"/>
            <w:hideMark/>
          </w:tcPr>
          <w:p w14:paraId="60519C85"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61%</w:t>
            </w:r>
          </w:p>
        </w:tc>
        <w:tc>
          <w:tcPr>
            <w:tcW w:w="1984" w:type="dxa"/>
            <w:tcBorders>
              <w:top w:val="nil"/>
              <w:left w:val="nil"/>
              <w:bottom w:val="single" w:sz="4" w:space="0" w:color="auto"/>
              <w:right w:val="single" w:sz="4" w:space="0" w:color="auto"/>
            </w:tcBorders>
            <w:shd w:val="clear" w:color="auto" w:fill="auto"/>
            <w:noWrap/>
            <w:vAlign w:val="bottom"/>
            <w:hideMark/>
          </w:tcPr>
          <w:p w14:paraId="35EE88C3"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587.716</w:t>
            </w:r>
          </w:p>
        </w:tc>
        <w:tc>
          <w:tcPr>
            <w:tcW w:w="709" w:type="dxa"/>
            <w:tcBorders>
              <w:top w:val="nil"/>
              <w:left w:val="nil"/>
              <w:bottom w:val="single" w:sz="4" w:space="0" w:color="auto"/>
              <w:right w:val="single" w:sz="4" w:space="0" w:color="auto"/>
            </w:tcBorders>
            <w:shd w:val="clear" w:color="auto" w:fill="auto"/>
            <w:noWrap/>
            <w:vAlign w:val="bottom"/>
            <w:hideMark/>
          </w:tcPr>
          <w:p w14:paraId="1B0170A4"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8%</w:t>
            </w:r>
          </w:p>
        </w:tc>
      </w:tr>
      <w:tr w:rsidR="00105179" w:rsidRPr="0050269E" w14:paraId="747C1368" w14:textId="77777777" w:rsidTr="00A7284C">
        <w:trPr>
          <w:trHeight w:val="299"/>
          <w:jc w:val="center"/>
        </w:trPr>
        <w:tc>
          <w:tcPr>
            <w:tcW w:w="910" w:type="dxa"/>
            <w:tcBorders>
              <w:top w:val="nil"/>
              <w:left w:val="single" w:sz="4" w:space="0" w:color="auto"/>
              <w:bottom w:val="single" w:sz="4" w:space="0" w:color="auto"/>
              <w:right w:val="single" w:sz="4" w:space="0" w:color="auto"/>
            </w:tcBorders>
            <w:shd w:val="clear" w:color="auto" w:fill="auto"/>
            <w:noWrap/>
            <w:vAlign w:val="bottom"/>
            <w:hideMark/>
          </w:tcPr>
          <w:p w14:paraId="5686E824"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7</w:t>
            </w:r>
          </w:p>
        </w:tc>
        <w:tc>
          <w:tcPr>
            <w:tcW w:w="910" w:type="dxa"/>
            <w:tcBorders>
              <w:top w:val="nil"/>
              <w:left w:val="nil"/>
              <w:bottom w:val="single" w:sz="4" w:space="0" w:color="auto"/>
              <w:right w:val="single" w:sz="4" w:space="0" w:color="auto"/>
            </w:tcBorders>
            <w:shd w:val="clear" w:color="auto" w:fill="auto"/>
            <w:noWrap/>
            <w:vAlign w:val="bottom"/>
            <w:hideMark/>
          </w:tcPr>
          <w:p w14:paraId="108495D5"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RSO 4.3</w:t>
            </w:r>
          </w:p>
        </w:tc>
        <w:tc>
          <w:tcPr>
            <w:tcW w:w="910" w:type="dxa"/>
            <w:tcBorders>
              <w:top w:val="nil"/>
              <w:left w:val="nil"/>
              <w:bottom w:val="single" w:sz="4" w:space="0" w:color="auto"/>
              <w:right w:val="single" w:sz="4" w:space="0" w:color="auto"/>
            </w:tcBorders>
            <w:shd w:val="clear" w:color="auto" w:fill="auto"/>
            <w:noWrap/>
            <w:vAlign w:val="bottom"/>
            <w:hideMark/>
          </w:tcPr>
          <w:p w14:paraId="4974BD4F"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ESRR</w:t>
            </w:r>
          </w:p>
        </w:tc>
        <w:tc>
          <w:tcPr>
            <w:tcW w:w="1330" w:type="dxa"/>
            <w:tcBorders>
              <w:top w:val="nil"/>
              <w:left w:val="nil"/>
              <w:bottom w:val="single" w:sz="4" w:space="0" w:color="auto"/>
              <w:right w:val="single" w:sz="4" w:space="0" w:color="auto"/>
            </w:tcBorders>
            <w:shd w:val="clear" w:color="auto" w:fill="auto"/>
            <w:noWrap/>
            <w:vAlign w:val="bottom"/>
            <w:hideMark/>
          </w:tcPr>
          <w:p w14:paraId="1E8F4AA1"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Vzhod</w:t>
            </w:r>
          </w:p>
        </w:tc>
        <w:tc>
          <w:tcPr>
            <w:tcW w:w="1747" w:type="dxa"/>
            <w:tcBorders>
              <w:top w:val="nil"/>
              <w:left w:val="nil"/>
              <w:bottom w:val="single" w:sz="4" w:space="0" w:color="auto"/>
              <w:right w:val="single" w:sz="4" w:space="0" w:color="auto"/>
            </w:tcBorders>
            <w:shd w:val="clear" w:color="auto" w:fill="auto"/>
            <w:noWrap/>
            <w:vAlign w:val="bottom"/>
            <w:hideMark/>
          </w:tcPr>
          <w:p w14:paraId="7A2ECE8A" w14:textId="77777777" w:rsidR="00105179" w:rsidRPr="00AB429E" w:rsidRDefault="00105179" w:rsidP="00105179">
            <w:pPr>
              <w:suppressAutoHyphens w:val="0"/>
              <w:autoSpaceDN/>
              <w:spacing w:after="0" w:line="240" w:lineRule="auto"/>
              <w:jc w:val="right"/>
              <w:rPr>
                <w:rFonts w:cs="Arial"/>
                <w:sz w:val="18"/>
                <w:szCs w:val="18"/>
              </w:rPr>
            </w:pPr>
            <w:r w:rsidRPr="00AB429E">
              <w:rPr>
                <w:rFonts w:cs="Arial"/>
                <w:sz w:val="18"/>
                <w:szCs w:val="18"/>
              </w:rPr>
              <w:t>18.650.000</w:t>
            </w:r>
          </w:p>
        </w:tc>
        <w:tc>
          <w:tcPr>
            <w:tcW w:w="2268" w:type="dxa"/>
            <w:tcBorders>
              <w:top w:val="nil"/>
              <w:left w:val="nil"/>
              <w:bottom w:val="single" w:sz="4" w:space="0" w:color="auto"/>
              <w:right w:val="single" w:sz="4" w:space="0" w:color="auto"/>
            </w:tcBorders>
            <w:shd w:val="clear" w:color="auto" w:fill="auto"/>
            <w:noWrap/>
            <w:vAlign w:val="bottom"/>
            <w:hideMark/>
          </w:tcPr>
          <w:p w14:paraId="70B66BFB"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bottom"/>
            <w:hideMark/>
          </w:tcPr>
          <w:p w14:paraId="21597319"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1984" w:type="dxa"/>
            <w:tcBorders>
              <w:top w:val="nil"/>
              <w:left w:val="nil"/>
              <w:bottom w:val="single" w:sz="4" w:space="0" w:color="auto"/>
              <w:right w:val="single" w:sz="4" w:space="0" w:color="auto"/>
            </w:tcBorders>
            <w:shd w:val="clear" w:color="auto" w:fill="auto"/>
            <w:noWrap/>
            <w:vAlign w:val="bottom"/>
            <w:hideMark/>
          </w:tcPr>
          <w:p w14:paraId="7FA143BF"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993" w:type="dxa"/>
            <w:tcBorders>
              <w:top w:val="nil"/>
              <w:left w:val="nil"/>
              <w:bottom w:val="single" w:sz="4" w:space="0" w:color="auto"/>
              <w:right w:val="single" w:sz="4" w:space="0" w:color="auto"/>
            </w:tcBorders>
            <w:shd w:val="clear" w:color="auto" w:fill="auto"/>
            <w:noWrap/>
            <w:vAlign w:val="bottom"/>
            <w:hideMark/>
          </w:tcPr>
          <w:p w14:paraId="68B0E308"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1984" w:type="dxa"/>
            <w:tcBorders>
              <w:top w:val="nil"/>
              <w:left w:val="nil"/>
              <w:bottom w:val="single" w:sz="4" w:space="0" w:color="auto"/>
              <w:right w:val="single" w:sz="4" w:space="0" w:color="auto"/>
            </w:tcBorders>
            <w:shd w:val="clear" w:color="auto" w:fill="auto"/>
            <w:noWrap/>
            <w:vAlign w:val="bottom"/>
            <w:hideMark/>
          </w:tcPr>
          <w:p w14:paraId="6502926E"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709" w:type="dxa"/>
            <w:tcBorders>
              <w:top w:val="nil"/>
              <w:left w:val="nil"/>
              <w:bottom w:val="single" w:sz="4" w:space="0" w:color="auto"/>
              <w:right w:val="single" w:sz="4" w:space="0" w:color="auto"/>
            </w:tcBorders>
            <w:shd w:val="clear" w:color="auto" w:fill="auto"/>
            <w:noWrap/>
            <w:vAlign w:val="bottom"/>
            <w:hideMark/>
          </w:tcPr>
          <w:p w14:paraId="2EB86EB6"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r>
      <w:tr w:rsidR="00105179" w:rsidRPr="0050269E" w14:paraId="60547DBE" w14:textId="77777777" w:rsidTr="00A7284C">
        <w:trPr>
          <w:trHeight w:val="299"/>
          <w:jc w:val="center"/>
        </w:trPr>
        <w:tc>
          <w:tcPr>
            <w:tcW w:w="910" w:type="dxa"/>
            <w:tcBorders>
              <w:top w:val="nil"/>
              <w:left w:val="single" w:sz="4" w:space="0" w:color="auto"/>
              <w:bottom w:val="single" w:sz="4" w:space="0" w:color="auto"/>
              <w:right w:val="single" w:sz="4" w:space="0" w:color="auto"/>
            </w:tcBorders>
            <w:shd w:val="clear" w:color="auto" w:fill="auto"/>
            <w:noWrap/>
            <w:vAlign w:val="bottom"/>
            <w:hideMark/>
          </w:tcPr>
          <w:p w14:paraId="57016E12"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7</w:t>
            </w:r>
          </w:p>
        </w:tc>
        <w:tc>
          <w:tcPr>
            <w:tcW w:w="910" w:type="dxa"/>
            <w:tcBorders>
              <w:top w:val="nil"/>
              <w:left w:val="nil"/>
              <w:bottom w:val="single" w:sz="4" w:space="0" w:color="auto"/>
              <w:right w:val="single" w:sz="4" w:space="0" w:color="auto"/>
            </w:tcBorders>
            <w:shd w:val="clear" w:color="auto" w:fill="auto"/>
            <w:noWrap/>
            <w:vAlign w:val="bottom"/>
            <w:hideMark/>
          </w:tcPr>
          <w:p w14:paraId="6CE89AF4"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RSO 4.5</w:t>
            </w:r>
          </w:p>
        </w:tc>
        <w:tc>
          <w:tcPr>
            <w:tcW w:w="910" w:type="dxa"/>
            <w:tcBorders>
              <w:top w:val="nil"/>
              <w:left w:val="nil"/>
              <w:bottom w:val="single" w:sz="4" w:space="0" w:color="auto"/>
              <w:right w:val="single" w:sz="4" w:space="0" w:color="auto"/>
            </w:tcBorders>
            <w:shd w:val="clear" w:color="auto" w:fill="auto"/>
            <w:noWrap/>
            <w:vAlign w:val="bottom"/>
            <w:hideMark/>
          </w:tcPr>
          <w:p w14:paraId="328D6A7E"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ESRR</w:t>
            </w:r>
          </w:p>
        </w:tc>
        <w:tc>
          <w:tcPr>
            <w:tcW w:w="1330" w:type="dxa"/>
            <w:tcBorders>
              <w:top w:val="nil"/>
              <w:left w:val="nil"/>
              <w:bottom w:val="single" w:sz="4" w:space="0" w:color="auto"/>
              <w:right w:val="single" w:sz="4" w:space="0" w:color="auto"/>
            </w:tcBorders>
            <w:shd w:val="clear" w:color="auto" w:fill="auto"/>
            <w:noWrap/>
            <w:vAlign w:val="bottom"/>
            <w:hideMark/>
          </w:tcPr>
          <w:p w14:paraId="763B3452"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Vzhod</w:t>
            </w:r>
          </w:p>
        </w:tc>
        <w:tc>
          <w:tcPr>
            <w:tcW w:w="1747" w:type="dxa"/>
            <w:tcBorders>
              <w:top w:val="nil"/>
              <w:left w:val="nil"/>
              <w:bottom w:val="single" w:sz="4" w:space="0" w:color="auto"/>
              <w:right w:val="single" w:sz="4" w:space="0" w:color="auto"/>
            </w:tcBorders>
            <w:shd w:val="clear" w:color="auto" w:fill="auto"/>
            <w:noWrap/>
            <w:vAlign w:val="bottom"/>
            <w:hideMark/>
          </w:tcPr>
          <w:p w14:paraId="585311BE" w14:textId="77777777" w:rsidR="00105179" w:rsidRPr="00AB429E" w:rsidRDefault="00105179" w:rsidP="00105179">
            <w:pPr>
              <w:suppressAutoHyphens w:val="0"/>
              <w:autoSpaceDN/>
              <w:spacing w:after="0" w:line="240" w:lineRule="auto"/>
              <w:jc w:val="right"/>
              <w:rPr>
                <w:rFonts w:cs="Arial"/>
                <w:sz w:val="18"/>
                <w:szCs w:val="18"/>
              </w:rPr>
            </w:pPr>
            <w:r w:rsidRPr="00AB429E">
              <w:rPr>
                <w:rFonts w:cs="Arial"/>
                <w:sz w:val="18"/>
                <w:szCs w:val="18"/>
              </w:rPr>
              <w:t>58.780.000</w:t>
            </w:r>
          </w:p>
        </w:tc>
        <w:tc>
          <w:tcPr>
            <w:tcW w:w="2268" w:type="dxa"/>
            <w:tcBorders>
              <w:top w:val="nil"/>
              <w:left w:val="nil"/>
              <w:bottom w:val="single" w:sz="4" w:space="0" w:color="auto"/>
              <w:right w:val="single" w:sz="4" w:space="0" w:color="auto"/>
            </w:tcBorders>
            <w:shd w:val="clear" w:color="auto" w:fill="auto"/>
            <w:noWrap/>
            <w:vAlign w:val="bottom"/>
            <w:hideMark/>
          </w:tcPr>
          <w:p w14:paraId="05DC8BDB"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bottom"/>
            <w:hideMark/>
          </w:tcPr>
          <w:p w14:paraId="78EDFE43"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1984" w:type="dxa"/>
            <w:tcBorders>
              <w:top w:val="nil"/>
              <w:left w:val="nil"/>
              <w:bottom w:val="single" w:sz="4" w:space="0" w:color="auto"/>
              <w:right w:val="single" w:sz="4" w:space="0" w:color="auto"/>
            </w:tcBorders>
            <w:shd w:val="clear" w:color="auto" w:fill="auto"/>
            <w:noWrap/>
            <w:vAlign w:val="bottom"/>
            <w:hideMark/>
          </w:tcPr>
          <w:p w14:paraId="5D4048E6"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993" w:type="dxa"/>
            <w:tcBorders>
              <w:top w:val="nil"/>
              <w:left w:val="nil"/>
              <w:bottom w:val="single" w:sz="4" w:space="0" w:color="auto"/>
              <w:right w:val="single" w:sz="4" w:space="0" w:color="auto"/>
            </w:tcBorders>
            <w:shd w:val="clear" w:color="auto" w:fill="auto"/>
            <w:noWrap/>
            <w:vAlign w:val="bottom"/>
            <w:hideMark/>
          </w:tcPr>
          <w:p w14:paraId="06398370"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1984" w:type="dxa"/>
            <w:tcBorders>
              <w:top w:val="nil"/>
              <w:left w:val="nil"/>
              <w:bottom w:val="single" w:sz="4" w:space="0" w:color="auto"/>
              <w:right w:val="single" w:sz="4" w:space="0" w:color="auto"/>
            </w:tcBorders>
            <w:shd w:val="clear" w:color="auto" w:fill="auto"/>
            <w:noWrap/>
            <w:vAlign w:val="bottom"/>
            <w:hideMark/>
          </w:tcPr>
          <w:p w14:paraId="67741808"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709" w:type="dxa"/>
            <w:tcBorders>
              <w:top w:val="nil"/>
              <w:left w:val="nil"/>
              <w:bottom w:val="single" w:sz="4" w:space="0" w:color="auto"/>
              <w:right w:val="single" w:sz="4" w:space="0" w:color="auto"/>
            </w:tcBorders>
            <w:shd w:val="clear" w:color="auto" w:fill="auto"/>
            <w:noWrap/>
            <w:vAlign w:val="bottom"/>
            <w:hideMark/>
          </w:tcPr>
          <w:p w14:paraId="6BCADB85"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r>
      <w:tr w:rsidR="00105179" w:rsidRPr="0050269E" w14:paraId="15FA0B3C" w14:textId="77777777" w:rsidTr="00A7284C">
        <w:trPr>
          <w:trHeight w:val="299"/>
          <w:jc w:val="center"/>
        </w:trPr>
        <w:tc>
          <w:tcPr>
            <w:tcW w:w="910" w:type="dxa"/>
            <w:tcBorders>
              <w:top w:val="nil"/>
              <w:left w:val="single" w:sz="4" w:space="0" w:color="auto"/>
              <w:bottom w:val="single" w:sz="4" w:space="0" w:color="auto"/>
              <w:right w:val="single" w:sz="4" w:space="0" w:color="auto"/>
            </w:tcBorders>
            <w:shd w:val="clear" w:color="auto" w:fill="auto"/>
            <w:noWrap/>
            <w:vAlign w:val="bottom"/>
            <w:hideMark/>
          </w:tcPr>
          <w:p w14:paraId="2468C8C1"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8</w:t>
            </w:r>
          </w:p>
        </w:tc>
        <w:tc>
          <w:tcPr>
            <w:tcW w:w="910" w:type="dxa"/>
            <w:tcBorders>
              <w:top w:val="nil"/>
              <w:left w:val="nil"/>
              <w:bottom w:val="single" w:sz="4" w:space="0" w:color="auto"/>
              <w:right w:val="single" w:sz="4" w:space="0" w:color="auto"/>
            </w:tcBorders>
            <w:shd w:val="clear" w:color="auto" w:fill="auto"/>
            <w:noWrap/>
            <w:vAlign w:val="bottom"/>
            <w:hideMark/>
          </w:tcPr>
          <w:p w14:paraId="62EA48B6"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RSO 4.6</w:t>
            </w:r>
          </w:p>
        </w:tc>
        <w:tc>
          <w:tcPr>
            <w:tcW w:w="910" w:type="dxa"/>
            <w:tcBorders>
              <w:top w:val="nil"/>
              <w:left w:val="nil"/>
              <w:bottom w:val="single" w:sz="4" w:space="0" w:color="auto"/>
              <w:right w:val="single" w:sz="4" w:space="0" w:color="auto"/>
            </w:tcBorders>
            <w:shd w:val="clear" w:color="auto" w:fill="auto"/>
            <w:noWrap/>
            <w:vAlign w:val="bottom"/>
            <w:hideMark/>
          </w:tcPr>
          <w:p w14:paraId="50F45B96"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ESRR</w:t>
            </w:r>
          </w:p>
        </w:tc>
        <w:tc>
          <w:tcPr>
            <w:tcW w:w="1330" w:type="dxa"/>
            <w:tcBorders>
              <w:top w:val="nil"/>
              <w:left w:val="nil"/>
              <w:bottom w:val="single" w:sz="4" w:space="0" w:color="auto"/>
              <w:right w:val="single" w:sz="4" w:space="0" w:color="auto"/>
            </w:tcBorders>
            <w:shd w:val="clear" w:color="auto" w:fill="auto"/>
            <w:noWrap/>
            <w:vAlign w:val="bottom"/>
            <w:hideMark/>
          </w:tcPr>
          <w:p w14:paraId="496A71CB"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Vzhod</w:t>
            </w:r>
          </w:p>
        </w:tc>
        <w:tc>
          <w:tcPr>
            <w:tcW w:w="1747" w:type="dxa"/>
            <w:tcBorders>
              <w:top w:val="nil"/>
              <w:left w:val="nil"/>
              <w:bottom w:val="single" w:sz="4" w:space="0" w:color="auto"/>
              <w:right w:val="single" w:sz="4" w:space="0" w:color="auto"/>
            </w:tcBorders>
            <w:shd w:val="clear" w:color="auto" w:fill="auto"/>
            <w:noWrap/>
            <w:vAlign w:val="bottom"/>
            <w:hideMark/>
          </w:tcPr>
          <w:p w14:paraId="139C4C98" w14:textId="77777777" w:rsidR="00105179" w:rsidRPr="00AB429E" w:rsidRDefault="00105179" w:rsidP="00105179">
            <w:pPr>
              <w:suppressAutoHyphens w:val="0"/>
              <w:autoSpaceDN/>
              <w:spacing w:after="0" w:line="240" w:lineRule="auto"/>
              <w:jc w:val="right"/>
              <w:rPr>
                <w:rFonts w:cs="Arial"/>
                <w:sz w:val="18"/>
                <w:szCs w:val="18"/>
              </w:rPr>
            </w:pPr>
            <w:r w:rsidRPr="00AB429E">
              <w:rPr>
                <w:rFonts w:cs="Arial"/>
                <w:sz w:val="18"/>
                <w:szCs w:val="18"/>
              </w:rPr>
              <w:t>19.661.752</w:t>
            </w:r>
          </w:p>
        </w:tc>
        <w:tc>
          <w:tcPr>
            <w:tcW w:w="2268" w:type="dxa"/>
            <w:tcBorders>
              <w:top w:val="nil"/>
              <w:left w:val="nil"/>
              <w:bottom w:val="single" w:sz="4" w:space="0" w:color="auto"/>
              <w:right w:val="single" w:sz="4" w:space="0" w:color="auto"/>
            </w:tcBorders>
            <w:shd w:val="clear" w:color="auto" w:fill="auto"/>
            <w:noWrap/>
            <w:vAlign w:val="bottom"/>
            <w:hideMark/>
          </w:tcPr>
          <w:p w14:paraId="6E332082"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13.804.652</w:t>
            </w:r>
          </w:p>
        </w:tc>
        <w:tc>
          <w:tcPr>
            <w:tcW w:w="1276" w:type="dxa"/>
            <w:tcBorders>
              <w:top w:val="nil"/>
              <w:left w:val="nil"/>
              <w:bottom w:val="single" w:sz="4" w:space="0" w:color="auto"/>
              <w:right w:val="single" w:sz="4" w:space="0" w:color="auto"/>
            </w:tcBorders>
            <w:shd w:val="clear" w:color="auto" w:fill="auto"/>
            <w:noWrap/>
            <w:vAlign w:val="bottom"/>
            <w:hideMark/>
          </w:tcPr>
          <w:p w14:paraId="3A730B65"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70%</w:t>
            </w:r>
          </w:p>
        </w:tc>
        <w:tc>
          <w:tcPr>
            <w:tcW w:w="1984" w:type="dxa"/>
            <w:tcBorders>
              <w:top w:val="nil"/>
              <w:left w:val="nil"/>
              <w:bottom w:val="single" w:sz="4" w:space="0" w:color="auto"/>
              <w:right w:val="single" w:sz="4" w:space="0" w:color="auto"/>
            </w:tcBorders>
            <w:shd w:val="clear" w:color="auto" w:fill="auto"/>
            <w:noWrap/>
            <w:vAlign w:val="bottom"/>
            <w:hideMark/>
          </w:tcPr>
          <w:p w14:paraId="6A88F862"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993" w:type="dxa"/>
            <w:tcBorders>
              <w:top w:val="nil"/>
              <w:left w:val="nil"/>
              <w:bottom w:val="single" w:sz="4" w:space="0" w:color="auto"/>
              <w:right w:val="single" w:sz="4" w:space="0" w:color="auto"/>
            </w:tcBorders>
            <w:shd w:val="clear" w:color="auto" w:fill="auto"/>
            <w:noWrap/>
            <w:vAlign w:val="bottom"/>
            <w:hideMark/>
          </w:tcPr>
          <w:p w14:paraId="23ADA783"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1984" w:type="dxa"/>
            <w:tcBorders>
              <w:top w:val="nil"/>
              <w:left w:val="nil"/>
              <w:bottom w:val="single" w:sz="4" w:space="0" w:color="auto"/>
              <w:right w:val="single" w:sz="4" w:space="0" w:color="auto"/>
            </w:tcBorders>
            <w:shd w:val="clear" w:color="auto" w:fill="auto"/>
            <w:noWrap/>
            <w:vAlign w:val="bottom"/>
            <w:hideMark/>
          </w:tcPr>
          <w:p w14:paraId="5800133F"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709" w:type="dxa"/>
            <w:tcBorders>
              <w:top w:val="nil"/>
              <w:left w:val="nil"/>
              <w:bottom w:val="single" w:sz="4" w:space="0" w:color="auto"/>
              <w:right w:val="single" w:sz="4" w:space="0" w:color="auto"/>
            </w:tcBorders>
            <w:shd w:val="clear" w:color="auto" w:fill="auto"/>
            <w:noWrap/>
            <w:vAlign w:val="bottom"/>
            <w:hideMark/>
          </w:tcPr>
          <w:p w14:paraId="15EF3CBE"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r>
      <w:tr w:rsidR="00105179" w:rsidRPr="0050269E" w14:paraId="591C74A9" w14:textId="77777777" w:rsidTr="00A7284C">
        <w:trPr>
          <w:trHeight w:val="299"/>
          <w:jc w:val="center"/>
        </w:trPr>
        <w:tc>
          <w:tcPr>
            <w:tcW w:w="910" w:type="dxa"/>
            <w:tcBorders>
              <w:top w:val="nil"/>
              <w:left w:val="single" w:sz="4" w:space="0" w:color="auto"/>
              <w:bottom w:val="single" w:sz="4" w:space="0" w:color="auto"/>
              <w:right w:val="single" w:sz="4" w:space="0" w:color="auto"/>
            </w:tcBorders>
            <w:shd w:val="clear" w:color="auto" w:fill="auto"/>
            <w:noWrap/>
            <w:vAlign w:val="bottom"/>
            <w:hideMark/>
          </w:tcPr>
          <w:p w14:paraId="348DB7D7"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9</w:t>
            </w:r>
          </w:p>
        </w:tc>
        <w:tc>
          <w:tcPr>
            <w:tcW w:w="910" w:type="dxa"/>
            <w:tcBorders>
              <w:top w:val="nil"/>
              <w:left w:val="nil"/>
              <w:bottom w:val="single" w:sz="4" w:space="0" w:color="auto"/>
              <w:right w:val="single" w:sz="4" w:space="0" w:color="auto"/>
            </w:tcBorders>
            <w:shd w:val="clear" w:color="auto" w:fill="auto"/>
            <w:noWrap/>
            <w:vAlign w:val="bottom"/>
            <w:hideMark/>
          </w:tcPr>
          <w:p w14:paraId="3BD2920A"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RSO 5.1</w:t>
            </w:r>
          </w:p>
        </w:tc>
        <w:tc>
          <w:tcPr>
            <w:tcW w:w="910" w:type="dxa"/>
            <w:tcBorders>
              <w:top w:val="nil"/>
              <w:left w:val="nil"/>
              <w:bottom w:val="single" w:sz="4" w:space="0" w:color="auto"/>
              <w:right w:val="single" w:sz="4" w:space="0" w:color="auto"/>
            </w:tcBorders>
            <w:shd w:val="clear" w:color="auto" w:fill="auto"/>
            <w:noWrap/>
            <w:vAlign w:val="bottom"/>
            <w:hideMark/>
          </w:tcPr>
          <w:p w14:paraId="183968CB"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ESRR</w:t>
            </w:r>
          </w:p>
        </w:tc>
        <w:tc>
          <w:tcPr>
            <w:tcW w:w="1330" w:type="dxa"/>
            <w:tcBorders>
              <w:top w:val="nil"/>
              <w:left w:val="nil"/>
              <w:bottom w:val="single" w:sz="4" w:space="0" w:color="auto"/>
              <w:right w:val="single" w:sz="4" w:space="0" w:color="auto"/>
            </w:tcBorders>
            <w:shd w:val="clear" w:color="auto" w:fill="auto"/>
            <w:noWrap/>
            <w:vAlign w:val="bottom"/>
            <w:hideMark/>
          </w:tcPr>
          <w:p w14:paraId="6D760172"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Vzhod</w:t>
            </w:r>
          </w:p>
        </w:tc>
        <w:tc>
          <w:tcPr>
            <w:tcW w:w="1747" w:type="dxa"/>
            <w:tcBorders>
              <w:top w:val="nil"/>
              <w:left w:val="nil"/>
              <w:bottom w:val="single" w:sz="4" w:space="0" w:color="auto"/>
              <w:right w:val="single" w:sz="4" w:space="0" w:color="auto"/>
            </w:tcBorders>
            <w:shd w:val="clear" w:color="auto" w:fill="auto"/>
            <w:noWrap/>
            <w:vAlign w:val="bottom"/>
            <w:hideMark/>
          </w:tcPr>
          <w:p w14:paraId="63225A1D" w14:textId="77777777" w:rsidR="00105179" w:rsidRPr="00AB429E" w:rsidRDefault="00105179" w:rsidP="00105179">
            <w:pPr>
              <w:suppressAutoHyphens w:val="0"/>
              <w:autoSpaceDN/>
              <w:spacing w:after="0" w:line="240" w:lineRule="auto"/>
              <w:jc w:val="right"/>
              <w:rPr>
                <w:rFonts w:cs="Arial"/>
                <w:sz w:val="18"/>
                <w:szCs w:val="18"/>
              </w:rPr>
            </w:pPr>
            <w:r w:rsidRPr="00AB429E">
              <w:rPr>
                <w:rFonts w:cs="Arial"/>
                <w:sz w:val="18"/>
                <w:szCs w:val="18"/>
              </w:rPr>
              <w:t>44.760.000</w:t>
            </w:r>
          </w:p>
        </w:tc>
        <w:tc>
          <w:tcPr>
            <w:tcW w:w="2268" w:type="dxa"/>
            <w:tcBorders>
              <w:top w:val="nil"/>
              <w:left w:val="nil"/>
              <w:bottom w:val="single" w:sz="4" w:space="0" w:color="auto"/>
              <w:right w:val="single" w:sz="4" w:space="0" w:color="auto"/>
            </w:tcBorders>
            <w:shd w:val="clear" w:color="auto" w:fill="auto"/>
            <w:noWrap/>
            <w:vAlign w:val="bottom"/>
            <w:hideMark/>
          </w:tcPr>
          <w:p w14:paraId="37E7F35C"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bottom"/>
            <w:hideMark/>
          </w:tcPr>
          <w:p w14:paraId="586FEEAE"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1984" w:type="dxa"/>
            <w:tcBorders>
              <w:top w:val="nil"/>
              <w:left w:val="nil"/>
              <w:bottom w:val="single" w:sz="4" w:space="0" w:color="auto"/>
              <w:right w:val="single" w:sz="4" w:space="0" w:color="auto"/>
            </w:tcBorders>
            <w:shd w:val="clear" w:color="auto" w:fill="auto"/>
            <w:noWrap/>
            <w:vAlign w:val="bottom"/>
            <w:hideMark/>
          </w:tcPr>
          <w:p w14:paraId="59247661"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993" w:type="dxa"/>
            <w:tcBorders>
              <w:top w:val="nil"/>
              <w:left w:val="nil"/>
              <w:bottom w:val="single" w:sz="4" w:space="0" w:color="auto"/>
              <w:right w:val="single" w:sz="4" w:space="0" w:color="auto"/>
            </w:tcBorders>
            <w:shd w:val="clear" w:color="auto" w:fill="auto"/>
            <w:noWrap/>
            <w:vAlign w:val="bottom"/>
            <w:hideMark/>
          </w:tcPr>
          <w:p w14:paraId="66DE5A07"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1984" w:type="dxa"/>
            <w:tcBorders>
              <w:top w:val="nil"/>
              <w:left w:val="nil"/>
              <w:bottom w:val="single" w:sz="4" w:space="0" w:color="auto"/>
              <w:right w:val="single" w:sz="4" w:space="0" w:color="auto"/>
            </w:tcBorders>
            <w:shd w:val="clear" w:color="auto" w:fill="auto"/>
            <w:noWrap/>
            <w:vAlign w:val="bottom"/>
            <w:hideMark/>
          </w:tcPr>
          <w:p w14:paraId="7B30A2DE"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c>
          <w:tcPr>
            <w:tcW w:w="709" w:type="dxa"/>
            <w:tcBorders>
              <w:top w:val="nil"/>
              <w:left w:val="nil"/>
              <w:bottom w:val="single" w:sz="4" w:space="0" w:color="auto"/>
              <w:right w:val="single" w:sz="4" w:space="0" w:color="auto"/>
            </w:tcBorders>
            <w:shd w:val="clear" w:color="auto" w:fill="auto"/>
            <w:noWrap/>
            <w:vAlign w:val="bottom"/>
            <w:hideMark/>
          </w:tcPr>
          <w:p w14:paraId="13E5272C"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0%</w:t>
            </w:r>
          </w:p>
        </w:tc>
      </w:tr>
      <w:tr w:rsidR="00105179" w:rsidRPr="0050269E" w14:paraId="3327D87D" w14:textId="77777777" w:rsidTr="00A7284C">
        <w:trPr>
          <w:trHeight w:val="299"/>
          <w:jc w:val="center"/>
        </w:trPr>
        <w:tc>
          <w:tcPr>
            <w:tcW w:w="910" w:type="dxa"/>
            <w:tcBorders>
              <w:top w:val="nil"/>
              <w:left w:val="single" w:sz="4" w:space="0" w:color="auto"/>
              <w:bottom w:val="single" w:sz="4" w:space="0" w:color="auto"/>
              <w:right w:val="single" w:sz="4" w:space="0" w:color="auto"/>
            </w:tcBorders>
            <w:shd w:val="clear" w:color="auto" w:fill="auto"/>
            <w:noWrap/>
            <w:vAlign w:val="bottom"/>
            <w:hideMark/>
          </w:tcPr>
          <w:p w14:paraId="33B461A5"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9</w:t>
            </w:r>
          </w:p>
        </w:tc>
        <w:tc>
          <w:tcPr>
            <w:tcW w:w="910" w:type="dxa"/>
            <w:tcBorders>
              <w:top w:val="nil"/>
              <w:left w:val="nil"/>
              <w:bottom w:val="single" w:sz="4" w:space="0" w:color="auto"/>
              <w:right w:val="single" w:sz="4" w:space="0" w:color="auto"/>
            </w:tcBorders>
            <w:shd w:val="clear" w:color="auto" w:fill="auto"/>
            <w:noWrap/>
            <w:vAlign w:val="bottom"/>
            <w:hideMark/>
          </w:tcPr>
          <w:p w14:paraId="2A12C026"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RSO 5.1</w:t>
            </w:r>
          </w:p>
        </w:tc>
        <w:tc>
          <w:tcPr>
            <w:tcW w:w="910" w:type="dxa"/>
            <w:tcBorders>
              <w:top w:val="nil"/>
              <w:left w:val="nil"/>
              <w:bottom w:val="single" w:sz="4" w:space="0" w:color="auto"/>
              <w:right w:val="single" w:sz="4" w:space="0" w:color="auto"/>
            </w:tcBorders>
            <w:shd w:val="clear" w:color="auto" w:fill="auto"/>
            <w:noWrap/>
            <w:vAlign w:val="bottom"/>
            <w:hideMark/>
          </w:tcPr>
          <w:p w14:paraId="2C62370A"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ESRR</w:t>
            </w:r>
          </w:p>
        </w:tc>
        <w:tc>
          <w:tcPr>
            <w:tcW w:w="1330" w:type="dxa"/>
            <w:tcBorders>
              <w:top w:val="nil"/>
              <w:left w:val="nil"/>
              <w:bottom w:val="single" w:sz="4" w:space="0" w:color="auto"/>
              <w:right w:val="single" w:sz="4" w:space="0" w:color="auto"/>
            </w:tcBorders>
            <w:shd w:val="clear" w:color="auto" w:fill="auto"/>
            <w:noWrap/>
            <w:vAlign w:val="bottom"/>
            <w:hideMark/>
          </w:tcPr>
          <w:p w14:paraId="4EE64E2D"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Zahod</w:t>
            </w:r>
          </w:p>
        </w:tc>
        <w:tc>
          <w:tcPr>
            <w:tcW w:w="1747" w:type="dxa"/>
            <w:tcBorders>
              <w:top w:val="nil"/>
              <w:left w:val="nil"/>
              <w:bottom w:val="single" w:sz="4" w:space="0" w:color="auto"/>
              <w:right w:val="single" w:sz="4" w:space="0" w:color="auto"/>
            </w:tcBorders>
            <w:shd w:val="clear" w:color="auto" w:fill="auto"/>
            <w:noWrap/>
            <w:vAlign w:val="bottom"/>
            <w:hideMark/>
          </w:tcPr>
          <w:p w14:paraId="7452027D" w14:textId="77777777" w:rsidR="00105179" w:rsidRPr="00AB429E" w:rsidRDefault="00105179" w:rsidP="00105179">
            <w:pPr>
              <w:suppressAutoHyphens w:val="0"/>
              <w:autoSpaceDN/>
              <w:spacing w:after="0" w:line="240" w:lineRule="auto"/>
              <w:jc w:val="right"/>
              <w:rPr>
                <w:rFonts w:cs="Arial"/>
                <w:sz w:val="18"/>
                <w:szCs w:val="18"/>
              </w:rPr>
            </w:pPr>
            <w:r w:rsidRPr="00AB429E">
              <w:rPr>
                <w:rFonts w:cs="Arial"/>
                <w:sz w:val="18"/>
                <w:szCs w:val="18"/>
              </w:rPr>
              <w:t>12.330.000</w:t>
            </w:r>
          </w:p>
        </w:tc>
        <w:tc>
          <w:tcPr>
            <w:tcW w:w="2268" w:type="dxa"/>
            <w:tcBorders>
              <w:top w:val="nil"/>
              <w:left w:val="nil"/>
              <w:bottom w:val="single" w:sz="4" w:space="0" w:color="auto"/>
              <w:right w:val="single" w:sz="4" w:space="0" w:color="auto"/>
            </w:tcBorders>
            <w:shd w:val="clear" w:color="auto" w:fill="auto"/>
            <w:noWrap/>
            <w:vAlign w:val="bottom"/>
            <w:hideMark/>
          </w:tcPr>
          <w:p w14:paraId="09367611"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3.714.761</w:t>
            </w:r>
          </w:p>
        </w:tc>
        <w:tc>
          <w:tcPr>
            <w:tcW w:w="1276" w:type="dxa"/>
            <w:tcBorders>
              <w:top w:val="nil"/>
              <w:left w:val="nil"/>
              <w:bottom w:val="single" w:sz="4" w:space="0" w:color="auto"/>
              <w:right w:val="single" w:sz="4" w:space="0" w:color="auto"/>
            </w:tcBorders>
            <w:shd w:val="clear" w:color="auto" w:fill="auto"/>
            <w:noWrap/>
            <w:vAlign w:val="bottom"/>
            <w:hideMark/>
          </w:tcPr>
          <w:p w14:paraId="095C1902"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30%</w:t>
            </w:r>
          </w:p>
        </w:tc>
        <w:tc>
          <w:tcPr>
            <w:tcW w:w="1984" w:type="dxa"/>
            <w:tcBorders>
              <w:top w:val="nil"/>
              <w:left w:val="nil"/>
              <w:bottom w:val="single" w:sz="4" w:space="0" w:color="auto"/>
              <w:right w:val="single" w:sz="4" w:space="0" w:color="auto"/>
            </w:tcBorders>
            <w:shd w:val="clear" w:color="auto" w:fill="auto"/>
            <w:noWrap/>
            <w:vAlign w:val="bottom"/>
            <w:hideMark/>
          </w:tcPr>
          <w:p w14:paraId="2D38295C"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2.949.528</w:t>
            </w:r>
          </w:p>
        </w:tc>
        <w:tc>
          <w:tcPr>
            <w:tcW w:w="993" w:type="dxa"/>
            <w:tcBorders>
              <w:top w:val="nil"/>
              <w:left w:val="nil"/>
              <w:bottom w:val="single" w:sz="4" w:space="0" w:color="auto"/>
              <w:right w:val="single" w:sz="4" w:space="0" w:color="auto"/>
            </w:tcBorders>
            <w:shd w:val="clear" w:color="auto" w:fill="auto"/>
            <w:noWrap/>
            <w:vAlign w:val="bottom"/>
            <w:hideMark/>
          </w:tcPr>
          <w:p w14:paraId="5E977AC6"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24%</w:t>
            </w:r>
          </w:p>
        </w:tc>
        <w:tc>
          <w:tcPr>
            <w:tcW w:w="1984" w:type="dxa"/>
            <w:tcBorders>
              <w:top w:val="nil"/>
              <w:left w:val="nil"/>
              <w:bottom w:val="single" w:sz="4" w:space="0" w:color="auto"/>
              <w:right w:val="single" w:sz="4" w:space="0" w:color="auto"/>
            </w:tcBorders>
            <w:shd w:val="clear" w:color="auto" w:fill="auto"/>
            <w:noWrap/>
            <w:vAlign w:val="bottom"/>
            <w:hideMark/>
          </w:tcPr>
          <w:p w14:paraId="744DDB4A"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2.949.528</w:t>
            </w:r>
          </w:p>
        </w:tc>
        <w:tc>
          <w:tcPr>
            <w:tcW w:w="709" w:type="dxa"/>
            <w:tcBorders>
              <w:top w:val="nil"/>
              <w:left w:val="nil"/>
              <w:bottom w:val="single" w:sz="4" w:space="0" w:color="auto"/>
              <w:right w:val="single" w:sz="4" w:space="0" w:color="auto"/>
            </w:tcBorders>
            <w:shd w:val="clear" w:color="auto" w:fill="auto"/>
            <w:noWrap/>
            <w:vAlign w:val="bottom"/>
            <w:hideMark/>
          </w:tcPr>
          <w:p w14:paraId="69E28C28"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24%</w:t>
            </w:r>
          </w:p>
        </w:tc>
      </w:tr>
      <w:tr w:rsidR="00105179" w:rsidRPr="0050269E" w14:paraId="122CEEEC" w14:textId="77777777" w:rsidTr="00A7284C">
        <w:trPr>
          <w:trHeight w:val="299"/>
          <w:jc w:val="center"/>
        </w:trPr>
        <w:tc>
          <w:tcPr>
            <w:tcW w:w="910" w:type="dxa"/>
            <w:tcBorders>
              <w:top w:val="nil"/>
              <w:left w:val="single" w:sz="4" w:space="0" w:color="auto"/>
              <w:bottom w:val="single" w:sz="4" w:space="0" w:color="auto"/>
              <w:right w:val="single" w:sz="4" w:space="0" w:color="auto"/>
            </w:tcBorders>
            <w:shd w:val="clear" w:color="auto" w:fill="auto"/>
            <w:noWrap/>
            <w:vAlign w:val="bottom"/>
            <w:hideMark/>
          </w:tcPr>
          <w:p w14:paraId="1AA8F3DA"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9</w:t>
            </w:r>
          </w:p>
        </w:tc>
        <w:tc>
          <w:tcPr>
            <w:tcW w:w="910" w:type="dxa"/>
            <w:tcBorders>
              <w:top w:val="nil"/>
              <w:left w:val="nil"/>
              <w:bottom w:val="single" w:sz="4" w:space="0" w:color="auto"/>
              <w:right w:val="single" w:sz="4" w:space="0" w:color="auto"/>
            </w:tcBorders>
            <w:shd w:val="clear" w:color="auto" w:fill="auto"/>
            <w:noWrap/>
            <w:vAlign w:val="bottom"/>
            <w:hideMark/>
          </w:tcPr>
          <w:p w14:paraId="5E9FADC3"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RSO 5.2</w:t>
            </w:r>
          </w:p>
        </w:tc>
        <w:tc>
          <w:tcPr>
            <w:tcW w:w="910" w:type="dxa"/>
            <w:tcBorders>
              <w:top w:val="nil"/>
              <w:left w:val="nil"/>
              <w:bottom w:val="single" w:sz="4" w:space="0" w:color="auto"/>
              <w:right w:val="single" w:sz="4" w:space="0" w:color="auto"/>
            </w:tcBorders>
            <w:shd w:val="clear" w:color="auto" w:fill="auto"/>
            <w:noWrap/>
            <w:vAlign w:val="bottom"/>
            <w:hideMark/>
          </w:tcPr>
          <w:p w14:paraId="2ED9FB31"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ESRR</w:t>
            </w:r>
          </w:p>
        </w:tc>
        <w:tc>
          <w:tcPr>
            <w:tcW w:w="1330" w:type="dxa"/>
            <w:tcBorders>
              <w:top w:val="nil"/>
              <w:left w:val="nil"/>
              <w:bottom w:val="single" w:sz="4" w:space="0" w:color="auto"/>
              <w:right w:val="single" w:sz="4" w:space="0" w:color="auto"/>
            </w:tcBorders>
            <w:shd w:val="clear" w:color="auto" w:fill="auto"/>
            <w:noWrap/>
            <w:vAlign w:val="bottom"/>
            <w:hideMark/>
          </w:tcPr>
          <w:p w14:paraId="7B86491C"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Vzhod</w:t>
            </w:r>
          </w:p>
        </w:tc>
        <w:tc>
          <w:tcPr>
            <w:tcW w:w="1747" w:type="dxa"/>
            <w:tcBorders>
              <w:top w:val="nil"/>
              <w:left w:val="nil"/>
              <w:bottom w:val="single" w:sz="4" w:space="0" w:color="auto"/>
              <w:right w:val="single" w:sz="4" w:space="0" w:color="auto"/>
            </w:tcBorders>
            <w:shd w:val="clear" w:color="auto" w:fill="auto"/>
            <w:noWrap/>
            <w:vAlign w:val="bottom"/>
            <w:hideMark/>
          </w:tcPr>
          <w:p w14:paraId="69AFADDB" w14:textId="77777777" w:rsidR="00105179" w:rsidRPr="00AB429E" w:rsidRDefault="00105179" w:rsidP="00105179">
            <w:pPr>
              <w:suppressAutoHyphens w:val="0"/>
              <w:autoSpaceDN/>
              <w:spacing w:after="0" w:line="240" w:lineRule="auto"/>
              <w:jc w:val="right"/>
              <w:rPr>
                <w:rFonts w:cs="Arial"/>
                <w:sz w:val="18"/>
                <w:szCs w:val="18"/>
              </w:rPr>
            </w:pPr>
            <w:r w:rsidRPr="00AB429E">
              <w:rPr>
                <w:rFonts w:cs="Arial"/>
                <w:sz w:val="18"/>
                <w:szCs w:val="18"/>
              </w:rPr>
              <w:t>22.842.812</w:t>
            </w:r>
          </w:p>
        </w:tc>
        <w:tc>
          <w:tcPr>
            <w:tcW w:w="2268" w:type="dxa"/>
            <w:tcBorders>
              <w:top w:val="nil"/>
              <w:left w:val="nil"/>
              <w:bottom w:val="single" w:sz="4" w:space="0" w:color="auto"/>
              <w:right w:val="single" w:sz="4" w:space="0" w:color="auto"/>
            </w:tcBorders>
            <w:shd w:val="clear" w:color="auto" w:fill="auto"/>
            <w:noWrap/>
            <w:vAlign w:val="bottom"/>
            <w:hideMark/>
          </w:tcPr>
          <w:p w14:paraId="13AD9FF9"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22.838.637</w:t>
            </w:r>
          </w:p>
        </w:tc>
        <w:tc>
          <w:tcPr>
            <w:tcW w:w="1276" w:type="dxa"/>
            <w:tcBorders>
              <w:top w:val="nil"/>
              <w:left w:val="nil"/>
              <w:bottom w:val="single" w:sz="4" w:space="0" w:color="auto"/>
              <w:right w:val="single" w:sz="4" w:space="0" w:color="auto"/>
            </w:tcBorders>
            <w:shd w:val="clear" w:color="auto" w:fill="auto"/>
            <w:noWrap/>
            <w:vAlign w:val="bottom"/>
            <w:hideMark/>
          </w:tcPr>
          <w:p w14:paraId="06DEDF23"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100%</w:t>
            </w:r>
          </w:p>
        </w:tc>
        <w:tc>
          <w:tcPr>
            <w:tcW w:w="1984" w:type="dxa"/>
            <w:tcBorders>
              <w:top w:val="nil"/>
              <w:left w:val="nil"/>
              <w:bottom w:val="single" w:sz="4" w:space="0" w:color="auto"/>
              <w:right w:val="single" w:sz="4" w:space="0" w:color="auto"/>
            </w:tcBorders>
            <w:shd w:val="clear" w:color="auto" w:fill="auto"/>
            <w:noWrap/>
            <w:vAlign w:val="bottom"/>
            <w:hideMark/>
          </w:tcPr>
          <w:p w14:paraId="2F2306BA"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4.533.480</w:t>
            </w:r>
          </w:p>
        </w:tc>
        <w:tc>
          <w:tcPr>
            <w:tcW w:w="993" w:type="dxa"/>
            <w:tcBorders>
              <w:top w:val="nil"/>
              <w:left w:val="nil"/>
              <w:bottom w:val="single" w:sz="4" w:space="0" w:color="auto"/>
              <w:right w:val="single" w:sz="4" w:space="0" w:color="auto"/>
            </w:tcBorders>
            <w:shd w:val="clear" w:color="auto" w:fill="auto"/>
            <w:noWrap/>
            <w:vAlign w:val="bottom"/>
            <w:hideMark/>
          </w:tcPr>
          <w:p w14:paraId="6DC5CC35"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20%</w:t>
            </w:r>
          </w:p>
        </w:tc>
        <w:tc>
          <w:tcPr>
            <w:tcW w:w="1984" w:type="dxa"/>
            <w:tcBorders>
              <w:top w:val="nil"/>
              <w:left w:val="nil"/>
              <w:bottom w:val="single" w:sz="4" w:space="0" w:color="auto"/>
              <w:right w:val="single" w:sz="4" w:space="0" w:color="auto"/>
            </w:tcBorders>
            <w:shd w:val="clear" w:color="auto" w:fill="auto"/>
            <w:noWrap/>
            <w:vAlign w:val="bottom"/>
            <w:hideMark/>
          </w:tcPr>
          <w:p w14:paraId="583807C3"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757.751</w:t>
            </w:r>
          </w:p>
        </w:tc>
        <w:tc>
          <w:tcPr>
            <w:tcW w:w="709" w:type="dxa"/>
            <w:tcBorders>
              <w:top w:val="nil"/>
              <w:left w:val="nil"/>
              <w:bottom w:val="single" w:sz="4" w:space="0" w:color="auto"/>
              <w:right w:val="single" w:sz="4" w:space="0" w:color="auto"/>
            </w:tcBorders>
            <w:shd w:val="clear" w:color="auto" w:fill="auto"/>
            <w:noWrap/>
            <w:vAlign w:val="bottom"/>
            <w:hideMark/>
          </w:tcPr>
          <w:p w14:paraId="788E9D14"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3%</w:t>
            </w:r>
          </w:p>
        </w:tc>
      </w:tr>
      <w:tr w:rsidR="00105179" w:rsidRPr="0050269E" w14:paraId="661D4615" w14:textId="77777777" w:rsidTr="00A7284C">
        <w:trPr>
          <w:trHeight w:val="299"/>
          <w:jc w:val="center"/>
        </w:trPr>
        <w:tc>
          <w:tcPr>
            <w:tcW w:w="910" w:type="dxa"/>
            <w:tcBorders>
              <w:top w:val="nil"/>
              <w:left w:val="single" w:sz="4" w:space="0" w:color="auto"/>
              <w:bottom w:val="single" w:sz="4" w:space="0" w:color="auto"/>
              <w:right w:val="single" w:sz="4" w:space="0" w:color="auto"/>
            </w:tcBorders>
            <w:shd w:val="clear" w:color="auto" w:fill="auto"/>
            <w:noWrap/>
            <w:vAlign w:val="bottom"/>
            <w:hideMark/>
          </w:tcPr>
          <w:p w14:paraId="60D68184"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9</w:t>
            </w:r>
          </w:p>
        </w:tc>
        <w:tc>
          <w:tcPr>
            <w:tcW w:w="910" w:type="dxa"/>
            <w:tcBorders>
              <w:top w:val="nil"/>
              <w:left w:val="nil"/>
              <w:bottom w:val="single" w:sz="4" w:space="0" w:color="auto"/>
              <w:right w:val="single" w:sz="4" w:space="0" w:color="auto"/>
            </w:tcBorders>
            <w:shd w:val="clear" w:color="auto" w:fill="auto"/>
            <w:noWrap/>
            <w:vAlign w:val="bottom"/>
            <w:hideMark/>
          </w:tcPr>
          <w:p w14:paraId="20337E1F"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RSO 5.2</w:t>
            </w:r>
          </w:p>
        </w:tc>
        <w:tc>
          <w:tcPr>
            <w:tcW w:w="910" w:type="dxa"/>
            <w:tcBorders>
              <w:top w:val="nil"/>
              <w:left w:val="nil"/>
              <w:bottom w:val="single" w:sz="4" w:space="0" w:color="auto"/>
              <w:right w:val="single" w:sz="4" w:space="0" w:color="auto"/>
            </w:tcBorders>
            <w:shd w:val="clear" w:color="auto" w:fill="auto"/>
            <w:noWrap/>
            <w:vAlign w:val="bottom"/>
            <w:hideMark/>
          </w:tcPr>
          <w:p w14:paraId="727A2494"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ESRR</w:t>
            </w:r>
          </w:p>
        </w:tc>
        <w:tc>
          <w:tcPr>
            <w:tcW w:w="1330" w:type="dxa"/>
            <w:tcBorders>
              <w:top w:val="nil"/>
              <w:left w:val="nil"/>
              <w:bottom w:val="single" w:sz="4" w:space="0" w:color="auto"/>
              <w:right w:val="single" w:sz="4" w:space="0" w:color="auto"/>
            </w:tcBorders>
            <w:shd w:val="clear" w:color="auto" w:fill="auto"/>
            <w:noWrap/>
            <w:vAlign w:val="bottom"/>
            <w:hideMark/>
          </w:tcPr>
          <w:p w14:paraId="52DA403E"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Zahod</w:t>
            </w:r>
          </w:p>
        </w:tc>
        <w:tc>
          <w:tcPr>
            <w:tcW w:w="1747" w:type="dxa"/>
            <w:tcBorders>
              <w:top w:val="nil"/>
              <w:left w:val="nil"/>
              <w:bottom w:val="single" w:sz="4" w:space="0" w:color="auto"/>
              <w:right w:val="single" w:sz="4" w:space="0" w:color="auto"/>
            </w:tcBorders>
            <w:shd w:val="clear" w:color="auto" w:fill="auto"/>
            <w:noWrap/>
            <w:vAlign w:val="bottom"/>
            <w:hideMark/>
          </w:tcPr>
          <w:p w14:paraId="19DF7BBE" w14:textId="77777777" w:rsidR="00105179" w:rsidRPr="00AB429E" w:rsidRDefault="00105179" w:rsidP="00105179">
            <w:pPr>
              <w:suppressAutoHyphens w:val="0"/>
              <w:autoSpaceDN/>
              <w:spacing w:after="0" w:line="240" w:lineRule="auto"/>
              <w:jc w:val="right"/>
              <w:rPr>
                <w:rFonts w:cs="Arial"/>
                <w:sz w:val="18"/>
                <w:szCs w:val="18"/>
              </w:rPr>
            </w:pPr>
            <w:r w:rsidRPr="00AB429E">
              <w:rPr>
                <w:rFonts w:cs="Arial"/>
                <w:sz w:val="18"/>
                <w:szCs w:val="18"/>
              </w:rPr>
              <w:t>5.297.973</w:t>
            </w:r>
          </w:p>
        </w:tc>
        <w:tc>
          <w:tcPr>
            <w:tcW w:w="2268" w:type="dxa"/>
            <w:tcBorders>
              <w:top w:val="nil"/>
              <w:left w:val="nil"/>
              <w:bottom w:val="single" w:sz="4" w:space="0" w:color="auto"/>
              <w:right w:val="single" w:sz="4" w:space="0" w:color="auto"/>
            </w:tcBorders>
            <w:shd w:val="clear" w:color="auto" w:fill="auto"/>
            <w:noWrap/>
            <w:vAlign w:val="bottom"/>
            <w:hideMark/>
          </w:tcPr>
          <w:p w14:paraId="2D9AED1C"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5.299.846</w:t>
            </w:r>
          </w:p>
        </w:tc>
        <w:tc>
          <w:tcPr>
            <w:tcW w:w="1276" w:type="dxa"/>
            <w:tcBorders>
              <w:top w:val="nil"/>
              <w:left w:val="nil"/>
              <w:bottom w:val="single" w:sz="4" w:space="0" w:color="auto"/>
              <w:right w:val="single" w:sz="4" w:space="0" w:color="auto"/>
            </w:tcBorders>
            <w:shd w:val="clear" w:color="auto" w:fill="auto"/>
            <w:noWrap/>
            <w:vAlign w:val="bottom"/>
            <w:hideMark/>
          </w:tcPr>
          <w:p w14:paraId="2B8710C8"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100%</w:t>
            </w:r>
          </w:p>
        </w:tc>
        <w:tc>
          <w:tcPr>
            <w:tcW w:w="1984" w:type="dxa"/>
            <w:tcBorders>
              <w:top w:val="nil"/>
              <w:left w:val="nil"/>
              <w:bottom w:val="single" w:sz="4" w:space="0" w:color="auto"/>
              <w:right w:val="single" w:sz="4" w:space="0" w:color="auto"/>
            </w:tcBorders>
            <w:shd w:val="clear" w:color="auto" w:fill="auto"/>
            <w:noWrap/>
            <w:vAlign w:val="bottom"/>
            <w:hideMark/>
          </w:tcPr>
          <w:p w14:paraId="779B98AD"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1.106.490</w:t>
            </w:r>
          </w:p>
        </w:tc>
        <w:tc>
          <w:tcPr>
            <w:tcW w:w="993" w:type="dxa"/>
            <w:tcBorders>
              <w:top w:val="nil"/>
              <w:left w:val="nil"/>
              <w:bottom w:val="single" w:sz="4" w:space="0" w:color="auto"/>
              <w:right w:val="single" w:sz="4" w:space="0" w:color="auto"/>
            </w:tcBorders>
            <w:shd w:val="clear" w:color="auto" w:fill="auto"/>
            <w:noWrap/>
            <w:vAlign w:val="bottom"/>
            <w:hideMark/>
          </w:tcPr>
          <w:p w14:paraId="273D24C1"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21%</w:t>
            </w:r>
          </w:p>
        </w:tc>
        <w:tc>
          <w:tcPr>
            <w:tcW w:w="1984" w:type="dxa"/>
            <w:tcBorders>
              <w:top w:val="nil"/>
              <w:left w:val="nil"/>
              <w:bottom w:val="single" w:sz="4" w:space="0" w:color="auto"/>
              <w:right w:val="single" w:sz="4" w:space="0" w:color="auto"/>
            </w:tcBorders>
            <w:shd w:val="clear" w:color="auto" w:fill="auto"/>
            <w:noWrap/>
            <w:vAlign w:val="bottom"/>
            <w:hideMark/>
          </w:tcPr>
          <w:p w14:paraId="6FB7B5FC"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193.541</w:t>
            </w:r>
          </w:p>
        </w:tc>
        <w:tc>
          <w:tcPr>
            <w:tcW w:w="709" w:type="dxa"/>
            <w:tcBorders>
              <w:top w:val="nil"/>
              <w:left w:val="nil"/>
              <w:bottom w:val="single" w:sz="4" w:space="0" w:color="auto"/>
              <w:right w:val="single" w:sz="4" w:space="0" w:color="auto"/>
            </w:tcBorders>
            <w:shd w:val="clear" w:color="auto" w:fill="auto"/>
            <w:noWrap/>
            <w:vAlign w:val="bottom"/>
            <w:hideMark/>
          </w:tcPr>
          <w:p w14:paraId="75CD7563"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4%</w:t>
            </w:r>
          </w:p>
        </w:tc>
      </w:tr>
      <w:tr w:rsidR="00105179" w:rsidRPr="0050269E" w14:paraId="10B2CAC5" w14:textId="77777777" w:rsidTr="00A7284C">
        <w:trPr>
          <w:trHeight w:val="299"/>
          <w:jc w:val="center"/>
        </w:trPr>
        <w:tc>
          <w:tcPr>
            <w:tcW w:w="910" w:type="dxa"/>
            <w:tcBorders>
              <w:top w:val="nil"/>
              <w:left w:val="single" w:sz="4" w:space="0" w:color="auto"/>
              <w:bottom w:val="single" w:sz="4" w:space="0" w:color="auto"/>
              <w:right w:val="single" w:sz="4" w:space="0" w:color="auto"/>
            </w:tcBorders>
            <w:shd w:val="clear" w:color="auto" w:fill="auto"/>
            <w:noWrap/>
            <w:vAlign w:val="bottom"/>
            <w:hideMark/>
          </w:tcPr>
          <w:p w14:paraId="0C167BDC"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10</w:t>
            </w:r>
          </w:p>
        </w:tc>
        <w:tc>
          <w:tcPr>
            <w:tcW w:w="910" w:type="dxa"/>
            <w:tcBorders>
              <w:top w:val="nil"/>
              <w:left w:val="nil"/>
              <w:bottom w:val="single" w:sz="4" w:space="0" w:color="auto"/>
              <w:right w:val="single" w:sz="4" w:space="0" w:color="auto"/>
            </w:tcBorders>
            <w:shd w:val="clear" w:color="auto" w:fill="auto"/>
            <w:noWrap/>
            <w:vAlign w:val="bottom"/>
            <w:hideMark/>
          </w:tcPr>
          <w:p w14:paraId="559A4D6F"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JSO 8.1</w:t>
            </w:r>
          </w:p>
        </w:tc>
        <w:tc>
          <w:tcPr>
            <w:tcW w:w="910" w:type="dxa"/>
            <w:tcBorders>
              <w:top w:val="nil"/>
              <w:left w:val="nil"/>
              <w:bottom w:val="single" w:sz="4" w:space="0" w:color="auto"/>
              <w:right w:val="single" w:sz="4" w:space="0" w:color="auto"/>
            </w:tcBorders>
            <w:shd w:val="clear" w:color="auto" w:fill="auto"/>
            <w:noWrap/>
            <w:vAlign w:val="bottom"/>
            <w:hideMark/>
          </w:tcPr>
          <w:p w14:paraId="1B99831A"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SPP</w:t>
            </w:r>
          </w:p>
        </w:tc>
        <w:tc>
          <w:tcPr>
            <w:tcW w:w="1330" w:type="dxa"/>
            <w:tcBorders>
              <w:top w:val="nil"/>
              <w:left w:val="nil"/>
              <w:bottom w:val="single" w:sz="4" w:space="0" w:color="auto"/>
              <w:right w:val="single" w:sz="4" w:space="0" w:color="auto"/>
            </w:tcBorders>
            <w:shd w:val="clear" w:color="auto" w:fill="auto"/>
            <w:noWrap/>
            <w:vAlign w:val="bottom"/>
            <w:hideMark/>
          </w:tcPr>
          <w:p w14:paraId="6B4745DF" w14:textId="77777777" w:rsidR="00105179" w:rsidRPr="00AB429E" w:rsidRDefault="00105179" w:rsidP="00105179">
            <w:pPr>
              <w:suppressAutoHyphens w:val="0"/>
              <w:autoSpaceDN/>
              <w:spacing w:after="0" w:line="240" w:lineRule="auto"/>
              <w:rPr>
                <w:rFonts w:cs="Arial"/>
                <w:color w:val="000000"/>
                <w:sz w:val="18"/>
                <w:szCs w:val="18"/>
              </w:rPr>
            </w:pPr>
            <w:r w:rsidRPr="00AB429E">
              <w:rPr>
                <w:rFonts w:cs="Arial"/>
                <w:color w:val="000000"/>
                <w:sz w:val="18"/>
                <w:szCs w:val="18"/>
              </w:rPr>
              <w:t>Celotna SI</w:t>
            </w:r>
          </w:p>
        </w:tc>
        <w:tc>
          <w:tcPr>
            <w:tcW w:w="1747" w:type="dxa"/>
            <w:tcBorders>
              <w:top w:val="nil"/>
              <w:left w:val="nil"/>
              <w:bottom w:val="single" w:sz="4" w:space="0" w:color="auto"/>
              <w:right w:val="single" w:sz="4" w:space="0" w:color="auto"/>
            </w:tcBorders>
            <w:shd w:val="clear" w:color="auto" w:fill="auto"/>
            <w:noWrap/>
            <w:vAlign w:val="bottom"/>
            <w:hideMark/>
          </w:tcPr>
          <w:p w14:paraId="28507C84" w14:textId="77777777" w:rsidR="00105179" w:rsidRPr="00AB429E" w:rsidRDefault="00105179" w:rsidP="00105179">
            <w:pPr>
              <w:suppressAutoHyphens w:val="0"/>
              <w:autoSpaceDN/>
              <w:spacing w:after="0" w:line="240" w:lineRule="auto"/>
              <w:jc w:val="right"/>
              <w:rPr>
                <w:rFonts w:cs="Arial"/>
                <w:sz w:val="18"/>
                <w:szCs w:val="18"/>
              </w:rPr>
            </w:pPr>
            <w:r w:rsidRPr="00AB429E">
              <w:rPr>
                <w:rFonts w:cs="Arial"/>
                <w:sz w:val="18"/>
                <w:szCs w:val="18"/>
              </w:rPr>
              <w:t>248.773.600</w:t>
            </w:r>
          </w:p>
        </w:tc>
        <w:tc>
          <w:tcPr>
            <w:tcW w:w="2268" w:type="dxa"/>
            <w:tcBorders>
              <w:top w:val="nil"/>
              <w:left w:val="nil"/>
              <w:bottom w:val="single" w:sz="4" w:space="0" w:color="auto"/>
              <w:right w:val="single" w:sz="4" w:space="0" w:color="auto"/>
            </w:tcBorders>
            <w:shd w:val="clear" w:color="auto" w:fill="auto"/>
            <w:noWrap/>
            <w:vAlign w:val="bottom"/>
            <w:hideMark/>
          </w:tcPr>
          <w:p w14:paraId="32C59B36"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157.603.166</w:t>
            </w:r>
          </w:p>
        </w:tc>
        <w:tc>
          <w:tcPr>
            <w:tcW w:w="1276" w:type="dxa"/>
            <w:tcBorders>
              <w:top w:val="nil"/>
              <w:left w:val="nil"/>
              <w:bottom w:val="single" w:sz="4" w:space="0" w:color="auto"/>
              <w:right w:val="single" w:sz="4" w:space="0" w:color="auto"/>
            </w:tcBorders>
            <w:shd w:val="clear" w:color="auto" w:fill="auto"/>
            <w:noWrap/>
            <w:vAlign w:val="bottom"/>
            <w:hideMark/>
          </w:tcPr>
          <w:p w14:paraId="61E0367D"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63%</w:t>
            </w:r>
          </w:p>
        </w:tc>
        <w:tc>
          <w:tcPr>
            <w:tcW w:w="1984" w:type="dxa"/>
            <w:tcBorders>
              <w:top w:val="nil"/>
              <w:left w:val="nil"/>
              <w:bottom w:val="single" w:sz="4" w:space="0" w:color="auto"/>
              <w:right w:val="single" w:sz="4" w:space="0" w:color="auto"/>
            </w:tcBorders>
            <w:shd w:val="clear" w:color="auto" w:fill="auto"/>
            <w:noWrap/>
            <w:vAlign w:val="bottom"/>
            <w:hideMark/>
          </w:tcPr>
          <w:p w14:paraId="71974B60"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28.533.599</w:t>
            </w:r>
          </w:p>
        </w:tc>
        <w:tc>
          <w:tcPr>
            <w:tcW w:w="993" w:type="dxa"/>
            <w:tcBorders>
              <w:top w:val="nil"/>
              <w:left w:val="nil"/>
              <w:bottom w:val="single" w:sz="4" w:space="0" w:color="auto"/>
              <w:right w:val="single" w:sz="4" w:space="0" w:color="auto"/>
            </w:tcBorders>
            <w:shd w:val="clear" w:color="auto" w:fill="auto"/>
            <w:noWrap/>
            <w:vAlign w:val="bottom"/>
            <w:hideMark/>
          </w:tcPr>
          <w:p w14:paraId="54338647"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11%</w:t>
            </w:r>
          </w:p>
        </w:tc>
        <w:tc>
          <w:tcPr>
            <w:tcW w:w="1984" w:type="dxa"/>
            <w:tcBorders>
              <w:top w:val="nil"/>
              <w:left w:val="nil"/>
              <w:bottom w:val="single" w:sz="4" w:space="0" w:color="auto"/>
              <w:right w:val="single" w:sz="4" w:space="0" w:color="auto"/>
            </w:tcBorders>
            <w:shd w:val="clear" w:color="auto" w:fill="auto"/>
            <w:noWrap/>
            <w:vAlign w:val="bottom"/>
            <w:hideMark/>
          </w:tcPr>
          <w:p w14:paraId="57B33AEB"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9.033.858</w:t>
            </w:r>
          </w:p>
        </w:tc>
        <w:tc>
          <w:tcPr>
            <w:tcW w:w="709" w:type="dxa"/>
            <w:tcBorders>
              <w:top w:val="nil"/>
              <w:left w:val="nil"/>
              <w:bottom w:val="single" w:sz="4" w:space="0" w:color="auto"/>
              <w:right w:val="single" w:sz="4" w:space="0" w:color="auto"/>
            </w:tcBorders>
            <w:shd w:val="clear" w:color="auto" w:fill="auto"/>
            <w:noWrap/>
            <w:vAlign w:val="bottom"/>
            <w:hideMark/>
          </w:tcPr>
          <w:p w14:paraId="11E81D25" w14:textId="77777777" w:rsidR="00105179" w:rsidRPr="00AB429E" w:rsidRDefault="00105179" w:rsidP="00105179">
            <w:pPr>
              <w:suppressAutoHyphens w:val="0"/>
              <w:autoSpaceDN/>
              <w:spacing w:after="0" w:line="240" w:lineRule="auto"/>
              <w:jc w:val="right"/>
              <w:rPr>
                <w:rFonts w:cs="Arial"/>
                <w:color w:val="000000"/>
                <w:sz w:val="18"/>
                <w:szCs w:val="18"/>
              </w:rPr>
            </w:pPr>
            <w:r w:rsidRPr="00AB429E">
              <w:rPr>
                <w:rFonts w:cs="Arial"/>
                <w:color w:val="000000"/>
                <w:sz w:val="18"/>
                <w:szCs w:val="18"/>
              </w:rPr>
              <w:t>4%</w:t>
            </w:r>
          </w:p>
        </w:tc>
      </w:tr>
      <w:tr w:rsidR="00105179" w:rsidRPr="0050269E" w14:paraId="291C943B" w14:textId="77777777" w:rsidTr="00A7284C">
        <w:trPr>
          <w:trHeight w:val="299"/>
          <w:jc w:val="center"/>
        </w:trPr>
        <w:tc>
          <w:tcPr>
            <w:tcW w:w="4060" w:type="dxa"/>
            <w:gridSpan w:val="4"/>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36198F21" w14:textId="77777777" w:rsidR="00105179" w:rsidRPr="00AB429E" w:rsidRDefault="00105179" w:rsidP="00105179">
            <w:pPr>
              <w:suppressAutoHyphens w:val="0"/>
              <w:autoSpaceDN/>
              <w:spacing w:after="0" w:line="240" w:lineRule="auto"/>
              <w:jc w:val="right"/>
              <w:rPr>
                <w:rFonts w:cs="Arial"/>
                <w:b/>
                <w:bCs/>
                <w:color w:val="000000"/>
                <w:sz w:val="18"/>
                <w:szCs w:val="18"/>
              </w:rPr>
            </w:pPr>
            <w:r w:rsidRPr="00AB429E">
              <w:rPr>
                <w:rFonts w:cs="Arial"/>
                <w:b/>
                <w:bCs/>
                <w:color w:val="000000"/>
                <w:sz w:val="18"/>
                <w:szCs w:val="18"/>
              </w:rPr>
              <w:t>SKUPAJ</w:t>
            </w:r>
          </w:p>
        </w:tc>
        <w:tc>
          <w:tcPr>
            <w:tcW w:w="1747" w:type="dxa"/>
            <w:tcBorders>
              <w:top w:val="nil"/>
              <w:left w:val="nil"/>
              <w:bottom w:val="single" w:sz="4" w:space="0" w:color="auto"/>
              <w:right w:val="single" w:sz="4" w:space="0" w:color="auto"/>
            </w:tcBorders>
            <w:shd w:val="clear" w:color="000000" w:fill="D9E1F2"/>
            <w:noWrap/>
            <w:vAlign w:val="bottom"/>
            <w:hideMark/>
          </w:tcPr>
          <w:p w14:paraId="0D94BB3C" w14:textId="77777777" w:rsidR="00105179" w:rsidRPr="00AB429E" w:rsidRDefault="00105179" w:rsidP="00105179">
            <w:pPr>
              <w:suppressAutoHyphens w:val="0"/>
              <w:autoSpaceDN/>
              <w:spacing w:after="0" w:line="240" w:lineRule="auto"/>
              <w:jc w:val="right"/>
              <w:rPr>
                <w:rFonts w:cs="Arial"/>
                <w:b/>
                <w:bCs/>
                <w:color w:val="000000"/>
                <w:sz w:val="18"/>
                <w:szCs w:val="18"/>
              </w:rPr>
            </w:pPr>
            <w:r w:rsidRPr="00AB429E">
              <w:rPr>
                <w:rFonts w:cs="Arial"/>
                <w:b/>
                <w:bCs/>
                <w:color w:val="000000"/>
                <w:sz w:val="18"/>
                <w:szCs w:val="18"/>
              </w:rPr>
              <w:t>3.106.640.412</w:t>
            </w:r>
          </w:p>
        </w:tc>
        <w:tc>
          <w:tcPr>
            <w:tcW w:w="2268" w:type="dxa"/>
            <w:tcBorders>
              <w:top w:val="nil"/>
              <w:left w:val="nil"/>
              <w:bottom w:val="single" w:sz="4" w:space="0" w:color="auto"/>
              <w:right w:val="single" w:sz="4" w:space="0" w:color="auto"/>
            </w:tcBorders>
            <w:shd w:val="clear" w:color="000000" w:fill="D9E1F2"/>
            <w:noWrap/>
            <w:vAlign w:val="bottom"/>
            <w:hideMark/>
          </w:tcPr>
          <w:p w14:paraId="1DDFA2E6" w14:textId="77777777" w:rsidR="00105179" w:rsidRPr="00AB429E" w:rsidRDefault="00105179" w:rsidP="00105179">
            <w:pPr>
              <w:suppressAutoHyphens w:val="0"/>
              <w:autoSpaceDN/>
              <w:spacing w:after="0" w:line="240" w:lineRule="auto"/>
              <w:jc w:val="right"/>
              <w:rPr>
                <w:rFonts w:cs="Arial"/>
                <w:b/>
                <w:bCs/>
                <w:color w:val="000000"/>
                <w:sz w:val="18"/>
                <w:szCs w:val="18"/>
              </w:rPr>
            </w:pPr>
            <w:r w:rsidRPr="00AB429E">
              <w:rPr>
                <w:rFonts w:cs="Arial"/>
                <w:b/>
                <w:bCs/>
                <w:color w:val="000000"/>
                <w:sz w:val="18"/>
                <w:szCs w:val="18"/>
              </w:rPr>
              <w:t>791.314.116</w:t>
            </w:r>
          </w:p>
        </w:tc>
        <w:tc>
          <w:tcPr>
            <w:tcW w:w="1276" w:type="dxa"/>
            <w:tcBorders>
              <w:top w:val="nil"/>
              <w:left w:val="nil"/>
              <w:bottom w:val="single" w:sz="4" w:space="0" w:color="auto"/>
              <w:right w:val="single" w:sz="4" w:space="0" w:color="auto"/>
            </w:tcBorders>
            <w:shd w:val="clear" w:color="000000" w:fill="D9E1F2"/>
            <w:noWrap/>
            <w:vAlign w:val="bottom"/>
            <w:hideMark/>
          </w:tcPr>
          <w:p w14:paraId="27790A94" w14:textId="77777777" w:rsidR="00105179" w:rsidRPr="00AB429E" w:rsidRDefault="00105179" w:rsidP="00105179">
            <w:pPr>
              <w:suppressAutoHyphens w:val="0"/>
              <w:autoSpaceDN/>
              <w:spacing w:after="0" w:line="240" w:lineRule="auto"/>
              <w:jc w:val="right"/>
              <w:rPr>
                <w:rFonts w:cs="Arial"/>
                <w:b/>
                <w:bCs/>
                <w:color w:val="000000"/>
                <w:sz w:val="18"/>
                <w:szCs w:val="18"/>
              </w:rPr>
            </w:pPr>
            <w:r w:rsidRPr="00AB429E">
              <w:rPr>
                <w:rFonts w:cs="Arial"/>
                <w:b/>
                <w:bCs/>
                <w:color w:val="000000"/>
                <w:sz w:val="18"/>
                <w:szCs w:val="18"/>
              </w:rPr>
              <w:t>25%</w:t>
            </w:r>
          </w:p>
        </w:tc>
        <w:tc>
          <w:tcPr>
            <w:tcW w:w="1984" w:type="dxa"/>
            <w:tcBorders>
              <w:top w:val="nil"/>
              <w:left w:val="nil"/>
              <w:bottom w:val="single" w:sz="4" w:space="0" w:color="auto"/>
              <w:right w:val="single" w:sz="4" w:space="0" w:color="auto"/>
            </w:tcBorders>
            <w:shd w:val="clear" w:color="000000" w:fill="D9E1F2"/>
            <w:noWrap/>
            <w:vAlign w:val="bottom"/>
            <w:hideMark/>
          </w:tcPr>
          <w:p w14:paraId="69978C01" w14:textId="77777777" w:rsidR="00105179" w:rsidRPr="00AB429E" w:rsidRDefault="00105179" w:rsidP="00105179">
            <w:pPr>
              <w:suppressAutoHyphens w:val="0"/>
              <w:autoSpaceDN/>
              <w:spacing w:after="0" w:line="240" w:lineRule="auto"/>
              <w:jc w:val="right"/>
              <w:rPr>
                <w:rFonts w:cs="Arial"/>
                <w:b/>
                <w:bCs/>
                <w:color w:val="000000"/>
                <w:sz w:val="18"/>
                <w:szCs w:val="18"/>
              </w:rPr>
            </w:pPr>
            <w:r w:rsidRPr="00AB429E">
              <w:rPr>
                <w:rFonts w:cs="Arial"/>
                <w:b/>
                <w:bCs/>
                <w:color w:val="000000"/>
                <w:sz w:val="18"/>
                <w:szCs w:val="18"/>
              </w:rPr>
              <w:t>521.413.805</w:t>
            </w:r>
          </w:p>
        </w:tc>
        <w:tc>
          <w:tcPr>
            <w:tcW w:w="993" w:type="dxa"/>
            <w:tcBorders>
              <w:top w:val="nil"/>
              <w:left w:val="nil"/>
              <w:bottom w:val="single" w:sz="4" w:space="0" w:color="auto"/>
              <w:right w:val="single" w:sz="4" w:space="0" w:color="auto"/>
            </w:tcBorders>
            <w:shd w:val="clear" w:color="000000" w:fill="D9E1F2"/>
            <w:noWrap/>
            <w:vAlign w:val="bottom"/>
            <w:hideMark/>
          </w:tcPr>
          <w:p w14:paraId="75E30410" w14:textId="77777777" w:rsidR="00105179" w:rsidRPr="00AB429E" w:rsidRDefault="00105179" w:rsidP="00105179">
            <w:pPr>
              <w:suppressAutoHyphens w:val="0"/>
              <w:autoSpaceDN/>
              <w:spacing w:after="0" w:line="240" w:lineRule="auto"/>
              <w:jc w:val="right"/>
              <w:rPr>
                <w:rFonts w:cs="Arial"/>
                <w:b/>
                <w:bCs/>
                <w:color w:val="000000"/>
                <w:sz w:val="18"/>
                <w:szCs w:val="18"/>
              </w:rPr>
            </w:pPr>
            <w:r w:rsidRPr="00AB429E">
              <w:rPr>
                <w:rFonts w:cs="Arial"/>
                <w:b/>
                <w:bCs/>
                <w:color w:val="000000"/>
                <w:sz w:val="18"/>
                <w:szCs w:val="18"/>
              </w:rPr>
              <w:t>17%</w:t>
            </w:r>
          </w:p>
        </w:tc>
        <w:tc>
          <w:tcPr>
            <w:tcW w:w="1984" w:type="dxa"/>
            <w:tcBorders>
              <w:top w:val="nil"/>
              <w:left w:val="nil"/>
              <w:bottom w:val="single" w:sz="4" w:space="0" w:color="auto"/>
              <w:right w:val="single" w:sz="4" w:space="0" w:color="auto"/>
            </w:tcBorders>
            <w:shd w:val="clear" w:color="000000" w:fill="D9E1F2"/>
            <w:noWrap/>
            <w:vAlign w:val="bottom"/>
            <w:hideMark/>
          </w:tcPr>
          <w:p w14:paraId="211FC3C3" w14:textId="77777777" w:rsidR="00105179" w:rsidRPr="00AB429E" w:rsidRDefault="00105179" w:rsidP="00105179">
            <w:pPr>
              <w:suppressAutoHyphens w:val="0"/>
              <w:autoSpaceDN/>
              <w:spacing w:after="0" w:line="240" w:lineRule="auto"/>
              <w:jc w:val="right"/>
              <w:rPr>
                <w:rFonts w:cs="Arial"/>
                <w:b/>
                <w:bCs/>
                <w:color w:val="000000"/>
                <w:sz w:val="18"/>
                <w:szCs w:val="18"/>
              </w:rPr>
            </w:pPr>
            <w:r w:rsidRPr="00AB429E">
              <w:rPr>
                <w:rFonts w:cs="Arial"/>
                <w:b/>
                <w:bCs/>
                <w:color w:val="000000"/>
                <w:sz w:val="18"/>
                <w:szCs w:val="18"/>
              </w:rPr>
              <w:t>74.248.266</w:t>
            </w:r>
          </w:p>
        </w:tc>
        <w:tc>
          <w:tcPr>
            <w:tcW w:w="709" w:type="dxa"/>
            <w:tcBorders>
              <w:top w:val="nil"/>
              <w:left w:val="nil"/>
              <w:bottom w:val="single" w:sz="4" w:space="0" w:color="auto"/>
              <w:right w:val="single" w:sz="4" w:space="0" w:color="auto"/>
            </w:tcBorders>
            <w:shd w:val="clear" w:color="000000" w:fill="D9E1F2"/>
            <w:noWrap/>
            <w:vAlign w:val="bottom"/>
            <w:hideMark/>
          </w:tcPr>
          <w:p w14:paraId="5AA5E3AF" w14:textId="77777777" w:rsidR="00105179" w:rsidRPr="00AB429E" w:rsidRDefault="00105179" w:rsidP="00105179">
            <w:pPr>
              <w:suppressAutoHyphens w:val="0"/>
              <w:autoSpaceDN/>
              <w:spacing w:after="0" w:line="240" w:lineRule="auto"/>
              <w:jc w:val="right"/>
              <w:rPr>
                <w:rFonts w:cs="Arial"/>
                <w:b/>
                <w:bCs/>
                <w:color w:val="000000"/>
                <w:sz w:val="18"/>
                <w:szCs w:val="18"/>
              </w:rPr>
            </w:pPr>
            <w:r w:rsidRPr="00AB429E">
              <w:rPr>
                <w:rFonts w:cs="Arial"/>
                <w:b/>
                <w:bCs/>
                <w:color w:val="000000"/>
                <w:sz w:val="18"/>
                <w:szCs w:val="18"/>
              </w:rPr>
              <w:t>2%</w:t>
            </w:r>
          </w:p>
        </w:tc>
      </w:tr>
    </w:tbl>
    <w:p w14:paraId="4F2753E7" w14:textId="66B127FF" w:rsidR="00105179" w:rsidRPr="006A227B" w:rsidRDefault="00105179" w:rsidP="005779A0">
      <w:pPr>
        <w:spacing w:after="0" w:line="276" w:lineRule="auto"/>
        <w:jc w:val="both"/>
        <w:rPr>
          <w:rFonts w:cs="Arial"/>
          <w:sz w:val="18"/>
          <w:szCs w:val="20"/>
        </w:rPr>
      </w:pPr>
      <w:r>
        <w:rPr>
          <w:rFonts w:cs="Arial"/>
        </w:rPr>
        <w:fldChar w:fldCharType="end"/>
      </w:r>
      <w:r w:rsidR="0050269E" w:rsidRPr="006A227B">
        <w:rPr>
          <w:rFonts w:cs="Arial"/>
          <w:sz w:val="18"/>
          <w:szCs w:val="20"/>
        </w:rPr>
        <w:t>Vir:</w:t>
      </w:r>
      <w:r w:rsidR="00DB58DA" w:rsidRPr="006A227B">
        <w:rPr>
          <w:sz w:val="18"/>
          <w:szCs w:val="20"/>
        </w:rPr>
        <w:t xml:space="preserve"> </w:t>
      </w:r>
      <w:r w:rsidR="00DB58DA" w:rsidRPr="006A227B">
        <w:rPr>
          <w:rFonts w:cs="Arial"/>
          <w:sz w:val="18"/>
          <w:szCs w:val="20"/>
        </w:rPr>
        <w:t xml:space="preserve">IS e-MA2 </w:t>
      </w:r>
      <w:r w:rsidR="001126C1" w:rsidRPr="006A227B">
        <w:rPr>
          <w:rFonts w:cs="Arial"/>
          <w:sz w:val="18"/>
          <w:szCs w:val="20"/>
        </w:rPr>
        <w:t xml:space="preserve"> </w:t>
      </w:r>
      <w:r w:rsidR="0050269E" w:rsidRPr="006A227B">
        <w:rPr>
          <w:rFonts w:cs="Arial"/>
          <w:sz w:val="18"/>
          <w:szCs w:val="20"/>
        </w:rPr>
        <w:t xml:space="preserve"> </w:t>
      </w:r>
    </w:p>
    <w:p w14:paraId="38863D91" w14:textId="77777777" w:rsidR="00105179" w:rsidRDefault="00105179" w:rsidP="005779A0">
      <w:pPr>
        <w:spacing w:after="0" w:line="276" w:lineRule="auto"/>
        <w:jc w:val="both"/>
        <w:rPr>
          <w:rFonts w:cs="Arial"/>
        </w:rPr>
      </w:pPr>
    </w:p>
    <w:p w14:paraId="08797C3A" w14:textId="77777777" w:rsidR="00105179" w:rsidRDefault="00105179" w:rsidP="005779A0">
      <w:pPr>
        <w:spacing w:after="0" w:line="276" w:lineRule="auto"/>
        <w:jc w:val="both"/>
        <w:rPr>
          <w:rFonts w:cs="Arial"/>
        </w:rPr>
        <w:sectPr w:rsidR="00105179" w:rsidSect="00105179">
          <w:pgSz w:w="16838" w:h="11906" w:orient="landscape" w:code="9"/>
          <w:pgMar w:top="1418" w:right="1418" w:bottom="1418" w:left="1418" w:header="709" w:footer="709" w:gutter="0"/>
          <w:cols w:space="708"/>
          <w:docGrid w:linePitch="272"/>
        </w:sectPr>
      </w:pPr>
    </w:p>
    <w:p w14:paraId="1553559F" w14:textId="6274EE0D" w:rsidR="00234C38" w:rsidRPr="00623803" w:rsidRDefault="00306071" w:rsidP="00623803">
      <w:pPr>
        <w:spacing w:after="0" w:line="276" w:lineRule="auto"/>
        <w:jc w:val="both"/>
        <w:rPr>
          <w:rFonts w:cs="Arial"/>
          <w:szCs w:val="20"/>
        </w:rPr>
      </w:pPr>
      <w:r w:rsidRPr="00623803">
        <w:rPr>
          <w:rFonts w:cs="Arial"/>
          <w:szCs w:val="20"/>
        </w:rPr>
        <w:lastRenderedPageBreak/>
        <w:t>Navedeno kaže na bistveno počasnejše izvajanje ukrepov, temu pripisujemo naslednjim poglavitnim razlogom:</w:t>
      </w:r>
    </w:p>
    <w:p w14:paraId="2B992609" w14:textId="6AC0F44F" w:rsidR="40C2DD89" w:rsidRDefault="0CA03981" w:rsidP="04DCEC86">
      <w:pPr>
        <w:numPr>
          <w:ilvl w:val="1"/>
          <w:numId w:val="56"/>
        </w:numPr>
        <w:spacing w:after="0" w:line="276" w:lineRule="auto"/>
        <w:ind w:left="284" w:hanging="284"/>
        <w:jc w:val="both"/>
        <w:rPr>
          <w:rFonts w:cs="Arial"/>
        </w:rPr>
      </w:pPr>
      <w:r w:rsidRPr="00F7FCEE">
        <w:rPr>
          <w:rFonts w:cs="Arial"/>
        </w:rPr>
        <w:t xml:space="preserve">zamiki pri vzpostavitvi </w:t>
      </w:r>
      <w:r w:rsidR="3D1BE687" w:rsidRPr="00F7FCEE">
        <w:rPr>
          <w:rFonts w:cs="Arial"/>
        </w:rPr>
        <w:t xml:space="preserve">celovitega </w:t>
      </w:r>
      <w:r w:rsidRPr="00F7FCEE">
        <w:rPr>
          <w:rFonts w:cs="Arial"/>
        </w:rPr>
        <w:t>sistema izvajanj</w:t>
      </w:r>
      <w:r w:rsidR="4FF540EF" w:rsidRPr="00F7FCEE">
        <w:rPr>
          <w:rFonts w:cs="Arial"/>
        </w:rPr>
        <w:t>a</w:t>
      </w:r>
      <w:r w:rsidRPr="00F7FCEE">
        <w:rPr>
          <w:rFonts w:cs="Arial"/>
        </w:rPr>
        <w:t xml:space="preserve"> </w:t>
      </w:r>
      <w:r w:rsidR="1031D849" w:rsidRPr="00F7FCEE">
        <w:rPr>
          <w:rFonts w:cs="Arial"/>
        </w:rPr>
        <w:t>PEKP</w:t>
      </w:r>
      <w:r w:rsidR="68E6CD0F" w:rsidRPr="00F7FCEE">
        <w:rPr>
          <w:rFonts w:cs="Arial"/>
        </w:rPr>
        <w:t xml:space="preserve"> 21</w:t>
      </w:r>
      <w:r w:rsidR="004C451E" w:rsidRPr="004C451E">
        <w:rPr>
          <w:rFonts w:cs="Arial"/>
        </w:rPr>
        <w:t>–</w:t>
      </w:r>
      <w:r w:rsidR="68E6CD0F" w:rsidRPr="00F7FCEE">
        <w:rPr>
          <w:rFonts w:cs="Arial"/>
        </w:rPr>
        <w:t>27,</w:t>
      </w:r>
    </w:p>
    <w:p w14:paraId="355901F2" w14:textId="77777777" w:rsidR="000E7A5A" w:rsidRPr="00623803" w:rsidRDefault="00306071" w:rsidP="00623803">
      <w:pPr>
        <w:numPr>
          <w:ilvl w:val="1"/>
          <w:numId w:val="56"/>
        </w:numPr>
        <w:spacing w:after="0" w:line="276" w:lineRule="auto"/>
        <w:ind w:left="284" w:hanging="284"/>
        <w:jc w:val="both"/>
        <w:rPr>
          <w:rFonts w:cs="Arial"/>
          <w:szCs w:val="20"/>
        </w:rPr>
      </w:pPr>
      <w:r w:rsidRPr="00623803">
        <w:rPr>
          <w:rFonts w:cs="Arial"/>
          <w:szCs w:val="20"/>
        </w:rPr>
        <w:t>stopnja pripravljenosti projekta, še posebej stanje aktivnosti v zvezi s pripravo strokovnih podlag za načrtovanje izvajanje ukrepov, pridobivanjem upravnih dovoljenj ter umeščanjem objektov v prostor (zlasti v zvezi s postopki pridobivanja relevantnih upravnih dovoljenj in presoje vplivov na okolje),</w:t>
      </w:r>
    </w:p>
    <w:p w14:paraId="32AC8193" w14:textId="5769B83A" w:rsidR="000E7A5A" w:rsidRPr="00623803" w:rsidRDefault="00306071" w:rsidP="00623803">
      <w:pPr>
        <w:numPr>
          <w:ilvl w:val="1"/>
          <w:numId w:val="56"/>
        </w:numPr>
        <w:spacing w:after="0" w:line="276" w:lineRule="auto"/>
        <w:ind w:left="284" w:hanging="284"/>
        <w:jc w:val="both"/>
        <w:rPr>
          <w:rFonts w:cs="Arial"/>
          <w:szCs w:val="20"/>
        </w:rPr>
      </w:pPr>
      <w:r w:rsidRPr="00623803">
        <w:rPr>
          <w:rFonts w:cs="Arial"/>
          <w:szCs w:val="20"/>
        </w:rPr>
        <w:t xml:space="preserve">nove okoliščine, ki so nastale po sprejetju PEKP 21–27 in bistveno vplivajo na </w:t>
      </w:r>
      <w:r w:rsidR="00A945C9">
        <w:rPr>
          <w:rFonts w:cs="Arial"/>
          <w:szCs w:val="20"/>
        </w:rPr>
        <w:t>pripravo ali izvajanje projektov</w:t>
      </w:r>
      <w:r w:rsidRPr="00623803">
        <w:rPr>
          <w:rFonts w:cs="Arial"/>
          <w:szCs w:val="20"/>
        </w:rPr>
        <w:t xml:space="preserve"> (kot na primer pandemija Covid-19, rusko-ukrajinska vojna</w:t>
      </w:r>
      <w:r w:rsidR="00175399">
        <w:rPr>
          <w:rFonts w:cs="Arial"/>
          <w:szCs w:val="20"/>
        </w:rPr>
        <w:t xml:space="preserve">, </w:t>
      </w:r>
      <w:r w:rsidRPr="00175399">
        <w:rPr>
          <w:rFonts w:cs="Arial"/>
          <w:b/>
          <w:bCs/>
          <w:szCs w:val="20"/>
        </w:rPr>
        <w:t xml:space="preserve">katastrofalni poplavni dogodki v avgustu 2023 </w:t>
      </w:r>
      <w:r w:rsidR="00A945C9">
        <w:rPr>
          <w:rFonts w:cs="Arial"/>
          <w:b/>
          <w:bCs/>
          <w:szCs w:val="20"/>
        </w:rPr>
        <w:t>z</w:t>
      </w:r>
      <w:r w:rsidRPr="00175399">
        <w:rPr>
          <w:rFonts w:cs="Arial"/>
          <w:b/>
          <w:bCs/>
          <w:szCs w:val="20"/>
        </w:rPr>
        <w:t xml:space="preserve"> </w:t>
      </w:r>
      <w:r w:rsidR="00235613" w:rsidRPr="00175399">
        <w:rPr>
          <w:rFonts w:cs="Arial"/>
          <w:b/>
          <w:bCs/>
          <w:szCs w:val="20"/>
        </w:rPr>
        <w:t>nepredvidljivim</w:t>
      </w:r>
      <w:r w:rsidRPr="00175399">
        <w:rPr>
          <w:rFonts w:cs="Arial"/>
          <w:b/>
          <w:bCs/>
          <w:szCs w:val="20"/>
        </w:rPr>
        <w:t xml:space="preserve"> učinkom na izvajanje nekaterih investicij</w:t>
      </w:r>
      <w:r w:rsidR="00A945C9">
        <w:rPr>
          <w:rFonts w:cs="Arial"/>
          <w:b/>
          <w:bCs/>
          <w:szCs w:val="20"/>
        </w:rPr>
        <w:t>)</w:t>
      </w:r>
      <w:r w:rsidRPr="00623803">
        <w:rPr>
          <w:rFonts w:cs="Arial"/>
          <w:szCs w:val="20"/>
        </w:rPr>
        <w:t>,</w:t>
      </w:r>
    </w:p>
    <w:p w14:paraId="1EF3A405" w14:textId="77777777" w:rsidR="000E7A5A" w:rsidRPr="00623803" w:rsidRDefault="00306071" w:rsidP="00623803">
      <w:pPr>
        <w:numPr>
          <w:ilvl w:val="1"/>
          <w:numId w:val="56"/>
        </w:numPr>
        <w:spacing w:after="0" w:line="276" w:lineRule="auto"/>
        <w:ind w:left="284" w:hanging="284"/>
        <w:jc w:val="both"/>
        <w:rPr>
          <w:rFonts w:cs="Arial"/>
          <w:szCs w:val="20"/>
        </w:rPr>
      </w:pPr>
      <w:r w:rsidRPr="00623803">
        <w:rPr>
          <w:rFonts w:cs="Arial"/>
          <w:szCs w:val="20"/>
        </w:rPr>
        <w:t>stanje postopkov javnega naročanja v zvezi z gradnjo (trajanje postopkov javnih naročil v nekaterih primerih bistveno odstopajo od pričakovanj, omejeno število ponudnikov na trgu ima pomemben vpliv na oddajo nekaterih javnih naročil, še posebej vezano na velike infrastrukturne projekti prav tako otežuje nekatere postopke),</w:t>
      </w:r>
    </w:p>
    <w:p w14:paraId="03E80F77" w14:textId="77777777" w:rsidR="000E7A5A" w:rsidRPr="00623803" w:rsidRDefault="00306071" w:rsidP="00623803">
      <w:pPr>
        <w:numPr>
          <w:ilvl w:val="1"/>
          <w:numId w:val="56"/>
        </w:numPr>
        <w:spacing w:after="0" w:line="276" w:lineRule="auto"/>
        <w:ind w:left="284" w:hanging="284"/>
        <w:jc w:val="both"/>
        <w:rPr>
          <w:rFonts w:cs="Arial"/>
          <w:szCs w:val="20"/>
        </w:rPr>
      </w:pPr>
      <w:r w:rsidRPr="00623803">
        <w:rPr>
          <w:rFonts w:cs="Arial"/>
          <w:szCs w:val="20"/>
        </w:rPr>
        <w:t xml:space="preserve">sposobnost upravičenca za zagotovitev lastnih sredstev in zaprtje finančne konstrukcije projekta v časovnih rokih izvajanja PEKP (tako spremembe na trgu javnih naročil kot tudi prej omenjene nepredvidene okoliščine vplivajo tudi na končno vrednost projektov in posledično na finančno sposobnost upravičencev, ki se srečujejo z večjimi težavami pri zapiranju finančne konstrukcije projektov). </w:t>
      </w:r>
    </w:p>
    <w:p w14:paraId="78A5EBD1" w14:textId="77777777" w:rsidR="000E7A5A" w:rsidRPr="00F425EA" w:rsidRDefault="000E7A5A" w:rsidP="00623803">
      <w:pPr>
        <w:spacing w:after="0" w:line="276" w:lineRule="auto"/>
        <w:jc w:val="both"/>
        <w:rPr>
          <w:rFonts w:cs="Arial"/>
        </w:rPr>
      </w:pPr>
    </w:p>
    <w:p w14:paraId="1054BBD9" w14:textId="34E8C27F" w:rsidR="000E7A5A" w:rsidRPr="00F425EA" w:rsidRDefault="00306071" w:rsidP="00623803">
      <w:pPr>
        <w:spacing w:after="0" w:line="276" w:lineRule="auto"/>
        <w:jc w:val="both"/>
        <w:rPr>
          <w:rFonts w:cs="Arial"/>
        </w:rPr>
      </w:pPr>
      <w:r w:rsidRPr="00F425EA">
        <w:rPr>
          <w:rFonts w:cs="Arial"/>
        </w:rPr>
        <w:t>V okviru priprave vmesnega poročila smo tudi preverili napredek pri doseganju kazalnikov učinka in rezultatov, povezanih s specifičnimi cilji PEKP 21</w:t>
      </w:r>
      <w:r w:rsidR="003037F8" w:rsidRPr="003037F8">
        <w:rPr>
          <w:rFonts w:cs="Arial"/>
        </w:rPr>
        <w:t>–</w:t>
      </w:r>
      <w:r w:rsidRPr="00F425EA">
        <w:rPr>
          <w:rFonts w:cs="Arial"/>
        </w:rPr>
        <w:t>27, še posebej mejniki, ki jih je treba do konca leta 2024 za kazalnike učinka.</w:t>
      </w:r>
    </w:p>
    <w:p w14:paraId="1DB71E52" w14:textId="77777777" w:rsidR="000E7A5A" w:rsidRPr="00F425EA" w:rsidRDefault="000E7A5A" w:rsidP="00623803">
      <w:pPr>
        <w:spacing w:after="0" w:line="276" w:lineRule="auto"/>
        <w:jc w:val="both"/>
        <w:rPr>
          <w:rFonts w:cs="Arial"/>
        </w:rPr>
      </w:pPr>
    </w:p>
    <w:p w14:paraId="1512E2E5" w14:textId="6A89F7C2" w:rsidR="000E7A5A" w:rsidRPr="00F425EA" w:rsidRDefault="1ECD1B8B" w:rsidP="00623803">
      <w:pPr>
        <w:spacing w:after="0" w:line="276" w:lineRule="auto"/>
        <w:jc w:val="both"/>
        <w:rPr>
          <w:rFonts w:cs="Arial"/>
        </w:rPr>
      </w:pPr>
      <w:r w:rsidRPr="00F7FCEE">
        <w:rPr>
          <w:rFonts w:cs="Arial"/>
        </w:rPr>
        <w:t xml:space="preserve">Spremljanje in poročanje o mejnikih poteka preko informacijskega sistema eMA-2. Podatki na dan 31. 12. 2024 kažejo, da bodo mejniki delno ali v celoti doseženi v okviru naslednjih specifičnih ciljev: RSO1.3, RSO3.2, ESO4.1, ESO4.7, ESO4.8 in ESO4.12.​ Gre za ukrepe ciljev politik 1, 4 in 5 na področjih: (i) krepitve rasti in konkurenčnosti MSP, (ii) razvoja in krepitve trajnostne, pametne in </w:t>
      </w:r>
      <w:proofErr w:type="spellStart"/>
      <w:r w:rsidRPr="00F7FCEE">
        <w:rPr>
          <w:rFonts w:cs="Arial"/>
        </w:rPr>
        <w:t>intermodalne</w:t>
      </w:r>
      <w:proofErr w:type="spellEnd"/>
      <w:r w:rsidRPr="00F7FCEE">
        <w:rPr>
          <w:rFonts w:cs="Arial"/>
        </w:rPr>
        <w:t xml:space="preserve"> nacionalne, regionalne in lokalne mobilnosti, (iii) zagotovitve ustreznih in zadostnih kadrov za potrebe delodajalcev, (iv) vseživljenjskega izobraževanja in učenja in (v) socialnega vključevanja oseb, izpostavljenih tveganju revščine ali socialni izključenosti.</w:t>
      </w:r>
    </w:p>
    <w:p w14:paraId="10971A06" w14:textId="77777777" w:rsidR="000E7A5A" w:rsidRPr="00F425EA" w:rsidRDefault="000E7A5A" w:rsidP="00623803">
      <w:pPr>
        <w:spacing w:after="0" w:line="276" w:lineRule="auto"/>
        <w:jc w:val="both"/>
        <w:rPr>
          <w:rFonts w:cs="Arial"/>
        </w:rPr>
      </w:pPr>
    </w:p>
    <w:p w14:paraId="1C5E5D38" w14:textId="5E3D5074" w:rsidR="0695C9AB" w:rsidRDefault="4773B5E0" w:rsidP="04DCEC86">
      <w:pPr>
        <w:spacing w:after="0" w:line="276" w:lineRule="auto"/>
        <w:jc w:val="both"/>
        <w:rPr>
          <w:rFonts w:cs="Arial"/>
        </w:rPr>
      </w:pPr>
      <w:r w:rsidRPr="00F7FCEE">
        <w:rPr>
          <w:rFonts w:cs="Arial"/>
        </w:rPr>
        <w:t xml:space="preserve">Podrobnejša </w:t>
      </w:r>
      <w:r w:rsidR="5D5FAFE5" w:rsidRPr="00F7FCEE">
        <w:rPr>
          <w:rFonts w:cs="Arial"/>
        </w:rPr>
        <w:t>analiza</w:t>
      </w:r>
      <w:r w:rsidRPr="00F7FCEE">
        <w:rPr>
          <w:rFonts w:cs="Arial"/>
        </w:rPr>
        <w:t xml:space="preserve"> </w:t>
      </w:r>
      <w:r w:rsidR="7C5ABAE7" w:rsidRPr="00F7FCEE">
        <w:rPr>
          <w:rFonts w:cs="Arial"/>
        </w:rPr>
        <w:t>kazalnikov p</w:t>
      </w:r>
      <w:r w:rsidR="5005D561" w:rsidRPr="00F7FCEE">
        <w:rPr>
          <w:rFonts w:cs="Arial"/>
        </w:rPr>
        <w:t xml:space="preserve">reostalih </w:t>
      </w:r>
      <w:r w:rsidR="73F2C3F8" w:rsidRPr="00F7FCEE">
        <w:rPr>
          <w:rFonts w:cs="Arial"/>
        </w:rPr>
        <w:t>specifičnih ciljev je podana v poglavju 7.2.</w:t>
      </w:r>
    </w:p>
    <w:p w14:paraId="1936B1BA" w14:textId="77777777" w:rsidR="00860E7D" w:rsidRDefault="00860E7D" w:rsidP="04DCEC86">
      <w:pPr>
        <w:spacing w:after="0" w:line="276" w:lineRule="auto"/>
        <w:jc w:val="both"/>
        <w:rPr>
          <w:rFonts w:cs="Arial"/>
        </w:rPr>
      </w:pPr>
    </w:p>
    <w:p w14:paraId="13FE0A4B" w14:textId="77777777" w:rsidR="00860E7D" w:rsidRPr="00F425EA" w:rsidRDefault="00860E7D" w:rsidP="00860E7D">
      <w:pPr>
        <w:spacing w:after="0" w:line="276" w:lineRule="auto"/>
        <w:jc w:val="both"/>
        <w:rPr>
          <w:rFonts w:cs="Arial"/>
        </w:rPr>
      </w:pPr>
      <w:r w:rsidRPr="00F425EA">
        <w:rPr>
          <w:rFonts w:cs="Arial"/>
        </w:rPr>
        <w:t>Stanje doseganja mejnikov kazalnikov učinka je razvidno iz spodnj</w:t>
      </w:r>
      <w:r>
        <w:rPr>
          <w:rFonts w:cs="Arial"/>
        </w:rPr>
        <w:t xml:space="preserve">e tabele, kjer povprečno doseganje mejnikov predstavlja razmerje med številom doseženih kazalnikov ob koncu leta 2024 in skupnim številom kazalnikov posameznega specifičnega cilja. </w:t>
      </w:r>
    </w:p>
    <w:p w14:paraId="3A0CB164" w14:textId="77777777" w:rsidR="00860E7D" w:rsidRDefault="00860E7D" w:rsidP="04DCEC86">
      <w:pPr>
        <w:spacing w:after="0" w:line="276" w:lineRule="auto"/>
        <w:jc w:val="both"/>
        <w:rPr>
          <w:rFonts w:cs="Arial"/>
        </w:rPr>
      </w:pPr>
    </w:p>
    <w:p w14:paraId="1870DA04" w14:textId="6A9A265D" w:rsidR="04DCEC86" w:rsidRDefault="04DCEC86" w:rsidP="04DCEC86">
      <w:pPr>
        <w:spacing w:after="0" w:line="276" w:lineRule="auto"/>
        <w:jc w:val="both"/>
        <w:rPr>
          <w:rFonts w:cs="Arial"/>
        </w:rPr>
      </w:pPr>
    </w:p>
    <w:p w14:paraId="57BBE4C5" w14:textId="6AB6D67B" w:rsidR="007A2FDF" w:rsidRDefault="007A2FDF" w:rsidP="00F7FCEE">
      <w:pPr>
        <w:suppressAutoHyphens w:val="0"/>
        <w:spacing w:after="0" w:line="276" w:lineRule="auto"/>
        <w:jc w:val="both"/>
        <w:rPr>
          <w:rFonts w:cs="Arial"/>
        </w:rPr>
      </w:pPr>
      <w:r w:rsidRPr="00F7FCEE">
        <w:rPr>
          <w:rFonts w:cs="Arial"/>
        </w:rPr>
        <w:br w:type="page"/>
      </w:r>
    </w:p>
    <w:p w14:paraId="221260F6" w14:textId="7DCA9C9D" w:rsidR="00B6179D" w:rsidRPr="004820CB" w:rsidRDefault="3994E1AC" w:rsidP="00B6179D">
      <w:pPr>
        <w:pStyle w:val="Napis"/>
        <w:keepNext/>
        <w:spacing w:after="0"/>
        <w:rPr>
          <w:rFonts w:cs="Arial"/>
          <w:b w:val="0"/>
          <w:bCs w:val="0"/>
          <w:color w:val="auto"/>
          <w:sz w:val="18"/>
          <w:szCs w:val="18"/>
        </w:rPr>
      </w:pPr>
      <w:bookmarkStart w:id="4149" w:name="_Toc191379201"/>
      <w:r w:rsidRPr="004820CB">
        <w:rPr>
          <w:rFonts w:cs="Arial"/>
          <w:b w:val="0"/>
          <w:bCs w:val="0"/>
          <w:color w:val="auto"/>
          <w:sz w:val="18"/>
          <w:szCs w:val="18"/>
        </w:rPr>
        <w:lastRenderedPageBreak/>
        <w:t xml:space="preserve">Tabela </w:t>
      </w:r>
      <w:r w:rsidR="00B6179D" w:rsidRPr="004820CB">
        <w:rPr>
          <w:rFonts w:cs="Arial"/>
          <w:b w:val="0"/>
          <w:bCs w:val="0"/>
          <w:color w:val="auto"/>
          <w:sz w:val="18"/>
          <w:szCs w:val="18"/>
        </w:rPr>
        <w:fldChar w:fldCharType="begin"/>
      </w:r>
      <w:r w:rsidR="00B6179D" w:rsidRPr="004820CB">
        <w:rPr>
          <w:rFonts w:cs="Arial"/>
          <w:b w:val="0"/>
          <w:bCs w:val="0"/>
          <w:color w:val="auto"/>
          <w:sz w:val="18"/>
          <w:szCs w:val="18"/>
        </w:rPr>
        <w:instrText xml:space="preserve"> SEQ Tabela \* ARABIC </w:instrText>
      </w:r>
      <w:r w:rsidR="00B6179D" w:rsidRPr="004820CB">
        <w:rPr>
          <w:rFonts w:cs="Arial"/>
          <w:b w:val="0"/>
          <w:bCs w:val="0"/>
          <w:color w:val="auto"/>
          <w:sz w:val="18"/>
          <w:szCs w:val="18"/>
        </w:rPr>
        <w:fldChar w:fldCharType="separate"/>
      </w:r>
      <w:r w:rsidR="00064E01">
        <w:rPr>
          <w:rFonts w:cs="Arial"/>
          <w:b w:val="0"/>
          <w:bCs w:val="0"/>
          <w:noProof/>
          <w:color w:val="auto"/>
          <w:sz w:val="18"/>
          <w:szCs w:val="18"/>
        </w:rPr>
        <w:t>12</w:t>
      </w:r>
      <w:r w:rsidR="00B6179D" w:rsidRPr="004820CB">
        <w:rPr>
          <w:rFonts w:cs="Arial"/>
          <w:b w:val="0"/>
          <w:bCs w:val="0"/>
          <w:color w:val="auto"/>
          <w:sz w:val="18"/>
          <w:szCs w:val="18"/>
        </w:rPr>
        <w:fldChar w:fldCharType="end"/>
      </w:r>
      <w:r w:rsidRPr="004820CB">
        <w:rPr>
          <w:rFonts w:cs="Arial"/>
          <w:b w:val="0"/>
          <w:bCs w:val="0"/>
          <w:color w:val="auto"/>
          <w:sz w:val="18"/>
          <w:szCs w:val="18"/>
        </w:rPr>
        <w:t>: Pregled doseganja mejnikov na ravni specifičnih ciljev ESRR/KS/SPP</w:t>
      </w:r>
      <w:r w:rsidR="00980BB2">
        <w:rPr>
          <w:rFonts w:cs="Arial"/>
          <w:b w:val="0"/>
          <w:bCs w:val="0"/>
          <w:color w:val="auto"/>
          <w:sz w:val="18"/>
          <w:szCs w:val="18"/>
        </w:rPr>
        <w:t>/ESS+</w:t>
      </w:r>
      <w:bookmarkEnd w:id="4149"/>
    </w:p>
    <w:p w14:paraId="199ED83F" w14:textId="77777777" w:rsidR="00B66CBE" w:rsidRDefault="00B66CBE" w:rsidP="00B66CBE">
      <w:pPr>
        <w:spacing w:after="0"/>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1248"/>
        <w:gridCol w:w="813"/>
        <w:gridCol w:w="899"/>
        <w:gridCol w:w="848"/>
        <w:gridCol w:w="1569"/>
        <w:gridCol w:w="1194"/>
        <w:gridCol w:w="1285"/>
        <w:gridCol w:w="1684"/>
      </w:tblGrid>
      <w:tr w:rsidR="008A580F" w:rsidRPr="008A580F" w14:paraId="6006193D" w14:textId="77777777" w:rsidTr="00C57B56">
        <w:trPr>
          <w:trHeight w:val="615"/>
        </w:trPr>
        <w:tc>
          <w:tcPr>
            <w:tcW w:w="1248" w:type="dxa"/>
            <w:shd w:val="clear" w:color="DCE6F1" w:fill="DCE6F1"/>
            <w:vAlign w:val="bottom"/>
            <w:hideMark/>
          </w:tcPr>
          <w:p w14:paraId="4688DB24" w14:textId="77777777" w:rsidR="008A580F" w:rsidRPr="00AB429E" w:rsidRDefault="008A580F" w:rsidP="008A580F">
            <w:pPr>
              <w:suppressAutoHyphens w:val="0"/>
              <w:autoSpaceDN/>
              <w:spacing w:after="0" w:line="240" w:lineRule="auto"/>
              <w:rPr>
                <w:rFonts w:cs="Arial"/>
                <w:b/>
                <w:bCs/>
                <w:sz w:val="18"/>
                <w:szCs w:val="18"/>
              </w:rPr>
            </w:pPr>
            <w:r w:rsidRPr="00AB429E">
              <w:rPr>
                <w:rFonts w:cs="Arial"/>
                <w:b/>
                <w:bCs/>
                <w:sz w:val="18"/>
                <w:szCs w:val="18"/>
              </w:rPr>
              <w:t>CP</w:t>
            </w:r>
          </w:p>
        </w:tc>
        <w:tc>
          <w:tcPr>
            <w:tcW w:w="813" w:type="dxa"/>
            <w:shd w:val="clear" w:color="DCE6F1" w:fill="DCE6F1"/>
            <w:vAlign w:val="bottom"/>
            <w:hideMark/>
          </w:tcPr>
          <w:p w14:paraId="0B4BBEC9" w14:textId="77777777" w:rsidR="008A580F" w:rsidRPr="00AB429E" w:rsidRDefault="008A580F" w:rsidP="008A580F">
            <w:pPr>
              <w:suppressAutoHyphens w:val="0"/>
              <w:autoSpaceDN/>
              <w:spacing w:after="0" w:line="240" w:lineRule="auto"/>
              <w:rPr>
                <w:rFonts w:cs="Arial"/>
                <w:b/>
                <w:bCs/>
                <w:sz w:val="18"/>
                <w:szCs w:val="18"/>
              </w:rPr>
            </w:pPr>
            <w:r w:rsidRPr="00AB429E">
              <w:rPr>
                <w:rFonts w:cs="Arial"/>
                <w:b/>
                <w:bCs/>
                <w:sz w:val="18"/>
                <w:szCs w:val="18"/>
              </w:rPr>
              <w:t>PN</w:t>
            </w:r>
          </w:p>
        </w:tc>
        <w:tc>
          <w:tcPr>
            <w:tcW w:w="899" w:type="dxa"/>
            <w:shd w:val="clear" w:color="DCE6F1" w:fill="DCE6F1"/>
            <w:vAlign w:val="bottom"/>
            <w:hideMark/>
          </w:tcPr>
          <w:p w14:paraId="73E2EA8D" w14:textId="77777777" w:rsidR="008A580F" w:rsidRPr="00AB429E" w:rsidRDefault="008A580F" w:rsidP="008A580F">
            <w:pPr>
              <w:suppressAutoHyphens w:val="0"/>
              <w:autoSpaceDN/>
              <w:spacing w:after="0" w:line="240" w:lineRule="auto"/>
              <w:rPr>
                <w:rFonts w:cs="Arial"/>
                <w:b/>
                <w:bCs/>
                <w:sz w:val="18"/>
                <w:szCs w:val="18"/>
              </w:rPr>
            </w:pPr>
            <w:r w:rsidRPr="00AB429E">
              <w:rPr>
                <w:rFonts w:cs="Arial"/>
                <w:b/>
                <w:bCs/>
                <w:sz w:val="18"/>
                <w:szCs w:val="18"/>
              </w:rPr>
              <w:t>SC</w:t>
            </w:r>
          </w:p>
        </w:tc>
        <w:tc>
          <w:tcPr>
            <w:tcW w:w="848" w:type="dxa"/>
            <w:shd w:val="clear" w:color="DCE6F1" w:fill="DCE6F1"/>
            <w:vAlign w:val="bottom"/>
            <w:hideMark/>
          </w:tcPr>
          <w:p w14:paraId="634D12A4" w14:textId="77777777" w:rsidR="008A580F" w:rsidRPr="00AB429E" w:rsidRDefault="008A580F" w:rsidP="008A580F">
            <w:pPr>
              <w:suppressAutoHyphens w:val="0"/>
              <w:autoSpaceDN/>
              <w:spacing w:after="0" w:line="240" w:lineRule="auto"/>
              <w:rPr>
                <w:rFonts w:cs="Arial"/>
                <w:b/>
                <w:bCs/>
                <w:sz w:val="18"/>
                <w:szCs w:val="18"/>
              </w:rPr>
            </w:pPr>
            <w:r w:rsidRPr="00AB429E">
              <w:rPr>
                <w:rFonts w:cs="Arial"/>
                <w:b/>
                <w:bCs/>
                <w:sz w:val="18"/>
                <w:szCs w:val="18"/>
              </w:rPr>
              <w:t>SKLAD</w:t>
            </w:r>
          </w:p>
        </w:tc>
        <w:tc>
          <w:tcPr>
            <w:tcW w:w="1569" w:type="dxa"/>
            <w:shd w:val="clear" w:color="DCE6F1" w:fill="DCE6F1"/>
            <w:vAlign w:val="bottom"/>
            <w:hideMark/>
          </w:tcPr>
          <w:p w14:paraId="1ED0FB51" w14:textId="77777777" w:rsidR="008A580F" w:rsidRPr="00AB429E" w:rsidRDefault="008A580F" w:rsidP="008A580F">
            <w:pPr>
              <w:suppressAutoHyphens w:val="0"/>
              <w:autoSpaceDN/>
              <w:spacing w:after="0" w:line="240" w:lineRule="auto"/>
              <w:rPr>
                <w:rFonts w:cs="Arial"/>
                <w:b/>
                <w:bCs/>
                <w:sz w:val="18"/>
                <w:szCs w:val="18"/>
              </w:rPr>
            </w:pPr>
            <w:r w:rsidRPr="00AB429E">
              <w:rPr>
                <w:rFonts w:cs="Arial"/>
                <w:b/>
                <w:bCs/>
                <w:sz w:val="18"/>
                <w:szCs w:val="18"/>
              </w:rPr>
              <w:t>REGIJA</w:t>
            </w:r>
          </w:p>
        </w:tc>
        <w:tc>
          <w:tcPr>
            <w:tcW w:w="1194" w:type="dxa"/>
            <w:shd w:val="clear" w:color="DCE6F1" w:fill="DCE6F1"/>
            <w:vAlign w:val="bottom"/>
            <w:hideMark/>
          </w:tcPr>
          <w:p w14:paraId="52460ED1" w14:textId="77777777" w:rsidR="008A580F" w:rsidRPr="00AB429E" w:rsidRDefault="008A580F" w:rsidP="008A580F">
            <w:pPr>
              <w:suppressAutoHyphens w:val="0"/>
              <w:autoSpaceDN/>
              <w:spacing w:after="0" w:line="240" w:lineRule="auto"/>
              <w:rPr>
                <w:rFonts w:cs="Arial"/>
                <w:b/>
                <w:bCs/>
                <w:sz w:val="18"/>
                <w:szCs w:val="18"/>
              </w:rPr>
            </w:pPr>
            <w:r w:rsidRPr="00AB429E">
              <w:rPr>
                <w:rFonts w:cs="Arial"/>
                <w:b/>
                <w:bCs/>
                <w:sz w:val="18"/>
                <w:szCs w:val="18"/>
              </w:rPr>
              <w:t>KAZALNIK</w:t>
            </w:r>
          </w:p>
        </w:tc>
        <w:tc>
          <w:tcPr>
            <w:tcW w:w="1285" w:type="dxa"/>
            <w:shd w:val="clear" w:color="DCE6F1" w:fill="DCE6F1"/>
            <w:vAlign w:val="bottom"/>
            <w:hideMark/>
          </w:tcPr>
          <w:p w14:paraId="64B35133" w14:textId="77777777" w:rsidR="008A580F" w:rsidRPr="00AB429E" w:rsidRDefault="008A580F" w:rsidP="008A580F">
            <w:pPr>
              <w:suppressAutoHyphens w:val="0"/>
              <w:autoSpaceDN/>
              <w:spacing w:after="0" w:line="240" w:lineRule="auto"/>
              <w:jc w:val="center"/>
              <w:rPr>
                <w:rFonts w:cs="Arial"/>
                <w:b/>
                <w:bCs/>
                <w:sz w:val="18"/>
                <w:szCs w:val="18"/>
              </w:rPr>
            </w:pPr>
            <w:r w:rsidRPr="00AB429E">
              <w:rPr>
                <w:rFonts w:cs="Arial"/>
                <w:b/>
                <w:bCs/>
                <w:sz w:val="18"/>
                <w:szCs w:val="18"/>
              </w:rPr>
              <w:t>Število Mejnikov 2024</w:t>
            </w:r>
          </w:p>
        </w:tc>
        <w:tc>
          <w:tcPr>
            <w:tcW w:w="1684" w:type="dxa"/>
            <w:shd w:val="clear" w:color="DCE6F1" w:fill="DCE6F1"/>
            <w:vAlign w:val="bottom"/>
            <w:hideMark/>
          </w:tcPr>
          <w:p w14:paraId="4E3EF33C" w14:textId="77777777" w:rsidR="008A580F" w:rsidRPr="00AB429E" w:rsidRDefault="008A580F" w:rsidP="008A580F">
            <w:pPr>
              <w:suppressAutoHyphens w:val="0"/>
              <w:autoSpaceDN/>
              <w:spacing w:after="0" w:line="240" w:lineRule="auto"/>
              <w:jc w:val="center"/>
              <w:rPr>
                <w:rFonts w:cs="Arial"/>
                <w:b/>
                <w:bCs/>
                <w:sz w:val="18"/>
                <w:szCs w:val="18"/>
              </w:rPr>
            </w:pPr>
            <w:r w:rsidRPr="00AB429E">
              <w:rPr>
                <w:rFonts w:cs="Arial"/>
                <w:b/>
                <w:bCs/>
                <w:sz w:val="18"/>
                <w:szCs w:val="18"/>
              </w:rPr>
              <w:t>Povprečno doseganje mejnikov</w:t>
            </w:r>
          </w:p>
        </w:tc>
      </w:tr>
      <w:tr w:rsidR="008A580F" w:rsidRPr="008A580F" w14:paraId="3A5C6768" w14:textId="77777777" w:rsidTr="008A580F">
        <w:trPr>
          <w:trHeight w:val="300"/>
        </w:trPr>
        <w:tc>
          <w:tcPr>
            <w:tcW w:w="1248" w:type="dxa"/>
            <w:noWrap/>
            <w:vAlign w:val="bottom"/>
            <w:hideMark/>
          </w:tcPr>
          <w:p w14:paraId="65032E32" w14:textId="77777777" w:rsidR="008A580F" w:rsidRPr="00AB429E" w:rsidRDefault="008A580F" w:rsidP="008A580F">
            <w:pPr>
              <w:suppressAutoHyphens w:val="0"/>
              <w:autoSpaceDN/>
              <w:spacing w:after="0" w:line="240" w:lineRule="auto"/>
              <w:rPr>
                <w:rFonts w:cs="Arial"/>
                <w:b/>
                <w:bCs/>
                <w:color w:val="000000"/>
                <w:sz w:val="18"/>
                <w:szCs w:val="18"/>
              </w:rPr>
            </w:pPr>
            <w:r w:rsidRPr="00AB429E">
              <w:rPr>
                <w:rFonts w:cs="Arial"/>
                <w:b/>
                <w:bCs/>
                <w:color w:val="000000"/>
                <w:sz w:val="18"/>
                <w:szCs w:val="18"/>
              </w:rPr>
              <w:t>CP1</w:t>
            </w:r>
          </w:p>
        </w:tc>
        <w:tc>
          <w:tcPr>
            <w:tcW w:w="813" w:type="dxa"/>
            <w:noWrap/>
            <w:vAlign w:val="bottom"/>
            <w:hideMark/>
          </w:tcPr>
          <w:p w14:paraId="461029BA" w14:textId="77777777" w:rsidR="008A580F" w:rsidRPr="00AB429E" w:rsidRDefault="008A580F" w:rsidP="008A580F">
            <w:pPr>
              <w:suppressAutoHyphens w:val="0"/>
              <w:autoSpaceDN/>
              <w:spacing w:after="0" w:line="240" w:lineRule="auto"/>
              <w:rPr>
                <w:rFonts w:cs="Arial"/>
                <w:b/>
                <w:bCs/>
                <w:color w:val="000000"/>
                <w:sz w:val="18"/>
                <w:szCs w:val="18"/>
              </w:rPr>
            </w:pPr>
            <w:r w:rsidRPr="00AB429E">
              <w:rPr>
                <w:rFonts w:cs="Arial"/>
                <w:b/>
                <w:bCs/>
                <w:color w:val="000000"/>
                <w:sz w:val="18"/>
                <w:szCs w:val="18"/>
              </w:rPr>
              <w:t>PN1</w:t>
            </w:r>
          </w:p>
        </w:tc>
        <w:tc>
          <w:tcPr>
            <w:tcW w:w="899" w:type="dxa"/>
            <w:noWrap/>
            <w:vAlign w:val="bottom"/>
            <w:hideMark/>
          </w:tcPr>
          <w:p w14:paraId="751D9E2E"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RSO1.1</w:t>
            </w:r>
          </w:p>
        </w:tc>
        <w:tc>
          <w:tcPr>
            <w:tcW w:w="848" w:type="dxa"/>
            <w:noWrap/>
            <w:vAlign w:val="bottom"/>
            <w:hideMark/>
          </w:tcPr>
          <w:p w14:paraId="0C4A5435" w14:textId="77777777" w:rsidR="008A580F" w:rsidRPr="00AB429E" w:rsidRDefault="008A580F" w:rsidP="008A580F">
            <w:pPr>
              <w:suppressAutoHyphens w:val="0"/>
              <w:autoSpaceDN/>
              <w:spacing w:after="0" w:line="240" w:lineRule="auto"/>
              <w:rPr>
                <w:rFonts w:cs="Arial"/>
                <w:b/>
                <w:bCs/>
                <w:color w:val="000000"/>
                <w:sz w:val="18"/>
                <w:szCs w:val="18"/>
              </w:rPr>
            </w:pPr>
            <w:r w:rsidRPr="00AB429E">
              <w:rPr>
                <w:rFonts w:cs="Arial"/>
                <w:b/>
                <w:bCs/>
                <w:color w:val="000000"/>
                <w:sz w:val="18"/>
                <w:szCs w:val="18"/>
              </w:rPr>
              <w:t>ESRR</w:t>
            </w:r>
          </w:p>
        </w:tc>
        <w:tc>
          <w:tcPr>
            <w:tcW w:w="1569" w:type="dxa"/>
            <w:noWrap/>
            <w:vAlign w:val="bottom"/>
            <w:hideMark/>
          </w:tcPr>
          <w:p w14:paraId="1A8D34B9"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Vzhod</w:t>
            </w:r>
          </w:p>
        </w:tc>
        <w:tc>
          <w:tcPr>
            <w:tcW w:w="1194" w:type="dxa"/>
            <w:noWrap/>
            <w:vAlign w:val="bottom"/>
            <w:hideMark/>
          </w:tcPr>
          <w:p w14:paraId="362C4AEA"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RCO07</w:t>
            </w:r>
          </w:p>
        </w:tc>
        <w:tc>
          <w:tcPr>
            <w:tcW w:w="1285" w:type="dxa"/>
            <w:noWrap/>
            <w:vAlign w:val="bottom"/>
            <w:hideMark/>
          </w:tcPr>
          <w:p w14:paraId="5C42C534"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1</w:t>
            </w:r>
          </w:p>
        </w:tc>
        <w:tc>
          <w:tcPr>
            <w:tcW w:w="1684" w:type="dxa"/>
            <w:shd w:val="clear" w:color="000000" w:fill="F8696B"/>
            <w:noWrap/>
            <w:vAlign w:val="bottom"/>
            <w:hideMark/>
          </w:tcPr>
          <w:p w14:paraId="08943FB3"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0%</w:t>
            </w:r>
          </w:p>
        </w:tc>
      </w:tr>
      <w:tr w:rsidR="008A580F" w:rsidRPr="008A580F" w14:paraId="0223135B" w14:textId="77777777" w:rsidTr="008A580F">
        <w:trPr>
          <w:trHeight w:val="300"/>
        </w:trPr>
        <w:tc>
          <w:tcPr>
            <w:tcW w:w="1248" w:type="dxa"/>
            <w:noWrap/>
            <w:vAlign w:val="bottom"/>
            <w:hideMark/>
          </w:tcPr>
          <w:p w14:paraId="05F7CF29" w14:textId="77777777" w:rsidR="008A580F" w:rsidRPr="00AB429E" w:rsidRDefault="008A580F" w:rsidP="008A580F">
            <w:pPr>
              <w:suppressAutoHyphens w:val="0"/>
              <w:autoSpaceDN/>
              <w:spacing w:after="0" w:line="240" w:lineRule="auto"/>
              <w:jc w:val="center"/>
              <w:rPr>
                <w:rFonts w:cs="Arial"/>
                <w:sz w:val="18"/>
                <w:szCs w:val="18"/>
              </w:rPr>
            </w:pPr>
          </w:p>
        </w:tc>
        <w:tc>
          <w:tcPr>
            <w:tcW w:w="813" w:type="dxa"/>
            <w:noWrap/>
            <w:vAlign w:val="bottom"/>
            <w:hideMark/>
          </w:tcPr>
          <w:p w14:paraId="0ED30B39" w14:textId="77777777" w:rsidR="008A580F" w:rsidRPr="00AB429E" w:rsidRDefault="008A580F" w:rsidP="008A580F">
            <w:pPr>
              <w:suppressAutoHyphens w:val="0"/>
              <w:autoSpaceDN/>
              <w:spacing w:after="0" w:line="240" w:lineRule="auto"/>
              <w:rPr>
                <w:rFonts w:cs="Arial"/>
                <w:sz w:val="18"/>
                <w:szCs w:val="18"/>
              </w:rPr>
            </w:pPr>
          </w:p>
        </w:tc>
        <w:tc>
          <w:tcPr>
            <w:tcW w:w="899" w:type="dxa"/>
            <w:noWrap/>
            <w:vAlign w:val="bottom"/>
            <w:hideMark/>
          </w:tcPr>
          <w:p w14:paraId="51624D71" w14:textId="77777777" w:rsidR="008A580F" w:rsidRPr="00AB429E" w:rsidRDefault="008A580F" w:rsidP="008A580F">
            <w:pPr>
              <w:suppressAutoHyphens w:val="0"/>
              <w:autoSpaceDN/>
              <w:spacing w:after="0" w:line="240" w:lineRule="auto"/>
              <w:rPr>
                <w:rFonts w:cs="Arial"/>
                <w:sz w:val="18"/>
                <w:szCs w:val="18"/>
              </w:rPr>
            </w:pPr>
          </w:p>
        </w:tc>
        <w:tc>
          <w:tcPr>
            <w:tcW w:w="848" w:type="dxa"/>
            <w:noWrap/>
            <w:vAlign w:val="bottom"/>
            <w:hideMark/>
          </w:tcPr>
          <w:p w14:paraId="4341C9AF" w14:textId="77777777" w:rsidR="008A580F" w:rsidRPr="00AB429E" w:rsidRDefault="008A580F" w:rsidP="008A580F">
            <w:pPr>
              <w:suppressAutoHyphens w:val="0"/>
              <w:autoSpaceDN/>
              <w:spacing w:after="0" w:line="240" w:lineRule="auto"/>
              <w:rPr>
                <w:rFonts w:cs="Arial"/>
                <w:sz w:val="18"/>
                <w:szCs w:val="18"/>
              </w:rPr>
            </w:pPr>
          </w:p>
        </w:tc>
        <w:tc>
          <w:tcPr>
            <w:tcW w:w="1569" w:type="dxa"/>
            <w:noWrap/>
            <w:vAlign w:val="bottom"/>
            <w:hideMark/>
          </w:tcPr>
          <w:p w14:paraId="4DE30C0D" w14:textId="77777777" w:rsidR="008A580F" w:rsidRPr="00AB429E" w:rsidRDefault="008A580F" w:rsidP="008A580F">
            <w:pPr>
              <w:suppressAutoHyphens w:val="0"/>
              <w:autoSpaceDN/>
              <w:spacing w:after="0" w:line="240" w:lineRule="auto"/>
              <w:rPr>
                <w:rFonts w:cs="Arial"/>
                <w:sz w:val="18"/>
                <w:szCs w:val="18"/>
              </w:rPr>
            </w:pPr>
          </w:p>
        </w:tc>
        <w:tc>
          <w:tcPr>
            <w:tcW w:w="1194" w:type="dxa"/>
            <w:noWrap/>
            <w:vAlign w:val="bottom"/>
            <w:hideMark/>
          </w:tcPr>
          <w:p w14:paraId="1A522185"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RCO10</w:t>
            </w:r>
          </w:p>
        </w:tc>
        <w:tc>
          <w:tcPr>
            <w:tcW w:w="1285" w:type="dxa"/>
            <w:noWrap/>
            <w:vAlign w:val="bottom"/>
            <w:hideMark/>
          </w:tcPr>
          <w:p w14:paraId="5BDCBA24"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1</w:t>
            </w:r>
          </w:p>
        </w:tc>
        <w:tc>
          <w:tcPr>
            <w:tcW w:w="1684" w:type="dxa"/>
            <w:shd w:val="clear" w:color="000000" w:fill="F8696B"/>
            <w:noWrap/>
            <w:vAlign w:val="bottom"/>
            <w:hideMark/>
          </w:tcPr>
          <w:p w14:paraId="3DDDD437"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0%</w:t>
            </w:r>
          </w:p>
        </w:tc>
      </w:tr>
      <w:tr w:rsidR="008A580F" w:rsidRPr="008A580F" w14:paraId="292AC7EA" w14:textId="77777777" w:rsidTr="008A580F">
        <w:trPr>
          <w:trHeight w:val="300"/>
        </w:trPr>
        <w:tc>
          <w:tcPr>
            <w:tcW w:w="1248" w:type="dxa"/>
            <w:noWrap/>
            <w:vAlign w:val="bottom"/>
            <w:hideMark/>
          </w:tcPr>
          <w:p w14:paraId="16AA4794" w14:textId="77777777" w:rsidR="008A580F" w:rsidRPr="00AB429E" w:rsidRDefault="008A580F" w:rsidP="008A580F">
            <w:pPr>
              <w:suppressAutoHyphens w:val="0"/>
              <w:autoSpaceDN/>
              <w:spacing w:after="0" w:line="240" w:lineRule="auto"/>
              <w:jc w:val="center"/>
              <w:rPr>
                <w:rFonts w:cs="Arial"/>
                <w:sz w:val="18"/>
                <w:szCs w:val="18"/>
              </w:rPr>
            </w:pPr>
          </w:p>
        </w:tc>
        <w:tc>
          <w:tcPr>
            <w:tcW w:w="813" w:type="dxa"/>
            <w:noWrap/>
            <w:vAlign w:val="bottom"/>
            <w:hideMark/>
          </w:tcPr>
          <w:p w14:paraId="1D88B11E" w14:textId="77777777" w:rsidR="008A580F" w:rsidRPr="00AB429E" w:rsidRDefault="008A580F" w:rsidP="008A580F">
            <w:pPr>
              <w:suppressAutoHyphens w:val="0"/>
              <w:autoSpaceDN/>
              <w:spacing w:after="0" w:line="240" w:lineRule="auto"/>
              <w:rPr>
                <w:rFonts w:cs="Arial"/>
                <w:sz w:val="18"/>
                <w:szCs w:val="18"/>
              </w:rPr>
            </w:pPr>
          </w:p>
        </w:tc>
        <w:tc>
          <w:tcPr>
            <w:tcW w:w="899" w:type="dxa"/>
            <w:noWrap/>
            <w:vAlign w:val="bottom"/>
            <w:hideMark/>
          </w:tcPr>
          <w:p w14:paraId="1FFF86CB" w14:textId="77777777" w:rsidR="008A580F" w:rsidRPr="00AB429E" w:rsidRDefault="008A580F" w:rsidP="008A580F">
            <w:pPr>
              <w:suppressAutoHyphens w:val="0"/>
              <w:autoSpaceDN/>
              <w:spacing w:after="0" w:line="240" w:lineRule="auto"/>
              <w:rPr>
                <w:rFonts w:cs="Arial"/>
                <w:sz w:val="18"/>
                <w:szCs w:val="18"/>
              </w:rPr>
            </w:pPr>
          </w:p>
        </w:tc>
        <w:tc>
          <w:tcPr>
            <w:tcW w:w="848" w:type="dxa"/>
            <w:noWrap/>
            <w:vAlign w:val="bottom"/>
            <w:hideMark/>
          </w:tcPr>
          <w:p w14:paraId="28E2EABF" w14:textId="77777777" w:rsidR="008A580F" w:rsidRPr="00AB429E" w:rsidRDefault="008A580F" w:rsidP="008A580F">
            <w:pPr>
              <w:suppressAutoHyphens w:val="0"/>
              <w:autoSpaceDN/>
              <w:spacing w:after="0" w:line="240" w:lineRule="auto"/>
              <w:rPr>
                <w:rFonts w:cs="Arial"/>
                <w:sz w:val="18"/>
                <w:szCs w:val="18"/>
              </w:rPr>
            </w:pPr>
          </w:p>
        </w:tc>
        <w:tc>
          <w:tcPr>
            <w:tcW w:w="1569" w:type="dxa"/>
            <w:noWrap/>
            <w:vAlign w:val="bottom"/>
            <w:hideMark/>
          </w:tcPr>
          <w:p w14:paraId="2454626D"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Zahod</w:t>
            </w:r>
          </w:p>
        </w:tc>
        <w:tc>
          <w:tcPr>
            <w:tcW w:w="1194" w:type="dxa"/>
            <w:noWrap/>
            <w:vAlign w:val="bottom"/>
            <w:hideMark/>
          </w:tcPr>
          <w:p w14:paraId="5450BC8C"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RCO07</w:t>
            </w:r>
          </w:p>
        </w:tc>
        <w:tc>
          <w:tcPr>
            <w:tcW w:w="1285" w:type="dxa"/>
            <w:noWrap/>
            <w:vAlign w:val="bottom"/>
            <w:hideMark/>
          </w:tcPr>
          <w:p w14:paraId="385E359B"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1</w:t>
            </w:r>
          </w:p>
        </w:tc>
        <w:tc>
          <w:tcPr>
            <w:tcW w:w="1684" w:type="dxa"/>
            <w:shd w:val="clear" w:color="000000" w:fill="F8696B"/>
            <w:noWrap/>
            <w:vAlign w:val="bottom"/>
            <w:hideMark/>
          </w:tcPr>
          <w:p w14:paraId="113B409F"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0%</w:t>
            </w:r>
          </w:p>
        </w:tc>
      </w:tr>
      <w:tr w:rsidR="008A580F" w:rsidRPr="008A580F" w14:paraId="4BCD48B8" w14:textId="77777777" w:rsidTr="008A580F">
        <w:trPr>
          <w:trHeight w:val="300"/>
        </w:trPr>
        <w:tc>
          <w:tcPr>
            <w:tcW w:w="1248" w:type="dxa"/>
            <w:noWrap/>
            <w:vAlign w:val="bottom"/>
            <w:hideMark/>
          </w:tcPr>
          <w:p w14:paraId="69441FAA" w14:textId="77777777" w:rsidR="008A580F" w:rsidRPr="00AB429E" w:rsidRDefault="008A580F" w:rsidP="008A580F">
            <w:pPr>
              <w:suppressAutoHyphens w:val="0"/>
              <w:autoSpaceDN/>
              <w:spacing w:after="0" w:line="240" w:lineRule="auto"/>
              <w:jc w:val="center"/>
              <w:rPr>
                <w:rFonts w:cs="Arial"/>
                <w:sz w:val="18"/>
                <w:szCs w:val="18"/>
              </w:rPr>
            </w:pPr>
          </w:p>
        </w:tc>
        <w:tc>
          <w:tcPr>
            <w:tcW w:w="813" w:type="dxa"/>
            <w:noWrap/>
            <w:vAlign w:val="bottom"/>
            <w:hideMark/>
          </w:tcPr>
          <w:p w14:paraId="757FBDC8" w14:textId="77777777" w:rsidR="008A580F" w:rsidRPr="00AB429E" w:rsidRDefault="008A580F" w:rsidP="008A580F">
            <w:pPr>
              <w:suppressAutoHyphens w:val="0"/>
              <w:autoSpaceDN/>
              <w:spacing w:after="0" w:line="240" w:lineRule="auto"/>
              <w:rPr>
                <w:rFonts w:cs="Arial"/>
                <w:sz w:val="18"/>
                <w:szCs w:val="18"/>
              </w:rPr>
            </w:pPr>
          </w:p>
        </w:tc>
        <w:tc>
          <w:tcPr>
            <w:tcW w:w="899" w:type="dxa"/>
            <w:noWrap/>
            <w:vAlign w:val="bottom"/>
            <w:hideMark/>
          </w:tcPr>
          <w:p w14:paraId="40A0999E" w14:textId="77777777" w:rsidR="008A580F" w:rsidRPr="00AB429E" w:rsidRDefault="008A580F" w:rsidP="008A580F">
            <w:pPr>
              <w:suppressAutoHyphens w:val="0"/>
              <w:autoSpaceDN/>
              <w:spacing w:after="0" w:line="240" w:lineRule="auto"/>
              <w:rPr>
                <w:rFonts w:cs="Arial"/>
                <w:sz w:val="18"/>
                <w:szCs w:val="18"/>
              </w:rPr>
            </w:pPr>
          </w:p>
        </w:tc>
        <w:tc>
          <w:tcPr>
            <w:tcW w:w="848" w:type="dxa"/>
            <w:noWrap/>
            <w:vAlign w:val="bottom"/>
            <w:hideMark/>
          </w:tcPr>
          <w:p w14:paraId="6C3214E4" w14:textId="77777777" w:rsidR="008A580F" w:rsidRPr="00AB429E" w:rsidRDefault="008A580F" w:rsidP="008A580F">
            <w:pPr>
              <w:suppressAutoHyphens w:val="0"/>
              <w:autoSpaceDN/>
              <w:spacing w:after="0" w:line="240" w:lineRule="auto"/>
              <w:rPr>
                <w:rFonts w:cs="Arial"/>
                <w:sz w:val="18"/>
                <w:szCs w:val="18"/>
              </w:rPr>
            </w:pPr>
          </w:p>
        </w:tc>
        <w:tc>
          <w:tcPr>
            <w:tcW w:w="1569" w:type="dxa"/>
            <w:noWrap/>
            <w:vAlign w:val="bottom"/>
            <w:hideMark/>
          </w:tcPr>
          <w:p w14:paraId="58586E81" w14:textId="77777777" w:rsidR="008A580F" w:rsidRPr="00AB429E" w:rsidRDefault="008A580F" w:rsidP="008A580F">
            <w:pPr>
              <w:suppressAutoHyphens w:val="0"/>
              <w:autoSpaceDN/>
              <w:spacing w:after="0" w:line="240" w:lineRule="auto"/>
              <w:rPr>
                <w:rFonts w:cs="Arial"/>
                <w:sz w:val="18"/>
                <w:szCs w:val="18"/>
              </w:rPr>
            </w:pPr>
          </w:p>
        </w:tc>
        <w:tc>
          <w:tcPr>
            <w:tcW w:w="1194" w:type="dxa"/>
            <w:noWrap/>
            <w:vAlign w:val="bottom"/>
            <w:hideMark/>
          </w:tcPr>
          <w:p w14:paraId="5394387C"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RCO10</w:t>
            </w:r>
          </w:p>
        </w:tc>
        <w:tc>
          <w:tcPr>
            <w:tcW w:w="1285" w:type="dxa"/>
            <w:noWrap/>
            <w:vAlign w:val="bottom"/>
            <w:hideMark/>
          </w:tcPr>
          <w:p w14:paraId="7847BCEB"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1</w:t>
            </w:r>
          </w:p>
        </w:tc>
        <w:tc>
          <w:tcPr>
            <w:tcW w:w="1684" w:type="dxa"/>
            <w:shd w:val="clear" w:color="000000" w:fill="F8696B"/>
            <w:noWrap/>
            <w:vAlign w:val="bottom"/>
            <w:hideMark/>
          </w:tcPr>
          <w:p w14:paraId="73277556"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0%</w:t>
            </w:r>
          </w:p>
        </w:tc>
      </w:tr>
      <w:tr w:rsidR="008A580F" w:rsidRPr="008A580F" w14:paraId="72216E62" w14:textId="77777777" w:rsidTr="008A580F">
        <w:trPr>
          <w:trHeight w:val="300"/>
        </w:trPr>
        <w:tc>
          <w:tcPr>
            <w:tcW w:w="1248" w:type="dxa"/>
            <w:noWrap/>
            <w:vAlign w:val="bottom"/>
            <w:hideMark/>
          </w:tcPr>
          <w:p w14:paraId="1D6BAB04" w14:textId="77777777" w:rsidR="008A580F" w:rsidRPr="00AB429E" w:rsidRDefault="008A580F" w:rsidP="008A580F">
            <w:pPr>
              <w:suppressAutoHyphens w:val="0"/>
              <w:autoSpaceDN/>
              <w:spacing w:after="0" w:line="240" w:lineRule="auto"/>
              <w:jc w:val="center"/>
              <w:rPr>
                <w:rFonts w:cs="Arial"/>
                <w:sz w:val="18"/>
                <w:szCs w:val="18"/>
              </w:rPr>
            </w:pPr>
          </w:p>
        </w:tc>
        <w:tc>
          <w:tcPr>
            <w:tcW w:w="813" w:type="dxa"/>
            <w:noWrap/>
            <w:vAlign w:val="bottom"/>
            <w:hideMark/>
          </w:tcPr>
          <w:p w14:paraId="468C68B5" w14:textId="77777777" w:rsidR="008A580F" w:rsidRPr="00AB429E" w:rsidRDefault="008A580F" w:rsidP="008A580F">
            <w:pPr>
              <w:suppressAutoHyphens w:val="0"/>
              <w:autoSpaceDN/>
              <w:spacing w:after="0" w:line="240" w:lineRule="auto"/>
              <w:rPr>
                <w:rFonts w:cs="Arial"/>
                <w:sz w:val="18"/>
                <w:szCs w:val="18"/>
              </w:rPr>
            </w:pPr>
          </w:p>
        </w:tc>
        <w:tc>
          <w:tcPr>
            <w:tcW w:w="899" w:type="dxa"/>
            <w:noWrap/>
            <w:vAlign w:val="bottom"/>
            <w:hideMark/>
          </w:tcPr>
          <w:p w14:paraId="1399C0B2"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RSO1.2</w:t>
            </w:r>
          </w:p>
        </w:tc>
        <w:tc>
          <w:tcPr>
            <w:tcW w:w="848" w:type="dxa"/>
            <w:noWrap/>
            <w:vAlign w:val="bottom"/>
            <w:hideMark/>
          </w:tcPr>
          <w:p w14:paraId="0C823772" w14:textId="77777777" w:rsidR="008A580F" w:rsidRPr="00AB429E" w:rsidRDefault="008A580F" w:rsidP="008A580F">
            <w:pPr>
              <w:suppressAutoHyphens w:val="0"/>
              <w:autoSpaceDN/>
              <w:spacing w:after="0" w:line="240" w:lineRule="auto"/>
              <w:rPr>
                <w:rFonts w:cs="Arial"/>
                <w:b/>
                <w:bCs/>
                <w:color w:val="000000"/>
                <w:sz w:val="18"/>
                <w:szCs w:val="18"/>
              </w:rPr>
            </w:pPr>
            <w:r w:rsidRPr="00AB429E">
              <w:rPr>
                <w:rFonts w:cs="Arial"/>
                <w:b/>
                <w:bCs/>
                <w:color w:val="000000"/>
                <w:sz w:val="18"/>
                <w:szCs w:val="18"/>
              </w:rPr>
              <w:t>ESRR</w:t>
            </w:r>
          </w:p>
        </w:tc>
        <w:tc>
          <w:tcPr>
            <w:tcW w:w="1569" w:type="dxa"/>
            <w:noWrap/>
            <w:vAlign w:val="bottom"/>
            <w:hideMark/>
          </w:tcPr>
          <w:p w14:paraId="7A95CE87"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Vzhod</w:t>
            </w:r>
          </w:p>
        </w:tc>
        <w:tc>
          <w:tcPr>
            <w:tcW w:w="1194" w:type="dxa"/>
            <w:noWrap/>
            <w:vAlign w:val="bottom"/>
            <w:hideMark/>
          </w:tcPr>
          <w:p w14:paraId="60210122"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RCO01</w:t>
            </w:r>
          </w:p>
        </w:tc>
        <w:tc>
          <w:tcPr>
            <w:tcW w:w="1285" w:type="dxa"/>
            <w:noWrap/>
            <w:vAlign w:val="bottom"/>
            <w:hideMark/>
          </w:tcPr>
          <w:p w14:paraId="6D356B5C"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1</w:t>
            </w:r>
          </w:p>
        </w:tc>
        <w:tc>
          <w:tcPr>
            <w:tcW w:w="1684" w:type="dxa"/>
            <w:shd w:val="clear" w:color="000000" w:fill="F8696B"/>
            <w:noWrap/>
            <w:vAlign w:val="bottom"/>
            <w:hideMark/>
          </w:tcPr>
          <w:p w14:paraId="3564ABD9"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0%</w:t>
            </w:r>
          </w:p>
        </w:tc>
      </w:tr>
      <w:tr w:rsidR="008A580F" w:rsidRPr="008A580F" w14:paraId="523FC056" w14:textId="77777777" w:rsidTr="008A580F">
        <w:trPr>
          <w:trHeight w:val="300"/>
        </w:trPr>
        <w:tc>
          <w:tcPr>
            <w:tcW w:w="1248" w:type="dxa"/>
            <w:noWrap/>
            <w:vAlign w:val="bottom"/>
            <w:hideMark/>
          </w:tcPr>
          <w:p w14:paraId="07949B8B" w14:textId="77777777" w:rsidR="008A580F" w:rsidRPr="00AB429E" w:rsidRDefault="008A580F" w:rsidP="008A580F">
            <w:pPr>
              <w:suppressAutoHyphens w:val="0"/>
              <w:autoSpaceDN/>
              <w:spacing w:after="0" w:line="240" w:lineRule="auto"/>
              <w:jc w:val="center"/>
              <w:rPr>
                <w:rFonts w:cs="Arial"/>
                <w:sz w:val="18"/>
                <w:szCs w:val="18"/>
              </w:rPr>
            </w:pPr>
          </w:p>
        </w:tc>
        <w:tc>
          <w:tcPr>
            <w:tcW w:w="813" w:type="dxa"/>
            <w:noWrap/>
            <w:vAlign w:val="bottom"/>
            <w:hideMark/>
          </w:tcPr>
          <w:p w14:paraId="6B1FD35F" w14:textId="77777777" w:rsidR="008A580F" w:rsidRPr="00AB429E" w:rsidRDefault="008A580F" w:rsidP="008A580F">
            <w:pPr>
              <w:suppressAutoHyphens w:val="0"/>
              <w:autoSpaceDN/>
              <w:spacing w:after="0" w:line="240" w:lineRule="auto"/>
              <w:rPr>
                <w:rFonts w:cs="Arial"/>
                <w:sz w:val="18"/>
                <w:szCs w:val="18"/>
              </w:rPr>
            </w:pPr>
          </w:p>
        </w:tc>
        <w:tc>
          <w:tcPr>
            <w:tcW w:w="899" w:type="dxa"/>
            <w:noWrap/>
            <w:vAlign w:val="bottom"/>
            <w:hideMark/>
          </w:tcPr>
          <w:p w14:paraId="3EFCE656" w14:textId="77777777" w:rsidR="008A580F" w:rsidRPr="00AB429E" w:rsidRDefault="008A580F" w:rsidP="008A580F">
            <w:pPr>
              <w:suppressAutoHyphens w:val="0"/>
              <w:autoSpaceDN/>
              <w:spacing w:after="0" w:line="240" w:lineRule="auto"/>
              <w:rPr>
                <w:rFonts w:cs="Arial"/>
                <w:sz w:val="18"/>
                <w:szCs w:val="18"/>
              </w:rPr>
            </w:pPr>
          </w:p>
        </w:tc>
        <w:tc>
          <w:tcPr>
            <w:tcW w:w="848" w:type="dxa"/>
            <w:noWrap/>
            <w:vAlign w:val="bottom"/>
            <w:hideMark/>
          </w:tcPr>
          <w:p w14:paraId="071D50C8" w14:textId="77777777" w:rsidR="008A580F" w:rsidRPr="00AB429E" w:rsidRDefault="008A580F" w:rsidP="008A580F">
            <w:pPr>
              <w:suppressAutoHyphens w:val="0"/>
              <w:autoSpaceDN/>
              <w:spacing w:after="0" w:line="240" w:lineRule="auto"/>
              <w:rPr>
                <w:rFonts w:cs="Arial"/>
                <w:sz w:val="18"/>
                <w:szCs w:val="18"/>
              </w:rPr>
            </w:pPr>
          </w:p>
        </w:tc>
        <w:tc>
          <w:tcPr>
            <w:tcW w:w="1569" w:type="dxa"/>
            <w:noWrap/>
            <w:vAlign w:val="bottom"/>
            <w:hideMark/>
          </w:tcPr>
          <w:p w14:paraId="0AB0AC7A" w14:textId="77777777" w:rsidR="008A580F" w:rsidRPr="00AB429E" w:rsidRDefault="008A580F" w:rsidP="008A580F">
            <w:pPr>
              <w:suppressAutoHyphens w:val="0"/>
              <w:autoSpaceDN/>
              <w:spacing w:after="0" w:line="240" w:lineRule="auto"/>
              <w:rPr>
                <w:rFonts w:cs="Arial"/>
                <w:sz w:val="18"/>
                <w:szCs w:val="18"/>
              </w:rPr>
            </w:pPr>
          </w:p>
        </w:tc>
        <w:tc>
          <w:tcPr>
            <w:tcW w:w="1194" w:type="dxa"/>
            <w:noWrap/>
            <w:vAlign w:val="bottom"/>
            <w:hideMark/>
          </w:tcPr>
          <w:p w14:paraId="36D5710E"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RCO04</w:t>
            </w:r>
          </w:p>
        </w:tc>
        <w:tc>
          <w:tcPr>
            <w:tcW w:w="1285" w:type="dxa"/>
            <w:noWrap/>
            <w:vAlign w:val="bottom"/>
            <w:hideMark/>
          </w:tcPr>
          <w:p w14:paraId="355EEA6C"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1</w:t>
            </w:r>
          </w:p>
        </w:tc>
        <w:tc>
          <w:tcPr>
            <w:tcW w:w="1684" w:type="dxa"/>
            <w:shd w:val="clear" w:color="000000" w:fill="F8696B"/>
            <w:noWrap/>
            <w:vAlign w:val="bottom"/>
            <w:hideMark/>
          </w:tcPr>
          <w:p w14:paraId="1553FDE4"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0%</w:t>
            </w:r>
          </w:p>
        </w:tc>
      </w:tr>
      <w:tr w:rsidR="008A580F" w:rsidRPr="008A580F" w14:paraId="24DB7348" w14:textId="77777777" w:rsidTr="008A580F">
        <w:trPr>
          <w:trHeight w:val="300"/>
        </w:trPr>
        <w:tc>
          <w:tcPr>
            <w:tcW w:w="1248" w:type="dxa"/>
            <w:noWrap/>
            <w:vAlign w:val="bottom"/>
            <w:hideMark/>
          </w:tcPr>
          <w:p w14:paraId="72C27908" w14:textId="77777777" w:rsidR="008A580F" w:rsidRPr="00AB429E" w:rsidRDefault="008A580F" w:rsidP="008A580F">
            <w:pPr>
              <w:suppressAutoHyphens w:val="0"/>
              <w:autoSpaceDN/>
              <w:spacing w:after="0" w:line="240" w:lineRule="auto"/>
              <w:jc w:val="center"/>
              <w:rPr>
                <w:rFonts w:cs="Arial"/>
                <w:sz w:val="18"/>
                <w:szCs w:val="18"/>
              </w:rPr>
            </w:pPr>
          </w:p>
        </w:tc>
        <w:tc>
          <w:tcPr>
            <w:tcW w:w="813" w:type="dxa"/>
            <w:noWrap/>
            <w:vAlign w:val="bottom"/>
            <w:hideMark/>
          </w:tcPr>
          <w:p w14:paraId="29AA2749" w14:textId="77777777" w:rsidR="008A580F" w:rsidRPr="00AB429E" w:rsidRDefault="008A580F" w:rsidP="008A580F">
            <w:pPr>
              <w:suppressAutoHyphens w:val="0"/>
              <w:autoSpaceDN/>
              <w:spacing w:after="0" w:line="240" w:lineRule="auto"/>
              <w:rPr>
                <w:rFonts w:cs="Arial"/>
                <w:sz w:val="18"/>
                <w:szCs w:val="18"/>
              </w:rPr>
            </w:pPr>
          </w:p>
        </w:tc>
        <w:tc>
          <w:tcPr>
            <w:tcW w:w="899" w:type="dxa"/>
            <w:noWrap/>
            <w:vAlign w:val="bottom"/>
            <w:hideMark/>
          </w:tcPr>
          <w:p w14:paraId="7FB1ED43" w14:textId="77777777" w:rsidR="008A580F" w:rsidRPr="00AB429E" w:rsidRDefault="008A580F" w:rsidP="008A580F">
            <w:pPr>
              <w:suppressAutoHyphens w:val="0"/>
              <w:autoSpaceDN/>
              <w:spacing w:after="0" w:line="240" w:lineRule="auto"/>
              <w:rPr>
                <w:rFonts w:cs="Arial"/>
                <w:sz w:val="18"/>
                <w:szCs w:val="18"/>
              </w:rPr>
            </w:pPr>
          </w:p>
        </w:tc>
        <w:tc>
          <w:tcPr>
            <w:tcW w:w="848" w:type="dxa"/>
            <w:noWrap/>
            <w:vAlign w:val="bottom"/>
            <w:hideMark/>
          </w:tcPr>
          <w:p w14:paraId="67E82A0F" w14:textId="77777777" w:rsidR="008A580F" w:rsidRPr="00AB429E" w:rsidRDefault="008A580F" w:rsidP="008A580F">
            <w:pPr>
              <w:suppressAutoHyphens w:val="0"/>
              <w:autoSpaceDN/>
              <w:spacing w:after="0" w:line="240" w:lineRule="auto"/>
              <w:rPr>
                <w:rFonts w:cs="Arial"/>
                <w:sz w:val="18"/>
                <w:szCs w:val="18"/>
              </w:rPr>
            </w:pPr>
          </w:p>
        </w:tc>
        <w:tc>
          <w:tcPr>
            <w:tcW w:w="1569" w:type="dxa"/>
            <w:noWrap/>
            <w:vAlign w:val="bottom"/>
            <w:hideMark/>
          </w:tcPr>
          <w:p w14:paraId="50A27211" w14:textId="77777777" w:rsidR="008A580F" w:rsidRPr="00AB429E" w:rsidRDefault="008A580F" w:rsidP="008A580F">
            <w:pPr>
              <w:suppressAutoHyphens w:val="0"/>
              <w:autoSpaceDN/>
              <w:spacing w:after="0" w:line="240" w:lineRule="auto"/>
              <w:rPr>
                <w:rFonts w:cs="Arial"/>
                <w:sz w:val="18"/>
                <w:szCs w:val="18"/>
              </w:rPr>
            </w:pPr>
          </w:p>
        </w:tc>
        <w:tc>
          <w:tcPr>
            <w:tcW w:w="1194" w:type="dxa"/>
            <w:noWrap/>
            <w:vAlign w:val="bottom"/>
            <w:hideMark/>
          </w:tcPr>
          <w:p w14:paraId="02FED03E"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RCO14</w:t>
            </w:r>
          </w:p>
        </w:tc>
        <w:tc>
          <w:tcPr>
            <w:tcW w:w="1285" w:type="dxa"/>
            <w:noWrap/>
            <w:vAlign w:val="bottom"/>
            <w:hideMark/>
          </w:tcPr>
          <w:p w14:paraId="04879ABE"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1</w:t>
            </w:r>
          </w:p>
        </w:tc>
        <w:tc>
          <w:tcPr>
            <w:tcW w:w="1684" w:type="dxa"/>
            <w:shd w:val="clear" w:color="000000" w:fill="F8696B"/>
            <w:noWrap/>
            <w:vAlign w:val="bottom"/>
            <w:hideMark/>
          </w:tcPr>
          <w:p w14:paraId="614811B0"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0%</w:t>
            </w:r>
          </w:p>
        </w:tc>
      </w:tr>
      <w:tr w:rsidR="008A580F" w:rsidRPr="008A580F" w14:paraId="47D6D682" w14:textId="77777777" w:rsidTr="008A580F">
        <w:trPr>
          <w:trHeight w:val="300"/>
        </w:trPr>
        <w:tc>
          <w:tcPr>
            <w:tcW w:w="1248" w:type="dxa"/>
            <w:noWrap/>
            <w:vAlign w:val="bottom"/>
            <w:hideMark/>
          </w:tcPr>
          <w:p w14:paraId="11E2605C" w14:textId="77777777" w:rsidR="008A580F" w:rsidRPr="00AB429E" w:rsidRDefault="008A580F" w:rsidP="008A580F">
            <w:pPr>
              <w:suppressAutoHyphens w:val="0"/>
              <w:autoSpaceDN/>
              <w:spacing w:after="0" w:line="240" w:lineRule="auto"/>
              <w:jc w:val="center"/>
              <w:rPr>
                <w:rFonts w:cs="Arial"/>
                <w:sz w:val="18"/>
                <w:szCs w:val="18"/>
              </w:rPr>
            </w:pPr>
          </w:p>
        </w:tc>
        <w:tc>
          <w:tcPr>
            <w:tcW w:w="813" w:type="dxa"/>
            <w:noWrap/>
            <w:vAlign w:val="bottom"/>
            <w:hideMark/>
          </w:tcPr>
          <w:p w14:paraId="34975CAD" w14:textId="77777777" w:rsidR="008A580F" w:rsidRPr="00AB429E" w:rsidRDefault="008A580F" w:rsidP="008A580F">
            <w:pPr>
              <w:suppressAutoHyphens w:val="0"/>
              <w:autoSpaceDN/>
              <w:spacing w:after="0" w:line="240" w:lineRule="auto"/>
              <w:rPr>
                <w:rFonts w:cs="Arial"/>
                <w:sz w:val="18"/>
                <w:szCs w:val="18"/>
              </w:rPr>
            </w:pPr>
          </w:p>
        </w:tc>
        <w:tc>
          <w:tcPr>
            <w:tcW w:w="899" w:type="dxa"/>
            <w:noWrap/>
            <w:vAlign w:val="bottom"/>
            <w:hideMark/>
          </w:tcPr>
          <w:p w14:paraId="2DCB159E" w14:textId="77777777" w:rsidR="008A580F" w:rsidRPr="00AB429E" w:rsidRDefault="008A580F" w:rsidP="008A580F">
            <w:pPr>
              <w:suppressAutoHyphens w:val="0"/>
              <w:autoSpaceDN/>
              <w:spacing w:after="0" w:line="240" w:lineRule="auto"/>
              <w:rPr>
                <w:rFonts w:cs="Arial"/>
                <w:sz w:val="18"/>
                <w:szCs w:val="18"/>
              </w:rPr>
            </w:pPr>
          </w:p>
        </w:tc>
        <w:tc>
          <w:tcPr>
            <w:tcW w:w="848" w:type="dxa"/>
            <w:noWrap/>
            <w:vAlign w:val="bottom"/>
            <w:hideMark/>
          </w:tcPr>
          <w:p w14:paraId="63090DC9" w14:textId="77777777" w:rsidR="008A580F" w:rsidRPr="00AB429E" w:rsidRDefault="008A580F" w:rsidP="008A580F">
            <w:pPr>
              <w:suppressAutoHyphens w:val="0"/>
              <w:autoSpaceDN/>
              <w:spacing w:after="0" w:line="240" w:lineRule="auto"/>
              <w:rPr>
                <w:rFonts w:cs="Arial"/>
                <w:sz w:val="18"/>
                <w:szCs w:val="18"/>
              </w:rPr>
            </w:pPr>
          </w:p>
        </w:tc>
        <w:tc>
          <w:tcPr>
            <w:tcW w:w="1569" w:type="dxa"/>
            <w:noWrap/>
            <w:vAlign w:val="bottom"/>
            <w:hideMark/>
          </w:tcPr>
          <w:p w14:paraId="6D62CB7B"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Zahod</w:t>
            </w:r>
          </w:p>
        </w:tc>
        <w:tc>
          <w:tcPr>
            <w:tcW w:w="1194" w:type="dxa"/>
            <w:noWrap/>
            <w:vAlign w:val="bottom"/>
            <w:hideMark/>
          </w:tcPr>
          <w:p w14:paraId="02252A5E"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RCO01</w:t>
            </w:r>
          </w:p>
        </w:tc>
        <w:tc>
          <w:tcPr>
            <w:tcW w:w="1285" w:type="dxa"/>
            <w:noWrap/>
            <w:vAlign w:val="bottom"/>
            <w:hideMark/>
          </w:tcPr>
          <w:p w14:paraId="66D71537"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1</w:t>
            </w:r>
          </w:p>
        </w:tc>
        <w:tc>
          <w:tcPr>
            <w:tcW w:w="1684" w:type="dxa"/>
            <w:shd w:val="clear" w:color="000000" w:fill="F8696B"/>
            <w:noWrap/>
            <w:vAlign w:val="bottom"/>
            <w:hideMark/>
          </w:tcPr>
          <w:p w14:paraId="6455BA3E"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0%</w:t>
            </w:r>
          </w:p>
        </w:tc>
      </w:tr>
      <w:tr w:rsidR="008A580F" w:rsidRPr="008A580F" w14:paraId="5CFDECD5" w14:textId="77777777" w:rsidTr="008A580F">
        <w:trPr>
          <w:trHeight w:val="300"/>
        </w:trPr>
        <w:tc>
          <w:tcPr>
            <w:tcW w:w="1248" w:type="dxa"/>
            <w:noWrap/>
            <w:vAlign w:val="bottom"/>
            <w:hideMark/>
          </w:tcPr>
          <w:p w14:paraId="17F007FB" w14:textId="77777777" w:rsidR="008A580F" w:rsidRPr="00AB429E" w:rsidRDefault="008A580F" w:rsidP="008A580F">
            <w:pPr>
              <w:suppressAutoHyphens w:val="0"/>
              <w:autoSpaceDN/>
              <w:spacing w:after="0" w:line="240" w:lineRule="auto"/>
              <w:jc w:val="center"/>
              <w:rPr>
                <w:rFonts w:cs="Arial"/>
                <w:sz w:val="18"/>
                <w:szCs w:val="18"/>
              </w:rPr>
            </w:pPr>
          </w:p>
        </w:tc>
        <w:tc>
          <w:tcPr>
            <w:tcW w:w="813" w:type="dxa"/>
            <w:noWrap/>
            <w:vAlign w:val="bottom"/>
            <w:hideMark/>
          </w:tcPr>
          <w:p w14:paraId="6E6ED7FC" w14:textId="77777777" w:rsidR="008A580F" w:rsidRPr="00AB429E" w:rsidRDefault="008A580F" w:rsidP="008A580F">
            <w:pPr>
              <w:suppressAutoHyphens w:val="0"/>
              <w:autoSpaceDN/>
              <w:spacing w:after="0" w:line="240" w:lineRule="auto"/>
              <w:rPr>
                <w:rFonts w:cs="Arial"/>
                <w:sz w:val="18"/>
                <w:szCs w:val="18"/>
              </w:rPr>
            </w:pPr>
          </w:p>
        </w:tc>
        <w:tc>
          <w:tcPr>
            <w:tcW w:w="899" w:type="dxa"/>
            <w:noWrap/>
            <w:vAlign w:val="bottom"/>
            <w:hideMark/>
          </w:tcPr>
          <w:p w14:paraId="2D60DA68" w14:textId="77777777" w:rsidR="008A580F" w:rsidRPr="00AB429E" w:rsidRDefault="008A580F" w:rsidP="008A580F">
            <w:pPr>
              <w:suppressAutoHyphens w:val="0"/>
              <w:autoSpaceDN/>
              <w:spacing w:after="0" w:line="240" w:lineRule="auto"/>
              <w:rPr>
                <w:rFonts w:cs="Arial"/>
                <w:sz w:val="18"/>
                <w:szCs w:val="18"/>
              </w:rPr>
            </w:pPr>
          </w:p>
        </w:tc>
        <w:tc>
          <w:tcPr>
            <w:tcW w:w="848" w:type="dxa"/>
            <w:noWrap/>
            <w:vAlign w:val="bottom"/>
            <w:hideMark/>
          </w:tcPr>
          <w:p w14:paraId="77A784FF" w14:textId="77777777" w:rsidR="008A580F" w:rsidRPr="00AB429E" w:rsidRDefault="008A580F" w:rsidP="008A580F">
            <w:pPr>
              <w:suppressAutoHyphens w:val="0"/>
              <w:autoSpaceDN/>
              <w:spacing w:after="0" w:line="240" w:lineRule="auto"/>
              <w:rPr>
                <w:rFonts w:cs="Arial"/>
                <w:sz w:val="18"/>
                <w:szCs w:val="18"/>
              </w:rPr>
            </w:pPr>
          </w:p>
        </w:tc>
        <w:tc>
          <w:tcPr>
            <w:tcW w:w="1569" w:type="dxa"/>
            <w:noWrap/>
            <w:vAlign w:val="bottom"/>
            <w:hideMark/>
          </w:tcPr>
          <w:p w14:paraId="70A613D5" w14:textId="77777777" w:rsidR="008A580F" w:rsidRPr="00AB429E" w:rsidRDefault="008A580F" w:rsidP="008A580F">
            <w:pPr>
              <w:suppressAutoHyphens w:val="0"/>
              <w:autoSpaceDN/>
              <w:spacing w:after="0" w:line="240" w:lineRule="auto"/>
              <w:rPr>
                <w:rFonts w:cs="Arial"/>
                <w:sz w:val="18"/>
                <w:szCs w:val="18"/>
              </w:rPr>
            </w:pPr>
          </w:p>
        </w:tc>
        <w:tc>
          <w:tcPr>
            <w:tcW w:w="1194" w:type="dxa"/>
            <w:noWrap/>
            <w:vAlign w:val="bottom"/>
            <w:hideMark/>
          </w:tcPr>
          <w:p w14:paraId="2E53D37B"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RCO04</w:t>
            </w:r>
          </w:p>
        </w:tc>
        <w:tc>
          <w:tcPr>
            <w:tcW w:w="1285" w:type="dxa"/>
            <w:noWrap/>
            <w:vAlign w:val="bottom"/>
            <w:hideMark/>
          </w:tcPr>
          <w:p w14:paraId="60E4EE52"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1</w:t>
            </w:r>
          </w:p>
        </w:tc>
        <w:tc>
          <w:tcPr>
            <w:tcW w:w="1684" w:type="dxa"/>
            <w:shd w:val="clear" w:color="000000" w:fill="F8696B"/>
            <w:noWrap/>
            <w:vAlign w:val="bottom"/>
            <w:hideMark/>
          </w:tcPr>
          <w:p w14:paraId="4997BB6C"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0%</w:t>
            </w:r>
          </w:p>
        </w:tc>
      </w:tr>
      <w:tr w:rsidR="008A580F" w:rsidRPr="008A580F" w14:paraId="5753DD03" w14:textId="77777777" w:rsidTr="008A580F">
        <w:trPr>
          <w:trHeight w:val="300"/>
        </w:trPr>
        <w:tc>
          <w:tcPr>
            <w:tcW w:w="1248" w:type="dxa"/>
            <w:noWrap/>
            <w:vAlign w:val="bottom"/>
            <w:hideMark/>
          </w:tcPr>
          <w:p w14:paraId="147395FA" w14:textId="77777777" w:rsidR="008A580F" w:rsidRPr="00AB429E" w:rsidRDefault="008A580F" w:rsidP="008A580F">
            <w:pPr>
              <w:suppressAutoHyphens w:val="0"/>
              <w:autoSpaceDN/>
              <w:spacing w:after="0" w:line="240" w:lineRule="auto"/>
              <w:jc w:val="center"/>
              <w:rPr>
                <w:rFonts w:cs="Arial"/>
                <w:sz w:val="18"/>
                <w:szCs w:val="18"/>
              </w:rPr>
            </w:pPr>
          </w:p>
        </w:tc>
        <w:tc>
          <w:tcPr>
            <w:tcW w:w="813" w:type="dxa"/>
            <w:noWrap/>
            <w:vAlign w:val="bottom"/>
            <w:hideMark/>
          </w:tcPr>
          <w:p w14:paraId="314D4F32" w14:textId="77777777" w:rsidR="008A580F" w:rsidRPr="00AB429E" w:rsidRDefault="008A580F" w:rsidP="008A580F">
            <w:pPr>
              <w:suppressAutoHyphens w:val="0"/>
              <w:autoSpaceDN/>
              <w:spacing w:after="0" w:line="240" w:lineRule="auto"/>
              <w:rPr>
                <w:rFonts w:cs="Arial"/>
                <w:sz w:val="18"/>
                <w:szCs w:val="18"/>
              </w:rPr>
            </w:pPr>
          </w:p>
        </w:tc>
        <w:tc>
          <w:tcPr>
            <w:tcW w:w="899" w:type="dxa"/>
            <w:noWrap/>
            <w:vAlign w:val="bottom"/>
            <w:hideMark/>
          </w:tcPr>
          <w:p w14:paraId="7DE3ED8E" w14:textId="77777777" w:rsidR="008A580F" w:rsidRPr="00AB429E" w:rsidRDefault="008A580F" w:rsidP="008A580F">
            <w:pPr>
              <w:suppressAutoHyphens w:val="0"/>
              <w:autoSpaceDN/>
              <w:spacing w:after="0" w:line="240" w:lineRule="auto"/>
              <w:rPr>
                <w:rFonts w:cs="Arial"/>
                <w:sz w:val="18"/>
                <w:szCs w:val="18"/>
              </w:rPr>
            </w:pPr>
          </w:p>
        </w:tc>
        <w:tc>
          <w:tcPr>
            <w:tcW w:w="848" w:type="dxa"/>
            <w:noWrap/>
            <w:vAlign w:val="bottom"/>
            <w:hideMark/>
          </w:tcPr>
          <w:p w14:paraId="2C1D49DD" w14:textId="77777777" w:rsidR="008A580F" w:rsidRPr="00AB429E" w:rsidRDefault="008A580F" w:rsidP="008A580F">
            <w:pPr>
              <w:suppressAutoHyphens w:val="0"/>
              <w:autoSpaceDN/>
              <w:spacing w:after="0" w:line="240" w:lineRule="auto"/>
              <w:rPr>
                <w:rFonts w:cs="Arial"/>
                <w:sz w:val="18"/>
                <w:szCs w:val="18"/>
              </w:rPr>
            </w:pPr>
          </w:p>
        </w:tc>
        <w:tc>
          <w:tcPr>
            <w:tcW w:w="1569" w:type="dxa"/>
            <w:noWrap/>
            <w:vAlign w:val="bottom"/>
            <w:hideMark/>
          </w:tcPr>
          <w:p w14:paraId="7AA75EB3" w14:textId="77777777" w:rsidR="008A580F" w:rsidRPr="00AB429E" w:rsidRDefault="008A580F" w:rsidP="008A580F">
            <w:pPr>
              <w:suppressAutoHyphens w:val="0"/>
              <w:autoSpaceDN/>
              <w:spacing w:after="0" w:line="240" w:lineRule="auto"/>
              <w:rPr>
                <w:rFonts w:cs="Arial"/>
                <w:sz w:val="18"/>
                <w:szCs w:val="18"/>
              </w:rPr>
            </w:pPr>
          </w:p>
        </w:tc>
        <w:tc>
          <w:tcPr>
            <w:tcW w:w="1194" w:type="dxa"/>
            <w:noWrap/>
            <w:vAlign w:val="bottom"/>
            <w:hideMark/>
          </w:tcPr>
          <w:p w14:paraId="01E8FACF"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RCO14</w:t>
            </w:r>
          </w:p>
        </w:tc>
        <w:tc>
          <w:tcPr>
            <w:tcW w:w="1285" w:type="dxa"/>
            <w:noWrap/>
            <w:vAlign w:val="bottom"/>
            <w:hideMark/>
          </w:tcPr>
          <w:p w14:paraId="61EA7B63"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1</w:t>
            </w:r>
          </w:p>
        </w:tc>
        <w:tc>
          <w:tcPr>
            <w:tcW w:w="1684" w:type="dxa"/>
            <w:shd w:val="clear" w:color="000000" w:fill="F8696B"/>
            <w:noWrap/>
            <w:vAlign w:val="bottom"/>
            <w:hideMark/>
          </w:tcPr>
          <w:p w14:paraId="7B8C7AE7"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0%</w:t>
            </w:r>
          </w:p>
        </w:tc>
      </w:tr>
      <w:tr w:rsidR="008A580F" w:rsidRPr="008A580F" w14:paraId="40514E95" w14:textId="77777777" w:rsidTr="008A580F">
        <w:trPr>
          <w:trHeight w:val="300"/>
        </w:trPr>
        <w:tc>
          <w:tcPr>
            <w:tcW w:w="1248" w:type="dxa"/>
            <w:noWrap/>
            <w:vAlign w:val="bottom"/>
            <w:hideMark/>
          </w:tcPr>
          <w:p w14:paraId="4752A7E9" w14:textId="77777777" w:rsidR="008A580F" w:rsidRPr="00AB429E" w:rsidRDefault="008A580F" w:rsidP="008A580F">
            <w:pPr>
              <w:suppressAutoHyphens w:val="0"/>
              <w:autoSpaceDN/>
              <w:spacing w:after="0" w:line="240" w:lineRule="auto"/>
              <w:jc w:val="center"/>
              <w:rPr>
                <w:rFonts w:cs="Arial"/>
                <w:sz w:val="18"/>
                <w:szCs w:val="18"/>
              </w:rPr>
            </w:pPr>
          </w:p>
        </w:tc>
        <w:tc>
          <w:tcPr>
            <w:tcW w:w="813" w:type="dxa"/>
            <w:noWrap/>
            <w:vAlign w:val="bottom"/>
            <w:hideMark/>
          </w:tcPr>
          <w:p w14:paraId="49007E18" w14:textId="77777777" w:rsidR="008A580F" w:rsidRPr="00AB429E" w:rsidRDefault="008A580F" w:rsidP="008A580F">
            <w:pPr>
              <w:suppressAutoHyphens w:val="0"/>
              <w:autoSpaceDN/>
              <w:spacing w:after="0" w:line="240" w:lineRule="auto"/>
              <w:rPr>
                <w:rFonts w:cs="Arial"/>
                <w:sz w:val="18"/>
                <w:szCs w:val="18"/>
              </w:rPr>
            </w:pPr>
          </w:p>
        </w:tc>
        <w:tc>
          <w:tcPr>
            <w:tcW w:w="899" w:type="dxa"/>
            <w:noWrap/>
            <w:vAlign w:val="bottom"/>
            <w:hideMark/>
          </w:tcPr>
          <w:p w14:paraId="32F24080"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RSO1.3</w:t>
            </w:r>
          </w:p>
        </w:tc>
        <w:tc>
          <w:tcPr>
            <w:tcW w:w="848" w:type="dxa"/>
            <w:noWrap/>
            <w:vAlign w:val="bottom"/>
            <w:hideMark/>
          </w:tcPr>
          <w:p w14:paraId="12A149EA" w14:textId="77777777" w:rsidR="008A580F" w:rsidRPr="00AB429E" w:rsidRDefault="008A580F" w:rsidP="008A580F">
            <w:pPr>
              <w:suppressAutoHyphens w:val="0"/>
              <w:autoSpaceDN/>
              <w:spacing w:after="0" w:line="240" w:lineRule="auto"/>
              <w:rPr>
                <w:rFonts w:cs="Arial"/>
                <w:b/>
                <w:bCs/>
                <w:color w:val="000000"/>
                <w:sz w:val="18"/>
                <w:szCs w:val="18"/>
              </w:rPr>
            </w:pPr>
            <w:r w:rsidRPr="00AB429E">
              <w:rPr>
                <w:rFonts w:cs="Arial"/>
                <w:b/>
                <w:bCs/>
                <w:color w:val="000000"/>
                <w:sz w:val="18"/>
                <w:szCs w:val="18"/>
              </w:rPr>
              <w:t>ESRR</w:t>
            </w:r>
          </w:p>
        </w:tc>
        <w:tc>
          <w:tcPr>
            <w:tcW w:w="1569" w:type="dxa"/>
            <w:noWrap/>
            <w:vAlign w:val="bottom"/>
            <w:hideMark/>
          </w:tcPr>
          <w:p w14:paraId="509D6090"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Vzhod</w:t>
            </w:r>
          </w:p>
        </w:tc>
        <w:tc>
          <w:tcPr>
            <w:tcW w:w="1194" w:type="dxa"/>
            <w:noWrap/>
            <w:vAlign w:val="bottom"/>
            <w:hideMark/>
          </w:tcPr>
          <w:p w14:paraId="408E43E3"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R1.3/U/1</w:t>
            </w:r>
          </w:p>
        </w:tc>
        <w:tc>
          <w:tcPr>
            <w:tcW w:w="1285" w:type="dxa"/>
            <w:noWrap/>
            <w:vAlign w:val="bottom"/>
            <w:hideMark/>
          </w:tcPr>
          <w:p w14:paraId="2CCF318F"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1</w:t>
            </w:r>
          </w:p>
        </w:tc>
        <w:tc>
          <w:tcPr>
            <w:tcW w:w="1684" w:type="dxa"/>
            <w:shd w:val="clear" w:color="000000" w:fill="F8696B"/>
            <w:noWrap/>
            <w:vAlign w:val="bottom"/>
            <w:hideMark/>
          </w:tcPr>
          <w:p w14:paraId="23AD097A"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0%</w:t>
            </w:r>
          </w:p>
        </w:tc>
      </w:tr>
      <w:tr w:rsidR="008A580F" w:rsidRPr="008A580F" w14:paraId="564979A6" w14:textId="77777777" w:rsidTr="008A580F">
        <w:trPr>
          <w:trHeight w:val="300"/>
        </w:trPr>
        <w:tc>
          <w:tcPr>
            <w:tcW w:w="1248" w:type="dxa"/>
            <w:noWrap/>
            <w:vAlign w:val="bottom"/>
            <w:hideMark/>
          </w:tcPr>
          <w:p w14:paraId="0A408BFD" w14:textId="77777777" w:rsidR="008A580F" w:rsidRPr="00AB429E" w:rsidRDefault="008A580F" w:rsidP="008A580F">
            <w:pPr>
              <w:suppressAutoHyphens w:val="0"/>
              <w:autoSpaceDN/>
              <w:spacing w:after="0" w:line="240" w:lineRule="auto"/>
              <w:jc w:val="center"/>
              <w:rPr>
                <w:rFonts w:cs="Arial"/>
                <w:sz w:val="18"/>
                <w:szCs w:val="18"/>
              </w:rPr>
            </w:pPr>
          </w:p>
        </w:tc>
        <w:tc>
          <w:tcPr>
            <w:tcW w:w="813" w:type="dxa"/>
            <w:noWrap/>
            <w:vAlign w:val="bottom"/>
            <w:hideMark/>
          </w:tcPr>
          <w:p w14:paraId="694724ED" w14:textId="77777777" w:rsidR="008A580F" w:rsidRPr="00AB429E" w:rsidRDefault="008A580F" w:rsidP="008A580F">
            <w:pPr>
              <w:suppressAutoHyphens w:val="0"/>
              <w:autoSpaceDN/>
              <w:spacing w:after="0" w:line="240" w:lineRule="auto"/>
              <w:rPr>
                <w:rFonts w:cs="Arial"/>
                <w:sz w:val="18"/>
                <w:szCs w:val="18"/>
              </w:rPr>
            </w:pPr>
          </w:p>
        </w:tc>
        <w:tc>
          <w:tcPr>
            <w:tcW w:w="899" w:type="dxa"/>
            <w:noWrap/>
            <w:vAlign w:val="bottom"/>
            <w:hideMark/>
          </w:tcPr>
          <w:p w14:paraId="696084E4" w14:textId="77777777" w:rsidR="008A580F" w:rsidRPr="00AB429E" w:rsidRDefault="008A580F" w:rsidP="008A580F">
            <w:pPr>
              <w:suppressAutoHyphens w:val="0"/>
              <w:autoSpaceDN/>
              <w:spacing w:after="0" w:line="240" w:lineRule="auto"/>
              <w:rPr>
                <w:rFonts w:cs="Arial"/>
                <w:sz w:val="18"/>
                <w:szCs w:val="18"/>
              </w:rPr>
            </w:pPr>
          </w:p>
        </w:tc>
        <w:tc>
          <w:tcPr>
            <w:tcW w:w="848" w:type="dxa"/>
            <w:noWrap/>
            <w:vAlign w:val="bottom"/>
            <w:hideMark/>
          </w:tcPr>
          <w:p w14:paraId="36D71524" w14:textId="77777777" w:rsidR="008A580F" w:rsidRPr="00AB429E" w:rsidRDefault="008A580F" w:rsidP="008A580F">
            <w:pPr>
              <w:suppressAutoHyphens w:val="0"/>
              <w:autoSpaceDN/>
              <w:spacing w:after="0" w:line="240" w:lineRule="auto"/>
              <w:rPr>
                <w:rFonts w:cs="Arial"/>
                <w:sz w:val="18"/>
                <w:szCs w:val="18"/>
              </w:rPr>
            </w:pPr>
          </w:p>
        </w:tc>
        <w:tc>
          <w:tcPr>
            <w:tcW w:w="1569" w:type="dxa"/>
            <w:noWrap/>
            <w:vAlign w:val="bottom"/>
            <w:hideMark/>
          </w:tcPr>
          <w:p w14:paraId="7452D8A5" w14:textId="77777777" w:rsidR="008A580F" w:rsidRPr="00AB429E" w:rsidRDefault="008A580F" w:rsidP="008A580F">
            <w:pPr>
              <w:suppressAutoHyphens w:val="0"/>
              <w:autoSpaceDN/>
              <w:spacing w:after="0" w:line="240" w:lineRule="auto"/>
              <w:rPr>
                <w:rFonts w:cs="Arial"/>
                <w:sz w:val="18"/>
                <w:szCs w:val="18"/>
              </w:rPr>
            </w:pPr>
          </w:p>
        </w:tc>
        <w:tc>
          <w:tcPr>
            <w:tcW w:w="1194" w:type="dxa"/>
            <w:noWrap/>
            <w:vAlign w:val="bottom"/>
            <w:hideMark/>
          </w:tcPr>
          <w:p w14:paraId="294E3897"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RCO01</w:t>
            </w:r>
          </w:p>
        </w:tc>
        <w:tc>
          <w:tcPr>
            <w:tcW w:w="1285" w:type="dxa"/>
            <w:noWrap/>
            <w:vAlign w:val="bottom"/>
            <w:hideMark/>
          </w:tcPr>
          <w:p w14:paraId="38DDBC11"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1</w:t>
            </w:r>
          </w:p>
        </w:tc>
        <w:tc>
          <w:tcPr>
            <w:tcW w:w="1684" w:type="dxa"/>
            <w:shd w:val="clear" w:color="000000" w:fill="9ACE7F"/>
            <w:noWrap/>
            <w:vAlign w:val="bottom"/>
            <w:hideMark/>
          </w:tcPr>
          <w:p w14:paraId="2D84AF65"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82%</w:t>
            </w:r>
          </w:p>
        </w:tc>
      </w:tr>
      <w:tr w:rsidR="008A580F" w:rsidRPr="008A580F" w14:paraId="2F64EF43" w14:textId="77777777" w:rsidTr="008A580F">
        <w:trPr>
          <w:trHeight w:val="300"/>
        </w:trPr>
        <w:tc>
          <w:tcPr>
            <w:tcW w:w="1248" w:type="dxa"/>
            <w:noWrap/>
            <w:vAlign w:val="bottom"/>
            <w:hideMark/>
          </w:tcPr>
          <w:p w14:paraId="5BCCCBD7" w14:textId="77777777" w:rsidR="008A580F" w:rsidRPr="00AB429E" w:rsidRDefault="008A580F" w:rsidP="008A580F">
            <w:pPr>
              <w:suppressAutoHyphens w:val="0"/>
              <w:autoSpaceDN/>
              <w:spacing w:after="0" w:line="240" w:lineRule="auto"/>
              <w:jc w:val="center"/>
              <w:rPr>
                <w:rFonts w:cs="Arial"/>
                <w:sz w:val="18"/>
                <w:szCs w:val="18"/>
              </w:rPr>
            </w:pPr>
          </w:p>
        </w:tc>
        <w:tc>
          <w:tcPr>
            <w:tcW w:w="813" w:type="dxa"/>
            <w:noWrap/>
            <w:vAlign w:val="bottom"/>
            <w:hideMark/>
          </w:tcPr>
          <w:p w14:paraId="5AB4DE95" w14:textId="77777777" w:rsidR="008A580F" w:rsidRPr="00AB429E" w:rsidRDefault="008A580F" w:rsidP="008A580F">
            <w:pPr>
              <w:suppressAutoHyphens w:val="0"/>
              <w:autoSpaceDN/>
              <w:spacing w:after="0" w:line="240" w:lineRule="auto"/>
              <w:rPr>
                <w:rFonts w:cs="Arial"/>
                <w:sz w:val="18"/>
                <w:szCs w:val="18"/>
              </w:rPr>
            </w:pPr>
          </w:p>
        </w:tc>
        <w:tc>
          <w:tcPr>
            <w:tcW w:w="899" w:type="dxa"/>
            <w:noWrap/>
            <w:vAlign w:val="bottom"/>
            <w:hideMark/>
          </w:tcPr>
          <w:p w14:paraId="67CBCE0C" w14:textId="77777777" w:rsidR="008A580F" w:rsidRPr="00AB429E" w:rsidRDefault="008A580F" w:rsidP="008A580F">
            <w:pPr>
              <w:suppressAutoHyphens w:val="0"/>
              <w:autoSpaceDN/>
              <w:spacing w:after="0" w:line="240" w:lineRule="auto"/>
              <w:rPr>
                <w:rFonts w:cs="Arial"/>
                <w:sz w:val="18"/>
                <w:szCs w:val="18"/>
              </w:rPr>
            </w:pPr>
          </w:p>
        </w:tc>
        <w:tc>
          <w:tcPr>
            <w:tcW w:w="848" w:type="dxa"/>
            <w:noWrap/>
            <w:vAlign w:val="bottom"/>
            <w:hideMark/>
          </w:tcPr>
          <w:p w14:paraId="10AC8CFC" w14:textId="77777777" w:rsidR="008A580F" w:rsidRPr="00AB429E" w:rsidRDefault="008A580F" w:rsidP="008A580F">
            <w:pPr>
              <w:suppressAutoHyphens w:val="0"/>
              <w:autoSpaceDN/>
              <w:spacing w:after="0" w:line="240" w:lineRule="auto"/>
              <w:rPr>
                <w:rFonts w:cs="Arial"/>
                <w:sz w:val="18"/>
                <w:szCs w:val="18"/>
              </w:rPr>
            </w:pPr>
          </w:p>
        </w:tc>
        <w:tc>
          <w:tcPr>
            <w:tcW w:w="1569" w:type="dxa"/>
            <w:noWrap/>
            <w:vAlign w:val="bottom"/>
            <w:hideMark/>
          </w:tcPr>
          <w:p w14:paraId="46A9653B" w14:textId="77777777" w:rsidR="008A580F" w:rsidRPr="00AB429E" w:rsidRDefault="008A580F" w:rsidP="008A580F">
            <w:pPr>
              <w:suppressAutoHyphens w:val="0"/>
              <w:autoSpaceDN/>
              <w:spacing w:after="0" w:line="240" w:lineRule="auto"/>
              <w:rPr>
                <w:rFonts w:cs="Arial"/>
                <w:sz w:val="18"/>
                <w:szCs w:val="18"/>
              </w:rPr>
            </w:pPr>
          </w:p>
        </w:tc>
        <w:tc>
          <w:tcPr>
            <w:tcW w:w="1194" w:type="dxa"/>
            <w:noWrap/>
            <w:vAlign w:val="bottom"/>
            <w:hideMark/>
          </w:tcPr>
          <w:p w14:paraId="6B9D5F6C"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RCO02</w:t>
            </w:r>
          </w:p>
        </w:tc>
        <w:tc>
          <w:tcPr>
            <w:tcW w:w="1285" w:type="dxa"/>
            <w:noWrap/>
            <w:vAlign w:val="bottom"/>
            <w:hideMark/>
          </w:tcPr>
          <w:p w14:paraId="0F62AE05"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1</w:t>
            </w:r>
          </w:p>
        </w:tc>
        <w:tc>
          <w:tcPr>
            <w:tcW w:w="1684" w:type="dxa"/>
            <w:shd w:val="clear" w:color="000000" w:fill="F8696B"/>
            <w:noWrap/>
            <w:vAlign w:val="bottom"/>
            <w:hideMark/>
          </w:tcPr>
          <w:p w14:paraId="57BAABFD"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0%</w:t>
            </w:r>
          </w:p>
        </w:tc>
      </w:tr>
      <w:tr w:rsidR="008A580F" w:rsidRPr="008A580F" w14:paraId="1D3829EA" w14:textId="77777777" w:rsidTr="008A580F">
        <w:trPr>
          <w:trHeight w:val="300"/>
        </w:trPr>
        <w:tc>
          <w:tcPr>
            <w:tcW w:w="1248" w:type="dxa"/>
            <w:noWrap/>
            <w:vAlign w:val="bottom"/>
            <w:hideMark/>
          </w:tcPr>
          <w:p w14:paraId="4E3BBBD3" w14:textId="77777777" w:rsidR="008A580F" w:rsidRPr="00AB429E" w:rsidRDefault="008A580F" w:rsidP="008A580F">
            <w:pPr>
              <w:suppressAutoHyphens w:val="0"/>
              <w:autoSpaceDN/>
              <w:spacing w:after="0" w:line="240" w:lineRule="auto"/>
              <w:jc w:val="center"/>
              <w:rPr>
                <w:rFonts w:cs="Arial"/>
                <w:sz w:val="18"/>
                <w:szCs w:val="18"/>
              </w:rPr>
            </w:pPr>
          </w:p>
        </w:tc>
        <w:tc>
          <w:tcPr>
            <w:tcW w:w="813" w:type="dxa"/>
            <w:noWrap/>
            <w:vAlign w:val="bottom"/>
            <w:hideMark/>
          </w:tcPr>
          <w:p w14:paraId="64A1695D" w14:textId="77777777" w:rsidR="008A580F" w:rsidRPr="00AB429E" w:rsidRDefault="008A580F" w:rsidP="008A580F">
            <w:pPr>
              <w:suppressAutoHyphens w:val="0"/>
              <w:autoSpaceDN/>
              <w:spacing w:after="0" w:line="240" w:lineRule="auto"/>
              <w:rPr>
                <w:rFonts w:cs="Arial"/>
                <w:sz w:val="18"/>
                <w:szCs w:val="18"/>
              </w:rPr>
            </w:pPr>
          </w:p>
        </w:tc>
        <w:tc>
          <w:tcPr>
            <w:tcW w:w="899" w:type="dxa"/>
            <w:noWrap/>
            <w:vAlign w:val="bottom"/>
            <w:hideMark/>
          </w:tcPr>
          <w:p w14:paraId="1F53FB37" w14:textId="77777777" w:rsidR="008A580F" w:rsidRPr="00AB429E" w:rsidRDefault="008A580F" w:rsidP="008A580F">
            <w:pPr>
              <w:suppressAutoHyphens w:val="0"/>
              <w:autoSpaceDN/>
              <w:spacing w:after="0" w:line="240" w:lineRule="auto"/>
              <w:rPr>
                <w:rFonts w:cs="Arial"/>
                <w:sz w:val="18"/>
                <w:szCs w:val="18"/>
              </w:rPr>
            </w:pPr>
          </w:p>
        </w:tc>
        <w:tc>
          <w:tcPr>
            <w:tcW w:w="848" w:type="dxa"/>
            <w:noWrap/>
            <w:vAlign w:val="bottom"/>
            <w:hideMark/>
          </w:tcPr>
          <w:p w14:paraId="73D92C11" w14:textId="77777777" w:rsidR="008A580F" w:rsidRPr="00AB429E" w:rsidRDefault="008A580F" w:rsidP="008A580F">
            <w:pPr>
              <w:suppressAutoHyphens w:val="0"/>
              <w:autoSpaceDN/>
              <w:spacing w:after="0" w:line="240" w:lineRule="auto"/>
              <w:rPr>
                <w:rFonts w:cs="Arial"/>
                <w:sz w:val="18"/>
                <w:szCs w:val="18"/>
              </w:rPr>
            </w:pPr>
          </w:p>
        </w:tc>
        <w:tc>
          <w:tcPr>
            <w:tcW w:w="1569" w:type="dxa"/>
            <w:noWrap/>
            <w:vAlign w:val="bottom"/>
            <w:hideMark/>
          </w:tcPr>
          <w:p w14:paraId="6D7C8621" w14:textId="77777777" w:rsidR="008A580F" w:rsidRPr="00AB429E" w:rsidRDefault="008A580F" w:rsidP="008A580F">
            <w:pPr>
              <w:suppressAutoHyphens w:val="0"/>
              <w:autoSpaceDN/>
              <w:spacing w:after="0" w:line="240" w:lineRule="auto"/>
              <w:rPr>
                <w:rFonts w:cs="Arial"/>
                <w:sz w:val="18"/>
                <w:szCs w:val="18"/>
              </w:rPr>
            </w:pPr>
          </w:p>
        </w:tc>
        <w:tc>
          <w:tcPr>
            <w:tcW w:w="1194" w:type="dxa"/>
            <w:noWrap/>
            <w:vAlign w:val="bottom"/>
            <w:hideMark/>
          </w:tcPr>
          <w:p w14:paraId="5D3286DD"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RCO04</w:t>
            </w:r>
          </w:p>
        </w:tc>
        <w:tc>
          <w:tcPr>
            <w:tcW w:w="1285" w:type="dxa"/>
            <w:noWrap/>
            <w:vAlign w:val="bottom"/>
            <w:hideMark/>
          </w:tcPr>
          <w:p w14:paraId="766CB542"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1</w:t>
            </w:r>
          </w:p>
        </w:tc>
        <w:tc>
          <w:tcPr>
            <w:tcW w:w="1684" w:type="dxa"/>
            <w:shd w:val="clear" w:color="000000" w:fill="A9D380"/>
            <w:noWrap/>
            <w:vAlign w:val="bottom"/>
            <w:hideMark/>
          </w:tcPr>
          <w:p w14:paraId="4372912C"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70%</w:t>
            </w:r>
          </w:p>
        </w:tc>
      </w:tr>
      <w:tr w:rsidR="008A580F" w:rsidRPr="008A580F" w14:paraId="79985FCD" w14:textId="77777777" w:rsidTr="008A580F">
        <w:trPr>
          <w:trHeight w:val="300"/>
        </w:trPr>
        <w:tc>
          <w:tcPr>
            <w:tcW w:w="1248" w:type="dxa"/>
            <w:noWrap/>
            <w:vAlign w:val="bottom"/>
            <w:hideMark/>
          </w:tcPr>
          <w:p w14:paraId="0EACC330" w14:textId="77777777" w:rsidR="008A580F" w:rsidRPr="00AB429E" w:rsidRDefault="008A580F" w:rsidP="008A580F">
            <w:pPr>
              <w:suppressAutoHyphens w:val="0"/>
              <w:autoSpaceDN/>
              <w:spacing w:after="0" w:line="240" w:lineRule="auto"/>
              <w:jc w:val="center"/>
              <w:rPr>
                <w:rFonts w:cs="Arial"/>
                <w:sz w:val="18"/>
                <w:szCs w:val="18"/>
              </w:rPr>
            </w:pPr>
          </w:p>
        </w:tc>
        <w:tc>
          <w:tcPr>
            <w:tcW w:w="813" w:type="dxa"/>
            <w:noWrap/>
            <w:vAlign w:val="bottom"/>
            <w:hideMark/>
          </w:tcPr>
          <w:p w14:paraId="14C8BF5D" w14:textId="77777777" w:rsidR="008A580F" w:rsidRPr="00AB429E" w:rsidRDefault="008A580F" w:rsidP="008A580F">
            <w:pPr>
              <w:suppressAutoHyphens w:val="0"/>
              <w:autoSpaceDN/>
              <w:spacing w:after="0" w:line="240" w:lineRule="auto"/>
              <w:rPr>
                <w:rFonts w:cs="Arial"/>
                <w:sz w:val="18"/>
                <w:szCs w:val="18"/>
              </w:rPr>
            </w:pPr>
          </w:p>
        </w:tc>
        <w:tc>
          <w:tcPr>
            <w:tcW w:w="899" w:type="dxa"/>
            <w:noWrap/>
            <w:vAlign w:val="bottom"/>
            <w:hideMark/>
          </w:tcPr>
          <w:p w14:paraId="74620BBA" w14:textId="77777777" w:rsidR="008A580F" w:rsidRPr="00AB429E" w:rsidRDefault="008A580F" w:rsidP="008A580F">
            <w:pPr>
              <w:suppressAutoHyphens w:val="0"/>
              <w:autoSpaceDN/>
              <w:spacing w:after="0" w:line="240" w:lineRule="auto"/>
              <w:rPr>
                <w:rFonts w:cs="Arial"/>
                <w:sz w:val="18"/>
                <w:szCs w:val="18"/>
              </w:rPr>
            </w:pPr>
          </w:p>
        </w:tc>
        <w:tc>
          <w:tcPr>
            <w:tcW w:w="848" w:type="dxa"/>
            <w:noWrap/>
            <w:vAlign w:val="bottom"/>
            <w:hideMark/>
          </w:tcPr>
          <w:p w14:paraId="7068E091" w14:textId="77777777" w:rsidR="008A580F" w:rsidRPr="00AB429E" w:rsidRDefault="008A580F" w:rsidP="008A580F">
            <w:pPr>
              <w:suppressAutoHyphens w:val="0"/>
              <w:autoSpaceDN/>
              <w:spacing w:after="0" w:line="240" w:lineRule="auto"/>
              <w:rPr>
                <w:rFonts w:cs="Arial"/>
                <w:sz w:val="18"/>
                <w:szCs w:val="18"/>
              </w:rPr>
            </w:pPr>
          </w:p>
        </w:tc>
        <w:tc>
          <w:tcPr>
            <w:tcW w:w="1569" w:type="dxa"/>
            <w:noWrap/>
            <w:vAlign w:val="bottom"/>
            <w:hideMark/>
          </w:tcPr>
          <w:p w14:paraId="027C2094" w14:textId="77777777" w:rsidR="008A580F" w:rsidRPr="00AB429E" w:rsidRDefault="008A580F" w:rsidP="008A580F">
            <w:pPr>
              <w:suppressAutoHyphens w:val="0"/>
              <w:autoSpaceDN/>
              <w:spacing w:after="0" w:line="240" w:lineRule="auto"/>
              <w:rPr>
                <w:rFonts w:cs="Arial"/>
                <w:sz w:val="18"/>
                <w:szCs w:val="18"/>
              </w:rPr>
            </w:pPr>
          </w:p>
        </w:tc>
        <w:tc>
          <w:tcPr>
            <w:tcW w:w="1194" w:type="dxa"/>
            <w:noWrap/>
            <w:vAlign w:val="bottom"/>
            <w:hideMark/>
          </w:tcPr>
          <w:p w14:paraId="6EFA71A7"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RCO05</w:t>
            </w:r>
          </w:p>
        </w:tc>
        <w:tc>
          <w:tcPr>
            <w:tcW w:w="1285" w:type="dxa"/>
            <w:noWrap/>
            <w:vAlign w:val="bottom"/>
            <w:hideMark/>
          </w:tcPr>
          <w:p w14:paraId="18E7141A"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1</w:t>
            </w:r>
          </w:p>
        </w:tc>
        <w:tc>
          <w:tcPr>
            <w:tcW w:w="1684" w:type="dxa"/>
            <w:shd w:val="clear" w:color="000000" w:fill="95CD7E"/>
            <w:noWrap/>
            <w:vAlign w:val="bottom"/>
            <w:hideMark/>
          </w:tcPr>
          <w:p w14:paraId="73FADA5F"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86%</w:t>
            </w:r>
          </w:p>
        </w:tc>
      </w:tr>
      <w:tr w:rsidR="008A580F" w:rsidRPr="008A580F" w14:paraId="0499C66D" w14:textId="77777777" w:rsidTr="008A580F">
        <w:trPr>
          <w:trHeight w:val="300"/>
        </w:trPr>
        <w:tc>
          <w:tcPr>
            <w:tcW w:w="1248" w:type="dxa"/>
            <w:noWrap/>
            <w:vAlign w:val="bottom"/>
            <w:hideMark/>
          </w:tcPr>
          <w:p w14:paraId="65A02DE3" w14:textId="77777777" w:rsidR="008A580F" w:rsidRPr="00AB429E" w:rsidRDefault="008A580F" w:rsidP="008A580F">
            <w:pPr>
              <w:suppressAutoHyphens w:val="0"/>
              <w:autoSpaceDN/>
              <w:spacing w:after="0" w:line="240" w:lineRule="auto"/>
              <w:jc w:val="center"/>
              <w:rPr>
                <w:rFonts w:cs="Arial"/>
                <w:sz w:val="18"/>
                <w:szCs w:val="18"/>
              </w:rPr>
            </w:pPr>
          </w:p>
        </w:tc>
        <w:tc>
          <w:tcPr>
            <w:tcW w:w="813" w:type="dxa"/>
            <w:noWrap/>
            <w:vAlign w:val="bottom"/>
            <w:hideMark/>
          </w:tcPr>
          <w:p w14:paraId="4D0D4564" w14:textId="77777777" w:rsidR="008A580F" w:rsidRPr="00AB429E" w:rsidRDefault="008A580F" w:rsidP="008A580F">
            <w:pPr>
              <w:suppressAutoHyphens w:val="0"/>
              <w:autoSpaceDN/>
              <w:spacing w:after="0" w:line="240" w:lineRule="auto"/>
              <w:rPr>
                <w:rFonts w:cs="Arial"/>
                <w:sz w:val="18"/>
                <w:szCs w:val="18"/>
              </w:rPr>
            </w:pPr>
          </w:p>
        </w:tc>
        <w:tc>
          <w:tcPr>
            <w:tcW w:w="899" w:type="dxa"/>
            <w:noWrap/>
            <w:vAlign w:val="bottom"/>
            <w:hideMark/>
          </w:tcPr>
          <w:p w14:paraId="112BE4B3" w14:textId="77777777" w:rsidR="008A580F" w:rsidRPr="00AB429E" w:rsidRDefault="008A580F" w:rsidP="008A580F">
            <w:pPr>
              <w:suppressAutoHyphens w:val="0"/>
              <w:autoSpaceDN/>
              <w:spacing w:after="0" w:line="240" w:lineRule="auto"/>
              <w:rPr>
                <w:rFonts w:cs="Arial"/>
                <w:sz w:val="18"/>
                <w:szCs w:val="18"/>
              </w:rPr>
            </w:pPr>
          </w:p>
        </w:tc>
        <w:tc>
          <w:tcPr>
            <w:tcW w:w="848" w:type="dxa"/>
            <w:noWrap/>
            <w:vAlign w:val="bottom"/>
            <w:hideMark/>
          </w:tcPr>
          <w:p w14:paraId="5BF1528F" w14:textId="77777777" w:rsidR="008A580F" w:rsidRPr="00AB429E" w:rsidRDefault="008A580F" w:rsidP="008A580F">
            <w:pPr>
              <w:suppressAutoHyphens w:val="0"/>
              <w:autoSpaceDN/>
              <w:spacing w:after="0" w:line="240" w:lineRule="auto"/>
              <w:rPr>
                <w:rFonts w:cs="Arial"/>
                <w:sz w:val="18"/>
                <w:szCs w:val="18"/>
              </w:rPr>
            </w:pPr>
          </w:p>
        </w:tc>
        <w:tc>
          <w:tcPr>
            <w:tcW w:w="1569" w:type="dxa"/>
            <w:noWrap/>
            <w:vAlign w:val="bottom"/>
            <w:hideMark/>
          </w:tcPr>
          <w:p w14:paraId="53F9263E"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Zahod</w:t>
            </w:r>
          </w:p>
        </w:tc>
        <w:tc>
          <w:tcPr>
            <w:tcW w:w="1194" w:type="dxa"/>
            <w:noWrap/>
            <w:vAlign w:val="bottom"/>
            <w:hideMark/>
          </w:tcPr>
          <w:p w14:paraId="183D00C0"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R1.3/U/1</w:t>
            </w:r>
          </w:p>
        </w:tc>
        <w:tc>
          <w:tcPr>
            <w:tcW w:w="1285" w:type="dxa"/>
            <w:noWrap/>
            <w:vAlign w:val="bottom"/>
            <w:hideMark/>
          </w:tcPr>
          <w:p w14:paraId="775292A0"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1</w:t>
            </w:r>
          </w:p>
        </w:tc>
        <w:tc>
          <w:tcPr>
            <w:tcW w:w="1684" w:type="dxa"/>
            <w:shd w:val="clear" w:color="000000" w:fill="F8696B"/>
            <w:noWrap/>
            <w:vAlign w:val="bottom"/>
            <w:hideMark/>
          </w:tcPr>
          <w:p w14:paraId="35CFEBE7"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0%</w:t>
            </w:r>
          </w:p>
        </w:tc>
      </w:tr>
      <w:tr w:rsidR="008A580F" w:rsidRPr="008A580F" w14:paraId="396F0181" w14:textId="77777777" w:rsidTr="008A580F">
        <w:trPr>
          <w:trHeight w:val="300"/>
        </w:trPr>
        <w:tc>
          <w:tcPr>
            <w:tcW w:w="1248" w:type="dxa"/>
            <w:noWrap/>
            <w:vAlign w:val="bottom"/>
            <w:hideMark/>
          </w:tcPr>
          <w:p w14:paraId="1A5DFE58" w14:textId="77777777" w:rsidR="008A580F" w:rsidRPr="00AB429E" w:rsidRDefault="008A580F" w:rsidP="008A580F">
            <w:pPr>
              <w:suppressAutoHyphens w:val="0"/>
              <w:autoSpaceDN/>
              <w:spacing w:after="0" w:line="240" w:lineRule="auto"/>
              <w:jc w:val="center"/>
              <w:rPr>
                <w:rFonts w:cs="Arial"/>
                <w:sz w:val="18"/>
                <w:szCs w:val="18"/>
              </w:rPr>
            </w:pPr>
          </w:p>
        </w:tc>
        <w:tc>
          <w:tcPr>
            <w:tcW w:w="813" w:type="dxa"/>
            <w:noWrap/>
            <w:vAlign w:val="bottom"/>
            <w:hideMark/>
          </w:tcPr>
          <w:p w14:paraId="22F33908" w14:textId="77777777" w:rsidR="008A580F" w:rsidRPr="00AB429E" w:rsidRDefault="008A580F" w:rsidP="008A580F">
            <w:pPr>
              <w:suppressAutoHyphens w:val="0"/>
              <w:autoSpaceDN/>
              <w:spacing w:after="0" w:line="240" w:lineRule="auto"/>
              <w:rPr>
                <w:rFonts w:cs="Arial"/>
                <w:sz w:val="18"/>
                <w:szCs w:val="18"/>
              </w:rPr>
            </w:pPr>
          </w:p>
        </w:tc>
        <w:tc>
          <w:tcPr>
            <w:tcW w:w="899" w:type="dxa"/>
            <w:noWrap/>
            <w:vAlign w:val="bottom"/>
            <w:hideMark/>
          </w:tcPr>
          <w:p w14:paraId="67DFB12F" w14:textId="77777777" w:rsidR="008A580F" w:rsidRPr="00AB429E" w:rsidRDefault="008A580F" w:rsidP="008A580F">
            <w:pPr>
              <w:suppressAutoHyphens w:val="0"/>
              <w:autoSpaceDN/>
              <w:spacing w:after="0" w:line="240" w:lineRule="auto"/>
              <w:rPr>
                <w:rFonts w:cs="Arial"/>
                <w:sz w:val="18"/>
                <w:szCs w:val="18"/>
              </w:rPr>
            </w:pPr>
          </w:p>
        </w:tc>
        <w:tc>
          <w:tcPr>
            <w:tcW w:w="848" w:type="dxa"/>
            <w:noWrap/>
            <w:vAlign w:val="bottom"/>
            <w:hideMark/>
          </w:tcPr>
          <w:p w14:paraId="0B9D4AA5" w14:textId="77777777" w:rsidR="008A580F" w:rsidRPr="00AB429E" w:rsidRDefault="008A580F" w:rsidP="008A580F">
            <w:pPr>
              <w:suppressAutoHyphens w:val="0"/>
              <w:autoSpaceDN/>
              <w:spacing w:after="0" w:line="240" w:lineRule="auto"/>
              <w:rPr>
                <w:rFonts w:cs="Arial"/>
                <w:sz w:val="18"/>
                <w:szCs w:val="18"/>
              </w:rPr>
            </w:pPr>
          </w:p>
        </w:tc>
        <w:tc>
          <w:tcPr>
            <w:tcW w:w="1569" w:type="dxa"/>
            <w:noWrap/>
            <w:vAlign w:val="bottom"/>
            <w:hideMark/>
          </w:tcPr>
          <w:p w14:paraId="2C454501" w14:textId="77777777" w:rsidR="008A580F" w:rsidRPr="00AB429E" w:rsidRDefault="008A580F" w:rsidP="008A580F">
            <w:pPr>
              <w:suppressAutoHyphens w:val="0"/>
              <w:autoSpaceDN/>
              <w:spacing w:after="0" w:line="240" w:lineRule="auto"/>
              <w:rPr>
                <w:rFonts w:cs="Arial"/>
                <w:sz w:val="18"/>
                <w:szCs w:val="18"/>
              </w:rPr>
            </w:pPr>
          </w:p>
        </w:tc>
        <w:tc>
          <w:tcPr>
            <w:tcW w:w="1194" w:type="dxa"/>
            <w:noWrap/>
            <w:vAlign w:val="bottom"/>
            <w:hideMark/>
          </w:tcPr>
          <w:p w14:paraId="7874FF84"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RCO01</w:t>
            </w:r>
          </w:p>
        </w:tc>
        <w:tc>
          <w:tcPr>
            <w:tcW w:w="1285" w:type="dxa"/>
            <w:noWrap/>
            <w:vAlign w:val="bottom"/>
            <w:hideMark/>
          </w:tcPr>
          <w:p w14:paraId="3B7B6816"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1</w:t>
            </w:r>
          </w:p>
        </w:tc>
        <w:tc>
          <w:tcPr>
            <w:tcW w:w="1684" w:type="dxa"/>
            <w:shd w:val="clear" w:color="000000" w:fill="9ECF7F"/>
            <w:noWrap/>
            <w:vAlign w:val="bottom"/>
            <w:hideMark/>
          </w:tcPr>
          <w:p w14:paraId="0854D4A9"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79%</w:t>
            </w:r>
          </w:p>
        </w:tc>
      </w:tr>
      <w:tr w:rsidR="008A580F" w:rsidRPr="008A580F" w14:paraId="6B4D3422" w14:textId="77777777" w:rsidTr="008A580F">
        <w:trPr>
          <w:trHeight w:val="300"/>
        </w:trPr>
        <w:tc>
          <w:tcPr>
            <w:tcW w:w="1248" w:type="dxa"/>
            <w:noWrap/>
            <w:vAlign w:val="bottom"/>
            <w:hideMark/>
          </w:tcPr>
          <w:p w14:paraId="72998ED9" w14:textId="77777777" w:rsidR="008A580F" w:rsidRPr="00AB429E" w:rsidRDefault="008A580F" w:rsidP="008A580F">
            <w:pPr>
              <w:suppressAutoHyphens w:val="0"/>
              <w:autoSpaceDN/>
              <w:spacing w:after="0" w:line="240" w:lineRule="auto"/>
              <w:jc w:val="center"/>
              <w:rPr>
                <w:rFonts w:cs="Arial"/>
                <w:sz w:val="18"/>
                <w:szCs w:val="18"/>
              </w:rPr>
            </w:pPr>
          </w:p>
        </w:tc>
        <w:tc>
          <w:tcPr>
            <w:tcW w:w="813" w:type="dxa"/>
            <w:noWrap/>
            <w:vAlign w:val="bottom"/>
            <w:hideMark/>
          </w:tcPr>
          <w:p w14:paraId="080A04A2" w14:textId="77777777" w:rsidR="008A580F" w:rsidRPr="00AB429E" w:rsidRDefault="008A580F" w:rsidP="008A580F">
            <w:pPr>
              <w:suppressAutoHyphens w:val="0"/>
              <w:autoSpaceDN/>
              <w:spacing w:after="0" w:line="240" w:lineRule="auto"/>
              <w:rPr>
                <w:rFonts w:cs="Arial"/>
                <w:sz w:val="18"/>
                <w:szCs w:val="18"/>
              </w:rPr>
            </w:pPr>
          </w:p>
        </w:tc>
        <w:tc>
          <w:tcPr>
            <w:tcW w:w="899" w:type="dxa"/>
            <w:noWrap/>
            <w:vAlign w:val="bottom"/>
            <w:hideMark/>
          </w:tcPr>
          <w:p w14:paraId="0360809D" w14:textId="77777777" w:rsidR="008A580F" w:rsidRPr="00AB429E" w:rsidRDefault="008A580F" w:rsidP="008A580F">
            <w:pPr>
              <w:suppressAutoHyphens w:val="0"/>
              <w:autoSpaceDN/>
              <w:spacing w:after="0" w:line="240" w:lineRule="auto"/>
              <w:rPr>
                <w:rFonts w:cs="Arial"/>
                <w:sz w:val="18"/>
                <w:szCs w:val="18"/>
              </w:rPr>
            </w:pPr>
          </w:p>
        </w:tc>
        <w:tc>
          <w:tcPr>
            <w:tcW w:w="848" w:type="dxa"/>
            <w:noWrap/>
            <w:vAlign w:val="bottom"/>
            <w:hideMark/>
          </w:tcPr>
          <w:p w14:paraId="2832BEA2" w14:textId="77777777" w:rsidR="008A580F" w:rsidRPr="00AB429E" w:rsidRDefault="008A580F" w:rsidP="008A580F">
            <w:pPr>
              <w:suppressAutoHyphens w:val="0"/>
              <w:autoSpaceDN/>
              <w:spacing w:after="0" w:line="240" w:lineRule="auto"/>
              <w:rPr>
                <w:rFonts w:cs="Arial"/>
                <w:sz w:val="18"/>
                <w:szCs w:val="18"/>
              </w:rPr>
            </w:pPr>
          </w:p>
        </w:tc>
        <w:tc>
          <w:tcPr>
            <w:tcW w:w="1569" w:type="dxa"/>
            <w:noWrap/>
            <w:vAlign w:val="bottom"/>
            <w:hideMark/>
          </w:tcPr>
          <w:p w14:paraId="3DC81E26" w14:textId="77777777" w:rsidR="008A580F" w:rsidRPr="00AB429E" w:rsidRDefault="008A580F" w:rsidP="008A580F">
            <w:pPr>
              <w:suppressAutoHyphens w:val="0"/>
              <w:autoSpaceDN/>
              <w:spacing w:after="0" w:line="240" w:lineRule="auto"/>
              <w:rPr>
                <w:rFonts w:cs="Arial"/>
                <w:sz w:val="18"/>
                <w:szCs w:val="18"/>
              </w:rPr>
            </w:pPr>
          </w:p>
        </w:tc>
        <w:tc>
          <w:tcPr>
            <w:tcW w:w="1194" w:type="dxa"/>
            <w:noWrap/>
            <w:vAlign w:val="bottom"/>
            <w:hideMark/>
          </w:tcPr>
          <w:p w14:paraId="413974B7"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RCO02</w:t>
            </w:r>
          </w:p>
        </w:tc>
        <w:tc>
          <w:tcPr>
            <w:tcW w:w="1285" w:type="dxa"/>
            <w:noWrap/>
            <w:vAlign w:val="bottom"/>
            <w:hideMark/>
          </w:tcPr>
          <w:p w14:paraId="543F734F"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1</w:t>
            </w:r>
          </w:p>
        </w:tc>
        <w:tc>
          <w:tcPr>
            <w:tcW w:w="1684" w:type="dxa"/>
            <w:shd w:val="clear" w:color="000000" w:fill="F8696B"/>
            <w:noWrap/>
            <w:vAlign w:val="bottom"/>
            <w:hideMark/>
          </w:tcPr>
          <w:p w14:paraId="21378DF2"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0%</w:t>
            </w:r>
          </w:p>
        </w:tc>
      </w:tr>
      <w:tr w:rsidR="008A580F" w:rsidRPr="008A580F" w14:paraId="12651CA6" w14:textId="77777777" w:rsidTr="008A580F">
        <w:trPr>
          <w:trHeight w:val="300"/>
        </w:trPr>
        <w:tc>
          <w:tcPr>
            <w:tcW w:w="1248" w:type="dxa"/>
            <w:noWrap/>
            <w:vAlign w:val="bottom"/>
            <w:hideMark/>
          </w:tcPr>
          <w:p w14:paraId="0BD5F78A" w14:textId="77777777" w:rsidR="008A580F" w:rsidRPr="00AB429E" w:rsidRDefault="008A580F" w:rsidP="008A580F">
            <w:pPr>
              <w:suppressAutoHyphens w:val="0"/>
              <w:autoSpaceDN/>
              <w:spacing w:after="0" w:line="240" w:lineRule="auto"/>
              <w:jc w:val="center"/>
              <w:rPr>
                <w:rFonts w:cs="Arial"/>
                <w:sz w:val="18"/>
                <w:szCs w:val="18"/>
              </w:rPr>
            </w:pPr>
          </w:p>
        </w:tc>
        <w:tc>
          <w:tcPr>
            <w:tcW w:w="813" w:type="dxa"/>
            <w:noWrap/>
            <w:vAlign w:val="bottom"/>
            <w:hideMark/>
          </w:tcPr>
          <w:p w14:paraId="2A860DED" w14:textId="77777777" w:rsidR="008A580F" w:rsidRPr="00AB429E" w:rsidRDefault="008A580F" w:rsidP="008A580F">
            <w:pPr>
              <w:suppressAutoHyphens w:val="0"/>
              <w:autoSpaceDN/>
              <w:spacing w:after="0" w:line="240" w:lineRule="auto"/>
              <w:rPr>
                <w:rFonts w:cs="Arial"/>
                <w:sz w:val="18"/>
                <w:szCs w:val="18"/>
              </w:rPr>
            </w:pPr>
          </w:p>
        </w:tc>
        <w:tc>
          <w:tcPr>
            <w:tcW w:w="899" w:type="dxa"/>
            <w:noWrap/>
            <w:vAlign w:val="bottom"/>
            <w:hideMark/>
          </w:tcPr>
          <w:p w14:paraId="73D0F7B0" w14:textId="77777777" w:rsidR="008A580F" w:rsidRPr="00AB429E" w:rsidRDefault="008A580F" w:rsidP="008A580F">
            <w:pPr>
              <w:suppressAutoHyphens w:val="0"/>
              <w:autoSpaceDN/>
              <w:spacing w:after="0" w:line="240" w:lineRule="auto"/>
              <w:rPr>
                <w:rFonts w:cs="Arial"/>
                <w:sz w:val="18"/>
                <w:szCs w:val="18"/>
              </w:rPr>
            </w:pPr>
          </w:p>
        </w:tc>
        <w:tc>
          <w:tcPr>
            <w:tcW w:w="848" w:type="dxa"/>
            <w:noWrap/>
            <w:vAlign w:val="bottom"/>
            <w:hideMark/>
          </w:tcPr>
          <w:p w14:paraId="32BB1CCA" w14:textId="77777777" w:rsidR="008A580F" w:rsidRPr="00AB429E" w:rsidRDefault="008A580F" w:rsidP="008A580F">
            <w:pPr>
              <w:suppressAutoHyphens w:val="0"/>
              <w:autoSpaceDN/>
              <w:spacing w:after="0" w:line="240" w:lineRule="auto"/>
              <w:rPr>
                <w:rFonts w:cs="Arial"/>
                <w:sz w:val="18"/>
                <w:szCs w:val="18"/>
              </w:rPr>
            </w:pPr>
          </w:p>
        </w:tc>
        <w:tc>
          <w:tcPr>
            <w:tcW w:w="1569" w:type="dxa"/>
            <w:noWrap/>
            <w:vAlign w:val="bottom"/>
            <w:hideMark/>
          </w:tcPr>
          <w:p w14:paraId="4F4C42FB" w14:textId="77777777" w:rsidR="008A580F" w:rsidRPr="00AB429E" w:rsidRDefault="008A580F" w:rsidP="008A580F">
            <w:pPr>
              <w:suppressAutoHyphens w:val="0"/>
              <w:autoSpaceDN/>
              <w:spacing w:after="0" w:line="240" w:lineRule="auto"/>
              <w:rPr>
                <w:rFonts w:cs="Arial"/>
                <w:sz w:val="18"/>
                <w:szCs w:val="18"/>
              </w:rPr>
            </w:pPr>
          </w:p>
        </w:tc>
        <w:tc>
          <w:tcPr>
            <w:tcW w:w="1194" w:type="dxa"/>
            <w:noWrap/>
            <w:vAlign w:val="bottom"/>
            <w:hideMark/>
          </w:tcPr>
          <w:p w14:paraId="3BB2699B"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RCO04</w:t>
            </w:r>
          </w:p>
        </w:tc>
        <w:tc>
          <w:tcPr>
            <w:tcW w:w="1285" w:type="dxa"/>
            <w:noWrap/>
            <w:vAlign w:val="bottom"/>
            <w:hideMark/>
          </w:tcPr>
          <w:p w14:paraId="468A31A8"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1</w:t>
            </w:r>
          </w:p>
        </w:tc>
        <w:tc>
          <w:tcPr>
            <w:tcW w:w="1684" w:type="dxa"/>
            <w:shd w:val="clear" w:color="000000" w:fill="AAD380"/>
            <w:noWrap/>
            <w:vAlign w:val="bottom"/>
            <w:hideMark/>
          </w:tcPr>
          <w:p w14:paraId="3E9FC569"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69%</w:t>
            </w:r>
          </w:p>
        </w:tc>
      </w:tr>
      <w:tr w:rsidR="008A580F" w:rsidRPr="008A580F" w14:paraId="69FFC430" w14:textId="77777777" w:rsidTr="008A580F">
        <w:trPr>
          <w:trHeight w:val="300"/>
        </w:trPr>
        <w:tc>
          <w:tcPr>
            <w:tcW w:w="1248" w:type="dxa"/>
            <w:noWrap/>
            <w:vAlign w:val="bottom"/>
            <w:hideMark/>
          </w:tcPr>
          <w:p w14:paraId="4C08B511" w14:textId="77777777" w:rsidR="008A580F" w:rsidRPr="00AB429E" w:rsidRDefault="008A580F" w:rsidP="008A580F">
            <w:pPr>
              <w:suppressAutoHyphens w:val="0"/>
              <w:autoSpaceDN/>
              <w:spacing w:after="0" w:line="240" w:lineRule="auto"/>
              <w:jc w:val="center"/>
              <w:rPr>
                <w:rFonts w:cs="Arial"/>
                <w:sz w:val="18"/>
                <w:szCs w:val="18"/>
              </w:rPr>
            </w:pPr>
          </w:p>
        </w:tc>
        <w:tc>
          <w:tcPr>
            <w:tcW w:w="813" w:type="dxa"/>
            <w:noWrap/>
            <w:vAlign w:val="bottom"/>
            <w:hideMark/>
          </w:tcPr>
          <w:p w14:paraId="05171FD3" w14:textId="77777777" w:rsidR="008A580F" w:rsidRPr="00AB429E" w:rsidRDefault="008A580F" w:rsidP="008A580F">
            <w:pPr>
              <w:suppressAutoHyphens w:val="0"/>
              <w:autoSpaceDN/>
              <w:spacing w:after="0" w:line="240" w:lineRule="auto"/>
              <w:rPr>
                <w:rFonts w:cs="Arial"/>
                <w:sz w:val="18"/>
                <w:szCs w:val="18"/>
              </w:rPr>
            </w:pPr>
          </w:p>
        </w:tc>
        <w:tc>
          <w:tcPr>
            <w:tcW w:w="899" w:type="dxa"/>
            <w:noWrap/>
            <w:vAlign w:val="bottom"/>
            <w:hideMark/>
          </w:tcPr>
          <w:p w14:paraId="632CA28A" w14:textId="77777777" w:rsidR="008A580F" w:rsidRPr="00AB429E" w:rsidRDefault="008A580F" w:rsidP="008A580F">
            <w:pPr>
              <w:suppressAutoHyphens w:val="0"/>
              <w:autoSpaceDN/>
              <w:spacing w:after="0" w:line="240" w:lineRule="auto"/>
              <w:rPr>
                <w:rFonts w:cs="Arial"/>
                <w:sz w:val="18"/>
                <w:szCs w:val="18"/>
              </w:rPr>
            </w:pPr>
          </w:p>
        </w:tc>
        <w:tc>
          <w:tcPr>
            <w:tcW w:w="848" w:type="dxa"/>
            <w:noWrap/>
            <w:vAlign w:val="bottom"/>
            <w:hideMark/>
          </w:tcPr>
          <w:p w14:paraId="42646D83" w14:textId="77777777" w:rsidR="008A580F" w:rsidRPr="00AB429E" w:rsidRDefault="008A580F" w:rsidP="008A580F">
            <w:pPr>
              <w:suppressAutoHyphens w:val="0"/>
              <w:autoSpaceDN/>
              <w:spacing w:after="0" w:line="240" w:lineRule="auto"/>
              <w:rPr>
                <w:rFonts w:cs="Arial"/>
                <w:sz w:val="18"/>
                <w:szCs w:val="18"/>
              </w:rPr>
            </w:pPr>
          </w:p>
        </w:tc>
        <w:tc>
          <w:tcPr>
            <w:tcW w:w="1569" w:type="dxa"/>
            <w:noWrap/>
            <w:vAlign w:val="bottom"/>
            <w:hideMark/>
          </w:tcPr>
          <w:p w14:paraId="21CA0B37" w14:textId="77777777" w:rsidR="008A580F" w:rsidRPr="00AB429E" w:rsidRDefault="008A580F" w:rsidP="008A580F">
            <w:pPr>
              <w:suppressAutoHyphens w:val="0"/>
              <w:autoSpaceDN/>
              <w:spacing w:after="0" w:line="240" w:lineRule="auto"/>
              <w:rPr>
                <w:rFonts w:cs="Arial"/>
                <w:sz w:val="18"/>
                <w:szCs w:val="18"/>
              </w:rPr>
            </w:pPr>
          </w:p>
        </w:tc>
        <w:tc>
          <w:tcPr>
            <w:tcW w:w="1194" w:type="dxa"/>
            <w:noWrap/>
            <w:vAlign w:val="bottom"/>
            <w:hideMark/>
          </w:tcPr>
          <w:p w14:paraId="5F1D018A"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RCO05</w:t>
            </w:r>
          </w:p>
        </w:tc>
        <w:tc>
          <w:tcPr>
            <w:tcW w:w="1285" w:type="dxa"/>
            <w:noWrap/>
            <w:vAlign w:val="bottom"/>
            <w:hideMark/>
          </w:tcPr>
          <w:p w14:paraId="76D0ECB0"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1</w:t>
            </w:r>
          </w:p>
        </w:tc>
        <w:tc>
          <w:tcPr>
            <w:tcW w:w="1684" w:type="dxa"/>
            <w:shd w:val="clear" w:color="000000" w:fill="90CB7E"/>
            <w:noWrap/>
            <w:vAlign w:val="bottom"/>
            <w:hideMark/>
          </w:tcPr>
          <w:p w14:paraId="481508CF"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90%</w:t>
            </w:r>
          </w:p>
        </w:tc>
      </w:tr>
      <w:tr w:rsidR="008A580F" w:rsidRPr="008A580F" w14:paraId="0A83DA50" w14:textId="77777777" w:rsidTr="008A580F">
        <w:trPr>
          <w:trHeight w:val="300"/>
        </w:trPr>
        <w:tc>
          <w:tcPr>
            <w:tcW w:w="1248" w:type="dxa"/>
            <w:noWrap/>
            <w:vAlign w:val="bottom"/>
            <w:hideMark/>
          </w:tcPr>
          <w:p w14:paraId="14166139" w14:textId="77777777" w:rsidR="008A580F" w:rsidRPr="00AB429E" w:rsidRDefault="008A580F" w:rsidP="008A580F">
            <w:pPr>
              <w:suppressAutoHyphens w:val="0"/>
              <w:autoSpaceDN/>
              <w:spacing w:after="0" w:line="240" w:lineRule="auto"/>
              <w:jc w:val="center"/>
              <w:rPr>
                <w:rFonts w:cs="Arial"/>
                <w:sz w:val="18"/>
                <w:szCs w:val="18"/>
              </w:rPr>
            </w:pPr>
          </w:p>
        </w:tc>
        <w:tc>
          <w:tcPr>
            <w:tcW w:w="813" w:type="dxa"/>
            <w:noWrap/>
            <w:vAlign w:val="bottom"/>
            <w:hideMark/>
          </w:tcPr>
          <w:p w14:paraId="399C7DE2" w14:textId="77777777" w:rsidR="008A580F" w:rsidRPr="00AB429E" w:rsidRDefault="008A580F" w:rsidP="008A580F">
            <w:pPr>
              <w:suppressAutoHyphens w:val="0"/>
              <w:autoSpaceDN/>
              <w:spacing w:after="0" w:line="240" w:lineRule="auto"/>
              <w:rPr>
                <w:rFonts w:cs="Arial"/>
                <w:sz w:val="18"/>
                <w:szCs w:val="18"/>
              </w:rPr>
            </w:pPr>
          </w:p>
        </w:tc>
        <w:tc>
          <w:tcPr>
            <w:tcW w:w="899" w:type="dxa"/>
            <w:noWrap/>
            <w:vAlign w:val="bottom"/>
            <w:hideMark/>
          </w:tcPr>
          <w:p w14:paraId="43960717"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RSO1.4</w:t>
            </w:r>
          </w:p>
        </w:tc>
        <w:tc>
          <w:tcPr>
            <w:tcW w:w="848" w:type="dxa"/>
            <w:noWrap/>
            <w:vAlign w:val="bottom"/>
            <w:hideMark/>
          </w:tcPr>
          <w:p w14:paraId="6D9ADBD6" w14:textId="77777777" w:rsidR="008A580F" w:rsidRPr="00AB429E" w:rsidRDefault="008A580F" w:rsidP="008A580F">
            <w:pPr>
              <w:suppressAutoHyphens w:val="0"/>
              <w:autoSpaceDN/>
              <w:spacing w:after="0" w:line="240" w:lineRule="auto"/>
              <w:rPr>
                <w:rFonts w:cs="Arial"/>
                <w:b/>
                <w:bCs/>
                <w:color w:val="000000"/>
                <w:sz w:val="18"/>
                <w:szCs w:val="18"/>
              </w:rPr>
            </w:pPr>
            <w:r w:rsidRPr="00AB429E">
              <w:rPr>
                <w:rFonts w:cs="Arial"/>
                <w:b/>
                <w:bCs/>
                <w:color w:val="000000"/>
                <w:sz w:val="18"/>
                <w:szCs w:val="18"/>
              </w:rPr>
              <w:t>ESRR</w:t>
            </w:r>
          </w:p>
        </w:tc>
        <w:tc>
          <w:tcPr>
            <w:tcW w:w="1569" w:type="dxa"/>
            <w:noWrap/>
            <w:vAlign w:val="bottom"/>
            <w:hideMark/>
          </w:tcPr>
          <w:p w14:paraId="68F0A2D1"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Vzhod</w:t>
            </w:r>
          </w:p>
        </w:tc>
        <w:tc>
          <w:tcPr>
            <w:tcW w:w="1194" w:type="dxa"/>
            <w:noWrap/>
            <w:vAlign w:val="bottom"/>
            <w:hideMark/>
          </w:tcPr>
          <w:p w14:paraId="72A3125A"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RCO101</w:t>
            </w:r>
          </w:p>
        </w:tc>
        <w:tc>
          <w:tcPr>
            <w:tcW w:w="1285" w:type="dxa"/>
            <w:noWrap/>
            <w:vAlign w:val="bottom"/>
            <w:hideMark/>
          </w:tcPr>
          <w:p w14:paraId="7503EC25"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1</w:t>
            </w:r>
          </w:p>
        </w:tc>
        <w:tc>
          <w:tcPr>
            <w:tcW w:w="1684" w:type="dxa"/>
            <w:shd w:val="clear" w:color="000000" w:fill="F8696B"/>
            <w:noWrap/>
            <w:vAlign w:val="bottom"/>
            <w:hideMark/>
          </w:tcPr>
          <w:p w14:paraId="3287458C"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0%</w:t>
            </w:r>
          </w:p>
        </w:tc>
      </w:tr>
      <w:tr w:rsidR="008A580F" w:rsidRPr="008A580F" w14:paraId="2DF8F0C1" w14:textId="77777777" w:rsidTr="008A580F">
        <w:trPr>
          <w:trHeight w:val="300"/>
        </w:trPr>
        <w:tc>
          <w:tcPr>
            <w:tcW w:w="1248" w:type="dxa"/>
            <w:noWrap/>
            <w:vAlign w:val="bottom"/>
            <w:hideMark/>
          </w:tcPr>
          <w:p w14:paraId="7F5AE95A" w14:textId="77777777" w:rsidR="008A580F" w:rsidRPr="00AB429E" w:rsidRDefault="008A580F" w:rsidP="008A580F">
            <w:pPr>
              <w:suppressAutoHyphens w:val="0"/>
              <w:autoSpaceDN/>
              <w:spacing w:after="0" w:line="240" w:lineRule="auto"/>
              <w:jc w:val="center"/>
              <w:rPr>
                <w:rFonts w:cs="Arial"/>
                <w:sz w:val="18"/>
                <w:szCs w:val="18"/>
              </w:rPr>
            </w:pPr>
          </w:p>
        </w:tc>
        <w:tc>
          <w:tcPr>
            <w:tcW w:w="813" w:type="dxa"/>
            <w:noWrap/>
            <w:vAlign w:val="bottom"/>
            <w:hideMark/>
          </w:tcPr>
          <w:p w14:paraId="5DB72E09" w14:textId="77777777" w:rsidR="008A580F" w:rsidRPr="00AB429E" w:rsidRDefault="008A580F" w:rsidP="008A580F">
            <w:pPr>
              <w:suppressAutoHyphens w:val="0"/>
              <w:autoSpaceDN/>
              <w:spacing w:after="0" w:line="240" w:lineRule="auto"/>
              <w:rPr>
                <w:rFonts w:cs="Arial"/>
                <w:sz w:val="18"/>
                <w:szCs w:val="18"/>
              </w:rPr>
            </w:pPr>
          </w:p>
        </w:tc>
        <w:tc>
          <w:tcPr>
            <w:tcW w:w="899" w:type="dxa"/>
            <w:noWrap/>
            <w:vAlign w:val="bottom"/>
            <w:hideMark/>
          </w:tcPr>
          <w:p w14:paraId="576DF159" w14:textId="77777777" w:rsidR="008A580F" w:rsidRPr="00AB429E" w:rsidRDefault="008A580F" w:rsidP="008A580F">
            <w:pPr>
              <w:suppressAutoHyphens w:val="0"/>
              <w:autoSpaceDN/>
              <w:spacing w:after="0" w:line="240" w:lineRule="auto"/>
              <w:rPr>
                <w:rFonts w:cs="Arial"/>
                <w:sz w:val="18"/>
                <w:szCs w:val="18"/>
              </w:rPr>
            </w:pPr>
          </w:p>
        </w:tc>
        <w:tc>
          <w:tcPr>
            <w:tcW w:w="848" w:type="dxa"/>
            <w:noWrap/>
            <w:vAlign w:val="bottom"/>
            <w:hideMark/>
          </w:tcPr>
          <w:p w14:paraId="2FD0DA9F" w14:textId="77777777" w:rsidR="008A580F" w:rsidRPr="00AB429E" w:rsidRDefault="008A580F" w:rsidP="008A580F">
            <w:pPr>
              <w:suppressAutoHyphens w:val="0"/>
              <w:autoSpaceDN/>
              <w:spacing w:after="0" w:line="240" w:lineRule="auto"/>
              <w:rPr>
                <w:rFonts w:cs="Arial"/>
                <w:sz w:val="18"/>
                <w:szCs w:val="18"/>
              </w:rPr>
            </w:pPr>
          </w:p>
        </w:tc>
        <w:tc>
          <w:tcPr>
            <w:tcW w:w="1569" w:type="dxa"/>
            <w:noWrap/>
            <w:vAlign w:val="bottom"/>
            <w:hideMark/>
          </w:tcPr>
          <w:p w14:paraId="7A5FBFD4"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Zahod</w:t>
            </w:r>
          </w:p>
        </w:tc>
        <w:tc>
          <w:tcPr>
            <w:tcW w:w="1194" w:type="dxa"/>
            <w:noWrap/>
            <w:vAlign w:val="bottom"/>
            <w:hideMark/>
          </w:tcPr>
          <w:p w14:paraId="464F1F74"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RCO101</w:t>
            </w:r>
          </w:p>
        </w:tc>
        <w:tc>
          <w:tcPr>
            <w:tcW w:w="1285" w:type="dxa"/>
            <w:noWrap/>
            <w:vAlign w:val="bottom"/>
            <w:hideMark/>
          </w:tcPr>
          <w:p w14:paraId="64766D4B"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1</w:t>
            </w:r>
          </w:p>
        </w:tc>
        <w:tc>
          <w:tcPr>
            <w:tcW w:w="1684" w:type="dxa"/>
            <w:shd w:val="clear" w:color="000000" w:fill="F8696B"/>
            <w:noWrap/>
            <w:vAlign w:val="bottom"/>
            <w:hideMark/>
          </w:tcPr>
          <w:p w14:paraId="2E4BD361"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0%</w:t>
            </w:r>
          </w:p>
        </w:tc>
      </w:tr>
      <w:tr w:rsidR="008A580F" w:rsidRPr="008A580F" w14:paraId="185C27C1" w14:textId="77777777" w:rsidTr="008A580F">
        <w:trPr>
          <w:trHeight w:val="300"/>
        </w:trPr>
        <w:tc>
          <w:tcPr>
            <w:tcW w:w="1248" w:type="dxa"/>
            <w:noWrap/>
            <w:vAlign w:val="bottom"/>
            <w:hideMark/>
          </w:tcPr>
          <w:p w14:paraId="4238DEA6" w14:textId="77777777" w:rsidR="008A580F" w:rsidRPr="00AB429E" w:rsidRDefault="008A580F" w:rsidP="008A580F">
            <w:pPr>
              <w:suppressAutoHyphens w:val="0"/>
              <w:autoSpaceDN/>
              <w:spacing w:after="0" w:line="240" w:lineRule="auto"/>
              <w:jc w:val="center"/>
              <w:rPr>
                <w:rFonts w:cs="Arial"/>
                <w:sz w:val="18"/>
                <w:szCs w:val="18"/>
              </w:rPr>
            </w:pPr>
          </w:p>
        </w:tc>
        <w:tc>
          <w:tcPr>
            <w:tcW w:w="813" w:type="dxa"/>
            <w:noWrap/>
            <w:vAlign w:val="bottom"/>
            <w:hideMark/>
          </w:tcPr>
          <w:p w14:paraId="1AC26B89" w14:textId="77777777" w:rsidR="008A580F" w:rsidRPr="00AB429E" w:rsidRDefault="008A580F" w:rsidP="008A580F">
            <w:pPr>
              <w:suppressAutoHyphens w:val="0"/>
              <w:autoSpaceDN/>
              <w:spacing w:after="0" w:line="240" w:lineRule="auto"/>
              <w:rPr>
                <w:rFonts w:cs="Arial"/>
                <w:b/>
                <w:bCs/>
                <w:color w:val="000000"/>
                <w:sz w:val="18"/>
                <w:szCs w:val="18"/>
              </w:rPr>
            </w:pPr>
            <w:r w:rsidRPr="00AB429E">
              <w:rPr>
                <w:rFonts w:cs="Arial"/>
                <w:b/>
                <w:bCs/>
                <w:color w:val="000000"/>
                <w:sz w:val="18"/>
                <w:szCs w:val="18"/>
              </w:rPr>
              <w:t>PN2</w:t>
            </w:r>
          </w:p>
        </w:tc>
        <w:tc>
          <w:tcPr>
            <w:tcW w:w="899" w:type="dxa"/>
            <w:noWrap/>
            <w:vAlign w:val="bottom"/>
            <w:hideMark/>
          </w:tcPr>
          <w:p w14:paraId="2FA42975"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RSO1.5</w:t>
            </w:r>
          </w:p>
        </w:tc>
        <w:tc>
          <w:tcPr>
            <w:tcW w:w="848" w:type="dxa"/>
            <w:noWrap/>
            <w:vAlign w:val="bottom"/>
            <w:hideMark/>
          </w:tcPr>
          <w:p w14:paraId="47D73A4E" w14:textId="77777777" w:rsidR="008A580F" w:rsidRPr="00AB429E" w:rsidRDefault="008A580F" w:rsidP="008A580F">
            <w:pPr>
              <w:suppressAutoHyphens w:val="0"/>
              <w:autoSpaceDN/>
              <w:spacing w:after="0" w:line="240" w:lineRule="auto"/>
              <w:rPr>
                <w:rFonts w:cs="Arial"/>
                <w:b/>
                <w:bCs/>
                <w:color w:val="000000"/>
                <w:sz w:val="18"/>
                <w:szCs w:val="18"/>
              </w:rPr>
            </w:pPr>
            <w:r w:rsidRPr="00AB429E">
              <w:rPr>
                <w:rFonts w:cs="Arial"/>
                <w:b/>
                <w:bCs/>
                <w:color w:val="000000"/>
                <w:sz w:val="18"/>
                <w:szCs w:val="18"/>
              </w:rPr>
              <w:t>ESRR</w:t>
            </w:r>
          </w:p>
        </w:tc>
        <w:tc>
          <w:tcPr>
            <w:tcW w:w="1569" w:type="dxa"/>
            <w:noWrap/>
            <w:vAlign w:val="bottom"/>
            <w:hideMark/>
          </w:tcPr>
          <w:p w14:paraId="26E4A325"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Vzhod</w:t>
            </w:r>
          </w:p>
        </w:tc>
        <w:tc>
          <w:tcPr>
            <w:tcW w:w="1194" w:type="dxa"/>
            <w:noWrap/>
            <w:vAlign w:val="bottom"/>
            <w:hideMark/>
          </w:tcPr>
          <w:p w14:paraId="2C538FFE"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RCO41</w:t>
            </w:r>
          </w:p>
        </w:tc>
        <w:tc>
          <w:tcPr>
            <w:tcW w:w="1285" w:type="dxa"/>
            <w:noWrap/>
            <w:vAlign w:val="bottom"/>
            <w:hideMark/>
          </w:tcPr>
          <w:p w14:paraId="1CC7DD0A"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1</w:t>
            </w:r>
          </w:p>
        </w:tc>
        <w:tc>
          <w:tcPr>
            <w:tcW w:w="1684" w:type="dxa"/>
            <w:shd w:val="clear" w:color="000000" w:fill="F8696B"/>
            <w:noWrap/>
            <w:vAlign w:val="bottom"/>
            <w:hideMark/>
          </w:tcPr>
          <w:p w14:paraId="3A779356"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0%</w:t>
            </w:r>
          </w:p>
        </w:tc>
      </w:tr>
      <w:tr w:rsidR="008A580F" w:rsidRPr="008A580F" w14:paraId="37A7D122" w14:textId="77777777" w:rsidTr="008A580F">
        <w:trPr>
          <w:trHeight w:val="300"/>
        </w:trPr>
        <w:tc>
          <w:tcPr>
            <w:tcW w:w="1248" w:type="dxa"/>
            <w:noWrap/>
            <w:vAlign w:val="bottom"/>
            <w:hideMark/>
          </w:tcPr>
          <w:p w14:paraId="226DE4F7" w14:textId="77777777" w:rsidR="008A580F" w:rsidRPr="00AB429E" w:rsidRDefault="008A580F" w:rsidP="008A580F">
            <w:pPr>
              <w:suppressAutoHyphens w:val="0"/>
              <w:autoSpaceDN/>
              <w:spacing w:after="0" w:line="240" w:lineRule="auto"/>
              <w:jc w:val="center"/>
              <w:rPr>
                <w:rFonts w:cs="Arial"/>
                <w:sz w:val="18"/>
                <w:szCs w:val="18"/>
              </w:rPr>
            </w:pPr>
          </w:p>
        </w:tc>
        <w:tc>
          <w:tcPr>
            <w:tcW w:w="813" w:type="dxa"/>
            <w:noWrap/>
            <w:vAlign w:val="bottom"/>
            <w:hideMark/>
          </w:tcPr>
          <w:p w14:paraId="6CF5A701" w14:textId="77777777" w:rsidR="008A580F" w:rsidRPr="00AB429E" w:rsidRDefault="008A580F" w:rsidP="008A580F">
            <w:pPr>
              <w:suppressAutoHyphens w:val="0"/>
              <w:autoSpaceDN/>
              <w:spacing w:after="0" w:line="240" w:lineRule="auto"/>
              <w:rPr>
                <w:rFonts w:cs="Arial"/>
                <w:sz w:val="18"/>
                <w:szCs w:val="18"/>
              </w:rPr>
            </w:pPr>
          </w:p>
        </w:tc>
        <w:tc>
          <w:tcPr>
            <w:tcW w:w="899" w:type="dxa"/>
            <w:noWrap/>
            <w:vAlign w:val="bottom"/>
            <w:hideMark/>
          </w:tcPr>
          <w:p w14:paraId="2714B1F3" w14:textId="77777777" w:rsidR="008A580F" w:rsidRPr="00AB429E" w:rsidRDefault="008A580F" w:rsidP="008A580F">
            <w:pPr>
              <w:suppressAutoHyphens w:val="0"/>
              <w:autoSpaceDN/>
              <w:spacing w:after="0" w:line="240" w:lineRule="auto"/>
              <w:rPr>
                <w:rFonts w:cs="Arial"/>
                <w:sz w:val="18"/>
                <w:szCs w:val="18"/>
              </w:rPr>
            </w:pPr>
          </w:p>
        </w:tc>
        <w:tc>
          <w:tcPr>
            <w:tcW w:w="848" w:type="dxa"/>
            <w:noWrap/>
            <w:vAlign w:val="bottom"/>
            <w:hideMark/>
          </w:tcPr>
          <w:p w14:paraId="5FFB6FFF" w14:textId="77777777" w:rsidR="008A580F" w:rsidRPr="00AB429E" w:rsidRDefault="008A580F" w:rsidP="008A580F">
            <w:pPr>
              <w:suppressAutoHyphens w:val="0"/>
              <w:autoSpaceDN/>
              <w:spacing w:after="0" w:line="240" w:lineRule="auto"/>
              <w:rPr>
                <w:rFonts w:cs="Arial"/>
                <w:sz w:val="18"/>
                <w:szCs w:val="18"/>
              </w:rPr>
            </w:pPr>
          </w:p>
        </w:tc>
        <w:tc>
          <w:tcPr>
            <w:tcW w:w="1569" w:type="dxa"/>
            <w:noWrap/>
            <w:vAlign w:val="bottom"/>
            <w:hideMark/>
          </w:tcPr>
          <w:p w14:paraId="4C0476BB"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Zahod</w:t>
            </w:r>
          </w:p>
        </w:tc>
        <w:tc>
          <w:tcPr>
            <w:tcW w:w="1194" w:type="dxa"/>
            <w:noWrap/>
            <w:vAlign w:val="bottom"/>
            <w:hideMark/>
          </w:tcPr>
          <w:p w14:paraId="624BCFC1"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RCO41</w:t>
            </w:r>
          </w:p>
        </w:tc>
        <w:tc>
          <w:tcPr>
            <w:tcW w:w="1285" w:type="dxa"/>
            <w:noWrap/>
            <w:vAlign w:val="bottom"/>
            <w:hideMark/>
          </w:tcPr>
          <w:p w14:paraId="116E0791"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1</w:t>
            </w:r>
          </w:p>
        </w:tc>
        <w:tc>
          <w:tcPr>
            <w:tcW w:w="1684" w:type="dxa"/>
            <w:shd w:val="clear" w:color="000000" w:fill="F8696B"/>
            <w:noWrap/>
            <w:vAlign w:val="bottom"/>
            <w:hideMark/>
          </w:tcPr>
          <w:p w14:paraId="45250118"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0%</w:t>
            </w:r>
          </w:p>
        </w:tc>
      </w:tr>
      <w:tr w:rsidR="008A580F" w:rsidRPr="008A580F" w14:paraId="39452F44" w14:textId="77777777" w:rsidTr="008A580F">
        <w:trPr>
          <w:trHeight w:val="300"/>
        </w:trPr>
        <w:tc>
          <w:tcPr>
            <w:tcW w:w="1248" w:type="dxa"/>
            <w:noWrap/>
            <w:vAlign w:val="bottom"/>
            <w:hideMark/>
          </w:tcPr>
          <w:p w14:paraId="3C0ECFE8" w14:textId="77777777" w:rsidR="008A580F" w:rsidRPr="00AB429E" w:rsidRDefault="008A580F" w:rsidP="008A580F">
            <w:pPr>
              <w:suppressAutoHyphens w:val="0"/>
              <w:autoSpaceDN/>
              <w:spacing w:after="0" w:line="240" w:lineRule="auto"/>
              <w:rPr>
                <w:rFonts w:cs="Arial"/>
                <w:b/>
                <w:bCs/>
                <w:color w:val="000000"/>
                <w:sz w:val="18"/>
                <w:szCs w:val="18"/>
              </w:rPr>
            </w:pPr>
            <w:r w:rsidRPr="00AB429E">
              <w:rPr>
                <w:rFonts w:cs="Arial"/>
                <w:b/>
                <w:bCs/>
                <w:color w:val="000000"/>
                <w:sz w:val="18"/>
                <w:szCs w:val="18"/>
              </w:rPr>
              <w:t>CP2</w:t>
            </w:r>
          </w:p>
        </w:tc>
        <w:tc>
          <w:tcPr>
            <w:tcW w:w="813" w:type="dxa"/>
            <w:noWrap/>
            <w:vAlign w:val="bottom"/>
            <w:hideMark/>
          </w:tcPr>
          <w:p w14:paraId="1F4AC6DB" w14:textId="77777777" w:rsidR="008A580F" w:rsidRPr="00AB429E" w:rsidRDefault="008A580F" w:rsidP="008A580F">
            <w:pPr>
              <w:suppressAutoHyphens w:val="0"/>
              <w:autoSpaceDN/>
              <w:spacing w:after="0" w:line="240" w:lineRule="auto"/>
              <w:rPr>
                <w:rFonts w:cs="Arial"/>
                <w:b/>
                <w:bCs/>
                <w:color w:val="000000"/>
                <w:sz w:val="18"/>
                <w:szCs w:val="18"/>
              </w:rPr>
            </w:pPr>
            <w:r w:rsidRPr="00AB429E">
              <w:rPr>
                <w:rFonts w:cs="Arial"/>
                <w:b/>
                <w:bCs/>
                <w:color w:val="000000"/>
                <w:sz w:val="18"/>
                <w:szCs w:val="18"/>
              </w:rPr>
              <w:t>PN3</w:t>
            </w:r>
          </w:p>
        </w:tc>
        <w:tc>
          <w:tcPr>
            <w:tcW w:w="899" w:type="dxa"/>
            <w:noWrap/>
            <w:vAlign w:val="bottom"/>
            <w:hideMark/>
          </w:tcPr>
          <w:p w14:paraId="12BB95A7"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RSO2.2</w:t>
            </w:r>
          </w:p>
        </w:tc>
        <w:tc>
          <w:tcPr>
            <w:tcW w:w="848" w:type="dxa"/>
            <w:noWrap/>
            <w:vAlign w:val="bottom"/>
            <w:hideMark/>
          </w:tcPr>
          <w:p w14:paraId="4168F631" w14:textId="77777777" w:rsidR="008A580F" w:rsidRPr="00AB429E" w:rsidRDefault="008A580F" w:rsidP="008A580F">
            <w:pPr>
              <w:suppressAutoHyphens w:val="0"/>
              <w:autoSpaceDN/>
              <w:spacing w:after="0" w:line="240" w:lineRule="auto"/>
              <w:rPr>
                <w:rFonts w:cs="Arial"/>
                <w:b/>
                <w:bCs/>
                <w:color w:val="000000"/>
                <w:sz w:val="18"/>
                <w:szCs w:val="18"/>
              </w:rPr>
            </w:pPr>
            <w:r w:rsidRPr="00AB429E">
              <w:rPr>
                <w:rFonts w:cs="Arial"/>
                <w:b/>
                <w:bCs/>
                <w:color w:val="000000"/>
                <w:sz w:val="18"/>
                <w:szCs w:val="18"/>
              </w:rPr>
              <w:t>ESRR</w:t>
            </w:r>
          </w:p>
        </w:tc>
        <w:tc>
          <w:tcPr>
            <w:tcW w:w="1569" w:type="dxa"/>
            <w:noWrap/>
            <w:vAlign w:val="bottom"/>
            <w:hideMark/>
          </w:tcPr>
          <w:p w14:paraId="72B99D6D"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Vzhod</w:t>
            </w:r>
          </w:p>
        </w:tc>
        <w:tc>
          <w:tcPr>
            <w:tcW w:w="1194" w:type="dxa"/>
            <w:noWrap/>
            <w:vAlign w:val="bottom"/>
            <w:hideMark/>
          </w:tcPr>
          <w:p w14:paraId="55D94074"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RCO22</w:t>
            </w:r>
          </w:p>
        </w:tc>
        <w:tc>
          <w:tcPr>
            <w:tcW w:w="1285" w:type="dxa"/>
            <w:noWrap/>
            <w:vAlign w:val="bottom"/>
            <w:hideMark/>
          </w:tcPr>
          <w:p w14:paraId="0A8A84AD"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1</w:t>
            </w:r>
          </w:p>
        </w:tc>
        <w:tc>
          <w:tcPr>
            <w:tcW w:w="1684" w:type="dxa"/>
            <w:shd w:val="clear" w:color="000000" w:fill="F8696B"/>
            <w:noWrap/>
            <w:vAlign w:val="bottom"/>
            <w:hideMark/>
          </w:tcPr>
          <w:p w14:paraId="7F108EDA"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0%</w:t>
            </w:r>
          </w:p>
        </w:tc>
      </w:tr>
      <w:tr w:rsidR="008A580F" w:rsidRPr="008A580F" w14:paraId="573A519D" w14:textId="77777777" w:rsidTr="008A580F">
        <w:trPr>
          <w:trHeight w:val="300"/>
        </w:trPr>
        <w:tc>
          <w:tcPr>
            <w:tcW w:w="1248" w:type="dxa"/>
            <w:noWrap/>
            <w:vAlign w:val="bottom"/>
            <w:hideMark/>
          </w:tcPr>
          <w:p w14:paraId="2E33171A" w14:textId="77777777" w:rsidR="008A580F" w:rsidRPr="00AB429E" w:rsidRDefault="008A580F" w:rsidP="008A580F">
            <w:pPr>
              <w:suppressAutoHyphens w:val="0"/>
              <w:autoSpaceDN/>
              <w:spacing w:after="0" w:line="240" w:lineRule="auto"/>
              <w:jc w:val="center"/>
              <w:rPr>
                <w:rFonts w:cs="Arial"/>
                <w:sz w:val="18"/>
                <w:szCs w:val="18"/>
              </w:rPr>
            </w:pPr>
          </w:p>
        </w:tc>
        <w:tc>
          <w:tcPr>
            <w:tcW w:w="813" w:type="dxa"/>
            <w:noWrap/>
            <w:vAlign w:val="bottom"/>
            <w:hideMark/>
          </w:tcPr>
          <w:p w14:paraId="7909FA49" w14:textId="77777777" w:rsidR="008A580F" w:rsidRPr="00AB429E" w:rsidRDefault="008A580F" w:rsidP="008A580F">
            <w:pPr>
              <w:suppressAutoHyphens w:val="0"/>
              <w:autoSpaceDN/>
              <w:spacing w:after="0" w:line="240" w:lineRule="auto"/>
              <w:rPr>
                <w:rFonts w:cs="Arial"/>
                <w:sz w:val="18"/>
                <w:szCs w:val="18"/>
              </w:rPr>
            </w:pPr>
          </w:p>
        </w:tc>
        <w:tc>
          <w:tcPr>
            <w:tcW w:w="899" w:type="dxa"/>
            <w:noWrap/>
            <w:vAlign w:val="bottom"/>
            <w:hideMark/>
          </w:tcPr>
          <w:p w14:paraId="0ED3CB6B" w14:textId="77777777" w:rsidR="008A580F" w:rsidRPr="00AB429E" w:rsidRDefault="008A580F" w:rsidP="008A580F">
            <w:pPr>
              <w:suppressAutoHyphens w:val="0"/>
              <w:autoSpaceDN/>
              <w:spacing w:after="0" w:line="240" w:lineRule="auto"/>
              <w:rPr>
                <w:rFonts w:cs="Arial"/>
                <w:sz w:val="18"/>
                <w:szCs w:val="18"/>
              </w:rPr>
            </w:pPr>
          </w:p>
        </w:tc>
        <w:tc>
          <w:tcPr>
            <w:tcW w:w="848" w:type="dxa"/>
            <w:noWrap/>
            <w:vAlign w:val="bottom"/>
            <w:hideMark/>
          </w:tcPr>
          <w:p w14:paraId="6E2F75F3" w14:textId="77777777" w:rsidR="008A580F" w:rsidRPr="00AB429E" w:rsidRDefault="008A580F" w:rsidP="008A580F">
            <w:pPr>
              <w:suppressAutoHyphens w:val="0"/>
              <w:autoSpaceDN/>
              <w:spacing w:after="0" w:line="240" w:lineRule="auto"/>
              <w:rPr>
                <w:rFonts w:cs="Arial"/>
                <w:sz w:val="18"/>
                <w:szCs w:val="18"/>
              </w:rPr>
            </w:pPr>
          </w:p>
        </w:tc>
        <w:tc>
          <w:tcPr>
            <w:tcW w:w="1569" w:type="dxa"/>
            <w:noWrap/>
            <w:vAlign w:val="bottom"/>
            <w:hideMark/>
          </w:tcPr>
          <w:p w14:paraId="2DCCE051"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Zahod</w:t>
            </w:r>
          </w:p>
        </w:tc>
        <w:tc>
          <w:tcPr>
            <w:tcW w:w="1194" w:type="dxa"/>
            <w:noWrap/>
            <w:vAlign w:val="bottom"/>
            <w:hideMark/>
          </w:tcPr>
          <w:p w14:paraId="27C652C7"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RCO22</w:t>
            </w:r>
          </w:p>
        </w:tc>
        <w:tc>
          <w:tcPr>
            <w:tcW w:w="1285" w:type="dxa"/>
            <w:noWrap/>
            <w:vAlign w:val="bottom"/>
            <w:hideMark/>
          </w:tcPr>
          <w:p w14:paraId="7E625D7A"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1</w:t>
            </w:r>
          </w:p>
        </w:tc>
        <w:tc>
          <w:tcPr>
            <w:tcW w:w="1684" w:type="dxa"/>
            <w:shd w:val="clear" w:color="000000" w:fill="F8696B"/>
            <w:noWrap/>
            <w:vAlign w:val="bottom"/>
            <w:hideMark/>
          </w:tcPr>
          <w:p w14:paraId="1EA91293"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0%</w:t>
            </w:r>
          </w:p>
        </w:tc>
      </w:tr>
      <w:tr w:rsidR="008A580F" w:rsidRPr="008A580F" w14:paraId="60ED1783" w14:textId="77777777" w:rsidTr="008A580F">
        <w:trPr>
          <w:trHeight w:val="300"/>
        </w:trPr>
        <w:tc>
          <w:tcPr>
            <w:tcW w:w="1248" w:type="dxa"/>
            <w:noWrap/>
            <w:vAlign w:val="bottom"/>
            <w:hideMark/>
          </w:tcPr>
          <w:p w14:paraId="7359E76C" w14:textId="77777777" w:rsidR="008A580F" w:rsidRPr="00AB429E" w:rsidRDefault="008A580F" w:rsidP="008A580F">
            <w:pPr>
              <w:suppressAutoHyphens w:val="0"/>
              <w:autoSpaceDN/>
              <w:spacing w:after="0" w:line="240" w:lineRule="auto"/>
              <w:jc w:val="center"/>
              <w:rPr>
                <w:rFonts w:cs="Arial"/>
                <w:sz w:val="18"/>
                <w:szCs w:val="18"/>
              </w:rPr>
            </w:pPr>
          </w:p>
        </w:tc>
        <w:tc>
          <w:tcPr>
            <w:tcW w:w="813" w:type="dxa"/>
            <w:noWrap/>
            <w:vAlign w:val="bottom"/>
            <w:hideMark/>
          </w:tcPr>
          <w:p w14:paraId="5B100FF2" w14:textId="77777777" w:rsidR="008A580F" w:rsidRPr="00AB429E" w:rsidRDefault="008A580F" w:rsidP="008A580F">
            <w:pPr>
              <w:suppressAutoHyphens w:val="0"/>
              <w:autoSpaceDN/>
              <w:spacing w:after="0" w:line="240" w:lineRule="auto"/>
              <w:rPr>
                <w:rFonts w:cs="Arial"/>
                <w:sz w:val="18"/>
                <w:szCs w:val="18"/>
              </w:rPr>
            </w:pPr>
          </w:p>
        </w:tc>
        <w:tc>
          <w:tcPr>
            <w:tcW w:w="899" w:type="dxa"/>
            <w:noWrap/>
            <w:vAlign w:val="bottom"/>
            <w:hideMark/>
          </w:tcPr>
          <w:p w14:paraId="12409E8B"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RSO2.4</w:t>
            </w:r>
          </w:p>
        </w:tc>
        <w:tc>
          <w:tcPr>
            <w:tcW w:w="848" w:type="dxa"/>
            <w:noWrap/>
            <w:vAlign w:val="bottom"/>
            <w:hideMark/>
          </w:tcPr>
          <w:p w14:paraId="540EF5FD" w14:textId="77777777" w:rsidR="008A580F" w:rsidRPr="00AB429E" w:rsidRDefault="008A580F" w:rsidP="008A580F">
            <w:pPr>
              <w:suppressAutoHyphens w:val="0"/>
              <w:autoSpaceDN/>
              <w:spacing w:after="0" w:line="240" w:lineRule="auto"/>
              <w:rPr>
                <w:rFonts w:cs="Arial"/>
                <w:b/>
                <w:bCs/>
                <w:color w:val="000000"/>
                <w:sz w:val="18"/>
                <w:szCs w:val="18"/>
              </w:rPr>
            </w:pPr>
            <w:r w:rsidRPr="00AB429E">
              <w:rPr>
                <w:rFonts w:cs="Arial"/>
                <w:b/>
                <w:bCs/>
                <w:color w:val="000000"/>
                <w:sz w:val="18"/>
                <w:szCs w:val="18"/>
              </w:rPr>
              <w:t>KS</w:t>
            </w:r>
          </w:p>
        </w:tc>
        <w:tc>
          <w:tcPr>
            <w:tcW w:w="1569" w:type="dxa"/>
            <w:noWrap/>
            <w:vAlign w:val="bottom"/>
            <w:hideMark/>
          </w:tcPr>
          <w:p w14:paraId="5CFFCD4A"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Celotna Slovenija</w:t>
            </w:r>
          </w:p>
        </w:tc>
        <w:tc>
          <w:tcPr>
            <w:tcW w:w="1194" w:type="dxa"/>
            <w:noWrap/>
            <w:vAlign w:val="bottom"/>
            <w:hideMark/>
          </w:tcPr>
          <w:p w14:paraId="5C737CAD"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R2.4/U/3</w:t>
            </w:r>
          </w:p>
        </w:tc>
        <w:tc>
          <w:tcPr>
            <w:tcW w:w="1285" w:type="dxa"/>
            <w:noWrap/>
            <w:vAlign w:val="bottom"/>
            <w:hideMark/>
          </w:tcPr>
          <w:p w14:paraId="5582EF29"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1</w:t>
            </w:r>
          </w:p>
        </w:tc>
        <w:tc>
          <w:tcPr>
            <w:tcW w:w="1684" w:type="dxa"/>
            <w:shd w:val="clear" w:color="000000" w:fill="F8696B"/>
            <w:noWrap/>
            <w:vAlign w:val="bottom"/>
            <w:hideMark/>
          </w:tcPr>
          <w:p w14:paraId="1B1DCA78"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0%</w:t>
            </w:r>
          </w:p>
        </w:tc>
      </w:tr>
      <w:tr w:rsidR="008A580F" w:rsidRPr="008A580F" w14:paraId="2DC147A1" w14:textId="77777777" w:rsidTr="008A580F">
        <w:trPr>
          <w:trHeight w:val="300"/>
        </w:trPr>
        <w:tc>
          <w:tcPr>
            <w:tcW w:w="1248" w:type="dxa"/>
            <w:noWrap/>
            <w:vAlign w:val="bottom"/>
            <w:hideMark/>
          </w:tcPr>
          <w:p w14:paraId="02ABE618" w14:textId="77777777" w:rsidR="008A580F" w:rsidRPr="00AB429E" w:rsidRDefault="008A580F" w:rsidP="008A580F">
            <w:pPr>
              <w:suppressAutoHyphens w:val="0"/>
              <w:autoSpaceDN/>
              <w:spacing w:after="0" w:line="240" w:lineRule="auto"/>
              <w:jc w:val="center"/>
              <w:rPr>
                <w:rFonts w:cs="Arial"/>
                <w:sz w:val="18"/>
                <w:szCs w:val="18"/>
              </w:rPr>
            </w:pPr>
          </w:p>
        </w:tc>
        <w:tc>
          <w:tcPr>
            <w:tcW w:w="813" w:type="dxa"/>
            <w:noWrap/>
            <w:vAlign w:val="bottom"/>
            <w:hideMark/>
          </w:tcPr>
          <w:p w14:paraId="17A6D09B" w14:textId="77777777" w:rsidR="008A580F" w:rsidRPr="00AB429E" w:rsidRDefault="008A580F" w:rsidP="008A580F">
            <w:pPr>
              <w:suppressAutoHyphens w:val="0"/>
              <w:autoSpaceDN/>
              <w:spacing w:after="0" w:line="240" w:lineRule="auto"/>
              <w:rPr>
                <w:rFonts w:cs="Arial"/>
                <w:sz w:val="18"/>
                <w:szCs w:val="18"/>
              </w:rPr>
            </w:pPr>
          </w:p>
        </w:tc>
        <w:tc>
          <w:tcPr>
            <w:tcW w:w="899" w:type="dxa"/>
            <w:noWrap/>
            <w:vAlign w:val="bottom"/>
            <w:hideMark/>
          </w:tcPr>
          <w:p w14:paraId="759D9264" w14:textId="77777777" w:rsidR="008A580F" w:rsidRPr="00AB429E" w:rsidRDefault="008A580F" w:rsidP="008A580F">
            <w:pPr>
              <w:suppressAutoHyphens w:val="0"/>
              <w:autoSpaceDN/>
              <w:spacing w:after="0" w:line="240" w:lineRule="auto"/>
              <w:rPr>
                <w:rFonts w:cs="Arial"/>
                <w:sz w:val="18"/>
                <w:szCs w:val="18"/>
              </w:rPr>
            </w:pPr>
          </w:p>
        </w:tc>
        <w:tc>
          <w:tcPr>
            <w:tcW w:w="848" w:type="dxa"/>
            <w:noWrap/>
            <w:vAlign w:val="bottom"/>
            <w:hideMark/>
          </w:tcPr>
          <w:p w14:paraId="3905ED21" w14:textId="77777777" w:rsidR="008A580F" w:rsidRPr="00AB429E" w:rsidRDefault="008A580F" w:rsidP="008A580F">
            <w:pPr>
              <w:suppressAutoHyphens w:val="0"/>
              <w:autoSpaceDN/>
              <w:spacing w:after="0" w:line="240" w:lineRule="auto"/>
              <w:rPr>
                <w:rFonts w:cs="Arial"/>
                <w:sz w:val="18"/>
                <w:szCs w:val="18"/>
              </w:rPr>
            </w:pPr>
          </w:p>
        </w:tc>
        <w:tc>
          <w:tcPr>
            <w:tcW w:w="1569" w:type="dxa"/>
            <w:noWrap/>
            <w:vAlign w:val="bottom"/>
            <w:hideMark/>
          </w:tcPr>
          <w:p w14:paraId="3366ECEC" w14:textId="77777777" w:rsidR="008A580F" w:rsidRPr="00AB429E" w:rsidRDefault="008A580F" w:rsidP="008A580F">
            <w:pPr>
              <w:suppressAutoHyphens w:val="0"/>
              <w:autoSpaceDN/>
              <w:spacing w:after="0" w:line="240" w:lineRule="auto"/>
              <w:rPr>
                <w:rFonts w:cs="Arial"/>
                <w:sz w:val="18"/>
                <w:szCs w:val="18"/>
              </w:rPr>
            </w:pPr>
          </w:p>
        </w:tc>
        <w:tc>
          <w:tcPr>
            <w:tcW w:w="1194" w:type="dxa"/>
            <w:noWrap/>
            <w:vAlign w:val="bottom"/>
            <w:hideMark/>
          </w:tcPr>
          <w:p w14:paraId="0E9BDCB9"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RCO24</w:t>
            </w:r>
          </w:p>
        </w:tc>
        <w:tc>
          <w:tcPr>
            <w:tcW w:w="1285" w:type="dxa"/>
            <w:noWrap/>
            <w:vAlign w:val="bottom"/>
            <w:hideMark/>
          </w:tcPr>
          <w:p w14:paraId="0C6F6786"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1</w:t>
            </w:r>
          </w:p>
        </w:tc>
        <w:tc>
          <w:tcPr>
            <w:tcW w:w="1684" w:type="dxa"/>
            <w:shd w:val="clear" w:color="000000" w:fill="F8696B"/>
            <w:noWrap/>
            <w:vAlign w:val="bottom"/>
            <w:hideMark/>
          </w:tcPr>
          <w:p w14:paraId="28E329A4"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0%</w:t>
            </w:r>
          </w:p>
        </w:tc>
      </w:tr>
      <w:tr w:rsidR="008A580F" w:rsidRPr="008A580F" w14:paraId="4BBDD69E" w14:textId="77777777" w:rsidTr="008A580F">
        <w:trPr>
          <w:trHeight w:val="300"/>
        </w:trPr>
        <w:tc>
          <w:tcPr>
            <w:tcW w:w="1248" w:type="dxa"/>
            <w:noWrap/>
            <w:vAlign w:val="bottom"/>
            <w:hideMark/>
          </w:tcPr>
          <w:p w14:paraId="6AE5B72A" w14:textId="77777777" w:rsidR="008A580F" w:rsidRPr="00AB429E" w:rsidRDefault="008A580F" w:rsidP="008A580F">
            <w:pPr>
              <w:suppressAutoHyphens w:val="0"/>
              <w:autoSpaceDN/>
              <w:spacing w:after="0" w:line="240" w:lineRule="auto"/>
              <w:jc w:val="center"/>
              <w:rPr>
                <w:rFonts w:cs="Arial"/>
                <w:sz w:val="18"/>
                <w:szCs w:val="18"/>
              </w:rPr>
            </w:pPr>
          </w:p>
        </w:tc>
        <w:tc>
          <w:tcPr>
            <w:tcW w:w="813" w:type="dxa"/>
            <w:noWrap/>
            <w:vAlign w:val="bottom"/>
            <w:hideMark/>
          </w:tcPr>
          <w:p w14:paraId="09B0B1A2" w14:textId="77777777" w:rsidR="008A580F" w:rsidRPr="00AB429E" w:rsidRDefault="008A580F" w:rsidP="008A580F">
            <w:pPr>
              <w:suppressAutoHyphens w:val="0"/>
              <w:autoSpaceDN/>
              <w:spacing w:after="0" w:line="240" w:lineRule="auto"/>
              <w:rPr>
                <w:rFonts w:cs="Arial"/>
                <w:sz w:val="18"/>
                <w:szCs w:val="18"/>
              </w:rPr>
            </w:pPr>
          </w:p>
        </w:tc>
        <w:tc>
          <w:tcPr>
            <w:tcW w:w="899" w:type="dxa"/>
            <w:noWrap/>
            <w:vAlign w:val="bottom"/>
            <w:hideMark/>
          </w:tcPr>
          <w:p w14:paraId="5A9B5291"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RSO2.7</w:t>
            </w:r>
          </w:p>
        </w:tc>
        <w:tc>
          <w:tcPr>
            <w:tcW w:w="848" w:type="dxa"/>
            <w:noWrap/>
            <w:vAlign w:val="bottom"/>
            <w:hideMark/>
          </w:tcPr>
          <w:p w14:paraId="13BB5FCB" w14:textId="77777777" w:rsidR="008A580F" w:rsidRPr="00AB429E" w:rsidRDefault="008A580F" w:rsidP="008A580F">
            <w:pPr>
              <w:suppressAutoHyphens w:val="0"/>
              <w:autoSpaceDN/>
              <w:spacing w:after="0" w:line="240" w:lineRule="auto"/>
              <w:rPr>
                <w:rFonts w:cs="Arial"/>
                <w:b/>
                <w:bCs/>
                <w:color w:val="000000"/>
                <w:sz w:val="18"/>
                <w:szCs w:val="18"/>
              </w:rPr>
            </w:pPr>
            <w:r w:rsidRPr="00AB429E">
              <w:rPr>
                <w:rFonts w:cs="Arial"/>
                <w:b/>
                <w:bCs/>
                <w:color w:val="000000"/>
                <w:sz w:val="18"/>
                <w:szCs w:val="18"/>
              </w:rPr>
              <w:t>ESRR</w:t>
            </w:r>
          </w:p>
        </w:tc>
        <w:tc>
          <w:tcPr>
            <w:tcW w:w="1569" w:type="dxa"/>
            <w:noWrap/>
            <w:vAlign w:val="bottom"/>
            <w:hideMark/>
          </w:tcPr>
          <w:p w14:paraId="16569D6E"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Vzhod</w:t>
            </w:r>
          </w:p>
        </w:tc>
        <w:tc>
          <w:tcPr>
            <w:tcW w:w="1194" w:type="dxa"/>
            <w:noWrap/>
            <w:vAlign w:val="bottom"/>
            <w:hideMark/>
          </w:tcPr>
          <w:p w14:paraId="13E23EA9"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RCO36</w:t>
            </w:r>
          </w:p>
        </w:tc>
        <w:tc>
          <w:tcPr>
            <w:tcW w:w="1285" w:type="dxa"/>
            <w:noWrap/>
            <w:vAlign w:val="bottom"/>
            <w:hideMark/>
          </w:tcPr>
          <w:p w14:paraId="698A87A0"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1</w:t>
            </w:r>
          </w:p>
        </w:tc>
        <w:tc>
          <w:tcPr>
            <w:tcW w:w="1684" w:type="dxa"/>
            <w:shd w:val="clear" w:color="000000" w:fill="F8696B"/>
            <w:noWrap/>
            <w:vAlign w:val="bottom"/>
            <w:hideMark/>
          </w:tcPr>
          <w:p w14:paraId="0281E1BE"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0%</w:t>
            </w:r>
          </w:p>
        </w:tc>
      </w:tr>
      <w:tr w:rsidR="008A580F" w:rsidRPr="008A580F" w14:paraId="4C6F4FA3" w14:textId="77777777" w:rsidTr="008A580F">
        <w:trPr>
          <w:trHeight w:val="300"/>
        </w:trPr>
        <w:tc>
          <w:tcPr>
            <w:tcW w:w="1248" w:type="dxa"/>
            <w:noWrap/>
            <w:vAlign w:val="bottom"/>
            <w:hideMark/>
          </w:tcPr>
          <w:p w14:paraId="4CDF45C4" w14:textId="77777777" w:rsidR="008A580F" w:rsidRPr="00AB429E" w:rsidRDefault="008A580F" w:rsidP="008A580F">
            <w:pPr>
              <w:suppressAutoHyphens w:val="0"/>
              <w:autoSpaceDN/>
              <w:spacing w:after="0" w:line="240" w:lineRule="auto"/>
              <w:jc w:val="center"/>
              <w:rPr>
                <w:rFonts w:cs="Arial"/>
                <w:sz w:val="18"/>
                <w:szCs w:val="18"/>
              </w:rPr>
            </w:pPr>
          </w:p>
        </w:tc>
        <w:tc>
          <w:tcPr>
            <w:tcW w:w="813" w:type="dxa"/>
            <w:noWrap/>
            <w:vAlign w:val="bottom"/>
            <w:hideMark/>
          </w:tcPr>
          <w:p w14:paraId="2C843CEE" w14:textId="77777777" w:rsidR="008A580F" w:rsidRPr="00AB429E" w:rsidRDefault="008A580F" w:rsidP="008A580F">
            <w:pPr>
              <w:suppressAutoHyphens w:val="0"/>
              <w:autoSpaceDN/>
              <w:spacing w:after="0" w:line="240" w:lineRule="auto"/>
              <w:rPr>
                <w:rFonts w:cs="Arial"/>
                <w:sz w:val="18"/>
                <w:szCs w:val="18"/>
              </w:rPr>
            </w:pPr>
          </w:p>
        </w:tc>
        <w:tc>
          <w:tcPr>
            <w:tcW w:w="899" w:type="dxa"/>
            <w:noWrap/>
            <w:vAlign w:val="bottom"/>
            <w:hideMark/>
          </w:tcPr>
          <w:p w14:paraId="6822504C" w14:textId="77777777" w:rsidR="008A580F" w:rsidRPr="00AB429E" w:rsidRDefault="008A580F" w:rsidP="008A580F">
            <w:pPr>
              <w:suppressAutoHyphens w:val="0"/>
              <w:autoSpaceDN/>
              <w:spacing w:after="0" w:line="240" w:lineRule="auto"/>
              <w:rPr>
                <w:rFonts w:cs="Arial"/>
                <w:sz w:val="18"/>
                <w:szCs w:val="18"/>
              </w:rPr>
            </w:pPr>
          </w:p>
        </w:tc>
        <w:tc>
          <w:tcPr>
            <w:tcW w:w="848" w:type="dxa"/>
            <w:noWrap/>
            <w:vAlign w:val="bottom"/>
            <w:hideMark/>
          </w:tcPr>
          <w:p w14:paraId="076F6BA6" w14:textId="77777777" w:rsidR="008A580F" w:rsidRPr="00AB429E" w:rsidRDefault="008A580F" w:rsidP="008A580F">
            <w:pPr>
              <w:suppressAutoHyphens w:val="0"/>
              <w:autoSpaceDN/>
              <w:spacing w:after="0" w:line="240" w:lineRule="auto"/>
              <w:rPr>
                <w:rFonts w:cs="Arial"/>
                <w:sz w:val="18"/>
                <w:szCs w:val="18"/>
              </w:rPr>
            </w:pPr>
          </w:p>
        </w:tc>
        <w:tc>
          <w:tcPr>
            <w:tcW w:w="1569" w:type="dxa"/>
            <w:noWrap/>
            <w:vAlign w:val="bottom"/>
            <w:hideMark/>
          </w:tcPr>
          <w:p w14:paraId="58817254"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Zahod</w:t>
            </w:r>
          </w:p>
        </w:tc>
        <w:tc>
          <w:tcPr>
            <w:tcW w:w="1194" w:type="dxa"/>
            <w:noWrap/>
            <w:vAlign w:val="bottom"/>
            <w:hideMark/>
          </w:tcPr>
          <w:p w14:paraId="790BF51A"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RCO36</w:t>
            </w:r>
          </w:p>
        </w:tc>
        <w:tc>
          <w:tcPr>
            <w:tcW w:w="1285" w:type="dxa"/>
            <w:noWrap/>
            <w:vAlign w:val="bottom"/>
            <w:hideMark/>
          </w:tcPr>
          <w:p w14:paraId="5AC6D88F"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1</w:t>
            </w:r>
          </w:p>
        </w:tc>
        <w:tc>
          <w:tcPr>
            <w:tcW w:w="1684" w:type="dxa"/>
            <w:shd w:val="clear" w:color="000000" w:fill="F8696B"/>
            <w:noWrap/>
            <w:vAlign w:val="bottom"/>
            <w:hideMark/>
          </w:tcPr>
          <w:p w14:paraId="196ED85E"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0%</w:t>
            </w:r>
          </w:p>
        </w:tc>
      </w:tr>
      <w:tr w:rsidR="008A580F" w:rsidRPr="008A580F" w14:paraId="6AD6BCB3" w14:textId="77777777" w:rsidTr="008A580F">
        <w:trPr>
          <w:trHeight w:val="300"/>
        </w:trPr>
        <w:tc>
          <w:tcPr>
            <w:tcW w:w="1248" w:type="dxa"/>
            <w:noWrap/>
            <w:vAlign w:val="bottom"/>
            <w:hideMark/>
          </w:tcPr>
          <w:p w14:paraId="654EF09C" w14:textId="77777777" w:rsidR="008A580F" w:rsidRPr="00AB429E" w:rsidRDefault="008A580F" w:rsidP="008A580F">
            <w:pPr>
              <w:suppressAutoHyphens w:val="0"/>
              <w:autoSpaceDN/>
              <w:spacing w:after="0" w:line="240" w:lineRule="auto"/>
              <w:jc w:val="center"/>
              <w:rPr>
                <w:rFonts w:cs="Arial"/>
                <w:sz w:val="18"/>
                <w:szCs w:val="18"/>
              </w:rPr>
            </w:pPr>
          </w:p>
        </w:tc>
        <w:tc>
          <w:tcPr>
            <w:tcW w:w="813" w:type="dxa"/>
            <w:noWrap/>
            <w:vAlign w:val="bottom"/>
            <w:hideMark/>
          </w:tcPr>
          <w:p w14:paraId="20718D0E" w14:textId="77777777" w:rsidR="008A580F" w:rsidRPr="00AB429E" w:rsidRDefault="008A580F" w:rsidP="008A580F">
            <w:pPr>
              <w:suppressAutoHyphens w:val="0"/>
              <w:autoSpaceDN/>
              <w:spacing w:after="0" w:line="240" w:lineRule="auto"/>
              <w:rPr>
                <w:rFonts w:cs="Arial"/>
                <w:sz w:val="18"/>
                <w:szCs w:val="18"/>
              </w:rPr>
            </w:pPr>
          </w:p>
        </w:tc>
        <w:tc>
          <w:tcPr>
            <w:tcW w:w="899" w:type="dxa"/>
            <w:noWrap/>
            <w:vAlign w:val="bottom"/>
            <w:hideMark/>
          </w:tcPr>
          <w:p w14:paraId="3F3D19A5" w14:textId="77777777" w:rsidR="008A580F" w:rsidRPr="00AB429E" w:rsidRDefault="008A580F" w:rsidP="008A580F">
            <w:pPr>
              <w:suppressAutoHyphens w:val="0"/>
              <w:autoSpaceDN/>
              <w:spacing w:after="0" w:line="240" w:lineRule="auto"/>
              <w:rPr>
                <w:rFonts w:cs="Arial"/>
                <w:sz w:val="18"/>
                <w:szCs w:val="18"/>
              </w:rPr>
            </w:pPr>
          </w:p>
        </w:tc>
        <w:tc>
          <w:tcPr>
            <w:tcW w:w="848" w:type="dxa"/>
            <w:noWrap/>
            <w:vAlign w:val="bottom"/>
            <w:hideMark/>
          </w:tcPr>
          <w:p w14:paraId="260D9454" w14:textId="77777777" w:rsidR="008A580F" w:rsidRPr="00AB429E" w:rsidRDefault="008A580F" w:rsidP="008A580F">
            <w:pPr>
              <w:suppressAutoHyphens w:val="0"/>
              <w:autoSpaceDN/>
              <w:spacing w:after="0" w:line="240" w:lineRule="auto"/>
              <w:rPr>
                <w:rFonts w:cs="Arial"/>
                <w:b/>
                <w:bCs/>
                <w:color w:val="000000"/>
                <w:sz w:val="18"/>
                <w:szCs w:val="18"/>
              </w:rPr>
            </w:pPr>
            <w:r w:rsidRPr="00AB429E">
              <w:rPr>
                <w:rFonts w:cs="Arial"/>
                <w:b/>
                <w:bCs/>
                <w:color w:val="000000"/>
                <w:sz w:val="18"/>
                <w:szCs w:val="18"/>
              </w:rPr>
              <w:t>KS</w:t>
            </w:r>
          </w:p>
        </w:tc>
        <w:tc>
          <w:tcPr>
            <w:tcW w:w="1569" w:type="dxa"/>
            <w:noWrap/>
            <w:vAlign w:val="bottom"/>
            <w:hideMark/>
          </w:tcPr>
          <w:p w14:paraId="720015A2"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Celotna Slovenija</w:t>
            </w:r>
          </w:p>
        </w:tc>
        <w:tc>
          <w:tcPr>
            <w:tcW w:w="1194" w:type="dxa"/>
            <w:noWrap/>
            <w:vAlign w:val="bottom"/>
            <w:hideMark/>
          </w:tcPr>
          <w:p w14:paraId="084ACDC2"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RCO39</w:t>
            </w:r>
          </w:p>
        </w:tc>
        <w:tc>
          <w:tcPr>
            <w:tcW w:w="1285" w:type="dxa"/>
            <w:noWrap/>
            <w:vAlign w:val="bottom"/>
            <w:hideMark/>
          </w:tcPr>
          <w:p w14:paraId="38C44027"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1</w:t>
            </w:r>
          </w:p>
        </w:tc>
        <w:tc>
          <w:tcPr>
            <w:tcW w:w="1684" w:type="dxa"/>
            <w:shd w:val="clear" w:color="000000" w:fill="F8696B"/>
            <w:noWrap/>
            <w:vAlign w:val="bottom"/>
            <w:hideMark/>
          </w:tcPr>
          <w:p w14:paraId="5BDDE63E"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0%</w:t>
            </w:r>
          </w:p>
        </w:tc>
      </w:tr>
      <w:tr w:rsidR="008A580F" w:rsidRPr="008A580F" w14:paraId="00E548B4" w14:textId="77777777" w:rsidTr="008A580F">
        <w:trPr>
          <w:trHeight w:val="300"/>
        </w:trPr>
        <w:tc>
          <w:tcPr>
            <w:tcW w:w="1248" w:type="dxa"/>
            <w:noWrap/>
            <w:vAlign w:val="bottom"/>
            <w:hideMark/>
          </w:tcPr>
          <w:p w14:paraId="4B12199C" w14:textId="77777777" w:rsidR="008A580F" w:rsidRPr="00AB429E" w:rsidRDefault="008A580F" w:rsidP="008A580F">
            <w:pPr>
              <w:suppressAutoHyphens w:val="0"/>
              <w:autoSpaceDN/>
              <w:spacing w:after="0" w:line="240" w:lineRule="auto"/>
              <w:jc w:val="center"/>
              <w:rPr>
                <w:rFonts w:cs="Arial"/>
                <w:sz w:val="18"/>
                <w:szCs w:val="18"/>
              </w:rPr>
            </w:pPr>
          </w:p>
        </w:tc>
        <w:tc>
          <w:tcPr>
            <w:tcW w:w="813" w:type="dxa"/>
            <w:noWrap/>
            <w:vAlign w:val="bottom"/>
            <w:hideMark/>
          </w:tcPr>
          <w:p w14:paraId="106D55CF" w14:textId="77777777" w:rsidR="008A580F" w:rsidRPr="00AB429E" w:rsidRDefault="008A580F" w:rsidP="008A580F">
            <w:pPr>
              <w:suppressAutoHyphens w:val="0"/>
              <w:autoSpaceDN/>
              <w:spacing w:after="0" w:line="240" w:lineRule="auto"/>
              <w:rPr>
                <w:rFonts w:cs="Arial"/>
                <w:b/>
                <w:bCs/>
                <w:color w:val="000000"/>
                <w:sz w:val="18"/>
                <w:szCs w:val="18"/>
              </w:rPr>
            </w:pPr>
            <w:r w:rsidRPr="00AB429E">
              <w:rPr>
                <w:rFonts w:cs="Arial"/>
                <w:b/>
                <w:bCs/>
                <w:color w:val="000000"/>
                <w:sz w:val="18"/>
                <w:szCs w:val="18"/>
              </w:rPr>
              <w:t>PN4</w:t>
            </w:r>
          </w:p>
        </w:tc>
        <w:tc>
          <w:tcPr>
            <w:tcW w:w="899" w:type="dxa"/>
            <w:noWrap/>
            <w:vAlign w:val="bottom"/>
            <w:hideMark/>
          </w:tcPr>
          <w:p w14:paraId="4D819B66"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RSO2.8</w:t>
            </w:r>
          </w:p>
        </w:tc>
        <w:tc>
          <w:tcPr>
            <w:tcW w:w="848" w:type="dxa"/>
            <w:noWrap/>
            <w:vAlign w:val="bottom"/>
            <w:hideMark/>
          </w:tcPr>
          <w:p w14:paraId="0033708D" w14:textId="77777777" w:rsidR="008A580F" w:rsidRPr="00AB429E" w:rsidRDefault="008A580F" w:rsidP="008A580F">
            <w:pPr>
              <w:suppressAutoHyphens w:val="0"/>
              <w:autoSpaceDN/>
              <w:spacing w:after="0" w:line="240" w:lineRule="auto"/>
              <w:rPr>
                <w:rFonts w:cs="Arial"/>
                <w:b/>
                <w:bCs/>
                <w:color w:val="000000"/>
                <w:sz w:val="18"/>
                <w:szCs w:val="18"/>
              </w:rPr>
            </w:pPr>
            <w:r w:rsidRPr="00AB429E">
              <w:rPr>
                <w:rFonts w:cs="Arial"/>
                <w:b/>
                <w:bCs/>
                <w:color w:val="000000"/>
                <w:sz w:val="18"/>
                <w:szCs w:val="18"/>
              </w:rPr>
              <w:t>ESRR</w:t>
            </w:r>
          </w:p>
        </w:tc>
        <w:tc>
          <w:tcPr>
            <w:tcW w:w="1569" w:type="dxa"/>
            <w:noWrap/>
            <w:vAlign w:val="bottom"/>
            <w:hideMark/>
          </w:tcPr>
          <w:p w14:paraId="50717231"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Vzhod</w:t>
            </w:r>
          </w:p>
        </w:tc>
        <w:tc>
          <w:tcPr>
            <w:tcW w:w="1194" w:type="dxa"/>
            <w:noWrap/>
            <w:vAlign w:val="bottom"/>
            <w:hideMark/>
          </w:tcPr>
          <w:p w14:paraId="2B3698A5"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RCO58</w:t>
            </w:r>
          </w:p>
        </w:tc>
        <w:tc>
          <w:tcPr>
            <w:tcW w:w="1285" w:type="dxa"/>
            <w:noWrap/>
            <w:vAlign w:val="bottom"/>
            <w:hideMark/>
          </w:tcPr>
          <w:p w14:paraId="688AC7CF"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1</w:t>
            </w:r>
          </w:p>
        </w:tc>
        <w:tc>
          <w:tcPr>
            <w:tcW w:w="1684" w:type="dxa"/>
            <w:shd w:val="clear" w:color="000000" w:fill="F8696B"/>
            <w:noWrap/>
            <w:vAlign w:val="bottom"/>
            <w:hideMark/>
          </w:tcPr>
          <w:p w14:paraId="2F20302F"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0%</w:t>
            </w:r>
          </w:p>
        </w:tc>
      </w:tr>
      <w:tr w:rsidR="008A580F" w:rsidRPr="008A580F" w14:paraId="5F2CDB52" w14:textId="77777777" w:rsidTr="008A580F">
        <w:trPr>
          <w:trHeight w:val="300"/>
        </w:trPr>
        <w:tc>
          <w:tcPr>
            <w:tcW w:w="1248" w:type="dxa"/>
            <w:noWrap/>
            <w:vAlign w:val="bottom"/>
            <w:hideMark/>
          </w:tcPr>
          <w:p w14:paraId="7722DBC2" w14:textId="77777777" w:rsidR="008A580F" w:rsidRPr="00AB429E" w:rsidRDefault="008A580F" w:rsidP="008A580F">
            <w:pPr>
              <w:suppressAutoHyphens w:val="0"/>
              <w:autoSpaceDN/>
              <w:spacing w:after="0" w:line="240" w:lineRule="auto"/>
              <w:jc w:val="center"/>
              <w:rPr>
                <w:rFonts w:cs="Arial"/>
                <w:sz w:val="18"/>
                <w:szCs w:val="18"/>
              </w:rPr>
            </w:pPr>
          </w:p>
        </w:tc>
        <w:tc>
          <w:tcPr>
            <w:tcW w:w="813" w:type="dxa"/>
            <w:noWrap/>
            <w:vAlign w:val="bottom"/>
            <w:hideMark/>
          </w:tcPr>
          <w:p w14:paraId="0F558E6D" w14:textId="77777777" w:rsidR="008A580F" w:rsidRPr="00AB429E" w:rsidRDefault="008A580F" w:rsidP="008A580F">
            <w:pPr>
              <w:suppressAutoHyphens w:val="0"/>
              <w:autoSpaceDN/>
              <w:spacing w:after="0" w:line="240" w:lineRule="auto"/>
              <w:rPr>
                <w:rFonts w:cs="Arial"/>
                <w:sz w:val="18"/>
                <w:szCs w:val="18"/>
              </w:rPr>
            </w:pPr>
          </w:p>
        </w:tc>
        <w:tc>
          <w:tcPr>
            <w:tcW w:w="899" w:type="dxa"/>
            <w:noWrap/>
            <w:vAlign w:val="bottom"/>
            <w:hideMark/>
          </w:tcPr>
          <w:p w14:paraId="6045AEA8" w14:textId="77777777" w:rsidR="008A580F" w:rsidRPr="00AB429E" w:rsidRDefault="008A580F" w:rsidP="008A580F">
            <w:pPr>
              <w:suppressAutoHyphens w:val="0"/>
              <w:autoSpaceDN/>
              <w:spacing w:after="0" w:line="240" w:lineRule="auto"/>
              <w:rPr>
                <w:rFonts w:cs="Arial"/>
                <w:sz w:val="18"/>
                <w:szCs w:val="18"/>
              </w:rPr>
            </w:pPr>
          </w:p>
        </w:tc>
        <w:tc>
          <w:tcPr>
            <w:tcW w:w="848" w:type="dxa"/>
            <w:noWrap/>
            <w:vAlign w:val="bottom"/>
            <w:hideMark/>
          </w:tcPr>
          <w:p w14:paraId="6C4A52AC" w14:textId="77777777" w:rsidR="008A580F" w:rsidRPr="00AB429E" w:rsidRDefault="008A580F" w:rsidP="008A580F">
            <w:pPr>
              <w:suppressAutoHyphens w:val="0"/>
              <w:autoSpaceDN/>
              <w:spacing w:after="0" w:line="240" w:lineRule="auto"/>
              <w:rPr>
                <w:rFonts w:cs="Arial"/>
                <w:sz w:val="18"/>
                <w:szCs w:val="18"/>
              </w:rPr>
            </w:pPr>
          </w:p>
        </w:tc>
        <w:tc>
          <w:tcPr>
            <w:tcW w:w="1569" w:type="dxa"/>
            <w:noWrap/>
            <w:vAlign w:val="bottom"/>
            <w:hideMark/>
          </w:tcPr>
          <w:p w14:paraId="7A52830C"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Zahod</w:t>
            </w:r>
          </w:p>
        </w:tc>
        <w:tc>
          <w:tcPr>
            <w:tcW w:w="1194" w:type="dxa"/>
            <w:noWrap/>
            <w:vAlign w:val="bottom"/>
            <w:hideMark/>
          </w:tcPr>
          <w:p w14:paraId="4A7A5939"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RCO58</w:t>
            </w:r>
          </w:p>
        </w:tc>
        <w:tc>
          <w:tcPr>
            <w:tcW w:w="1285" w:type="dxa"/>
            <w:noWrap/>
            <w:vAlign w:val="bottom"/>
            <w:hideMark/>
          </w:tcPr>
          <w:p w14:paraId="52BDAEE8"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1</w:t>
            </w:r>
          </w:p>
        </w:tc>
        <w:tc>
          <w:tcPr>
            <w:tcW w:w="1684" w:type="dxa"/>
            <w:shd w:val="clear" w:color="000000" w:fill="F8696B"/>
            <w:noWrap/>
            <w:vAlign w:val="bottom"/>
            <w:hideMark/>
          </w:tcPr>
          <w:p w14:paraId="51EBD3E5"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0%</w:t>
            </w:r>
          </w:p>
        </w:tc>
      </w:tr>
      <w:tr w:rsidR="008A580F" w:rsidRPr="008A580F" w14:paraId="7684AD88" w14:textId="77777777" w:rsidTr="008A580F">
        <w:trPr>
          <w:trHeight w:val="300"/>
        </w:trPr>
        <w:tc>
          <w:tcPr>
            <w:tcW w:w="1248" w:type="dxa"/>
            <w:noWrap/>
            <w:vAlign w:val="bottom"/>
            <w:hideMark/>
          </w:tcPr>
          <w:p w14:paraId="56E6BE8A" w14:textId="77777777" w:rsidR="008A580F" w:rsidRPr="00AB429E" w:rsidRDefault="008A580F" w:rsidP="008A580F">
            <w:pPr>
              <w:suppressAutoHyphens w:val="0"/>
              <w:autoSpaceDN/>
              <w:spacing w:after="0" w:line="240" w:lineRule="auto"/>
              <w:rPr>
                <w:rFonts w:cs="Arial"/>
                <w:b/>
                <w:bCs/>
                <w:color w:val="000000"/>
                <w:sz w:val="18"/>
                <w:szCs w:val="18"/>
              </w:rPr>
            </w:pPr>
            <w:r w:rsidRPr="00AB429E">
              <w:rPr>
                <w:rFonts w:cs="Arial"/>
                <w:b/>
                <w:bCs/>
                <w:color w:val="000000"/>
                <w:sz w:val="18"/>
                <w:szCs w:val="18"/>
              </w:rPr>
              <w:t>CP3</w:t>
            </w:r>
          </w:p>
        </w:tc>
        <w:tc>
          <w:tcPr>
            <w:tcW w:w="813" w:type="dxa"/>
            <w:noWrap/>
            <w:vAlign w:val="bottom"/>
            <w:hideMark/>
          </w:tcPr>
          <w:p w14:paraId="6D28A798" w14:textId="77777777" w:rsidR="008A580F" w:rsidRPr="00AB429E" w:rsidRDefault="008A580F" w:rsidP="008A580F">
            <w:pPr>
              <w:suppressAutoHyphens w:val="0"/>
              <w:autoSpaceDN/>
              <w:spacing w:after="0" w:line="240" w:lineRule="auto"/>
              <w:rPr>
                <w:rFonts w:cs="Arial"/>
                <w:b/>
                <w:bCs/>
                <w:color w:val="000000"/>
                <w:sz w:val="18"/>
                <w:szCs w:val="18"/>
              </w:rPr>
            </w:pPr>
            <w:r w:rsidRPr="00AB429E">
              <w:rPr>
                <w:rFonts w:cs="Arial"/>
                <w:b/>
                <w:bCs/>
                <w:color w:val="000000"/>
                <w:sz w:val="18"/>
                <w:szCs w:val="18"/>
              </w:rPr>
              <w:t>PN5</w:t>
            </w:r>
          </w:p>
        </w:tc>
        <w:tc>
          <w:tcPr>
            <w:tcW w:w="899" w:type="dxa"/>
            <w:noWrap/>
            <w:vAlign w:val="bottom"/>
            <w:hideMark/>
          </w:tcPr>
          <w:p w14:paraId="4BB26EE6"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RSO3.2</w:t>
            </w:r>
          </w:p>
        </w:tc>
        <w:tc>
          <w:tcPr>
            <w:tcW w:w="848" w:type="dxa"/>
            <w:noWrap/>
            <w:vAlign w:val="bottom"/>
            <w:hideMark/>
          </w:tcPr>
          <w:p w14:paraId="175550FD" w14:textId="77777777" w:rsidR="008A580F" w:rsidRPr="00AB429E" w:rsidRDefault="008A580F" w:rsidP="008A580F">
            <w:pPr>
              <w:suppressAutoHyphens w:val="0"/>
              <w:autoSpaceDN/>
              <w:spacing w:after="0" w:line="240" w:lineRule="auto"/>
              <w:rPr>
                <w:rFonts w:cs="Arial"/>
                <w:b/>
                <w:bCs/>
                <w:color w:val="000000"/>
                <w:sz w:val="18"/>
                <w:szCs w:val="18"/>
              </w:rPr>
            </w:pPr>
            <w:r w:rsidRPr="00AB429E">
              <w:rPr>
                <w:rFonts w:cs="Arial"/>
                <w:b/>
                <w:bCs/>
                <w:color w:val="000000"/>
                <w:sz w:val="18"/>
                <w:szCs w:val="18"/>
              </w:rPr>
              <w:t>KS</w:t>
            </w:r>
          </w:p>
        </w:tc>
        <w:tc>
          <w:tcPr>
            <w:tcW w:w="1569" w:type="dxa"/>
            <w:noWrap/>
            <w:vAlign w:val="bottom"/>
            <w:hideMark/>
          </w:tcPr>
          <w:p w14:paraId="3F10AECF"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Celotna Slovenija</w:t>
            </w:r>
          </w:p>
        </w:tc>
        <w:tc>
          <w:tcPr>
            <w:tcW w:w="1194" w:type="dxa"/>
            <w:noWrap/>
            <w:vAlign w:val="bottom"/>
            <w:hideMark/>
          </w:tcPr>
          <w:p w14:paraId="7E0F1E2D"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RCO58</w:t>
            </w:r>
          </w:p>
        </w:tc>
        <w:tc>
          <w:tcPr>
            <w:tcW w:w="1285" w:type="dxa"/>
            <w:noWrap/>
            <w:vAlign w:val="bottom"/>
            <w:hideMark/>
          </w:tcPr>
          <w:p w14:paraId="2505A287"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1</w:t>
            </w:r>
          </w:p>
        </w:tc>
        <w:tc>
          <w:tcPr>
            <w:tcW w:w="1684" w:type="dxa"/>
            <w:shd w:val="clear" w:color="000000" w:fill="63BE7B"/>
            <w:noWrap/>
            <w:vAlign w:val="bottom"/>
            <w:hideMark/>
          </w:tcPr>
          <w:p w14:paraId="6438EA62"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126%</w:t>
            </w:r>
          </w:p>
        </w:tc>
      </w:tr>
      <w:tr w:rsidR="008A580F" w:rsidRPr="008A580F" w14:paraId="01F49C2A" w14:textId="77777777" w:rsidTr="008A580F">
        <w:trPr>
          <w:trHeight w:val="300"/>
        </w:trPr>
        <w:tc>
          <w:tcPr>
            <w:tcW w:w="1248" w:type="dxa"/>
            <w:noWrap/>
            <w:vAlign w:val="bottom"/>
            <w:hideMark/>
          </w:tcPr>
          <w:p w14:paraId="5B0224E1" w14:textId="77777777" w:rsidR="008A580F" w:rsidRPr="00AB429E" w:rsidRDefault="008A580F" w:rsidP="008A580F">
            <w:pPr>
              <w:suppressAutoHyphens w:val="0"/>
              <w:autoSpaceDN/>
              <w:spacing w:after="0" w:line="240" w:lineRule="auto"/>
              <w:rPr>
                <w:rFonts w:cs="Arial"/>
                <w:b/>
                <w:bCs/>
                <w:color w:val="000000"/>
                <w:sz w:val="18"/>
                <w:szCs w:val="18"/>
              </w:rPr>
            </w:pPr>
            <w:r w:rsidRPr="00AB429E">
              <w:rPr>
                <w:rFonts w:cs="Arial"/>
                <w:b/>
                <w:bCs/>
                <w:color w:val="000000"/>
                <w:sz w:val="18"/>
                <w:szCs w:val="18"/>
              </w:rPr>
              <w:t>CP4</w:t>
            </w:r>
          </w:p>
        </w:tc>
        <w:tc>
          <w:tcPr>
            <w:tcW w:w="813" w:type="dxa"/>
            <w:noWrap/>
            <w:vAlign w:val="bottom"/>
            <w:hideMark/>
          </w:tcPr>
          <w:p w14:paraId="7C4DA9EB" w14:textId="77777777" w:rsidR="008A580F" w:rsidRPr="00AB429E" w:rsidRDefault="008A580F" w:rsidP="008A580F">
            <w:pPr>
              <w:suppressAutoHyphens w:val="0"/>
              <w:autoSpaceDN/>
              <w:spacing w:after="0" w:line="240" w:lineRule="auto"/>
              <w:rPr>
                <w:rFonts w:cs="Arial"/>
                <w:b/>
                <w:bCs/>
                <w:color w:val="000000"/>
                <w:sz w:val="18"/>
                <w:szCs w:val="18"/>
              </w:rPr>
            </w:pPr>
            <w:r w:rsidRPr="00AB429E">
              <w:rPr>
                <w:rFonts w:cs="Arial"/>
                <w:b/>
                <w:bCs/>
                <w:color w:val="000000"/>
                <w:sz w:val="18"/>
                <w:szCs w:val="18"/>
              </w:rPr>
              <w:t>PN6</w:t>
            </w:r>
          </w:p>
        </w:tc>
        <w:tc>
          <w:tcPr>
            <w:tcW w:w="899" w:type="dxa"/>
            <w:noWrap/>
            <w:vAlign w:val="bottom"/>
            <w:hideMark/>
          </w:tcPr>
          <w:p w14:paraId="4A7CA8F0"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RSO4.2</w:t>
            </w:r>
          </w:p>
        </w:tc>
        <w:tc>
          <w:tcPr>
            <w:tcW w:w="848" w:type="dxa"/>
            <w:noWrap/>
            <w:vAlign w:val="bottom"/>
            <w:hideMark/>
          </w:tcPr>
          <w:p w14:paraId="2B69CFBD" w14:textId="77777777" w:rsidR="008A580F" w:rsidRPr="00AB429E" w:rsidRDefault="008A580F" w:rsidP="008A580F">
            <w:pPr>
              <w:suppressAutoHyphens w:val="0"/>
              <w:autoSpaceDN/>
              <w:spacing w:after="0" w:line="240" w:lineRule="auto"/>
              <w:rPr>
                <w:rFonts w:cs="Arial"/>
                <w:b/>
                <w:bCs/>
                <w:color w:val="000000"/>
                <w:sz w:val="18"/>
                <w:szCs w:val="18"/>
              </w:rPr>
            </w:pPr>
            <w:r w:rsidRPr="00AB429E">
              <w:rPr>
                <w:rFonts w:cs="Arial"/>
                <w:b/>
                <w:bCs/>
                <w:color w:val="000000"/>
                <w:sz w:val="18"/>
                <w:szCs w:val="18"/>
              </w:rPr>
              <w:t>ESRR</w:t>
            </w:r>
          </w:p>
        </w:tc>
        <w:tc>
          <w:tcPr>
            <w:tcW w:w="1569" w:type="dxa"/>
            <w:noWrap/>
            <w:vAlign w:val="bottom"/>
            <w:hideMark/>
          </w:tcPr>
          <w:p w14:paraId="15534341"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Vzhod</w:t>
            </w:r>
          </w:p>
        </w:tc>
        <w:tc>
          <w:tcPr>
            <w:tcW w:w="1194" w:type="dxa"/>
            <w:noWrap/>
            <w:vAlign w:val="bottom"/>
            <w:hideMark/>
          </w:tcPr>
          <w:p w14:paraId="3647D3EE"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R4.2/U/11</w:t>
            </w:r>
          </w:p>
        </w:tc>
        <w:tc>
          <w:tcPr>
            <w:tcW w:w="1285" w:type="dxa"/>
            <w:noWrap/>
            <w:vAlign w:val="bottom"/>
            <w:hideMark/>
          </w:tcPr>
          <w:p w14:paraId="7C9A1797"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1</w:t>
            </w:r>
          </w:p>
        </w:tc>
        <w:tc>
          <w:tcPr>
            <w:tcW w:w="1684" w:type="dxa"/>
            <w:shd w:val="clear" w:color="000000" w:fill="F8696B"/>
            <w:noWrap/>
            <w:vAlign w:val="bottom"/>
            <w:hideMark/>
          </w:tcPr>
          <w:p w14:paraId="3E87FCA8"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0%</w:t>
            </w:r>
          </w:p>
        </w:tc>
      </w:tr>
      <w:tr w:rsidR="008A580F" w:rsidRPr="008A580F" w14:paraId="6FECEE14" w14:textId="77777777" w:rsidTr="008A580F">
        <w:trPr>
          <w:trHeight w:val="300"/>
        </w:trPr>
        <w:tc>
          <w:tcPr>
            <w:tcW w:w="1248" w:type="dxa"/>
            <w:noWrap/>
            <w:vAlign w:val="bottom"/>
            <w:hideMark/>
          </w:tcPr>
          <w:p w14:paraId="2017B6A6" w14:textId="77777777" w:rsidR="008A580F" w:rsidRPr="00AB429E" w:rsidRDefault="008A580F" w:rsidP="008A580F">
            <w:pPr>
              <w:suppressAutoHyphens w:val="0"/>
              <w:autoSpaceDN/>
              <w:spacing w:after="0" w:line="240" w:lineRule="auto"/>
              <w:jc w:val="center"/>
              <w:rPr>
                <w:rFonts w:cs="Arial"/>
                <w:sz w:val="18"/>
                <w:szCs w:val="18"/>
              </w:rPr>
            </w:pPr>
          </w:p>
        </w:tc>
        <w:tc>
          <w:tcPr>
            <w:tcW w:w="813" w:type="dxa"/>
            <w:noWrap/>
            <w:vAlign w:val="bottom"/>
            <w:hideMark/>
          </w:tcPr>
          <w:p w14:paraId="48C6CB68" w14:textId="77777777" w:rsidR="008A580F" w:rsidRPr="00AB429E" w:rsidRDefault="008A580F" w:rsidP="008A580F">
            <w:pPr>
              <w:suppressAutoHyphens w:val="0"/>
              <w:autoSpaceDN/>
              <w:spacing w:after="0" w:line="240" w:lineRule="auto"/>
              <w:rPr>
                <w:rFonts w:cs="Arial"/>
                <w:sz w:val="18"/>
                <w:szCs w:val="18"/>
              </w:rPr>
            </w:pPr>
          </w:p>
        </w:tc>
        <w:tc>
          <w:tcPr>
            <w:tcW w:w="899" w:type="dxa"/>
            <w:noWrap/>
            <w:vAlign w:val="bottom"/>
            <w:hideMark/>
          </w:tcPr>
          <w:p w14:paraId="0D76421B"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ESO4.1</w:t>
            </w:r>
          </w:p>
        </w:tc>
        <w:tc>
          <w:tcPr>
            <w:tcW w:w="848" w:type="dxa"/>
            <w:noWrap/>
            <w:vAlign w:val="bottom"/>
            <w:hideMark/>
          </w:tcPr>
          <w:p w14:paraId="0CD2B9D0" w14:textId="77777777" w:rsidR="008A580F" w:rsidRPr="00AB429E" w:rsidRDefault="008A580F" w:rsidP="008A580F">
            <w:pPr>
              <w:suppressAutoHyphens w:val="0"/>
              <w:autoSpaceDN/>
              <w:spacing w:after="0" w:line="240" w:lineRule="auto"/>
              <w:rPr>
                <w:rFonts w:cs="Arial"/>
                <w:b/>
                <w:bCs/>
                <w:color w:val="000000"/>
                <w:sz w:val="18"/>
                <w:szCs w:val="18"/>
              </w:rPr>
            </w:pPr>
            <w:r w:rsidRPr="00AB429E">
              <w:rPr>
                <w:rFonts w:cs="Arial"/>
                <w:b/>
                <w:bCs/>
                <w:color w:val="000000"/>
                <w:sz w:val="18"/>
                <w:szCs w:val="18"/>
              </w:rPr>
              <w:t>ESS+</w:t>
            </w:r>
          </w:p>
        </w:tc>
        <w:tc>
          <w:tcPr>
            <w:tcW w:w="1569" w:type="dxa"/>
            <w:noWrap/>
            <w:vAlign w:val="bottom"/>
            <w:hideMark/>
          </w:tcPr>
          <w:p w14:paraId="0B2F164A"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Vzhod</w:t>
            </w:r>
          </w:p>
        </w:tc>
        <w:tc>
          <w:tcPr>
            <w:tcW w:w="1194" w:type="dxa"/>
            <w:noWrap/>
            <w:vAlign w:val="bottom"/>
            <w:hideMark/>
          </w:tcPr>
          <w:p w14:paraId="2876D16D"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EECO02</w:t>
            </w:r>
          </w:p>
        </w:tc>
        <w:tc>
          <w:tcPr>
            <w:tcW w:w="1285" w:type="dxa"/>
            <w:noWrap/>
            <w:vAlign w:val="bottom"/>
            <w:hideMark/>
          </w:tcPr>
          <w:p w14:paraId="714D1371"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1</w:t>
            </w:r>
          </w:p>
        </w:tc>
        <w:tc>
          <w:tcPr>
            <w:tcW w:w="1684" w:type="dxa"/>
            <w:shd w:val="clear" w:color="000000" w:fill="C4DA81"/>
            <w:noWrap/>
            <w:vAlign w:val="bottom"/>
            <w:hideMark/>
          </w:tcPr>
          <w:p w14:paraId="34EFD5E1"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48%</w:t>
            </w:r>
          </w:p>
        </w:tc>
      </w:tr>
      <w:tr w:rsidR="008A580F" w:rsidRPr="008A580F" w14:paraId="7DE4D46A" w14:textId="77777777" w:rsidTr="008A580F">
        <w:trPr>
          <w:trHeight w:val="300"/>
        </w:trPr>
        <w:tc>
          <w:tcPr>
            <w:tcW w:w="1248" w:type="dxa"/>
            <w:noWrap/>
            <w:vAlign w:val="bottom"/>
            <w:hideMark/>
          </w:tcPr>
          <w:p w14:paraId="6F767132" w14:textId="77777777" w:rsidR="008A580F" w:rsidRPr="00AB429E" w:rsidRDefault="008A580F" w:rsidP="008A580F">
            <w:pPr>
              <w:suppressAutoHyphens w:val="0"/>
              <w:autoSpaceDN/>
              <w:spacing w:after="0" w:line="240" w:lineRule="auto"/>
              <w:jc w:val="center"/>
              <w:rPr>
                <w:rFonts w:cs="Arial"/>
                <w:sz w:val="18"/>
                <w:szCs w:val="18"/>
              </w:rPr>
            </w:pPr>
          </w:p>
        </w:tc>
        <w:tc>
          <w:tcPr>
            <w:tcW w:w="813" w:type="dxa"/>
            <w:noWrap/>
            <w:vAlign w:val="bottom"/>
            <w:hideMark/>
          </w:tcPr>
          <w:p w14:paraId="2DE175CA" w14:textId="77777777" w:rsidR="008A580F" w:rsidRPr="00AB429E" w:rsidRDefault="008A580F" w:rsidP="008A580F">
            <w:pPr>
              <w:suppressAutoHyphens w:val="0"/>
              <w:autoSpaceDN/>
              <w:spacing w:after="0" w:line="240" w:lineRule="auto"/>
              <w:rPr>
                <w:rFonts w:cs="Arial"/>
                <w:sz w:val="18"/>
                <w:szCs w:val="18"/>
              </w:rPr>
            </w:pPr>
          </w:p>
        </w:tc>
        <w:tc>
          <w:tcPr>
            <w:tcW w:w="899" w:type="dxa"/>
            <w:noWrap/>
            <w:vAlign w:val="bottom"/>
            <w:hideMark/>
          </w:tcPr>
          <w:p w14:paraId="3D708C24" w14:textId="77777777" w:rsidR="008A580F" w:rsidRPr="00AB429E" w:rsidRDefault="008A580F" w:rsidP="008A580F">
            <w:pPr>
              <w:suppressAutoHyphens w:val="0"/>
              <w:autoSpaceDN/>
              <w:spacing w:after="0" w:line="240" w:lineRule="auto"/>
              <w:rPr>
                <w:rFonts w:cs="Arial"/>
                <w:sz w:val="18"/>
                <w:szCs w:val="18"/>
              </w:rPr>
            </w:pPr>
          </w:p>
        </w:tc>
        <w:tc>
          <w:tcPr>
            <w:tcW w:w="848" w:type="dxa"/>
            <w:noWrap/>
            <w:vAlign w:val="bottom"/>
            <w:hideMark/>
          </w:tcPr>
          <w:p w14:paraId="21BD1F0A" w14:textId="77777777" w:rsidR="008A580F" w:rsidRPr="00AB429E" w:rsidRDefault="008A580F" w:rsidP="008A580F">
            <w:pPr>
              <w:suppressAutoHyphens w:val="0"/>
              <w:autoSpaceDN/>
              <w:spacing w:after="0" w:line="240" w:lineRule="auto"/>
              <w:rPr>
                <w:rFonts w:cs="Arial"/>
                <w:sz w:val="18"/>
                <w:szCs w:val="18"/>
              </w:rPr>
            </w:pPr>
          </w:p>
        </w:tc>
        <w:tc>
          <w:tcPr>
            <w:tcW w:w="1569" w:type="dxa"/>
            <w:noWrap/>
            <w:vAlign w:val="bottom"/>
            <w:hideMark/>
          </w:tcPr>
          <w:p w14:paraId="6F5C93ED" w14:textId="77777777" w:rsidR="008A580F" w:rsidRPr="00AB429E" w:rsidRDefault="008A580F" w:rsidP="008A580F">
            <w:pPr>
              <w:suppressAutoHyphens w:val="0"/>
              <w:autoSpaceDN/>
              <w:spacing w:after="0" w:line="240" w:lineRule="auto"/>
              <w:rPr>
                <w:rFonts w:cs="Arial"/>
                <w:sz w:val="18"/>
                <w:szCs w:val="18"/>
              </w:rPr>
            </w:pPr>
          </w:p>
        </w:tc>
        <w:tc>
          <w:tcPr>
            <w:tcW w:w="1194" w:type="dxa"/>
            <w:noWrap/>
            <w:vAlign w:val="bottom"/>
            <w:hideMark/>
          </w:tcPr>
          <w:p w14:paraId="4DA3EE5F"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EECO19</w:t>
            </w:r>
          </w:p>
        </w:tc>
        <w:tc>
          <w:tcPr>
            <w:tcW w:w="1285" w:type="dxa"/>
            <w:noWrap/>
            <w:vAlign w:val="bottom"/>
            <w:hideMark/>
          </w:tcPr>
          <w:p w14:paraId="24FC9558"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1</w:t>
            </w:r>
          </w:p>
        </w:tc>
        <w:tc>
          <w:tcPr>
            <w:tcW w:w="1684" w:type="dxa"/>
            <w:shd w:val="clear" w:color="000000" w:fill="F8696B"/>
            <w:noWrap/>
            <w:vAlign w:val="bottom"/>
            <w:hideMark/>
          </w:tcPr>
          <w:p w14:paraId="08FA1ADA"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0%</w:t>
            </w:r>
          </w:p>
        </w:tc>
      </w:tr>
      <w:tr w:rsidR="008A580F" w:rsidRPr="008A580F" w14:paraId="4810486E" w14:textId="77777777" w:rsidTr="008A580F">
        <w:trPr>
          <w:trHeight w:val="300"/>
        </w:trPr>
        <w:tc>
          <w:tcPr>
            <w:tcW w:w="1248" w:type="dxa"/>
            <w:noWrap/>
            <w:vAlign w:val="bottom"/>
            <w:hideMark/>
          </w:tcPr>
          <w:p w14:paraId="4EB5E1B0" w14:textId="77777777" w:rsidR="008A580F" w:rsidRPr="00AB429E" w:rsidRDefault="008A580F" w:rsidP="008A580F">
            <w:pPr>
              <w:suppressAutoHyphens w:val="0"/>
              <w:autoSpaceDN/>
              <w:spacing w:after="0" w:line="240" w:lineRule="auto"/>
              <w:jc w:val="center"/>
              <w:rPr>
                <w:rFonts w:cs="Arial"/>
                <w:sz w:val="18"/>
                <w:szCs w:val="18"/>
              </w:rPr>
            </w:pPr>
          </w:p>
        </w:tc>
        <w:tc>
          <w:tcPr>
            <w:tcW w:w="813" w:type="dxa"/>
            <w:noWrap/>
            <w:vAlign w:val="bottom"/>
            <w:hideMark/>
          </w:tcPr>
          <w:p w14:paraId="32A00E74" w14:textId="77777777" w:rsidR="008A580F" w:rsidRPr="00AB429E" w:rsidRDefault="008A580F" w:rsidP="008A580F">
            <w:pPr>
              <w:suppressAutoHyphens w:val="0"/>
              <w:autoSpaceDN/>
              <w:spacing w:after="0" w:line="240" w:lineRule="auto"/>
              <w:rPr>
                <w:rFonts w:cs="Arial"/>
                <w:sz w:val="18"/>
                <w:szCs w:val="18"/>
              </w:rPr>
            </w:pPr>
          </w:p>
        </w:tc>
        <w:tc>
          <w:tcPr>
            <w:tcW w:w="899" w:type="dxa"/>
            <w:noWrap/>
            <w:vAlign w:val="bottom"/>
            <w:hideMark/>
          </w:tcPr>
          <w:p w14:paraId="41575919" w14:textId="77777777" w:rsidR="008A580F" w:rsidRPr="00AB429E" w:rsidRDefault="008A580F" w:rsidP="008A580F">
            <w:pPr>
              <w:suppressAutoHyphens w:val="0"/>
              <w:autoSpaceDN/>
              <w:spacing w:after="0" w:line="240" w:lineRule="auto"/>
              <w:rPr>
                <w:rFonts w:cs="Arial"/>
                <w:sz w:val="18"/>
                <w:szCs w:val="18"/>
              </w:rPr>
            </w:pPr>
          </w:p>
        </w:tc>
        <w:tc>
          <w:tcPr>
            <w:tcW w:w="848" w:type="dxa"/>
            <w:noWrap/>
            <w:vAlign w:val="bottom"/>
            <w:hideMark/>
          </w:tcPr>
          <w:p w14:paraId="4F01EF92" w14:textId="77777777" w:rsidR="008A580F" w:rsidRPr="00AB429E" w:rsidRDefault="008A580F" w:rsidP="008A580F">
            <w:pPr>
              <w:suppressAutoHyphens w:val="0"/>
              <w:autoSpaceDN/>
              <w:spacing w:after="0" w:line="240" w:lineRule="auto"/>
              <w:rPr>
                <w:rFonts w:cs="Arial"/>
                <w:sz w:val="18"/>
                <w:szCs w:val="18"/>
              </w:rPr>
            </w:pPr>
          </w:p>
        </w:tc>
        <w:tc>
          <w:tcPr>
            <w:tcW w:w="1569" w:type="dxa"/>
            <w:noWrap/>
            <w:vAlign w:val="bottom"/>
            <w:hideMark/>
          </w:tcPr>
          <w:p w14:paraId="18508590"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Zahod</w:t>
            </w:r>
          </w:p>
        </w:tc>
        <w:tc>
          <w:tcPr>
            <w:tcW w:w="1194" w:type="dxa"/>
            <w:noWrap/>
            <w:vAlign w:val="bottom"/>
            <w:hideMark/>
          </w:tcPr>
          <w:p w14:paraId="6420B0C3"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EECO02</w:t>
            </w:r>
          </w:p>
        </w:tc>
        <w:tc>
          <w:tcPr>
            <w:tcW w:w="1285" w:type="dxa"/>
            <w:noWrap/>
            <w:vAlign w:val="bottom"/>
            <w:hideMark/>
          </w:tcPr>
          <w:p w14:paraId="552A25AB"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1</w:t>
            </w:r>
          </w:p>
        </w:tc>
        <w:tc>
          <w:tcPr>
            <w:tcW w:w="1684" w:type="dxa"/>
            <w:shd w:val="clear" w:color="000000" w:fill="77C47D"/>
            <w:noWrap/>
            <w:vAlign w:val="bottom"/>
            <w:hideMark/>
          </w:tcPr>
          <w:p w14:paraId="4CF4027D"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110%</w:t>
            </w:r>
          </w:p>
        </w:tc>
      </w:tr>
      <w:tr w:rsidR="008A580F" w:rsidRPr="008A580F" w14:paraId="424E2B98" w14:textId="77777777" w:rsidTr="008A580F">
        <w:trPr>
          <w:trHeight w:val="300"/>
        </w:trPr>
        <w:tc>
          <w:tcPr>
            <w:tcW w:w="1248" w:type="dxa"/>
            <w:noWrap/>
            <w:vAlign w:val="bottom"/>
            <w:hideMark/>
          </w:tcPr>
          <w:p w14:paraId="33B787B1" w14:textId="77777777" w:rsidR="008A580F" w:rsidRPr="00AB429E" w:rsidRDefault="008A580F" w:rsidP="008A580F">
            <w:pPr>
              <w:suppressAutoHyphens w:val="0"/>
              <w:autoSpaceDN/>
              <w:spacing w:after="0" w:line="240" w:lineRule="auto"/>
              <w:jc w:val="center"/>
              <w:rPr>
                <w:rFonts w:cs="Arial"/>
                <w:sz w:val="18"/>
                <w:szCs w:val="18"/>
              </w:rPr>
            </w:pPr>
          </w:p>
        </w:tc>
        <w:tc>
          <w:tcPr>
            <w:tcW w:w="813" w:type="dxa"/>
            <w:noWrap/>
            <w:vAlign w:val="bottom"/>
            <w:hideMark/>
          </w:tcPr>
          <w:p w14:paraId="22DD6213" w14:textId="77777777" w:rsidR="008A580F" w:rsidRPr="00AB429E" w:rsidRDefault="008A580F" w:rsidP="008A580F">
            <w:pPr>
              <w:suppressAutoHyphens w:val="0"/>
              <w:autoSpaceDN/>
              <w:spacing w:after="0" w:line="240" w:lineRule="auto"/>
              <w:rPr>
                <w:rFonts w:cs="Arial"/>
                <w:sz w:val="18"/>
                <w:szCs w:val="18"/>
              </w:rPr>
            </w:pPr>
          </w:p>
        </w:tc>
        <w:tc>
          <w:tcPr>
            <w:tcW w:w="899" w:type="dxa"/>
            <w:noWrap/>
            <w:vAlign w:val="bottom"/>
            <w:hideMark/>
          </w:tcPr>
          <w:p w14:paraId="22084567" w14:textId="77777777" w:rsidR="008A580F" w:rsidRPr="00AB429E" w:rsidRDefault="008A580F" w:rsidP="008A580F">
            <w:pPr>
              <w:suppressAutoHyphens w:val="0"/>
              <w:autoSpaceDN/>
              <w:spacing w:after="0" w:line="240" w:lineRule="auto"/>
              <w:rPr>
                <w:rFonts w:cs="Arial"/>
                <w:sz w:val="18"/>
                <w:szCs w:val="18"/>
              </w:rPr>
            </w:pPr>
          </w:p>
        </w:tc>
        <w:tc>
          <w:tcPr>
            <w:tcW w:w="848" w:type="dxa"/>
            <w:noWrap/>
            <w:vAlign w:val="bottom"/>
            <w:hideMark/>
          </w:tcPr>
          <w:p w14:paraId="325B335F" w14:textId="77777777" w:rsidR="008A580F" w:rsidRPr="00AB429E" w:rsidRDefault="008A580F" w:rsidP="008A580F">
            <w:pPr>
              <w:suppressAutoHyphens w:val="0"/>
              <w:autoSpaceDN/>
              <w:spacing w:after="0" w:line="240" w:lineRule="auto"/>
              <w:rPr>
                <w:rFonts w:cs="Arial"/>
                <w:sz w:val="18"/>
                <w:szCs w:val="18"/>
              </w:rPr>
            </w:pPr>
          </w:p>
        </w:tc>
        <w:tc>
          <w:tcPr>
            <w:tcW w:w="1569" w:type="dxa"/>
            <w:noWrap/>
            <w:vAlign w:val="bottom"/>
            <w:hideMark/>
          </w:tcPr>
          <w:p w14:paraId="6FCE8AC4" w14:textId="77777777" w:rsidR="008A580F" w:rsidRPr="00AB429E" w:rsidRDefault="008A580F" w:rsidP="008A580F">
            <w:pPr>
              <w:suppressAutoHyphens w:val="0"/>
              <w:autoSpaceDN/>
              <w:spacing w:after="0" w:line="240" w:lineRule="auto"/>
              <w:rPr>
                <w:rFonts w:cs="Arial"/>
                <w:sz w:val="18"/>
                <w:szCs w:val="18"/>
              </w:rPr>
            </w:pPr>
          </w:p>
        </w:tc>
        <w:tc>
          <w:tcPr>
            <w:tcW w:w="1194" w:type="dxa"/>
            <w:noWrap/>
            <w:vAlign w:val="bottom"/>
            <w:hideMark/>
          </w:tcPr>
          <w:p w14:paraId="61AE7770"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EECO19</w:t>
            </w:r>
          </w:p>
        </w:tc>
        <w:tc>
          <w:tcPr>
            <w:tcW w:w="1285" w:type="dxa"/>
            <w:noWrap/>
            <w:vAlign w:val="bottom"/>
            <w:hideMark/>
          </w:tcPr>
          <w:p w14:paraId="7D28F5CD"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1</w:t>
            </w:r>
          </w:p>
        </w:tc>
        <w:tc>
          <w:tcPr>
            <w:tcW w:w="1684" w:type="dxa"/>
            <w:shd w:val="clear" w:color="000000" w:fill="F8696B"/>
            <w:noWrap/>
            <w:vAlign w:val="bottom"/>
            <w:hideMark/>
          </w:tcPr>
          <w:p w14:paraId="276AABD1"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0%</w:t>
            </w:r>
          </w:p>
        </w:tc>
      </w:tr>
      <w:tr w:rsidR="008A580F" w:rsidRPr="008A580F" w14:paraId="32FCF09C" w14:textId="77777777" w:rsidTr="008A580F">
        <w:trPr>
          <w:trHeight w:val="300"/>
        </w:trPr>
        <w:tc>
          <w:tcPr>
            <w:tcW w:w="1248" w:type="dxa"/>
            <w:noWrap/>
            <w:vAlign w:val="bottom"/>
            <w:hideMark/>
          </w:tcPr>
          <w:p w14:paraId="4BEB48AD" w14:textId="77777777" w:rsidR="008A580F" w:rsidRPr="00AB429E" w:rsidRDefault="008A580F" w:rsidP="008A580F">
            <w:pPr>
              <w:suppressAutoHyphens w:val="0"/>
              <w:autoSpaceDN/>
              <w:spacing w:after="0" w:line="240" w:lineRule="auto"/>
              <w:jc w:val="center"/>
              <w:rPr>
                <w:rFonts w:cs="Arial"/>
                <w:sz w:val="18"/>
                <w:szCs w:val="18"/>
              </w:rPr>
            </w:pPr>
          </w:p>
        </w:tc>
        <w:tc>
          <w:tcPr>
            <w:tcW w:w="813" w:type="dxa"/>
            <w:noWrap/>
            <w:vAlign w:val="bottom"/>
            <w:hideMark/>
          </w:tcPr>
          <w:p w14:paraId="1C4FE240" w14:textId="77777777" w:rsidR="008A580F" w:rsidRPr="00AB429E" w:rsidRDefault="008A580F" w:rsidP="008A580F">
            <w:pPr>
              <w:suppressAutoHyphens w:val="0"/>
              <w:autoSpaceDN/>
              <w:spacing w:after="0" w:line="240" w:lineRule="auto"/>
              <w:rPr>
                <w:rFonts w:cs="Arial"/>
                <w:sz w:val="18"/>
                <w:szCs w:val="18"/>
              </w:rPr>
            </w:pPr>
          </w:p>
        </w:tc>
        <w:tc>
          <w:tcPr>
            <w:tcW w:w="899" w:type="dxa"/>
            <w:noWrap/>
            <w:vAlign w:val="bottom"/>
            <w:hideMark/>
          </w:tcPr>
          <w:p w14:paraId="3FA77D14"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ESO4.2</w:t>
            </w:r>
          </w:p>
        </w:tc>
        <w:tc>
          <w:tcPr>
            <w:tcW w:w="848" w:type="dxa"/>
            <w:noWrap/>
            <w:vAlign w:val="bottom"/>
            <w:hideMark/>
          </w:tcPr>
          <w:p w14:paraId="17763B37" w14:textId="77777777" w:rsidR="008A580F" w:rsidRPr="00AB429E" w:rsidRDefault="008A580F" w:rsidP="008A580F">
            <w:pPr>
              <w:suppressAutoHyphens w:val="0"/>
              <w:autoSpaceDN/>
              <w:spacing w:after="0" w:line="240" w:lineRule="auto"/>
              <w:rPr>
                <w:rFonts w:cs="Arial"/>
                <w:b/>
                <w:bCs/>
                <w:color w:val="000000"/>
                <w:sz w:val="18"/>
                <w:szCs w:val="18"/>
              </w:rPr>
            </w:pPr>
            <w:r w:rsidRPr="00AB429E">
              <w:rPr>
                <w:rFonts w:cs="Arial"/>
                <w:b/>
                <w:bCs/>
                <w:color w:val="000000"/>
                <w:sz w:val="18"/>
                <w:szCs w:val="18"/>
              </w:rPr>
              <w:t>ESS+</w:t>
            </w:r>
          </w:p>
        </w:tc>
        <w:tc>
          <w:tcPr>
            <w:tcW w:w="1569" w:type="dxa"/>
            <w:noWrap/>
            <w:vAlign w:val="bottom"/>
            <w:hideMark/>
          </w:tcPr>
          <w:p w14:paraId="2DCA6361"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Vzhod</w:t>
            </w:r>
          </w:p>
        </w:tc>
        <w:tc>
          <w:tcPr>
            <w:tcW w:w="1194" w:type="dxa"/>
            <w:noWrap/>
            <w:vAlign w:val="bottom"/>
            <w:hideMark/>
          </w:tcPr>
          <w:p w14:paraId="48535522"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EECO18</w:t>
            </w:r>
          </w:p>
        </w:tc>
        <w:tc>
          <w:tcPr>
            <w:tcW w:w="1285" w:type="dxa"/>
            <w:noWrap/>
            <w:vAlign w:val="bottom"/>
            <w:hideMark/>
          </w:tcPr>
          <w:p w14:paraId="3FF5CB79"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1</w:t>
            </w:r>
          </w:p>
        </w:tc>
        <w:tc>
          <w:tcPr>
            <w:tcW w:w="1684" w:type="dxa"/>
            <w:shd w:val="clear" w:color="000000" w:fill="F8696B"/>
            <w:noWrap/>
            <w:vAlign w:val="bottom"/>
            <w:hideMark/>
          </w:tcPr>
          <w:p w14:paraId="538BBDCB"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0%</w:t>
            </w:r>
          </w:p>
        </w:tc>
      </w:tr>
      <w:tr w:rsidR="008A580F" w:rsidRPr="008A580F" w14:paraId="2DAA237E" w14:textId="77777777" w:rsidTr="008A580F">
        <w:trPr>
          <w:trHeight w:val="300"/>
        </w:trPr>
        <w:tc>
          <w:tcPr>
            <w:tcW w:w="1248" w:type="dxa"/>
            <w:noWrap/>
            <w:vAlign w:val="bottom"/>
            <w:hideMark/>
          </w:tcPr>
          <w:p w14:paraId="2CA75EAC" w14:textId="77777777" w:rsidR="008A580F" w:rsidRPr="00AB429E" w:rsidRDefault="008A580F" w:rsidP="008A580F">
            <w:pPr>
              <w:suppressAutoHyphens w:val="0"/>
              <w:autoSpaceDN/>
              <w:spacing w:after="0" w:line="240" w:lineRule="auto"/>
              <w:jc w:val="center"/>
              <w:rPr>
                <w:rFonts w:cs="Arial"/>
                <w:sz w:val="18"/>
                <w:szCs w:val="18"/>
              </w:rPr>
            </w:pPr>
          </w:p>
        </w:tc>
        <w:tc>
          <w:tcPr>
            <w:tcW w:w="813" w:type="dxa"/>
            <w:noWrap/>
            <w:vAlign w:val="bottom"/>
            <w:hideMark/>
          </w:tcPr>
          <w:p w14:paraId="2BE7C9B2" w14:textId="77777777" w:rsidR="008A580F" w:rsidRPr="00AB429E" w:rsidRDefault="008A580F" w:rsidP="008A580F">
            <w:pPr>
              <w:suppressAutoHyphens w:val="0"/>
              <w:autoSpaceDN/>
              <w:spacing w:after="0" w:line="240" w:lineRule="auto"/>
              <w:rPr>
                <w:rFonts w:cs="Arial"/>
                <w:sz w:val="18"/>
                <w:szCs w:val="18"/>
              </w:rPr>
            </w:pPr>
          </w:p>
        </w:tc>
        <w:tc>
          <w:tcPr>
            <w:tcW w:w="899" w:type="dxa"/>
            <w:noWrap/>
            <w:vAlign w:val="bottom"/>
            <w:hideMark/>
          </w:tcPr>
          <w:p w14:paraId="76318A00" w14:textId="77777777" w:rsidR="008A580F" w:rsidRPr="00AB429E" w:rsidRDefault="008A580F" w:rsidP="008A580F">
            <w:pPr>
              <w:suppressAutoHyphens w:val="0"/>
              <w:autoSpaceDN/>
              <w:spacing w:after="0" w:line="240" w:lineRule="auto"/>
              <w:rPr>
                <w:rFonts w:cs="Arial"/>
                <w:sz w:val="18"/>
                <w:szCs w:val="18"/>
              </w:rPr>
            </w:pPr>
          </w:p>
        </w:tc>
        <w:tc>
          <w:tcPr>
            <w:tcW w:w="848" w:type="dxa"/>
            <w:noWrap/>
            <w:vAlign w:val="bottom"/>
            <w:hideMark/>
          </w:tcPr>
          <w:p w14:paraId="6588281F" w14:textId="77777777" w:rsidR="008A580F" w:rsidRPr="00AB429E" w:rsidRDefault="008A580F" w:rsidP="008A580F">
            <w:pPr>
              <w:suppressAutoHyphens w:val="0"/>
              <w:autoSpaceDN/>
              <w:spacing w:after="0" w:line="240" w:lineRule="auto"/>
              <w:rPr>
                <w:rFonts w:cs="Arial"/>
                <w:sz w:val="18"/>
                <w:szCs w:val="18"/>
              </w:rPr>
            </w:pPr>
          </w:p>
        </w:tc>
        <w:tc>
          <w:tcPr>
            <w:tcW w:w="1569" w:type="dxa"/>
            <w:noWrap/>
            <w:vAlign w:val="bottom"/>
            <w:hideMark/>
          </w:tcPr>
          <w:p w14:paraId="33780C7F"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Zahod</w:t>
            </w:r>
          </w:p>
        </w:tc>
        <w:tc>
          <w:tcPr>
            <w:tcW w:w="1194" w:type="dxa"/>
            <w:noWrap/>
            <w:vAlign w:val="bottom"/>
            <w:hideMark/>
          </w:tcPr>
          <w:p w14:paraId="1F8438CF"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EECO18</w:t>
            </w:r>
          </w:p>
        </w:tc>
        <w:tc>
          <w:tcPr>
            <w:tcW w:w="1285" w:type="dxa"/>
            <w:noWrap/>
            <w:vAlign w:val="bottom"/>
            <w:hideMark/>
          </w:tcPr>
          <w:p w14:paraId="2E841A6B"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1</w:t>
            </w:r>
          </w:p>
        </w:tc>
        <w:tc>
          <w:tcPr>
            <w:tcW w:w="1684" w:type="dxa"/>
            <w:shd w:val="clear" w:color="000000" w:fill="EEE683"/>
            <w:noWrap/>
            <w:vAlign w:val="bottom"/>
            <w:hideMark/>
          </w:tcPr>
          <w:p w14:paraId="1CF63DB6"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14%</w:t>
            </w:r>
          </w:p>
        </w:tc>
      </w:tr>
      <w:tr w:rsidR="008A580F" w:rsidRPr="008A580F" w14:paraId="6EA5CEC0" w14:textId="77777777" w:rsidTr="008A580F">
        <w:trPr>
          <w:trHeight w:val="300"/>
        </w:trPr>
        <w:tc>
          <w:tcPr>
            <w:tcW w:w="1248" w:type="dxa"/>
            <w:noWrap/>
            <w:vAlign w:val="bottom"/>
            <w:hideMark/>
          </w:tcPr>
          <w:p w14:paraId="73207156" w14:textId="77777777" w:rsidR="008A580F" w:rsidRPr="00AB429E" w:rsidRDefault="008A580F" w:rsidP="008A580F">
            <w:pPr>
              <w:suppressAutoHyphens w:val="0"/>
              <w:autoSpaceDN/>
              <w:spacing w:after="0" w:line="240" w:lineRule="auto"/>
              <w:jc w:val="center"/>
              <w:rPr>
                <w:rFonts w:cs="Arial"/>
                <w:sz w:val="18"/>
                <w:szCs w:val="18"/>
              </w:rPr>
            </w:pPr>
          </w:p>
        </w:tc>
        <w:tc>
          <w:tcPr>
            <w:tcW w:w="813" w:type="dxa"/>
            <w:noWrap/>
            <w:vAlign w:val="bottom"/>
            <w:hideMark/>
          </w:tcPr>
          <w:p w14:paraId="3EA8E4E8" w14:textId="77777777" w:rsidR="008A580F" w:rsidRPr="00AB429E" w:rsidRDefault="008A580F" w:rsidP="008A580F">
            <w:pPr>
              <w:suppressAutoHyphens w:val="0"/>
              <w:autoSpaceDN/>
              <w:spacing w:after="0" w:line="240" w:lineRule="auto"/>
              <w:rPr>
                <w:rFonts w:cs="Arial"/>
                <w:sz w:val="18"/>
                <w:szCs w:val="18"/>
              </w:rPr>
            </w:pPr>
          </w:p>
        </w:tc>
        <w:tc>
          <w:tcPr>
            <w:tcW w:w="899" w:type="dxa"/>
            <w:noWrap/>
            <w:vAlign w:val="bottom"/>
            <w:hideMark/>
          </w:tcPr>
          <w:p w14:paraId="70626B13"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ESO4.4</w:t>
            </w:r>
          </w:p>
        </w:tc>
        <w:tc>
          <w:tcPr>
            <w:tcW w:w="848" w:type="dxa"/>
            <w:noWrap/>
            <w:vAlign w:val="bottom"/>
            <w:hideMark/>
          </w:tcPr>
          <w:p w14:paraId="0AB2AD18" w14:textId="77777777" w:rsidR="008A580F" w:rsidRPr="00AB429E" w:rsidRDefault="008A580F" w:rsidP="008A580F">
            <w:pPr>
              <w:suppressAutoHyphens w:val="0"/>
              <w:autoSpaceDN/>
              <w:spacing w:after="0" w:line="240" w:lineRule="auto"/>
              <w:rPr>
                <w:rFonts w:cs="Arial"/>
                <w:b/>
                <w:bCs/>
                <w:color w:val="000000"/>
                <w:sz w:val="18"/>
                <w:szCs w:val="18"/>
              </w:rPr>
            </w:pPr>
            <w:r w:rsidRPr="00AB429E">
              <w:rPr>
                <w:rFonts w:cs="Arial"/>
                <w:b/>
                <w:bCs/>
                <w:color w:val="000000"/>
                <w:sz w:val="18"/>
                <w:szCs w:val="18"/>
              </w:rPr>
              <w:t>ESS+</w:t>
            </w:r>
          </w:p>
        </w:tc>
        <w:tc>
          <w:tcPr>
            <w:tcW w:w="1569" w:type="dxa"/>
            <w:noWrap/>
            <w:vAlign w:val="bottom"/>
            <w:hideMark/>
          </w:tcPr>
          <w:p w14:paraId="03A7287F"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Vzhod</w:t>
            </w:r>
          </w:p>
        </w:tc>
        <w:tc>
          <w:tcPr>
            <w:tcW w:w="1194" w:type="dxa"/>
            <w:noWrap/>
            <w:vAlign w:val="bottom"/>
            <w:hideMark/>
          </w:tcPr>
          <w:p w14:paraId="3EC93B25"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E4.4/U/7</w:t>
            </w:r>
          </w:p>
        </w:tc>
        <w:tc>
          <w:tcPr>
            <w:tcW w:w="1285" w:type="dxa"/>
            <w:noWrap/>
            <w:vAlign w:val="bottom"/>
            <w:hideMark/>
          </w:tcPr>
          <w:p w14:paraId="48EEDE52"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1</w:t>
            </w:r>
          </w:p>
        </w:tc>
        <w:tc>
          <w:tcPr>
            <w:tcW w:w="1684" w:type="dxa"/>
            <w:shd w:val="clear" w:color="000000" w:fill="F8696B"/>
            <w:noWrap/>
            <w:vAlign w:val="bottom"/>
            <w:hideMark/>
          </w:tcPr>
          <w:p w14:paraId="0ED3CE80"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0%</w:t>
            </w:r>
          </w:p>
        </w:tc>
      </w:tr>
      <w:tr w:rsidR="008A580F" w:rsidRPr="008A580F" w14:paraId="52A5C41E" w14:textId="77777777" w:rsidTr="008A580F">
        <w:trPr>
          <w:trHeight w:val="300"/>
        </w:trPr>
        <w:tc>
          <w:tcPr>
            <w:tcW w:w="1248" w:type="dxa"/>
            <w:noWrap/>
            <w:vAlign w:val="bottom"/>
            <w:hideMark/>
          </w:tcPr>
          <w:p w14:paraId="69F99C2D" w14:textId="77777777" w:rsidR="008A580F" w:rsidRPr="00AB429E" w:rsidRDefault="008A580F" w:rsidP="008A580F">
            <w:pPr>
              <w:suppressAutoHyphens w:val="0"/>
              <w:autoSpaceDN/>
              <w:spacing w:after="0" w:line="240" w:lineRule="auto"/>
              <w:jc w:val="center"/>
              <w:rPr>
                <w:rFonts w:cs="Arial"/>
                <w:sz w:val="18"/>
                <w:szCs w:val="18"/>
              </w:rPr>
            </w:pPr>
          </w:p>
        </w:tc>
        <w:tc>
          <w:tcPr>
            <w:tcW w:w="813" w:type="dxa"/>
            <w:noWrap/>
            <w:vAlign w:val="bottom"/>
            <w:hideMark/>
          </w:tcPr>
          <w:p w14:paraId="27E95113" w14:textId="77777777" w:rsidR="008A580F" w:rsidRPr="00AB429E" w:rsidRDefault="008A580F" w:rsidP="008A580F">
            <w:pPr>
              <w:suppressAutoHyphens w:val="0"/>
              <w:autoSpaceDN/>
              <w:spacing w:after="0" w:line="240" w:lineRule="auto"/>
              <w:rPr>
                <w:rFonts w:cs="Arial"/>
                <w:sz w:val="18"/>
                <w:szCs w:val="18"/>
              </w:rPr>
            </w:pPr>
          </w:p>
        </w:tc>
        <w:tc>
          <w:tcPr>
            <w:tcW w:w="899" w:type="dxa"/>
            <w:noWrap/>
            <w:vAlign w:val="bottom"/>
            <w:hideMark/>
          </w:tcPr>
          <w:p w14:paraId="3CD820DE" w14:textId="77777777" w:rsidR="008A580F" w:rsidRPr="00AB429E" w:rsidRDefault="008A580F" w:rsidP="008A580F">
            <w:pPr>
              <w:suppressAutoHyphens w:val="0"/>
              <w:autoSpaceDN/>
              <w:spacing w:after="0" w:line="240" w:lineRule="auto"/>
              <w:rPr>
                <w:rFonts w:cs="Arial"/>
                <w:sz w:val="18"/>
                <w:szCs w:val="18"/>
              </w:rPr>
            </w:pPr>
          </w:p>
        </w:tc>
        <w:tc>
          <w:tcPr>
            <w:tcW w:w="848" w:type="dxa"/>
            <w:noWrap/>
            <w:vAlign w:val="bottom"/>
            <w:hideMark/>
          </w:tcPr>
          <w:p w14:paraId="4A71ABC1" w14:textId="77777777" w:rsidR="008A580F" w:rsidRPr="00AB429E" w:rsidRDefault="008A580F" w:rsidP="008A580F">
            <w:pPr>
              <w:suppressAutoHyphens w:val="0"/>
              <w:autoSpaceDN/>
              <w:spacing w:after="0" w:line="240" w:lineRule="auto"/>
              <w:rPr>
                <w:rFonts w:cs="Arial"/>
                <w:sz w:val="18"/>
                <w:szCs w:val="18"/>
              </w:rPr>
            </w:pPr>
          </w:p>
        </w:tc>
        <w:tc>
          <w:tcPr>
            <w:tcW w:w="1569" w:type="dxa"/>
            <w:noWrap/>
            <w:vAlign w:val="bottom"/>
            <w:hideMark/>
          </w:tcPr>
          <w:p w14:paraId="05D6F36B" w14:textId="77777777" w:rsidR="008A580F" w:rsidRPr="00AB429E" w:rsidRDefault="008A580F" w:rsidP="008A580F">
            <w:pPr>
              <w:suppressAutoHyphens w:val="0"/>
              <w:autoSpaceDN/>
              <w:spacing w:after="0" w:line="240" w:lineRule="auto"/>
              <w:rPr>
                <w:rFonts w:cs="Arial"/>
                <w:sz w:val="18"/>
                <w:szCs w:val="18"/>
              </w:rPr>
            </w:pPr>
          </w:p>
        </w:tc>
        <w:tc>
          <w:tcPr>
            <w:tcW w:w="1194" w:type="dxa"/>
            <w:noWrap/>
            <w:vAlign w:val="bottom"/>
            <w:hideMark/>
          </w:tcPr>
          <w:p w14:paraId="2244FD5B"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EECO05</w:t>
            </w:r>
          </w:p>
        </w:tc>
        <w:tc>
          <w:tcPr>
            <w:tcW w:w="1285" w:type="dxa"/>
            <w:noWrap/>
            <w:vAlign w:val="bottom"/>
            <w:hideMark/>
          </w:tcPr>
          <w:p w14:paraId="4BB84959"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1</w:t>
            </w:r>
          </w:p>
        </w:tc>
        <w:tc>
          <w:tcPr>
            <w:tcW w:w="1684" w:type="dxa"/>
            <w:shd w:val="clear" w:color="000000" w:fill="F8696B"/>
            <w:noWrap/>
            <w:vAlign w:val="bottom"/>
            <w:hideMark/>
          </w:tcPr>
          <w:p w14:paraId="77E2CB7F"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0%</w:t>
            </w:r>
          </w:p>
        </w:tc>
      </w:tr>
      <w:tr w:rsidR="008A580F" w:rsidRPr="008A580F" w14:paraId="65CA49EA" w14:textId="77777777" w:rsidTr="008A580F">
        <w:trPr>
          <w:trHeight w:val="300"/>
        </w:trPr>
        <w:tc>
          <w:tcPr>
            <w:tcW w:w="1248" w:type="dxa"/>
            <w:noWrap/>
            <w:vAlign w:val="bottom"/>
            <w:hideMark/>
          </w:tcPr>
          <w:p w14:paraId="3C618BD7" w14:textId="77777777" w:rsidR="008A580F" w:rsidRPr="00AB429E" w:rsidRDefault="008A580F" w:rsidP="008A580F">
            <w:pPr>
              <w:suppressAutoHyphens w:val="0"/>
              <w:autoSpaceDN/>
              <w:spacing w:after="0" w:line="240" w:lineRule="auto"/>
              <w:jc w:val="center"/>
              <w:rPr>
                <w:rFonts w:cs="Arial"/>
                <w:sz w:val="18"/>
                <w:szCs w:val="18"/>
              </w:rPr>
            </w:pPr>
          </w:p>
        </w:tc>
        <w:tc>
          <w:tcPr>
            <w:tcW w:w="813" w:type="dxa"/>
            <w:noWrap/>
            <w:vAlign w:val="bottom"/>
            <w:hideMark/>
          </w:tcPr>
          <w:p w14:paraId="053E81E3" w14:textId="77777777" w:rsidR="008A580F" w:rsidRPr="00AB429E" w:rsidRDefault="008A580F" w:rsidP="008A580F">
            <w:pPr>
              <w:suppressAutoHyphens w:val="0"/>
              <w:autoSpaceDN/>
              <w:spacing w:after="0" w:line="240" w:lineRule="auto"/>
              <w:rPr>
                <w:rFonts w:cs="Arial"/>
                <w:sz w:val="18"/>
                <w:szCs w:val="18"/>
              </w:rPr>
            </w:pPr>
          </w:p>
        </w:tc>
        <w:tc>
          <w:tcPr>
            <w:tcW w:w="899" w:type="dxa"/>
            <w:noWrap/>
            <w:vAlign w:val="bottom"/>
            <w:hideMark/>
          </w:tcPr>
          <w:p w14:paraId="4A099F95" w14:textId="77777777" w:rsidR="008A580F" w:rsidRPr="00AB429E" w:rsidRDefault="008A580F" w:rsidP="008A580F">
            <w:pPr>
              <w:suppressAutoHyphens w:val="0"/>
              <w:autoSpaceDN/>
              <w:spacing w:after="0" w:line="240" w:lineRule="auto"/>
              <w:rPr>
                <w:rFonts w:cs="Arial"/>
                <w:sz w:val="18"/>
                <w:szCs w:val="18"/>
              </w:rPr>
            </w:pPr>
          </w:p>
        </w:tc>
        <w:tc>
          <w:tcPr>
            <w:tcW w:w="848" w:type="dxa"/>
            <w:noWrap/>
            <w:vAlign w:val="bottom"/>
            <w:hideMark/>
          </w:tcPr>
          <w:p w14:paraId="6E3BE0DB" w14:textId="77777777" w:rsidR="008A580F" w:rsidRPr="00AB429E" w:rsidRDefault="008A580F" w:rsidP="008A580F">
            <w:pPr>
              <w:suppressAutoHyphens w:val="0"/>
              <w:autoSpaceDN/>
              <w:spacing w:after="0" w:line="240" w:lineRule="auto"/>
              <w:rPr>
                <w:rFonts w:cs="Arial"/>
                <w:sz w:val="18"/>
                <w:szCs w:val="18"/>
              </w:rPr>
            </w:pPr>
          </w:p>
        </w:tc>
        <w:tc>
          <w:tcPr>
            <w:tcW w:w="1569" w:type="dxa"/>
            <w:noWrap/>
            <w:vAlign w:val="bottom"/>
            <w:hideMark/>
          </w:tcPr>
          <w:p w14:paraId="0A2E2793"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Zahod</w:t>
            </w:r>
          </w:p>
        </w:tc>
        <w:tc>
          <w:tcPr>
            <w:tcW w:w="1194" w:type="dxa"/>
            <w:noWrap/>
            <w:vAlign w:val="bottom"/>
            <w:hideMark/>
          </w:tcPr>
          <w:p w14:paraId="27B0E92D"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E4.4/U/7</w:t>
            </w:r>
          </w:p>
        </w:tc>
        <w:tc>
          <w:tcPr>
            <w:tcW w:w="1285" w:type="dxa"/>
            <w:noWrap/>
            <w:vAlign w:val="bottom"/>
            <w:hideMark/>
          </w:tcPr>
          <w:p w14:paraId="48EE34B8"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1</w:t>
            </w:r>
          </w:p>
        </w:tc>
        <w:tc>
          <w:tcPr>
            <w:tcW w:w="1684" w:type="dxa"/>
            <w:shd w:val="clear" w:color="000000" w:fill="F8696B"/>
            <w:noWrap/>
            <w:vAlign w:val="bottom"/>
            <w:hideMark/>
          </w:tcPr>
          <w:p w14:paraId="75695AB8"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0%</w:t>
            </w:r>
          </w:p>
        </w:tc>
      </w:tr>
      <w:tr w:rsidR="008A580F" w:rsidRPr="008A580F" w14:paraId="03ED5297" w14:textId="77777777" w:rsidTr="008A580F">
        <w:trPr>
          <w:trHeight w:val="300"/>
        </w:trPr>
        <w:tc>
          <w:tcPr>
            <w:tcW w:w="1248" w:type="dxa"/>
            <w:noWrap/>
            <w:vAlign w:val="bottom"/>
            <w:hideMark/>
          </w:tcPr>
          <w:p w14:paraId="1C8286A1" w14:textId="77777777" w:rsidR="008A580F" w:rsidRPr="00AB429E" w:rsidRDefault="008A580F" w:rsidP="008A580F">
            <w:pPr>
              <w:suppressAutoHyphens w:val="0"/>
              <w:autoSpaceDN/>
              <w:spacing w:after="0" w:line="240" w:lineRule="auto"/>
              <w:jc w:val="center"/>
              <w:rPr>
                <w:rFonts w:cs="Arial"/>
                <w:sz w:val="18"/>
                <w:szCs w:val="18"/>
              </w:rPr>
            </w:pPr>
          </w:p>
        </w:tc>
        <w:tc>
          <w:tcPr>
            <w:tcW w:w="813" w:type="dxa"/>
            <w:noWrap/>
            <w:vAlign w:val="bottom"/>
            <w:hideMark/>
          </w:tcPr>
          <w:p w14:paraId="56738230" w14:textId="77777777" w:rsidR="008A580F" w:rsidRPr="00AB429E" w:rsidRDefault="008A580F" w:rsidP="008A580F">
            <w:pPr>
              <w:suppressAutoHyphens w:val="0"/>
              <w:autoSpaceDN/>
              <w:spacing w:after="0" w:line="240" w:lineRule="auto"/>
              <w:rPr>
                <w:rFonts w:cs="Arial"/>
                <w:sz w:val="18"/>
                <w:szCs w:val="18"/>
              </w:rPr>
            </w:pPr>
          </w:p>
        </w:tc>
        <w:tc>
          <w:tcPr>
            <w:tcW w:w="899" w:type="dxa"/>
            <w:noWrap/>
            <w:vAlign w:val="bottom"/>
            <w:hideMark/>
          </w:tcPr>
          <w:p w14:paraId="28565204" w14:textId="77777777" w:rsidR="008A580F" w:rsidRPr="00AB429E" w:rsidRDefault="008A580F" w:rsidP="008A580F">
            <w:pPr>
              <w:suppressAutoHyphens w:val="0"/>
              <w:autoSpaceDN/>
              <w:spacing w:after="0" w:line="240" w:lineRule="auto"/>
              <w:rPr>
                <w:rFonts w:cs="Arial"/>
                <w:sz w:val="18"/>
                <w:szCs w:val="18"/>
              </w:rPr>
            </w:pPr>
          </w:p>
        </w:tc>
        <w:tc>
          <w:tcPr>
            <w:tcW w:w="848" w:type="dxa"/>
            <w:noWrap/>
            <w:vAlign w:val="bottom"/>
            <w:hideMark/>
          </w:tcPr>
          <w:p w14:paraId="1295307C" w14:textId="77777777" w:rsidR="008A580F" w:rsidRPr="00AB429E" w:rsidRDefault="008A580F" w:rsidP="008A580F">
            <w:pPr>
              <w:suppressAutoHyphens w:val="0"/>
              <w:autoSpaceDN/>
              <w:spacing w:after="0" w:line="240" w:lineRule="auto"/>
              <w:rPr>
                <w:rFonts w:cs="Arial"/>
                <w:sz w:val="18"/>
                <w:szCs w:val="18"/>
              </w:rPr>
            </w:pPr>
          </w:p>
        </w:tc>
        <w:tc>
          <w:tcPr>
            <w:tcW w:w="1569" w:type="dxa"/>
            <w:noWrap/>
            <w:vAlign w:val="bottom"/>
            <w:hideMark/>
          </w:tcPr>
          <w:p w14:paraId="0071AE09" w14:textId="77777777" w:rsidR="008A580F" w:rsidRPr="00AB429E" w:rsidRDefault="008A580F" w:rsidP="008A580F">
            <w:pPr>
              <w:suppressAutoHyphens w:val="0"/>
              <w:autoSpaceDN/>
              <w:spacing w:after="0" w:line="240" w:lineRule="auto"/>
              <w:rPr>
                <w:rFonts w:cs="Arial"/>
                <w:sz w:val="18"/>
                <w:szCs w:val="18"/>
              </w:rPr>
            </w:pPr>
          </w:p>
        </w:tc>
        <w:tc>
          <w:tcPr>
            <w:tcW w:w="1194" w:type="dxa"/>
            <w:noWrap/>
            <w:vAlign w:val="bottom"/>
            <w:hideMark/>
          </w:tcPr>
          <w:p w14:paraId="242E5076"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EECO05</w:t>
            </w:r>
          </w:p>
        </w:tc>
        <w:tc>
          <w:tcPr>
            <w:tcW w:w="1285" w:type="dxa"/>
            <w:noWrap/>
            <w:vAlign w:val="bottom"/>
            <w:hideMark/>
          </w:tcPr>
          <w:p w14:paraId="1FD17365"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1</w:t>
            </w:r>
          </w:p>
        </w:tc>
        <w:tc>
          <w:tcPr>
            <w:tcW w:w="1684" w:type="dxa"/>
            <w:shd w:val="clear" w:color="000000" w:fill="F8696B"/>
            <w:noWrap/>
            <w:vAlign w:val="bottom"/>
            <w:hideMark/>
          </w:tcPr>
          <w:p w14:paraId="4144B555"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0%</w:t>
            </w:r>
          </w:p>
        </w:tc>
      </w:tr>
      <w:tr w:rsidR="008A580F" w:rsidRPr="008A580F" w14:paraId="3FDDA5DA" w14:textId="77777777" w:rsidTr="008A580F">
        <w:trPr>
          <w:trHeight w:val="300"/>
        </w:trPr>
        <w:tc>
          <w:tcPr>
            <w:tcW w:w="1248" w:type="dxa"/>
            <w:noWrap/>
            <w:vAlign w:val="bottom"/>
            <w:hideMark/>
          </w:tcPr>
          <w:p w14:paraId="42861869" w14:textId="77777777" w:rsidR="008A580F" w:rsidRPr="00AB429E" w:rsidRDefault="008A580F" w:rsidP="008A580F">
            <w:pPr>
              <w:suppressAutoHyphens w:val="0"/>
              <w:autoSpaceDN/>
              <w:spacing w:after="0" w:line="240" w:lineRule="auto"/>
              <w:jc w:val="center"/>
              <w:rPr>
                <w:rFonts w:cs="Arial"/>
                <w:sz w:val="18"/>
                <w:szCs w:val="18"/>
              </w:rPr>
            </w:pPr>
          </w:p>
        </w:tc>
        <w:tc>
          <w:tcPr>
            <w:tcW w:w="813" w:type="dxa"/>
            <w:noWrap/>
            <w:vAlign w:val="bottom"/>
            <w:hideMark/>
          </w:tcPr>
          <w:p w14:paraId="2D635EC5" w14:textId="77777777" w:rsidR="008A580F" w:rsidRPr="00AB429E" w:rsidRDefault="008A580F" w:rsidP="008A580F">
            <w:pPr>
              <w:suppressAutoHyphens w:val="0"/>
              <w:autoSpaceDN/>
              <w:spacing w:after="0" w:line="240" w:lineRule="auto"/>
              <w:rPr>
                <w:rFonts w:cs="Arial"/>
                <w:sz w:val="18"/>
                <w:szCs w:val="18"/>
              </w:rPr>
            </w:pPr>
          </w:p>
        </w:tc>
        <w:tc>
          <w:tcPr>
            <w:tcW w:w="899" w:type="dxa"/>
            <w:noWrap/>
            <w:vAlign w:val="bottom"/>
            <w:hideMark/>
          </w:tcPr>
          <w:p w14:paraId="58377140"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ESO4.5</w:t>
            </w:r>
          </w:p>
        </w:tc>
        <w:tc>
          <w:tcPr>
            <w:tcW w:w="848" w:type="dxa"/>
            <w:noWrap/>
            <w:vAlign w:val="bottom"/>
            <w:hideMark/>
          </w:tcPr>
          <w:p w14:paraId="62007B3D" w14:textId="77777777" w:rsidR="008A580F" w:rsidRPr="00AB429E" w:rsidRDefault="008A580F" w:rsidP="008A580F">
            <w:pPr>
              <w:suppressAutoHyphens w:val="0"/>
              <w:autoSpaceDN/>
              <w:spacing w:after="0" w:line="240" w:lineRule="auto"/>
              <w:rPr>
                <w:rFonts w:cs="Arial"/>
                <w:b/>
                <w:bCs/>
                <w:color w:val="000000"/>
                <w:sz w:val="18"/>
                <w:szCs w:val="18"/>
              </w:rPr>
            </w:pPr>
            <w:r w:rsidRPr="00AB429E">
              <w:rPr>
                <w:rFonts w:cs="Arial"/>
                <w:b/>
                <w:bCs/>
                <w:color w:val="000000"/>
                <w:sz w:val="18"/>
                <w:szCs w:val="18"/>
              </w:rPr>
              <w:t>ESS+</w:t>
            </w:r>
          </w:p>
        </w:tc>
        <w:tc>
          <w:tcPr>
            <w:tcW w:w="1569" w:type="dxa"/>
            <w:noWrap/>
            <w:vAlign w:val="bottom"/>
            <w:hideMark/>
          </w:tcPr>
          <w:p w14:paraId="4784CEF1"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Vzhod</w:t>
            </w:r>
          </w:p>
        </w:tc>
        <w:tc>
          <w:tcPr>
            <w:tcW w:w="1194" w:type="dxa"/>
            <w:noWrap/>
            <w:vAlign w:val="bottom"/>
            <w:hideMark/>
          </w:tcPr>
          <w:p w14:paraId="4D03D016"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EECO18</w:t>
            </w:r>
          </w:p>
        </w:tc>
        <w:tc>
          <w:tcPr>
            <w:tcW w:w="1285" w:type="dxa"/>
            <w:noWrap/>
            <w:vAlign w:val="bottom"/>
            <w:hideMark/>
          </w:tcPr>
          <w:p w14:paraId="2652C259"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1</w:t>
            </w:r>
          </w:p>
        </w:tc>
        <w:tc>
          <w:tcPr>
            <w:tcW w:w="1684" w:type="dxa"/>
            <w:shd w:val="clear" w:color="000000" w:fill="FCEA84"/>
            <w:noWrap/>
            <w:vAlign w:val="bottom"/>
            <w:hideMark/>
          </w:tcPr>
          <w:p w14:paraId="4FF68874"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3%</w:t>
            </w:r>
          </w:p>
        </w:tc>
      </w:tr>
      <w:tr w:rsidR="008A580F" w:rsidRPr="008A580F" w14:paraId="6234661F" w14:textId="77777777" w:rsidTr="008A580F">
        <w:trPr>
          <w:trHeight w:val="300"/>
        </w:trPr>
        <w:tc>
          <w:tcPr>
            <w:tcW w:w="1248" w:type="dxa"/>
            <w:noWrap/>
            <w:vAlign w:val="bottom"/>
            <w:hideMark/>
          </w:tcPr>
          <w:p w14:paraId="353082A0" w14:textId="77777777" w:rsidR="008A580F" w:rsidRPr="00AB429E" w:rsidRDefault="008A580F" w:rsidP="008A580F">
            <w:pPr>
              <w:suppressAutoHyphens w:val="0"/>
              <w:autoSpaceDN/>
              <w:spacing w:after="0" w:line="240" w:lineRule="auto"/>
              <w:jc w:val="center"/>
              <w:rPr>
                <w:rFonts w:cs="Arial"/>
                <w:sz w:val="18"/>
                <w:szCs w:val="18"/>
              </w:rPr>
            </w:pPr>
          </w:p>
        </w:tc>
        <w:tc>
          <w:tcPr>
            <w:tcW w:w="813" w:type="dxa"/>
            <w:noWrap/>
            <w:vAlign w:val="bottom"/>
            <w:hideMark/>
          </w:tcPr>
          <w:p w14:paraId="210FF338" w14:textId="77777777" w:rsidR="008A580F" w:rsidRPr="00AB429E" w:rsidRDefault="008A580F" w:rsidP="008A580F">
            <w:pPr>
              <w:suppressAutoHyphens w:val="0"/>
              <w:autoSpaceDN/>
              <w:spacing w:after="0" w:line="240" w:lineRule="auto"/>
              <w:rPr>
                <w:rFonts w:cs="Arial"/>
                <w:sz w:val="18"/>
                <w:szCs w:val="18"/>
              </w:rPr>
            </w:pPr>
          </w:p>
        </w:tc>
        <w:tc>
          <w:tcPr>
            <w:tcW w:w="899" w:type="dxa"/>
            <w:noWrap/>
            <w:vAlign w:val="bottom"/>
            <w:hideMark/>
          </w:tcPr>
          <w:p w14:paraId="7BF25C91" w14:textId="77777777" w:rsidR="008A580F" w:rsidRPr="00AB429E" w:rsidRDefault="008A580F" w:rsidP="008A580F">
            <w:pPr>
              <w:suppressAutoHyphens w:val="0"/>
              <w:autoSpaceDN/>
              <w:spacing w:after="0" w:line="240" w:lineRule="auto"/>
              <w:rPr>
                <w:rFonts w:cs="Arial"/>
                <w:sz w:val="18"/>
                <w:szCs w:val="18"/>
              </w:rPr>
            </w:pPr>
          </w:p>
        </w:tc>
        <w:tc>
          <w:tcPr>
            <w:tcW w:w="848" w:type="dxa"/>
            <w:noWrap/>
            <w:vAlign w:val="bottom"/>
            <w:hideMark/>
          </w:tcPr>
          <w:p w14:paraId="1BD633D8" w14:textId="77777777" w:rsidR="008A580F" w:rsidRPr="00AB429E" w:rsidRDefault="008A580F" w:rsidP="008A580F">
            <w:pPr>
              <w:suppressAutoHyphens w:val="0"/>
              <w:autoSpaceDN/>
              <w:spacing w:after="0" w:line="240" w:lineRule="auto"/>
              <w:rPr>
                <w:rFonts w:cs="Arial"/>
                <w:sz w:val="18"/>
                <w:szCs w:val="18"/>
              </w:rPr>
            </w:pPr>
          </w:p>
        </w:tc>
        <w:tc>
          <w:tcPr>
            <w:tcW w:w="1569" w:type="dxa"/>
            <w:noWrap/>
            <w:vAlign w:val="bottom"/>
            <w:hideMark/>
          </w:tcPr>
          <w:p w14:paraId="038FA10A" w14:textId="77777777" w:rsidR="008A580F" w:rsidRPr="00AB429E" w:rsidRDefault="008A580F" w:rsidP="008A580F">
            <w:pPr>
              <w:suppressAutoHyphens w:val="0"/>
              <w:autoSpaceDN/>
              <w:spacing w:after="0" w:line="240" w:lineRule="auto"/>
              <w:rPr>
                <w:rFonts w:cs="Arial"/>
                <w:sz w:val="18"/>
                <w:szCs w:val="18"/>
              </w:rPr>
            </w:pPr>
          </w:p>
        </w:tc>
        <w:tc>
          <w:tcPr>
            <w:tcW w:w="1194" w:type="dxa"/>
            <w:noWrap/>
            <w:vAlign w:val="bottom"/>
            <w:hideMark/>
          </w:tcPr>
          <w:p w14:paraId="3821BF9F"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EECO05</w:t>
            </w:r>
          </w:p>
        </w:tc>
        <w:tc>
          <w:tcPr>
            <w:tcW w:w="1285" w:type="dxa"/>
            <w:noWrap/>
            <w:vAlign w:val="bottom"/>
            <w:hideMark/>
          </w:tcPr>
          <w:p w14:paraId="01C0F914"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1</w:t>
            </w:r>
          </w:p>
        </w:tc>
        <w:tc>
          <w:tcPr>
            <w:tcW w:w="1684" w:type="dxa"/>
            <w:shd w:val="clear" w:color="000000" w:fill="F8696B"/>
            <w:noWrap/>
            <w:vAlign w:val="bottom"/>
            <w:hideMark/>
          </w:tcPr>
          <w:p w14:paraId="63201E39"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0%</w:t>
            </w:r>
          </w:p>
        </w:tc>
      </w:tr>
      <w:tr w:rsidR="008A580F" w:rsidRPr="008A580F" w14:paraId="70F80AB7" w14:textId="77777777" w:rsidTr="008A580F">
        <w:trPr>
          <w:trHeight w:val="300"/>
        </w:trPr>
        <w:tc>
          <w:tcPr>
            <w:tcW w:w="1248" w:type="dxa"/>
            <w:noWrap/>
            <w:vAlign w:val="bottom"/>
            <w:hideMark/>
          </w:tcPr>
          <w:p w14:paraId="0F3E95F2" w14:textId="77777777" w:rsidR="008A580F" w:rsidRPr="00AB429E" w:rsidRDefault="008A580F" w:rsidP="008A580F">
            <w:pPr>
              <w:suppressAutoHyphens w:val="0"/>
              <w:autoSpaceDN/>
              <w:spacing w:after="0" w:line="240" w:lineRule="auto"/>
              <w:jc w:val="center"/>
              <w:rPr>
                <w:rFonts w:cs="Arial"/>
                <w:sz w:val="18"/>
                <w:szCs w:val="18"/>
              </w:rPr>
            </w:pPr>
          </w:p>
        </w:tc>
        <w:tc>
          <w:tcPr>
            <w:tcW w:w="813" w:type="dxa"/>
            <w:noWrap/>
            <w:vAlign w:val="bottom"/>
            <w:hideMark/>
          </w:tcPr>
          <w:p w14:paraId="6F0B20DB" w14:textId="77777777" w:rsidR="008A580F" w:rsidRPr="00AB429E" w:rsidRDefault="008A580F" w:rsidP="008A580F">
            <w:pPr>
              <w:suppressAutoHyphens w:val="0"/>
              <w:autoSpaceDN/>
              <w:spacing w:after="0" w:line="240" w:lineRule="auto"/>
              <w:rPr>
                <w:rFonts w:cs="Arial"/>
                <w:sz w:val="18"/>
                <w:szCs w:val="18"/>
              </w:rPr>
            </w:pPr>
          </w:p>
        </w:tc>
        <w:tc>
          <w:tcPr>
            <w:tcW w:w="899" w:type="dxa"/>
            <w:noWrap/>
            <w:vAlign w:val="bottom"/>
            <w:hideMark/>
          </w:tcPr>
          <w:p w14:paraId="18F85764" w14:textId="77777777" w:rsidR="008A580F" w:rsidRPr="00AB429E" w:rsidRDefault="008A580F" w:rsidP="008A580F">
            <w:pPr>
              <w:suppressAutoHyphens w:val="0"/>
              <w:autoSpaceDN/>
              <w:spacing w:after="0" w:line="240" w:lineRule="auto"/>
              <w:rPr>
                <w:rFonts w:cs="Arial"/>
                <w:sz w:val="18"/>
                <w:szCs w:val="18"/>
              </w:rPr>
            </w:pPr>
          </w:p>
        </w:tc>
        <w:tc>
          <w:tcPr>
            <w:tcW w:w="848" w:type="dxa"/>
            <w:noWrap/>
            <w:vAlign w:val="bottom"/>
            <w:hideMark/>
          </w:tcPr>
          <w:p w14:paraId="0A3D451D" w14:textId="77777777" w:rsidR="008A580F" w:rsidRPr="00AB429E" w:rsidRDefault="008A580F" w:rsidP="008A580F">
            <w:pPr>
              <w:suppressAutoHyphens w:val="0"/>
              <w:autoSpaceDN/>
              <w:spacing w:after="0" w:line="240" w:lineRule="auto"/>
              <w:rPr>
                <w:rFonts w:cs="Arial"/>
                <w:sz w:val="18"/>
                <w:szCs w:val="18"/>
              </w:rPr>
            </w:pPr>
          </w:p>
        </w:tc>
        <w:tc>
          <w:tcPr>
            <w:tcW w:w="1569" w:type="dxa"/>
            <w:noWrap/>
            <w:vAlign w:val="bottom"/>
            <w:hideMark/>
          </w:tcPr>
          <w:p w14:paraId="6B911C56" w14:textId="77777777" w:rsidR="008A580F" w:rsidRPr="00AB429E" w:rsidRDefault="008A580F" w:rsidP="008A580F">
            <w:pPr>
              <w:suppressAutoHyphens w:val="0"/>
              <w:autoSpaceDN/>
              <w:spacing w:after="0" w:line="240" w:lineRule="auto"/>
              <w:rPr>
                <w:rFonts w:cs="Arial"/>
                <w:sz w:val="18"/>
                <w:szCs w:val="18"/>
              </w:rPr>
            </w:pPr>
          </w:p>
        </w:tc>
        <w:tc>
          <w:tcPr>
            <w:tcW w:w="1194" w:type="dxa"/>
            <w:noWrap/>
            <w:vAlign w:val="bottom"/>
            <w:hideMark/>
          </w:tcPr>
          <w:p w14:paraId="38F8EEED"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EECO07</w:t>
            </w:r>
          </w:p>
        </w:tc>
        <w:tc>
          <w:tcPr>
            <w:tcW w:w="1285" w:type="dxa"/>
            <w:noWrap/>
            <w:vAlign w:val="bottom"/>
            <w:hideMark/>
          </w:tcPr>
          <w:p w14:paraId="40F2D24A"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1</w:t>
            </w:r>
          </w:p>
        </w:tc>
        <w:tc>
          <w:tcPr>
            <w:tcW w:w="1684" w:type="dxa"/>
            <w:shd w:val="clear" w:color="000000" w:fill="F8696B"/>
            <w:noWrap/>
            <w:vAlign w:val="bottom"/>
            <w:hideMark/>
          </w:tcPr>
          <w:p w14:paraId="3E7A32B4"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0%</w:t>
            </w:r>
          </w:p>
        </w:tc>
      </w:tr>
      <w:tr w:rsidR="008A580F" w:rsidRPr="008A580F" w14:paraId="51653243" w14:textId="77777777" w:rsidTr="008A580F">
        <w:trPr>
          <w:trHeight w:val="300"/>
        </w:trPr>
        <w:tc>
          <w:tcPr>
            <w:tcW w:w="1248" w:type="dxa"/>
            <w:noWrap/>
            <w:vAlign w:val="bottom"/>
            <w:hideMark/>
          </w:tcPr>
          <w:p w14:paraId="76BFFAD3" w14:textId="77777777" w:rsidR="008A580F" w:rsidRPr="00AB429E" w:rsidRDefault="008A580F" w:rsidP="008A580F">
            <w:pPr>
              <w:suppressAutoHyphens w:val="0"/>
              <w:autoSpaceDN/>
              <w:spacing w:after="0" w:line="240" w:lineRule="auto"/>
              <w:jc w:val="center"/>
              <w:rPr>
                <w:rFonts w:cs="Arial"/>
                <w:sz w:val="18"/>
                <w:szCs w:val="18"/>
              </w:rPr>
            </w:pPr>
          </w:p>
        </w:tc>
        <w:tc>
          <w:tcPr>
            <w:tcW w:w="813" w:type="dxa"/>
            <w:noWrap/>
            <w:vAlign w:val="bottom"/>
            <w:hideMark/>
          </w:tcPr>
          <w:p w14:paraId="3E0663AB" w14:textId="77777777" w:rsidR="008A580F" w:rsidRPr="00AB429E" w:rsidRDefault="008A580F" w:rsidP="008A580F">
            <w:pPr>
              <w:suppressAutoHyphens w:val="0"/>
              <w:autoSpaceDN/>
              <w:spacing w:after="0" w:line="240" w:lineRule="auto"/>
              <w:rPr>
                <w:rFonts w:cs="Arial"/>
                <w:sz w:val="18"/>
                <w:szCs w:val="18"/>
              </w:rPr>
            </w:pPr>
          </w:p>
        </w:tc>
        <w:tc>
          <w:tcPr>
            <w:tcW w:w="899" w:type="dxa"/>
            <w:noWrap/>
            <w:vAlign w:val="bottom"/>
            <w:hideMark/>
          </w:tcPr>
          <w:p w14:paraId="162A6A12" w14:textId="77777777" w:rsidR="008A580F" w:rsidRPr="00AB429E" w:rsidRDefault="008A580F" w:rsidP="008A580F">
            <w:pPr>
              <w:suppressAutoHyphens w:val="0"/>
              <w:autoSpaceDN/>
              <w:spacing w:after="0" w:line="240" w:lineRule="auto"/>
              <w:rPr>
                <w:rFonts w:cs="Arial"/>
                <w:sz w:val="18"/>
                <w:szCs w:val="18"/>
              </w:rPr>
            </w:pPr>
          </w:p>
        </w:tc>
        <w:tc>
          <w:tcPr>
            <w:tcW w:w="848" w:type="dxa"/>
            <w:noWrap/>
            <w:vAlign w:val="bottom"/>
            <w:hideMark/>
          </w:tcPr>
          <w:p w14:paraId="7433EAEF" w14:textId="77777777" w:rsidR="008A580F" w:rsidRPr="00AB429E" w:rsidRDefault="008A580F" w:rsidP="008A580F">
            <w:pPr>
              <w:suppressAutoHyphens w:val="0"/>
              <w:autoSpaceDN/>
              <w:spacing w:after="0" w:line="240" w:lineRule="auto"/>
              <w:rPr>
                <w:rFonts w:cs="Arial"/>
                <w:sz w:val="18"/>
                <w:szCs w:val="18"/>
              </w:rPr>
            </w:pPr>
          </w:p>
        </w:tc>
        <w:tc>
          <w:tcPr>
            <w:tcW w:w="1569" w:type="dxa"/>
            <w:noWrap/>
            <w:vAlign w:val="bottom"/>
            <w:hideMark/>
          </w:tcPr>
          <w:p w14:paraId="06C8CE16"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Zahod</w:t>
            </w:r>
          </w:p>
        </w:tc>
        <w:tc>
          <w:tcPr>
            <w:tcW w:w="1194" w:type="dxa"/>
            <w:noWrap/>
            <w:vAlign w:val="bottom"/>
            <w:hideMark/>
          </w:tcPr>
          <w:p w14:paraId="6096CDD3"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EECO18</w:t>
            </w:r>
          </w:p>
        </w:tc>
        <w:tc>
          <w:tcPr>
            <w:tcW w:w="1285" w:type="dxa"/>
            <w:noWrap/>
            <w:vAlign w:val="bottom"/>
            <w:hideMark/>
          </w:tcPr>
          <w:p w14:paraId="1462FB76"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1</w:t>
            </w:r>
          </w:p>
        </w:tc>
        <w:tc>
          <w:tcPr>
            <w:tcW w:w="1684" w:type="dxa"/>
            <w:shd w:val="clear" w:color="000000" w:fill="FBEA84"/>
            <w:noWrap/>
            <w:vAlign w:val="bottom"/>
            <w:hideMark/>
          </w:tcPr>
          <w:p w14:paraId="34558F3F"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4%</w:t>
            </w:r>
          </w:p>
        </w:tc>
      </w:tr>
      <w:tr w:rsidR="008A580F" w:rsidRPr="008A580F" w14:paraId="7754B3C1" w14:textId="77777777" w:rsidTr="008A580F">
        <w:trPr>
          <w:trHeight w:val="300"/>
        </w:trPr>
        <w:tc>
          <w:tcPr>
            <w:tcW w:w="1248" w:type="dxa"/>
            <w:noWrap/>
            <w:vAlign w:val="bottom"/>
            <w:hideMark/>
          </w:tcPr>
          <w:p w14:paraId="32460E08" w14:textId="77777777" w:rsidR="008A580F" w:rsidRPr="00AB429E" w:rsidRDefault="008A580F" w:rsidP="008A580F">
            <w:pPr>
              <w:suppressAutoHyphens w:val="0"/>
              <w:autoSpaceDN/>
              <w:spacing w:after="0" w:line="240" w:lineRule="auto"/>
              <w:jc w:val="center"/>
              <w:rPr>
                <w:rFonts w:cs="Arial"/>
                <w:sz w:val="18"/>
                <w:szCs w:val="18"/>
              </w:rPr>
            </w:pPr>
          </w:p>
        </w:tc>
        <w:tc>
          <w:tcPr>
            <w:tcW w:w="813" w:type="dxa"/>
            <w:noWrap/>
            <w:vAlign w:val="bottom"/>
            <w:hideMark/>
          </w:tcPr>
          <w:p w14:paraId="44950CA4" w14:textId="77777777" w:rsidR="008A580F" w:rsidRPr="00AB429E" w:rsidRDefault="008A580F" w:rsidP="008A580F">
            <w:pPr>
              <w:suppressAutoHyphens w:val="0"/>
              <w:autoSpaceDN/>
              <w:spacing w:after="0" w:line="240" w:lineRule="auto"/>
              <w:rPr>
                <w:rFonts w:cs="Arial"/>
                <w:sz w:val="18"/>
                <w:szCs w:val="18"/>
              </w:rPr>
            </w:pPr>
          </w:p>
        </w:tc>
        <w:tc>
          <w:tcPr>
            <w:tcW w:w="899" w:type="dxa"/>
            <w:noWrap/>
            <w:vAlign w:val="bottom"/>
            <w:hideMark/>
          </w:tcPr>
          <w:p w14:paraId="2512D136" w14:textId="77777777" w:rsidR="008A580F" w:rsidRPr="00AB429E" w:rsidRDefault="008A580F" w:rsidP="008A580F">
            <w:pPr>
              <w:suppressAutoHyphens w:val="0"/>
              <w:autoSpaceDN/>
              <w:spacing w:after="0" w:line="240" w:lineRule="auto"/>
              <w:rPr>
                <w:rFonts w:cs="Arial"/>
                <w:sz w:val="18"/>
                <w:szCs w:val="18"/>
              </w:rPr>
            </w:pPr>
          </w:p>
        </w:tc>
        <w:tc>
          <w:tcPr>
            <w:tcW w:w="848" w:type="dxa"/>
            <w:noWrap/>
            <w:vAlign w:val="bottom"/>
            <w:hideMark/>
          </w:tcPr>
          <w:p w14:paraId="5DF0D217" w14:textId="77777777" w:rsidR="008A580F" w:rsidRPr="00AB429E" w:rsidRDefault="008A580F" w:rsidP="008A580F">
            <w:pPr>
              <w:suppressAutoHyphens w:val="0"/>
              <w:autoSpaceDN/>
              <w:spacing w:after="0" w:line="240" w:lineRule="auto"/>
              <w:rPr>
                <w:rFonts w:cs="Arial"/>
                <w:sz w:val="18"/>
                <w:szCs w:val="18"/>
              </w:rPr>
            </w:pPr>
          </w:p>
        </w:tc>
        <w:tc>
          <w:tcPr>
            <w:tcW w:w="1569" w:type="dxa"/>
            <w:noWrap/>
            <w:vAlign w:val="bottom"/>
            <w:hideMark/>
          </w:tcPr>
          <w:p w14:paraId="7AB8B583" w14:textId="77777777" w:rsidR="008A580F" w:rsidRPr="00AB429E" w:rsidRDefault="008A580F" w:rsidP="008A580F">
            <w:pPr>
              <w:suppressAutoHyphens w:val="0"/>
              <w:autoSpaceDN/>
              <w:spacing w:after="0" w:line="240" w:lineRule="auto"/>
              <w:rPr>
                <w:rFonts w:cs="Arial"/>
                <w:sz w:val="18"/>
                <w:szCs w:val="18"/>
              </w:rPr>
            </w:pPr>
          </w:p>
        </w:tc>
        <w:tc>
          <w:tcPr>
            <w:tcW w:w="1194" w:type="dxa"/>
            <w:noWrap/>
            <w:vAlign w:val="bottom"/>
            <w:hideMark/>
          </w:tcPr>
          <w:p w14:paraId="1B1857C8"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EECO05</w:t>
            </w:r>
          </w:p>
        </w:tc>
        <w:tc>
          <w:tcPr>
            <w:tcW w:w="1285" w:type="dxa"/>
            <w:noWrap/>
            <w:vAlign w:val="bottom"/>
            <w:hideMark/>
          </w:tcPr>
          <w:p w14:paraId="0FEC4A6F"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1</w:t>
            </w:r>
          </w:p>
        </w:tc>
        <w:tc>
          <w:tcPr>
            <w:tcW w:w="1684" w:type="dxa"/>
            <w:shd w:val="clear" w:color="000000" w:fill="F8696B"/>
            <w:noWrap/>
            <w:vAlign w:val="bottom"/>
            <w:hideMark/>
          </w:tcPr>
          <w:p w14:paraId="76F02F54"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0%</w:t>
            </w:r>
          </w:p>
        </w:tc>
      </w:tr>
      <w:tr w:rsidR="008A580F" w:rsidRPr="008A580F" w14:paraId="733CE550" w14:textId="77777777" w:rsidTr="008A580F">
        <w:trPr>
          <w:trHeight w:val="300"/>
        </w:trPr>
        <w:tc>
          <w:tcPr>
            <w:tcW w:w="1248" w:type="dxa"/>
            <w:noWrap/>
            <w:vAlign w:val="bottom"/>
            <w:hideMark/>
          </w:tcPr>
          <w:p w14:paraId="0780F844" w14:textId="77777777" w:rsidR="008A580F" w:rsidRPr="00AB429E" w:rsidRDefault="008A580F" w:rsidP="008A580F">
            <w:pPr>
              <w:suppressAutoHyphens w:val="0"/>
              <w:autoSpaceDN/>
              <w:spacing w:after="0" w:line="240" w:lineRule="auto"/>
              <w:jc w:val="center"/>
              <w:rPr>
                <w:rFonts w:cs="Arial"/>
                <w:sz w:val="18"/>
                <w:szCs w:val="18"/>
              </w:rPr>
            </w:pPr>
          </w:p>
        </w:tc>
        <w:tc>
          <w:tcPr>
            <w:tcW w:w="813" w:type="dxa"/>
            <w:noWrap/>
            <w:vAlign w:val="bottom"/>
            <w:hideMark/>
          </w:tcPr>
          <w:p w14:paraId="79C0F3A2" w14:textId="77777777" w:rsidR="008A580F" w:rsidRPr="00AB429E" w:rsidRDefault="008A580F" w:rsidP="008A580F">
            <w:pPr>
              <w:suppressAutoHyphens w:val="0"/>
              <w:autoSpaceDN/>
              <w:spacing w:after="0" w:line="240" w:lineRule="auto"/>
              <w:rPr>
                <w:rFonts w:cs="Arial"/>
                <w:sz w:val="18"/>
                <w:szCs w:val="18"/>
              </w:rPr>
            </w:pPr>
          </w:p>
        </w:tc>
        <w:tc>
          <w:tcPr>
            <w:tcW w:w="899" w:type="dxa"/>
            <w:noWrap/>
            <w:vAlign w:val="bottom"/>
            <w:hideMark/>
          </w:tcPr>
          <w:p w14:paraId="7A4F911F" w14:textId="77777777" w:rsidR="008A580F" w:rsidRPr="00AB429E" w:rsidRDefault="008A580F" w:rsidP="008A580F">
            <w:pPr>
              <w:suppressAutoHyphens w:val="0"/>
              <w:autoSpaceDN/>
              <w:spacing w:after="0" w:line="240" w:lineRule="auto"/>
              <w:rPr>
                <w:rFonts w:cs="Arial"/>
                <w:sz w:val="18"/>
                <w:szCs w:val="18"/>
              </w:rPr>
            </w:pPr>
          </w:p>
        </w:tc>
        <w:tc>
          <w:tcPr>
            <w:tcW w:w="848" w:type="dxa"/>
            <w:noWrap/>
            <w:vAlign w:val="bottom"/>
            <w:hideMark/>
          </w:tcPr>
          <w:p w14:paraId="597F5B74" w14:textId="77777777" w:rsidR="008A580F" w:rsidRPr="00AB429E" w:rsidRDefault="008A580F" w:rsidP="008A580F">
            <w:pPr>
              <w:suppressAutoHyphens w:val="0"/>
              <w:autoSpaceDN/>
              <w:spacing w:after="0" w:line="240" w:lineRule="auto"/>
              <w:rPr>
                <w:rFonts w:cs="Arial"/>
                <w:sz w:val="18"/>
                <w:szCs w:val="18"/>
              </w:rPr>
            </w:pPr>
          </w:p>
        </w:tc>
        <w:tc>
          <w:tcPr>
            <w:tcW w:w="1569" w:type="dxa"/>
            <w:noWrap/>
            <w:vAlign w:val="bottom"/>
            <w:hideMark/>
          </w:tcPr>
          <w:p w14:paraId="05E46176" w14:textId="77777777" w:rsidR="008A580F" w:rsidRPr="00AB429E" w:rsidRDefault="008A580F" w:rsidP="008A580F">
            <w:pPr>
              <w:suppressAutoHyphens w:val="0"/>
              <w:autoSpaceDN/>
              <w:spacing w:after="0" w:line="240" w:lineRule="auto"/>
              <w:rPr>
                <w:rFonts w:cs="Arial"/>
                <w:sz w:val="18"/>
                <w:szCs w:val="18"/>
              </w:rPr>
            </w:pPr>
          </w:p>
        </w:tc>
        <w:tc>
          <w:tcPr>
            <w:tcW w:w="1194" w:type="dxa"/>
            <w:noWrap/>
            <w:vAlign w:val="bottom"/>
            <w:hideMark/>
          </w:tcPr>
          <w:p w14:paraId="257BAA0F"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EECO07</w:t>
            </w:r>
          </w:p>
        </w:tc>
        <w:tc>
          <w:tcPr>
            <w:tcW w:w="1285" w:type="dxa"/>
            <w:noWrap/>
            <w:vAlign w:val="bottom"/>
            <w:hideMark/>
          </w:tcPr>
          <w:p w14:paraId="1437D226"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1</w:t>
            </w:r>
          </w:p>
        </w:tc>
        <w:tc>
          <w:tcPr>
            <w:tcW w:w="1684" w:type="dxa"/>
            <w:shd w:val="clear" w:color="000000" w:fill="F8696B"/>
            <w:noWrap/>
            <w:vAlign w:val="bottom"/>
            <w:hideMark/>
          </w:tcPr>
          <w:p w14:paraId="3C85C755"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0%</w:t>
            </w:r>
          </w:p>
        </w:tc>
      </w:tr>
      <w:tr w:rsidR="008A580F" w:rsidRPr="008A580F" w14:paraId="02374B1D" w14:textId="77777777" w:rsidTr="008A580F">
        <w:trPr>
          <w:trHeight w:val="300"/>
        </w:trPr>
        <w:tc>
          <w:tcPr>
            <w:tcW w:w="1248" w:type="dxa"/>
            <w:noWrap/>
            <w:vAlign w:val="bottom"/>
            <w:hideMark/>
          </w:tcPr>
          <w:p w14:paraId="02361B50" w14:textId="77777777" w:rsidR="008A580F" w:rsidRPr="00AB429E" w:rsidRDefault="008A580F" w:rsidP="008A580F">
            <w:pPr>
              <w:suppressAutoHyphens w:val="0"/>
              <w:autoSpaceDN/>
              <w:spacing w:after="0" w:line="240" w:lineRule="auto"/>
              <w:jc w:val="center"/>
              <w:rPr>
                <w:rFonts w:cs="Arial"/>
                <w:sz w:val="18"/>
                <w:szCs w:val="18"/>
              </w:rPr>
            </w:pPr>
          </w:p>
        </w:tc>
        <w:tc>
          <w:tcPr>
            <w:tcW w:w="813" w:type="dxa"/>
            <w:noWrap/>
            <w:vAlign w:val="bottom"/>
            <w:hideMark/>
          </w:tcPr>
          <w:p w14:paraId="70C2793E" w14:textId="77777777" w:rsidR="008A580F" w:rsidRPr="00AB429E" w:rsidRDefault="008A580F" w:rsidP="008A580F">
            <w:pPr>
              <w:suppressAutoHyphens w:val="0"/>
              <w:autoSpaceDN/>
              <w:spacing w:after="0" w:line="240" w:lineRule="auto"/>
              <w:rPr>
                <w:rFonts w:cs="Arial"/>
                <w:sz w:val="18"/>
                <w:szCs w:val="18"/>
              </w:rPr>
            </w:pPr>
          </w:p>
        </w:tc>
        <w:tc>
          <w:tcPr>
            <w:tcW w:w="899" w:type="dxa"/>
            <w:noWrap/>
            <w:vAlign w:val="bottom"/>
            <w:hideMark/>
          </w:tcPr>
          <w:p w14:paraId="6FB22DAB"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ESO4.7</w:t>
            </w:r>
          </w:p>
        </w:tc>
        <w:tc>
          <w:tcPr>
            <w:tcW w:w="848" w:type="dxa"/>
            <w:noWrap/>
            <w:vAlign w:val="bottom"/>
            <w:hideMark/>
          </w:tcPr>
          <w:p w14:paraId="218EEA7D" w14:textId="77777777" w:rsidR="008A580F" w:rsidRPr="00AB429E" w:rsidRDefault="008A580F" w:rsidP="008A580F">
            <w:pPr>
              <w:suppressAutoHyphens w:val="0"/>
              <w:autoSpaceDN/>
              <w:spacing w:after="0" w:line="240" w:lineRule="auto"/>
              <w:rPr>
                <w:rFonts w:cs="Arial"/>
                <w:b/>
                <w:bCs/>
                <w:color w:val="000000"/>
                <w:sz w:val="18"/>
                <w:szCs w:val="18"/>
              </w:rPr>
            </w:pPr>
            <w:r w:rsidRPr="00AB429E">
              <w:rPr>
                <w:rFonts w:cs="Arial"/>
                <w:b/>
                <w:bCs/>
                <w:color w:val="000000"/>
                <w:sz w:val="18"/>
                <w:szCs w:val="18"/>
              </w:rPr>
              <w:t>ESS+</w:t>
            </w:r>
          </w:p>
        </w:tc>
        <w:tc>
          <w:tcPr>
            <w:tcW w:w="1569" w:type="dxa"/>
            <w:noWrap/>
            <w:vAlign w:val="bottom"/>
            <w:hideMark/>
          </w:tcPr>
          <w:p w14:paraId="02C69082"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Vzhod</w:t>
            </w:r>
          </w:p>
        </w:tc>
        <w:tc>
          <w:tcPr>
            <w:tcW w:w="1194" w:type="dxa"/>
            <w:noWrap/>
            <w:vAlign w:val="bottom"/>
            <w:hideMark/>
          </w:tcPr>
          <w:p w14:paraId="16A28F90"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EECO01</w:t>
            </w:r>
          </w:p>
        </w:tc>
        <w:tc>
          <w:tcPr>
            <w:tcW w:w="1285" w:type="dxa"/>
            <w:noWrap/>
            <w:vAlign w:val="bottom"/>
            <w:hideMark/>
          </w:tcPr>
          <w:p w14:paraId="756A53F7"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1</w:t>
            </w:r>
          </w:p>
        </w:tc>
        <w:tc>
          <w:tcPr>
            <w:tcW w:w="1684" w:type="dxa"/>
            <w:shd w:val="clear" w:color="000000" w:fill="A6D27F"/>
            <w:noWrap/>
            <w:vAlign w:val="bottom"/>
            <w:hideMark/>
          </w:tcPr>
          <w:p w14:paraId="0B24149C"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72%</w:t>
            </w:r>
          </w:p>
        </w:tc>
      </w:tr>
      <w:tr w:rsidR="008A580F" w:rsidRPr="008A580F" w14:paraId="7E80A6D5" w14:textId="77777777" w:rsidTr="008A580F">
        <w:trPr>
          <w:trHeight w:val="300"/>
        </w:trPr>
        <w:tc>
          <w:tcPr>
            <w:tcW w:w="1248" w:type="dxa"/>
            <w:noWrap/>
            <w:vAlign w:val="bottom"/>
            <w:hideMark/>
          </w:tcPr>
          <w:p w14:paraId="1E4951FB" w14:textId="77777777" w:rsidR="008A580F" w:rsidRPr="00AB429E" w:rsidRDefault="008A580F" w:rsidP="008A580F">
            <w:pPr>
              <w:suppressAutoHyphens w:val="0"/>
              <w:autoSpaceDN/>
              <w:spacing w:after="0" w:line="240" w:lineRule="auto"/>
              <w:jc w:val="center"/>
              <w:rPr>
                <w:rFonts w:cs="Arial"/>
                <w:sz w:val="18"/>
                <w:szCs w:val="18"/>
              </w:rPr>
            </w:pPr>
          </w:p>
        </w:tc>
        <w:tc>
          <w:tcPr>
            <w:tcW w:w="813" w:type="dxa"/>
            <w:noWrap/>
            <w:vAlign w:val="bottom"/>
            <w:hideMark/>
          </w:tcPr>
          <w:p w14:paraId="7DDAD7BC" w14:textId="77777777" w:rsidR="008A580F" w:rsidRPr="00AB429E" w:rsidRDefault="008A580F" w:rsidP="008A580F">
            <w:pPr>
              <w:suppressAutoHyphens w:val="0"/>
              <w:autoSpaceDN/>
              <w:spacing w:after="0" w:line="240" w:lineRule="auto"/>
              <w:rPr>
                <w:rFonts w:cs="Arial"/>
                <w:sz w:val="18"/>
                <w:szCs w:val="18"/>
              </w:rPr>
            </w:pPr>
          </w:p>
        </w:tc>
        <w:tc>
          <w:tcPr>
            <w:tcW w:w="899" w:type="dxa"/>
            <w:noWrap/>
            <w:vAlign w:val="bottom"/>
            <w:hideMark/>
          </w:tcPr>
          <w:p w14:paraId="4F933810" w14:textId="77777777" w:rsidR="008A580F" w:rsidRPr="00AB429E" w:rsidRDefault="008A580F" w:rsidP="008A580F">
            <w:pPr>
              <w:suppressAutoHyphens w:val="0"/>
              <w:autoSpaceDN/>
              <w:spacing w:after="0" w:line="240" w:lineRule="auto"/>
              <w:rPr>
                <w:rFonts w:cs="Arial"/>
                <w:sz w:val="18"/>
                <w:szCs w:val="18"/>
              </w:rPr>
            </w:pPr>
          </w:p>
        </w:tc>
        <w:tc>
          <w:tcPr>
            <w:tcW w:w="848" w:type="dxa"/>
            <w:noWrap/>
            <w:vAlign w:val="bottom"/>
            <w:hideMark/>
          </w:tcPr>
          <w:p w14:paraId="5DDAA5E3" w14:textId="77777777" w:rsidR="008A580F" w:rsidRPr="00AB429E" w:rsidRDefault="008A580F" w:rsidP="008A580F">
            <w:pPr>
              <w:suppressAutoHyphens w:val="0"/>
              <w:autoSpaceDN/>
              <w:spacing w:after="0" w:line="240" w:lineRule="auto"/>
              <w:rPr>
                <w:rFonts w:cs="Arial"/>
                <w:sz w:val="18"/>
                <w:szCs w:val="18"/>
              </w:rPr>
            </w:pPr>
          </w:p>
        </w:tc>
        <w:tc>
          <w:tcPr>
            <w:tcW w:w="1569" w:type="dxa"/>
            <w:noWrap/>
            <w:vAlign w:val="bottom"/>
            <w:hideMark/>
          </w:tcPr>
          <w:p w14:paraId="281ADAC5"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Zahod</w:t>
            </w:r>
          </w:p>
        </w:tc>
        <w:tc>
          <w:tcPr>
            <w:tcW w:w="1194" w:type="dxa"/>
            <w:noWrap/>
            <w:vAlign w:val="bottom"/>
            <w:hideMark/>
          </w:tcPr>
          <w:p w14:paraId="29478139"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EECO01</w:t>
            </w:r>
          </w:p>
        </w:tc>
        <w:tc>
          <w:tcPr>
            <w:tcW w:w="1285" w:type="dxa"/>
            <w:noWrap/>
            <w:vAlign w:val="bottom"/>
            <w:hideMark/>
          </w:tcPr>
          <w:p w14:paraId="37353063"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1</w:t>
            </w:r>
          </w:p>
        </w:tc>
        <w:tc>
          <w:tcPr>
            <w:tcW w:w="1684" w:type="dxa"/>
            <w:shd w:val="clear" w:color="000000" w:fill="9FD07F"/>
            <w:noWrap/>
            <w:vAlign w:val="bottom"/>
            <w:hideMark/>
          </w:tcPr>
          <w:p w14:paraId="0E8E2726"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78%</w:t>
            </w:r>
          </w:p>
        </w:tc>
      </w:tr>
      <w:tr w:rsidR="008A580F" w:rsidRPr="008A580F" w14:paraId="34C77739" w14:textId="77777777" w:rsidTr="008A580F">
        <w:trPr>
          <w:trHeight w:val="300"/>
        </w:trPr>
        <w:tc>
          <w:tcPr>
            <w:tcW w:w="1248" w:type="dxa"/>
            <w:noWrap/>
            <w:vAlign w:val="bottom"/>
            <w:hideMark/>
          </w:tcPr>
          <w:p w14:paraId="288D24E7" w14:textId="77777777" w:rsidR="008A580F" w:rsidRPr="00AB429E" w:rsidRDefault="008A580F" w:rsidP="008A580F">
            <w:pPr>
              <w:suppressAutoHyphens w:val="0"/>
              <w:autoSpaceDN/>
              <w:spacing w:after="0" w:line="240" w:lineRule="auto"/>
              <w:jc w:val="center"/>
              <w:rPr>
                <w:rFonts w:cs="Arial"/>
                <w:sz w:val="18"/>
                <w:szCs w:val="18"/>
              </w:rPr>
            </w:pPr>
          </w:p>
        </w:tc>
        <w:tc>
          <w:tcPr>
            <w:tcW w:w="813" w:type="dxa"/>
            <w:noWrap/>
            <w:vAlign w:val="bottom"/>
            <w:hideMark/>
          </w:tcPr>
          <w:p w14:paraId="49CD7E92" w14:textId="77777777" w:rsidR="008A580F" w:rsidRPr="00AB429E" w:rsidRDefault="008A580F" w:rsidP="008A580F">
            <w:pPr>
              <w:suppressAutoHyphens w:val="0"/>
              <w:autoSpaceDN/>
              <w:spacing w:after="0" w:line="240" w:lineRule="auto"/>
              <w:rPr>
                <w:rFonts w:cs="Arial"/>
                <w:b/>
                <w:bCs/>
                <w:color w:val="000000"/>
                <w:sz w:val="18"/>
                <w:szCs w:val="18"/>
              </w:rPr>
            </w:pPr>
            <w:r w:rsidRPr="00AB429E">
              <w:rPr>
                <w:rFonts w:cs="Arial"/>
                <w:b/>
                <w:bCs/>
                <w:color w:val="000000"/>
                <w:sz w:val="18"/>
                <w:szCs w:val="18"/>
              </w:rPr>
              <w:t>PN7</w:t>
            </w:r>
          </w:p>
        </w:tc>
        <w:tc>
          <w:tcPr>
            <w:tcW w:w="899" w:type="dxa"/>
            <w:noWrap/>
            <w:vAlign w:val="bottom"/>
            <w:hideMark/>
          </w:tcPr>
          <w:p w14:paraId="6B7D79E8"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ESO4.11</w:t>
            </w:r>
          </w:p>
        </w:tc>
        <w:tc>
          <w:tcPr>
            <w:tcW w:w="848" w:type="dxa"/>
            <w:noWrap/>
            <w:vAlign w:val="bottom"/>
            <w:hideMark/>
          </w:tcPr>
          <w:p w14:paraId="47BAB570" w14:textId="77777777" w:rsidR="008A580F" w:rsidRPr="00AB429E" w:rsidRDefault="008A580F" w:rsidP="008A580F">
            <w:pPr>
              <w:suppressAutoHyphens w:val="0"/>
              <w:autoSpaceDN/>
              <w:spacing w:after="0" w:line="240" w:lineRule="auto"/>
              <w:rPr>
                <w:rFonts w:cs="Arial"/>
                <w:b/>
                <w:bCs/>
                <w:color w:val="000000"/>
                <w:sz w:val="18"/>
                <w:szCs w:val="18"/>
              </w:rPr>
            </w:pPr>
            <w:r w:rsidRPr="00AB429E">
              <w:rPr>
                <w:rFonts w:cs="Arial"/>
                <w:b/>
                <w:bCs/>
                <w:color w:val="000000"/>
                <w:sz w:val="18"/>
                <w:szCs w:val="18"/>
              </w:rPr>
              <w:t>ESS+</w:t>
            </w:r>
          </w:p>
        </w:tc>
        <w:tc>
          <w:tcPr>
            <w:tcW w:w="1569" w:type="dxa"/>
            <w:noWrap/>
            <w:vAlign w:val="bottom"/>
            <w:hideMark/>
          </w:tcPr>
          <w:p w14:paraId="60CF62C7"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Vzhod</w:t>
            </w:r>
          </w:p>
        </w:tc>
        <w:tc>
          <w:tcPr>
            <w:tcW w:w="1194" w:type="dxa"/>
            <w:noWrap/>
            <w:vAlign w:val="bottom"/>
            <w:hideMark/>
          </w:tcPr>
          <w:p w14:paraId="0F0D4503"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EECO18</w:t>
            </w:r>
          </w:p>
        </w:tc>
        <w:tc>
          <w:tcPr>
            <w:tcW w:w="1285" w:type="dxa"/>
            <w:noWrap/>
            <w:vAlign w:val="bottom"/>
            <w:hideMark/>
          </w:tcPr>
          <w:p w14:paraId="0B1D39F8"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1</w:t>
            </w:r>
          </w:p>
        </w:tc>
        <w:tc>
          <w:tcPr>
            <w:tcW w:w="1684" w:type="dxa"/>
            <w:shd w:val="clear" w:color="000000" w:fill="F8696B"/>
            <w:noWrap/>
            <w:vAlign w:val="bottom"/>
            <w:hideMark/>
          </w:tcPr>
          <w:p w14:paraId="7B458335"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0%</w:t>
            </w:r>
          </w:p>
        </w:tc>
      </w:tr>
      <w:tr w:rsidR="008A580F" w:rsidRPr="008A580F" w14:paraId="0F3B9E43" w14:textId="77777777" w:rsidTr="008A580F">
        <w:trPr>
          <w:trHeight w:val="300"/>
        </w:trPr>
        <w:tc>
          <w:tcPr>
            <w:tcW w:w="1248" w:type="dxa"/>
            <w:noWrap/>
            <w:vAlign w:val="bottom"/>
            <w:hideMark/>
          </w:tcPr>
          <w:p w14:paraId="63359FFE" w14:textId="77777777" w:rsidR="008A580F" w:rsidRPr="00AB429E" w:rsidRDefault="008A580F" w:rsidP="008A580F">
            <w:pPr>
              <w:suppressAutoHyphens w:val="0"/>
              <w:autoSpaceDN/>
              <w:spacing w:after="0" w:line="240" w:lineRule="auto"/>
              <w:jc w:val="center"/>
              <w:rPr>
                <w:rFonts w:cs="Arial"/>
                <w:sz w:val="18"/>
                <w:szCs w:val="18"/>
              </w:rPr>
            </w:pPr>
          </w:p>
        </w:tc>
        <w:tc>
          <w:tcPr>
            <w:tcW w:w="813" w:type="dxa"/>
            <w:noWrap/>
            <w:vAlign w:val="bottom"/>
            <w:hideMark/>
          </w:tcPr>
          <w:p w14:paraId="1B47CEC2" w14:textId="77777777" w:rsidR="008A580F" w:rsidRPr="00AB429E" w:rsidRDefault="008A580F" w:rsidP="008A580F">
            <w:pPr>
              <w:suppressAutoHyphens w:val="0"/>
              <w:autoSpaceDN/>
              <w:spacing w:after="0" w:line="240" w:lineRule="auto"/>
              <w:rPr>
                <w:rFonts w:cs="Arial"/>
                <w:sz w:val="18"/>
                <w:szCs w:val="18"/>
              </w:rPr>
            </w:pPr>
          </w:p>
        </w:tc>
        <w:tc>
          <w:tcPr>
            <w:tcW w:w="899" w:type="dxa"/>
            <w:noWrap/>
            <w:vAlign w:val="bottom"/>
            <w:hideMark/>
          </w:tcPr>
          <w:p w14:paraId="2CD3A924" w14:textId="77777777" w:rsidR="008A580F" w:rsidRPr="00AB429E" w:rsidRDefault="008A580F" w:rsidP="008A580F">
            <w:pPr>
              <w:suppressAutoHyphens w:val="0"/>
              <w:autoSpaceDN/>
              <w:spacing w:after="0" w:line="240" w:lineRule="auto"/>
              <w:rPr>
                <w:rFonts w:cs="Arial"/>
                <w:sz w:val="18"/>
                <w:szCs w:val="18"/>
              </w:rPr>
            </w:pPr>
          </w:p>
        </w:tc>
        <w:tc>
          <w:tcPr>
            <w:tcW w:w="848" w:type="dxa"/>
            <w:noWrap/>
            <w:vAlign w:val="bottom"/>
            <w:hideMark/>
          </w:tcPr>
          <w:p w14:paraId="4F0C9A8D" w14:textId="77777777" w:rsidR="008A580F" w:rsidRPr="00AB429E" w:rsidRDefault="008A580F" w:rsidP="008A580F">
            <w:pPr>
              <w:suppressAutoHyphens w:val="0"/>
              <w:autoSpaceDN/>
              <w:spacing w:after="0" w:line="240" w:lineRule="auto"/>
              <w:rPr>
                <w:rFonts w:cs="Arial"/>
                <w:sz w:val="18"/>
                <w:szCs w:val="18"/>
              </w:rPr>
            </w:pPr>
          </w:p>
        </w:tc>
        <w:tc>
          <w:tcPr>
            <w:tcW w:w="1569" w:type="dxa"/>
            <w:noWrap/>
            <w:vAlign w:val="bottom"/>
            <w:hideMark/>
          </w:tcPr>
          <w:p w14:paraId="3191F036"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Zahod</w:t>
            </w:r>
          </w:p>
        </w:tc>
        <w:tc>
          <w:tcPr>
            <w:tcW w:w="1194" w:type="dxa"/>
            <w:noWrap/>
            <w:vAlign w:val="bottom"/>
            <w:hideMark/>
          </w:tcPr>
          <w:p w14:paraId="46B90B0D"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EECO18</w:t>
            </w:r>
          </w:p>
        </w:tc>
        <w:tc>
          <w:tcPr>
            <w:tcW w:w="1285" w:type="dxa"/>
            <w:noWrap/>
            <w:vAlign w:val="bottom"/>
            <w:hideMark/>
          </w:tcPr>
          <w:p w14:paraId="43E9DDD8"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1</w:t>
            </w:r>
          </w:p>
        </w:tc>
        <w:tc>
          <w:tcPr>
            <w:tcW w:w="1684" w:type="dxa"/>
            <w:shd w:val="clear" w:color="000000" w:fill="F8696B"/>
            <w:noWrap/>
            <w:vAlign w:val="bottom"/>
            <w:hideMark/>
          </w:tcPr>
          <w:p w14:paraId="7DF0856D"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0%</w:t>
            </w:r>
          </w:p>
        </w:tc>
      </w:tr>
      <w:tr w:rsidR="008A580F" w:rsidRPr="008A580F" w14:paraId="13535661" w14:textId="77777777" w:rsidTr="008A580F">
        <w:trPr>
          <w:trHeight w:val="300"/>
        </w:trPr>
        <w:tc>
          <w:tcPr>
            <w:tcW w:w="1248" w:type="dxa"/>
            <w:noWrap/>
            <w:vAlign w:val="bottom"/>
            <w:hideMark/>
          </w:tcPr>
          <w:p w14:paraId="7D3326F6" w14:textId="77777777" w:rsidR="008A580F" w:rsidRPr="00AB429E" w:rsidRDefault="008A580F" w:rsidP="008A580F">
            <w:pPr>
              <w:suppressAutoHyphens w:val="0"/>
              <w:autoSpaceDN/>
              <w:spacing w:after="0" w:line="240" w:lineRule="auto"/>
              <w:jc w:val="center"/>
              <w:rPr>
                <w:rFonts w:cs="Arial"/>
                <w:sz w:val="18"/>
                <w:szCs w:val="18"/>
              </w:rPr>
            </w:pPr>
          </w:p>
        </w:tc>
        <w:tc>
          <w:tcPr>
            <w:tcW w:w="813" w:type="dxa"/>
            <w:noWrap/>
            <w:vAlign w:val="bottom"/>
            <w:hideMark/>
          </w:tcPr>
          <w:p w14:paraId="2E6A952B" w14:textId="77777777" w:rsidR="008A580F" w:rsidRPr="00AB429E" w:rsidRDefault="008A580F" w:rsidP="008A580F">
            <w:pPr>
              <w:suppressAutoHyphens w:val="0"/>
              <w:autoSpaceDN/>
              <w:spacing w:after="0" w:line="240" w:lineRule="auto"/>
              <w:rPr>
                <w:rFonts w:cs="Arial"/>
                <w:sz w:val="18"/>
                <w:szCs w:val="18"/>
              </w:rPr>
            </w:pPr>
          </w:p>
        </w:tc>
        <w:tc>
          <w:tcPr>
            <w:tcW w:w="899" w:type="dxa"/>
            <w:noWrap/>
            <w:vAlign w:val="bottom"/>
            <w:hideMark/>
          </w:tcPr>
          <w:p w14:paraId="49E95861"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ESO4.12</w:t>
            </w:r>
          </w:p>
        </w:tc>
        <w:tc>
          <w:tcPr>
            <w:tcW w:w="848" w:type="dxa"/>
            <w:noWrap/>
            <w:vAlign w:val="bottom"/>
            <w:hideMark/>
          </w:tcPr>
          <w:p w14:paraId="17F05F33" w14:textId="77777777" w:rsidR="008A580F" w:rsidRPr="00AB429E" w:rsidRDefault="008A580F" w:rsidP="008A580F">
            <w:pPr>
              <w:suppressAutoHyphens w:val="0"/>
              <w:autoSpaceDN/>
              <w:spacing w:after="0" w:line="240" w:lineRule="auto"/>
              <w:rPr>
                <w:rFonts w:cs="Arial"/>
                <w:b/>
                <w:bCs/>
                <w:color w:val="000000"/>
                <w:sz w:val="18"/>
                <w:szCs w:val="18"/>
              </w:rPr>
            </w:pPr>
            <w:r w:rsidRPr="00AB429E">
              <w:rPr>
                <w:rFonts w:cs="Arial"/>
                <w:b/>
                <w:bCs/>
                <w:color w:val="000000"/>
                <w:sz w:val="18"/>
                <w:szCs w:val="18"/>
              </w:rPr>
              <w:t>ESS+</w:t>
            </w:r>
          </w:p>
        </w:tc>
        <w:tc>
          <w:tcPr>
            <w:tcW w:w="1569" w:type="dxa"/>
            <w:noWrap/>
            <w:vAlign w:val="bottom"/>
            <w:hideMark/>
          </w:tcPr>
          <w:p w14:paraId="7B80F8D2"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Vzhod</w:t>
            </w:r>
          </w:p>
        </w:tc>
        <w:tc>
          <w:tcPr>
            <w:tcW w:w="1194" w:type="dxa"/>
            <w:noWrap/>
            <w:vAlign w:val="bottom"/>
            <w:hideMark/>
          </w:tcPr>
          <w:p w14:paraId="1DD69391"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E4.12/U/12</w:t>
            </w:r>
          </w:p>
        </w:tc>
        <w:tc>
          <w:tcPr>
            <w:tcW w:w="1285" w:type="dxa"/>
            <w:noWrap/>
            <w:vAlign w:val="bottom"/>
            <w:hideMark/>
          </w:tcPr>
          <w:p w14:paraId="4BE7DE24"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1</w:t>
            </w:r>
          </w:p>
        </w:tc>
        <w:tc>
          <w:tcPr>
            <w:tcW w:w="1684" w:type="dxa"/>
            <w:shd w:val="clear" w:color="000000" w:fill="C8DB81"/>
            <w:noWrap/>
            <w:vAlign w:val="bottom"/>
            <w:hideMark/>
          </w:tcPr>
          <w:p w14:paraId="1941FB53"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45%</w:t>
            </w:r>
          </w:p>
        </w:tc>
      </w:tr>
      <w:tr w:rsidR="008A580F" w:rsidRPr="008A580F" w14:paraId="74D7457D" w14:textId="77777777" w:rsidTr="008A580F">
        <w:trPr>
          <w:trHeight w:val="300"/>
        </w:trPr>
        <w:tc>
          <w:tcPr>
            <w:tcW w:w="1248" w:type="dxa"/>
            <w:noWrap/>
            <w:vAlign w:val="bottom"/>
            <w:hideMark/>
          </w:tcPr>
          <w:p w14:paraId="7F2575B1" w14:textId="77777777" w:rsidR="008A580F" w:rsidRPr="00AB429E" w:rsidRDefault="008A580F" w:rsidP="008A580F">
            <w:pPr>
              <w:suppressAutoHyphens w:val="0"/>
              <w:autoSpaceDN/>
              <w:spacing w:after="0" w:line="240" w:lineRule="auto"/>
              <w:jc w:val="center"/>
              <w:rPr>
                <w:rFonts w:cs="Arial"/>
                <w:sz w:val="18"/>
                <w:szCs w:val="18"/>
              </w:rPr>
            </w:pPr>
          </w:p>
        </w:tc>
        <w:tc>
          <w:tcPr>
            <w:tcW w:w="813" w:type="dxa"/>
            <w:noWrap/>
            <w:vAlign w:val="bottom"/>
            <w:hideMark/>
          </w:tcPr>
          <w:p w14:paraId="5B20F8D1" w14:textId="77777777" w:rsidR="008A580F" w:rsidRPr="00AB429E" w:rsidRDefault="008A580F" w:rsidP="008A580F">
            <w:pPr>
              <w:suppressAutoHyphens w:val="0"/>
              <w:autoSpaceDN/>
              <w:spacing w:after="0" w:line="240" w:lineRule="auto"/>
              <w:rPr>
                <w:rFonts w:cs="Arial"/>
                <w:sz w:val="18"/>
                <w:szCs w:val="18"/>
              </w:rPr>
            </w:pPr>
          </w:p>
        </w:tc>
        <w:tc>
          <w:tcPr>
            <w:tcW w:w="899" w:type="dxa"/>
            <w:noWrap/>
            <w:vAlign w:val="bottom"/>
            <w:hideMark/>
          </w:tcPr>
          <w:p w14:paraId="1AF64AF6" w14:textId="77777777" w:rsidR="008A580F" w:rsidRPr="00AB429E" w:rsidRDefault="008A580F" w:rsidP="008A580F">
            <w:pPr>
              <w:suppressAutoHyphens w:val="0"/>
              <w:autoSpaceDN/>
              <w:spacing w:after="0" w:line="240" w:lineRule="auto"/>
              <w:rPr>
                <w:rFonts w:cs="Arial"/>
                <w:sz w:val="18"/>
                <w:szCs w:val="18"/>
              </w:rPr>
            </w:pPr>
          </w:p>
        </w:tc>
        <w:tc>
          <w:tcPr>
            <w:tcW w:w="848" w:type="dxa"/>
            <w:noWrap/>
            <w:vAlign w:val="bottom"/>
            <w:hideMark/>
          </w:tcPr>
          <w:p w14:paraId="75A67B75" w14:textId="77777777" w:rsidR="008A580F" w:rsidRPr="00AB429E" w:rsidRDefault="008A580F" w:rsidP="008A580F">
            <w:pPr>
              <w:suppressAutoHyphens w:val="0"/>
              <w:autoSpaceDN/>
              <w:spacing w:after="0" w:line="240" w:lineRule="auto"/>
              <w:rPr>
                <w:rFonts w:cs="Arial"/>
                <w:sz w:val="18"/>
                <w:szCs w:val="18"/>
              </w:rPr>
            </w:pPr>
          </w:p>
        </w:tc>
        <w:tc>
          <w:tcPr>
            <w:tcW w:w="1569" w:type="dxa"/>
            <w:noWrap/>
            <w:vAlign w:val="bottom"/>
            <w:hideMark/>
          </w:tcPr>
          <w:p w14:paraId="0EDB2B45" w14:textId="77777777" w:rsidR="008A580F" w:rsidRPr="00AB429E" w:rsidRDefault="008A580F" w:rsidP="008A580F">
            <w:pPr>
              <w:suppressAutoHyphens w:val="0"/>
              <w:autoSpaceDN/>
              <w:spacing w:after="0" w:line="240" w:lineRule="auto"/>
              <w:rPr>
                <w:rFonts w:cs="Arial"/>
                <w:sz w:val="18"/>
                <w:szCs w:val="18"/>
              </w:rPr>
            </w:pPr>
          </w:p>
        </w:tc>
        <w:tc>
          <w:tcPr>
            <w:tcW w:w="1194" w:type="dxa"/>
            <w:noWrap/>
            <w:vAlign w:val="bottom"/>
            <w:hideMark/>
          </w:tcPr>
          <w:p w14:paraId="0917C1F9"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E4.12/U/8</w:t>
            </w:r>
          </w:p>
        </w:tc>
        <w:tc>
          <w:tcPr>
            <w:tcW w:w="1285" w:type="dxa"/>
            <w:noWrap/>
            <w:vAlign w:val="bottom"/>
            <w:hideMark/>
          </w:tcPr>
          <w:p w14:paraId="6F792101"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1</w:t>
            </w:r>
          </w:p>
        </w:tc>
        <w:tc>
          <w:tcPr>
            <w:tcW w:w="1684" w:type="dxa"/>
            <w:shd w:val="clear" w:color="000000" w:fill="9ACE7F"/>
            <w:noWrap/>
            <w:vAlign w:val="bottom"/>
            <w:hideMark/>
          </w:tcPr>
          <w:p w14:paraId="14F4225F"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82%</w:t>
            </w:r>
          </w:p>
        </w:tc>
      </w:tr>
      <w:tr w:rsidR="008A580F" w:rsidRPr="008A580F" w14:paraId="03841739" w14:textId="77777777" w:rsidTr="008A580F">
        <w:trPr>
          <w:trHeight w:val="300"/>
        </w:trPr>
        <w:tc>
          <w:tcPr>
            <w:tcW w:w="1248" w:type="dxa"/>
            <w:noWrap/>
            <w:vAlign w:val="bottom"/>
            <w:hideMark/>
          </w:tcPr>
          <w:p w14:paraId="0191C858" w14:textId="77777777" w:rsidR="008A580F" w:rsidRPr="00AB429E" w:rsidRDefault="008A580F" w:rsidP="008A580F">
            <w:pPr>
              <w:suppressAutoHyphens w:val="0"/>
              <w:autoSpaceDN/>
              <w:spacing w:after="0" w:line="240" w:lineRule="auto"/>
              <w:jc w:val="center"/>
              <w:rPr>
                <w:rFonts w:cs="Arial"/>
                <w:sz w:val="18"/>
                <w:szCs w:val="18"/>
              </w:rPr>
            </w:pPr>
          </w:p>
        </w:tc>
        <w:tc>
          <w:tcPr>
            <w:tcW w:w="813" w:type="dxa"/>
            <w:noWrap/>
            <w:vAlign w:val="bottom"/>
            <w:hideMark/>
          </w:tcPr>
          <w:p w14:paraId="50BF9C3A" w14:textId="77777777" w:rsidR="008A580F" w:rsidRPr="00AB429E" w:rsidRDefault="008A580F" w:rsidP="008A580F">
            <w:pPr>
              <w:suppressAutoHyphens w:val="0"/>
              <w:autoSpaceDN/>
              <w:spacing w:after="0" w:line="240" w:lineRule="auto"/>
              <w:rPr>
                <w:rFonts w:cs="Arial"/>
                <w:sz w:val="18"/>
                <w:szCs w:val="18"/>
              </w:rPr>
            </w:pPr>
          </w:p>
        </w:tc>
        <w:tc>
          <w:tcPr>
            <w:tcW w:w="899" w:type="dxa"/>
            <w:noWrap/>
            <w:vAlign w:val="bottom"/>
            <w:hideMark/>
          </w:tcPr>
          <w:p w14:paraId="61D9491E" w14:textId="77777777" w:rsidR="008A580F" w:rsidRPr="00AB429E" w:rsidRDefault="008A580F" w:rsidP="008A580F">
            <w:pPr>
              <w:suppressAutoHyphens w:val="0"/>
              <w:autoSpaceDN/>
              <w:spacing w:after="0" w:line="240" w:lineRule="auto"/>
              <w:rPr>
                <w:rFonts w:cs="Arial"/>
                <w:sz w:val="18"/>
                <w:szCs w:val="18"/>
              </w:rPr>
            </w:pPr>
          </w:p>
        </w:tc>
        <w:tc>
          <w:tcPr>
            <w:tcW w:w="848" w:type="dxa"/>
            <w:noWrap/>
            <w:vAlign w:val="bottom"/>
            <w:hideMark/>
          </w:tcPr>
          <w:p w14:paraId="67D6E65A" w14:textId="77777777" w:rsidR="008A580F" w:rsidRPr="00AB429E" w:rsidRDefault="008A580F" w:rsidP="008A580F">
            <w:pPr>
              <w:suppressAutoHyphens w:val="0"/>
              <w:autoSpaceDN/>
              <w:spacing w:after="0" w:line="240" w:lineRule="auto"/>
              <w:rPr>
                <w:rFonts w:cs="Arial"/>
                <w:sz w:val="18"/>
                <w:szCs w:val="18"/>
              </w:rPr>
            </w:pPr>
          </w:p>
        </w:tc>
        <w:tc>
          <w:tcPr>
            <w:tcW w:w="1569" w:type="dxa"/>
            <w:noWrap/>
            <w:vAlign w:val="bottom"/>
            <w:hideMark/>
          </w:tcPr>
          <w:p w14:paraId="3A4FFE76"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Zahod</w:t>
            </w:r>
          </w:p>
        </w:tc>
        <w:tc>
          <w:tcPr>
            <w:tcW w:w="1194" w:type="dxa"/>
            <w:noWrap/>
            <w:vAlign w:val="bottom"/>
            <w:hideMark/>
          </w:tcPr>
          <w:p w14:paraId="29E1C0B2"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E4.12/U/12</w:t>
            </w:r>
          </w:p>
        </w:tc>
        <w:tc>
          <w:tcPr>
            <w:tcW w:w="1285" w:type="dxa"/>
            <w:noWrap/>
            <w:vAlign w:val="bottom"/>
            <w:hideMark/>
          </w:tcPr>
          <w:p w14:paraId="54AA3F9C"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1</w:t>
            </w:r>
          </w:p>
        </w:tc>
        <w:tc>
          <w:tcPr>
            <w:tcW w:w="1684" w:type="dxa"/>
            <w:shd w:val="clear" w:color="000000" w:fill="F8696B"/>
            <w:noWrap/>
            <w:vAlign w:val="bottom"/>
            <w:hideMark/>
          </w:tcPr>
          <w:p w14:paraId="2257206F"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0%</w:t>
            </w:r>
          </w:p>
        </w:tc>
      </w:tr>
      <w:tr w:rsidR="008A580F" w:rsidRPr="008A580F" w14:paraId="529F0CE7" w14:textId="77777777" w:rsidTr="008A580F">
        <w:trPr>
          <w:trHeight w:val="300"/>
        </w:trPr>
        <w:tc>
          <w:tcPr>
            <w:tcW w:w="1248" w:type="dxa"/>
            <w:noWrap/>
            <w:vAlign w:val="bottom"/>
            <w:hideMark/>
          </w:tcPr>
          <w:p w14:paraId="7D7B9176" w14:textId="77777777" w:rsidR="008A580F" w:rsidRPr="00AB429E" w:rsidRDefault="008A580F" w:rsidP="008A580F">
            <w:pPr>
              <w:suppressAutoHyphens w:val="0"/>
              <w:autoSpaceDN/>
              <w:spacing w:after="0" w:line="240" w:lineRule="auto"/>
              <w:jc w:val="center"/>
              <w:rPr>
                <w:rFonts w:cs="Arial"/>
                <w:sz w:val="18"/>
                <w:szCs w:val="18"/>
              </w:rPr>
            </w:pPr>
          </w:p>
        </w:tc>
        <w:tc>
          <w:tcPr>
            <w:tcW w:w="813" w:type="dxa"/>
            <w:noWrap/>
            <w:vAlign w:val="bottom"/>
            <w:hideMark/>
          </w:tcPr>
          <w:p w14:paraId="08885F12" w14:textId="77777777" w:rsidR="008A580F" w:rsidRPr="00AB429E" w:rsidRDefault="008A580F" w:rsidP="008A580F">
            <w:pPr>
              <w:suppressAutoHyphens w:val="0"/>
              <w:autoSpaceDN/>
              <w:spacing w:after="0" w:line="240" w:lineRule="auto"/>
              <w:rPr>
                <w:rFonts w:cs="Arial"/>
                <w:sz w:val="18"/>
                <w:szCs w:val="18"/>
              </w:rPr>
            </w:pPr>
          </w:p>
        </w:tc>
        <w:tc>
          <w:tcPr>
            <w:tcW w:w="899" w:type="dxa"/>
            <w:noWrap/>
            <w:vAlign w:val="bottom"/>
            <w:hideMark/>
          </w:tcPr>
          <w:p w14:paraId="72B3EB1C" w14:textId="77777777" w:rsidR="008A580F" w:rsidRPr="00AB429E" w:rsidRDefault="008A580F" w:rsidP="008A580F">
            <w:pPr>
              <w:suppressAutoHyphens w:val="0"/>
              <w:autoSpaceDN/>
              <w:spacing w:after="0" w:line="240" w:lineRule="auto"/>
              <w:rPr>
                <w:rFonts w:cs="Arial"/>
                <w:sz w:val="18"/>
                <w:szCs w:val="18"/>
              </w:rPr>
            </w:pPr>
          </w:p>
        </w:tc>
        <w:tc>
          <w:tcPr>
            <w:tcW w:w="848" w:type="dxa"/>
            <w:noWrap/>
            <w:vAlign w:val="bottom"/>
            <w:hideMark/>
          </w:tcPr>
          <w:p w14:paraId="7B4F8C80" w14:textId="77777777" w:rsidR="008A580F" w:rsidRPr="00AB429E" w:rsidRDefault="008A580F" w:rsidP="008A580F">
            <w:pPr>
              <w:suppressAutoHyphens w:val="0"/>
              <w:autoSpaceDN/>
              <w:spacing w:after="0" w:line="240" w:lineRule="auto"/>
              <w:rPr>
                <w:rFonts w:cs="Arial"/>
                <w:sz w:val="18"/>
                <w:szCs w:val="18"/>
              </w:rPr>
            </w:pPr>
          </w:p>
        </w:tc>
        <w:tc>
          <w:tcPr>
            <w:tcW w:w="1569" w:type="dxa"/>
            <w:noWrap/>
            <w:vAlign w:val="bottom"/>
            <w:hideMark/>
          </w:tcPr>
          <w:p w14:paraId="35CE0A1B" w14:textId="77777777" w:rsidR="008A580F" w:rsidRPr="00AB429E" w:rsidRDefault="008A580F" w:rsidP="008A580F">
            <w:pPr>
              <w:suppressAutoHyphens w:val="0"/>
              <w:autoSpaceDN/>
              <w:spacing w:after="0" w:line="240" w:lineRule="auto"/>
              <w:rPr>
                <w:rFonts w:cs="Arial"/>
                <w:sz w:val="18"/>
                <w:szCs w:val="18"/>
              </w:rPr>
            </w:pPr>
          </w:p>
        </w:tc>
        <w:tc>
          <w:tcPr>
            <w:tcW w:w="1194" w:type="dxa"/>
            <w:noWrap/>
            <w:vAlign w:val="bottom"/>
            <w:hideMark/>
          </w:tcPr>
          <w:p w14:paraId="3C666E2C"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E4.12/U/8</w:t>
            </w:r>
          </w:p>
        </w:tc>
        <w:tc>
          <w:tcPr>
            <w:tcW w:w="1285" w:type="dxa"/>
            <w:noWrap/>
            <w:vAlign w:val="bottom"/>
            <w:hideMark/>
          </w:tcPr>
          <w:p w14:paraId="409D68F3"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1</w:t>
            </w:r>
          </w:p>
        </w:tc>
        <w:tc>
          <w:tcPr>
            <w:tcW w:w="1684" w:type="dxa"/>
            <w:shd w:val="clear" w:color="000000" w:fill="84C87D"/>
            <w:noWrap/>
            <w:vAlign w:val="bottom"/>
            <w:hideMark/>
          </w:tcPr>
          <w:p w14:paraId="71CFF962"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100%</w:t>
            </w:r>
          </w:p>
        </w:tc>
      </w:tr>
      <w:tr w:rsidR="008A580F" w:rsidRPr="008A580F" w14:paraId="6226B17A" w14:textId="77777777" w:rsidTr="008A580F">
        <w:trPr>
          <w:trHeight w:val="300"/>
        </w:trPr>
        <w:tc>
          <w:tcPr>
            <w:tcW w:w="1248" w:type="dxa"/>
            <w:noWrap/>
            <w:vAlign w:val="bottom"/>
            <w:hideMark/>
          </w:tcPr>
          <w:p w14:paraId="3ABECDC3" w14:textId="77777777" w:rsidR="008A580F" w:rsidRPr="00AB429E" w:rsidRDefault="008A580F" w:rsidP="008A580F">
            <w:pPr>
              <w:suppressAutoHyphens w:val="0"/>
              <w:autoSpaceDN/>
              <w:spacing w:after="0" w:line="240" w:lineRule="auto"/>
              <w:jc w:val="center"/>
              <w:rPr>
                <w:rFonts w:cs="Arial"/>
                <w:sz w:val="18"/>
                <w:szCs w:val="18"/>
              </w:rPr>
            </w:pPr>
          </w:p>
        </w:tc>
        <w:tc>
          <w:tcPr>
            <w:tcW w:w="813" w:type="dxa"/>
            <w:noWrap/>
            <w:vAlign w:val="bottom"/>
            <w:hideMark/>
          </w:tcPr>
          <w:p w14:paraId="44E8957F" w14:textId="77777777" w:rsidR="008A580F" w:rsidRPr="00AB429E" w:rsidRDefault="008A580F" w:rsidP="008A580F">
            <w:pPr>
              <w:suppressAutoHyphens w:val="0"/>
              <w:autoSpaceDN/>
              <w:spacing w:after="0" w:line="240" w:lineRule="auto"/>
              <w:rPr>
                <w:rFonts w:cs="Arial"/>
                <w:sz w:val="18"/>
                <w:szCs w:val="18"/>
              </w:rPr>
            </w:pPr>
          </w:p>
        </w:tc>
        <w:tc>
          <w:tcPr>
            <w:tcW w:w="899" w:type="dxa"/>
            <w:noWrap/>
            <w:vAlign w:val="bottom"/>
            <w:hideMark/>
          </w:tcPr>
          <w:p w14:paraId="29BBF2F1"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ESO4.8</w:t>
            </w:r>
          </w:p>
        </w:tc>
        <w:tc>
          <w:tcPr>
            <w:tcW w:w="848" w:type="dxa"/>
            <w:noWrap/>
            <w:vAlign w:val="bottom"/>
            <w:hideMark/>
          </w:tcPr>
          <w:p w14:paraId="2A63DE2B" w14:textId="77777777" w:rsidR="008A580F" w:rsidRPr="00AB429E" w:rsidRDefault="008A580F" w:rsidP="008A580F">
            <w:pPr>
              <w:suppressAutoHyphens w:val="0"/>
              <w:autoSpaceDN/>
              <w:spacing w:after="0" w:line="240" w:lineRule="auto"/>
              <w:rPr>
                <w:rFonts w:cs="Arial"/>
                <w:b/>
                <w:bCs/>
                <w:color w:val="000000"/>
                <w:sz w:val="18"/>
                <w:szCs w:val="18"/>
              </w:rPr>
            </w:pPr>
            <w:r w:rsidRPr="00AB429E">
              <w:rPr>
                <w:rFonts w:cs="Arial"/>
                <w:b/>
                <w:bCs/>
                <w:color w:val="000000"/>
                <w:sz w:val="18"/>
                <w:szCs w:val="18"/>
              </w:rPr>
              <w:t>ESS+</w:t>
            </w:r>
          </w:p>
        </w:tc>
        <w:tc>
          <w:tcPr>
            <w:tcW w:w="1569" w:type="dxa"/>
            <w:noWrap/>
            <w:vAlign w:val="bottom"/>
            <w:hideMark/>
          </w:tcPr>
          <w:p w14:paraId="544EF08F"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Vzhod</w:t>
            </w:r>
          </w:p>
        </w:tc>
        <w:tc>
          <w:tcPr>
            <w:tcW w:w="1194" w:type="dxa"/>
            <w:noWrap/>
            <w:vAlign w:val="bottom"/>
            <w:hideMark/>
          </w:tcPr>
          <w:p w14:paraId="736F8F17"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EECO02</w:t>
            </w:r>
          </w:p>
        </w:tc>
        <w:tc>
          <w:tcPr>
            <w:tcW w:w="1285" w:type="dxa"/>
            <w:noWrap/>
            <w:vAlign w:val="bottom"/>
            <w:hideMark/>
          </w:tcPr>
          <w:p w14:paraId="19D149D6"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1</w:t>
            </w:r>
          </w:p>
        </w:tc>
        <w:tc>
          <w:tcPr>
            <w:tcW w:w="1684" w:type="dxa"/>
            <w:shd w:val="clear" w:color="000000" w:fill="A8D27F"/>
            <w:noWrap/>
            <w:vAlign w:val="bottom"/>
            <w:hideMark/>
          </w:tcPr>
          <w:p w14:paraId="0D0A608D"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71%</w:t>
            </w:r>
          </w:p>
        </w:tc>
      </w:tr>
      <w:tr w:rsidR="008A580F" w:rsidRPr="008A580F" w14:paraId="7A783C0F" w14:textId="77777777" w:rsidTr="008A580F">
        <w:trPr>
          <w:trHeight w:val="300"/>
        </w:trPr>
        <w:tc>
          <w:tcPr>
            <w:tcW w:w="1248" w:type="dxa"/>
            <w:noWrap/>
            <w:vAlign w:val="bottom"/>
            <w:hideMark/>
          </w:tcPr>
          <w:p w14:paraId="01736E44" w14:textId="77777777" w:rsidR="008A580F" w:rsidRPr="00AB429E" w:rsidRDefault="008A580F" w:rsidP="008A580F">
            <w:pPr>
              <w:suppressAutoHyphens w:val="0"/>
              <w:autoSpaceDN/>
              <w:spacing w:after="0" w:line="240" w:lineRule="auto"/>
              <w:jc w:val="center"/>
              <w:rPr>
                <w:rFonts w:cs="Arial"/>
                <w:sz w:val="18"/>
                <w:szCs w:val="18"/>
              </w:rPr>
            </w:pPr>
          </w:p>
        </w:tc>
        <w:tc>
          <w:tcPr>
            <w:tcW w:w="813" w:type="dxa"/>
            <w:noWrap/>
            <w:vAlign w:val="bottom"/>
            <w:hideMark/>
          </w:tcPr>
          <w:p w14:paraId="4459CB1E" w14:textId="77777777" w:rsidR="008A580F" w:rsidRPr="00AB429E" w:rsidRDefault="008A580F" w:rsidP="008A580F">
            <w:pPr>
              <w:suppressAutoHyphens w:val="0"/>
              <w:autoSpaceDN/>
              <w:spacing w:after="0" w:line="240" w:lineRule="auto"/>
              <w:rPr>
                <w:rFonts w:cs="Arial"/>
                <w:sz w:val="18"/>
                <w:szCs w:val="18"/>
              </w:rPr>
            </w:pPr>
          </w:p>
        </w:tc>
        <w:tc>
          <w:tcPr>
            <w:tcW w:w="899" w:type="dxa"/>
            <w:noWrap/>
            <w:vAlign w:val="bottom"/>
            <w:hideMark/>
          </w:tcPr>
          <w:p w14:paraId="43D22261" w14:textId="77777777" w:rsidR="008A580F" w:rsidRPr="00AB429E" w:rsidRDefault="008A580F" w:rsidP="008A580F">
            <w:pPr>
              <w:suppressAutoHyphens w:val="0"/>
              <w:autoSpaceDN/>
              <w:spacing w:after="0" w:line="240" w:lineRule="auto"/>
              <w:rPr>
                <w:rFonts w:cs="Arial"/>
                <w:sz w:val="18"/>
                <w:szCs w:val="18"/>
              </w:rPr>
            </w:pPr>
          </w:p>
        </w:tc>
        <w:tc>
          <w:tcPr>
            <w:tcW w:w="848" w:type="dxa"/>
            <w:noWrap/>
            <w:vAlign w:val="bottom"/>
            <w:hideMark/>
          </w:tcPr>
          <w:p w14:paraId="6F7DB86E" w14:textId="77777777" w:rsidR="008A580F" w:rsidRPr="00AB429E" w:rsidRDefault="008A580F" w:rsidP="008A580F">
            <w:pPr>
              <w:suppressAutoHyphens w:val="0"/>
              <w:autoSpaceDN/>
              <w:spacing w:after="0" w:line="240" w:lineRule="auto"/>
              <w:rPr>
                <w:rFonts w:cs="Arial"/>
                <w:sz w:val="18"/>
                <w:szCs w:val="18"/>
              </w:rPr>
            </w:pPr>
          </w:p>
        </w:tc>
        <w:tc>
          <w:tcPr>
            <w:tcW w:w="1569" w:type="dxa"/>
            <w:noWrap/>
            <w:vAlign w:val="bottom"/>
            <w:hideMark/>
          </w:tcPr>
          <w:p w14:paraId="451941F5" w14:textId="77777777" w:rsidR="008A580F" w:rsidRPr="00AB429E" w:rsidRDefault="008A580F" w:rsidP="008A580F">
            <w:pPr>
              <w:suppressAutoHyphens w:val="0"/>
              <w:autoSpaceDN/>
              <w:spacing w:after="0" w:line="240" w:lineRule="auto"/>
              <w:rPr>
                <w:rFonts w:cs="Arial"/>
                <w:sz w:val="18"/>
                <w:szCs w:val="18"/>
              </w:rPr>
            </w:pPr>
          </w:p>
        </w:tc>
        <w:tc>
          <w:tcPr>
            <w:tcW w:w="1194" w:type="dxa"/>
            <w:noWrap/>
            <w:vAlign w:val="bottom"/>
            <w:hideMark/>
          </w:tcPr>
          <w:p w14:paraId="7504205A"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EECO04</w:t>
            </w:r>
          </w:p>
        </w:tc>
        <w:tc>
          <w:tcPr>
            <w:tcW w:w="1285" w:type="dxa"/>
            <w:noWrap/>
            <w:vAlign w:val="bottom"/>
            <w:hideMark/>
          </w:tcPr>
          <w:p w14:paraId="3A5A206C"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1</w:t>
            </w:r>
          </w:p>
        </w:tc>
        <w:tc>
          <w:tcPr>
            <w:tcW w:w="1684" w:type="dxa"/>
            <w:shd w:val="clear" w:color="000000" w:fill="E8E583"/>
            <w:noWrap/>
            <w:vAlign w:val="bottom"/>
            <w:hideMark/>
          </w:tcPr>
          <w:p w14:paraId="2E9A8F4D"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19%</w:t>
            </w:r>
          </w:p>
        </w:tc>
      </w:tr>
      <w:tr w:rsidR="008A580F" w:rsidRPr="008A580F" w14:paraId="4B8F39B0" w14:textId="77777777" w:rsidTr="008A580F">
        <w:trPr>
          <w:trHeight w:val="300"/>
        </w:trPr>
        <w:tc>
          <w:tcPr>
            <w:tcW w:w="1248" w:type="dxa"/>
            <w:noWrap/>
            <w:vAlign w:val="bottom"/>
            <w:hideMark/>
          </w:tcPr>
          <w:p w14:paraId="71A50967" w14:textId="77777777" w:rsidR="008A580F" w:rsidRPr="00AB429E" w:rsidRDefault="008A580F" w:rsidP="008A580F">
            <w:pPr>
              <w:suppressAutoHyphens w:val="0"/>
              <w:autoSpaceDN/>
              <w:spacing w:after="0" w:line="240" w:lineRule="auto"/>
              <w:jc w:val="center"/>
              <w:rPr>
                <w:rFonts w:cs="Arial"/>
                <w:sz w:val="18"/>
                <w:szCs w:val="18"/>
              </w:rPr>
            </w:pPr>
          </w:p>
        </w:tc>
        <w:tc>
          <w:tcPr>
            <w:tcW w:w="813" w:type="dxa"/>
            <w:noWrap/>
            <w:vAlign w:val="bottom"/>
            <w:hideMark/>
          </w:tcPr>
          <w:p w14:paraId="63669B4B" w14:textId="77777777" w:rsidR="008A580F" w:rsidRPr="00AB429E" w:rsidRDefault="008A580F" w:rsidP="008A580F">
            <w:pPr>
              <w:suppressAutoHyphens w:val="0"/>
              <w:autoSpaceDN/>
              <w:spacing w:after="0" w:line="240" w:lineRule="auto"/>
              <w:rPr>
                <w:rFonts w:cs="Arial"/>
                <w:sz w:val="18"/>
                <w:szCs w:val="18"/>
              </w:rPr>
            </w:pPr>
          </w:p>
        </w:tc>
        <w:tc>
          <w:tcPr>
            <w:tcW w:w="899" w:type="dxa"/>
            <w:noWrap/>
            <w:vAlign w:val="bottom"/>
            <w:hideMark/>
          </w:tcPr>
          <w:p w14:paraId="72607538" w14:textId="77777777" w:rsidR="008A580F" w:rsidRPr="00AB429E" w:rsidRDefault="008A580F" w:rsidP="008A580F">
            <w:pPr>
              <w:suppressAutoHyphens w:val="0"/>
              <w:autoSpaceDN/>
              <w:spacing w:after="0" w:line="240" w:lineRule="auto"/>
              <w:rPr>
                <w:rFonts w:cs="Arial"/>
                <w:sz w:val="18"/>
                <w:szCs w:val="18"/>
              </w:rPr>
            </w:pPr>
          </w:p>
        </w:tc>
        <w:tc>
          <w:tcPr>
            <w:tcW w:w="848" w:type="dxa"/>
            <w:noWrap/>
            <w:vAlign w:val="bottom"/>
            <w:hideMark/>
          </w:tcPr>
          <w:p w14:paraId="797DD189" w14:textId="77777777" w:rsidR="008A580F" w:rsidRPr="00AB429E" w:rsidRDefault="008A580F" w:rsidP="008A580F">
            <w:pPr>
              <w:suppressAutoHyphens w:val="0"/>
              <w:autoSpaceDN/>
              <w:spacing w:after="0" w:line="240" w:lineRule="auto"/>
              <w:rPr>
                <w:rFonts w:cs="Arial"/>
                <w:sz w:val="18"/>
                <w:szCs w:val="18"/>
              </w:rPr>
            </w:pPr>
          </w:p>
        </w:tc>
        <w:tc>
          <w:tcPr>
            <w:tcW w:w="1569" w:type="dxa"/>
            <w:noWrap/>
            <w:vAlign w:val="bottom"/>
            <w:hideMark/>
          </w:tcPr>
          <w:p w14:paraId="6ADC800F"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Zahod</w:t>
            </w:r>
          </w:p>
        </w:tc>
        <w:tc>
          <w:tcPr>
            <w:tcW w:w="1194" w:type="dxa"/>
            <w:noWrap/>
            <w:vAlign w:val="bottom"/>
            <w:hideMark/>
          </w:tcPr>
          <w:p w14:paraId="2829B311"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EECO02</w:t>
            </w:r>
          </w:p>
        </w:tc>
        <w:tc>
          <w:tcPr>
            <w:tcW w:w="1285" w:type="dxa"/>
            <w:noWrap/>
            <w:vAlign w:val="bottom"/>
            <w:hideMark/>
          </w:tcPr>
          <w:p w14:paraId="62C75124"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1</w:t>
            </w:r>
          </w:p>
        </w:tc>
        <w:tc>
          <w:tcPr>
            <w:tcW w:w="1684" w:type="dxa"/>
            <w:shd w:val="clear" w:color="000000" w:fill="95CD7E"/>
            <w:noWrap/>
            <w:vAlign w:val="bottom"/>
            <w:hideMark/>
          </w:tcPr>
          <w:p w14:paraId="1380B43D"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86%</w:t>
            </w:r>
          </w:p>
        </w:tc>
      </w:tr>
      <w:tr w:rsidR="008A580F" w:rsidRPr="008A580F" w14:paraId="0F6576E9" w14:textId="77777777" w:rsidTr="008A580F">
        <w:trPr>
          <w:trHeight w:val="300"/>
        </w:trPr>
        <w:tc>
          <w:tcPr>
            <w:tcW w:w="1248" w:type="dxa"/>
            <w:noWrap/>
            <w:vAlign w:val="bottom"/>
            <w:hideMark/>
          </w:tcPr>
          <w:p w14:paraId="50A4F140" w14:textId="77777777" w:rsidR="008A580F" w:rsidRPr="00AB429E" w:rsidRDefault="008A580F" w:rsidP="008A580F">
            <w:pPr>
              <w:suppressAutoHyphens w:val="0"/>
              <w:autoSpaceDN/>
              <w:spacing w:after="0" w:line="240" w:lineRule="auto"/>
              <w:jc w:val="center"/>
              <w:rPr>
                <w:rFonts w:cs="Arial"/>
                <w:sz w:val="18"/>
                <w:szCs w:val="18"/>
              </w:rPr>
            </w:pPr>
          </w:p>
        </w:tc>
        <w:tc>
          <w:tcPr>
            <w:tcW w:w="813" w:type="dxa"/>
            <w:noWrap/>
            <w:vAlign w:val="bottom"/>
            <w:hideMark/>
          </w:tcPr>
          <w:p w14:paraId="62C7F5B2" w14:textId="77777777" w:rsidR="008A580F" w:rsidRPr="00AB429E" w:rsidRDefault="008A580F" w:rsidP="008A580F">
            <w:pPr>
              <w:suppressAutoHyphens w:val="0"/>
              <w:autoSpaceDN/>
              <w:spacing w:after="0" w:line="240" w:lineRule="auto"/>
              <w:rPr>
                <w:rFonts w:cs="Arial"/>
                <w:sz w:val="18"/>
                <w:szCs w:val="18"/>
              </w:rPr>
            </w:pPr>
          </w:p>
        </w:tc>
        <w:tc>
          <w:tcPr>
            <w:tcW w:w="899" w:type="dxa"/>
            <w:noWrap/>
            <w:vAlign w:val="bottom"/>
            <w:hideMark/>
          </w:tcPr>
          <w:p w14:paraId="2C299883" w14:textId="77777777" w:rsidR="008A580F" w:rsidRPr="00AB429E" w:rsidRDefault="008A580F" w:rsidP="008A580F">
            <w:pPr>
              <w:suppressAutoHyphens w:val="0"/>
              <w:autoSpaceDN/>
              <w:spacing w:after="0" w:line="240" w:lineRule="auto"/>
              <w:rPr>
                <w:rFonts w:cs="Arial"/>
                <w:sz w:val="18"/>
                <w:szCs w:val="18"/>
              </w:rPr>
            </w:pPr>
          </w:p>
        </w:tc>
        <w:tc>
          <w:tcPr>
            <w:tcW w:w="848" w:type="dxa"/>
            <w:noWrap/>
            <w:vAlign w:val="bottom"/>
            <w:hideMark/>
          </w:tcPr>
          <w:p w14:paraId="52CCB42D" w14:textId="77777777" w:rsidR="008A580F" w:rsidRPr="00AB429E" w:rsidRDefault="008A580F" w:rsidP="008A580F">
            <w:pPr>
              <w:suppressAutoHyphens w:val="0"/>
              <w:autoSpaceDN/>
              <w:spacing w:after="0" w:line="240" w:lineRule="auto"/>
              <w:rPr>
                <w:rFonts w:cs="Arial"/>
                <w:sz w:val="18"/>
                <w:szCs w:val="18"/>
              </w:rPr>
            </w:pPr>
          </w:p>
        </w:tc>
        <w:tc>
          <w:tcPr>
            <w:tcW w:w="1569" w:type="dxa"/>
            <w:noWrap/>
            <w:vAlign w:val="bottom"/>
            <w:hideMark/>
          </w:tcPr>
          <w:p w14:paraId="12291358" w14:textId="77777777" w:rsidR="008A580F" w:rsidRPr="00AB429E" w:rsidRDefault="008A580F" w:rsidP="008A580F">
            <w:pPr>
              <w:suppressAutoHyphens w:val="0"/>
              <w:autoSpaceDN/>
              <w:spacing w:after="0" w:line="240" w:lineRule="auto"/>
              <w:rPr>
                <w:rFonts w:cs="Arial"/>
                <w:sz w:val="18"/>
                <w:szCs w:val="18"/>
              </w:rPr>
            </w:pPr>
          </w:p>
        </w:tc>
        <w:tc>
          <w:tcPr>
            <w:tcW w:w="1194" w:type="dxa"/>
            <w:noWrap/>
            <w:vAlign w:val="bottom"/>
            <w:hideMark/>
          </w:tcPr>
          <w:p w14:paraId="4CD7C726"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EECO04</w:t>
            </w:r>
          </w:p>
        </w:tc>
        <w:tc>
          <w:tcPr>
            <w:tcW w:w="1285" w:type="dxa"/>
            <w:noWrap/>
            <w:vAlign w:val="bottom"/>
            <w:hideMark/>
          </w:tcPr>
          <w:p w14:paraId="0CFFCEC8"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1</w:t>
            </w:r>
          </w:p>
        </w:tc>
        <w:tc>
          <w:tcPr>
            <w:tcW w:w="1684" w:type="dxa"/>
            <w:shd w:val="clear" w:color="000000" w:fill="FEEB84"/>
            <w:noWrap/>
            <w:vAlign w:val="bottom"/>
            <w:hideMark/>
          </w:tcPr>
          <w:p w14:paraId="4CAC7731"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1%</w:t>
            </w:r>
          </w:p>
        </w:tc>
      </w:tr>
      <w:tr w:rsidR="008A580F" w:rsidRPr="008A580F" w14:paraId="45D22DE3" w14:textId="77777777" w:rsidTr="008A580F">
        <w:trPr>
          <w:trHeight w:val="300"/>
        </w:trPr>
        <w:tc>
          <w:tcPr>
            <w:tcW w:w="1248" w:type="dxa"/>
            <w:noWrap/>
            <w:vAlign w:val="bottom"/>
            <w:hideMark/>
          </w:tcPr>
          <w:p w14:paraId="428F6F88" w14:textId="77777777" w:rsidR="008A580F" w:rsidRPr="00AB429E" w:rsidRDefault="008A580F" w:rsidP="008A580F">
            <w:pPr>
              <w:suppressAutoHyphens w:val="0"/>
              <w:autoSpaceDN/>
              <w:spacing w:after="0" w:line="240" w:lineRule="auto"/>
              <w:rPr>
                <w:rFonts w:cs="Arial"/>
                <w:b/>
                <w:bCs/>
                <w:color w:val="000000"/>
                <w:sz w:val="18"/>
                <w:szCs w:val="18"/>
              </w:rPr>
            </w:pPr>
            <w:r w:rsidRPr="00AB429E">
              <w:rPr>
                <w:rFonts w:cs="Arial"/>
                <w:b/>
                <w:bCs/>
                <w:color w:val="000000"/>
                <w:sz w:val="18"/>
                <w:szCs w:val="18"/>
              </w:rPr>
              <w:t>CP5</w:t>
            </w:r>
          </w:p>
        </w:tc>
        <w:tc>
          <w:tcPr>
            <w:tcW w:w="813" w:type="dxa"/>
            <w:noWrap/>
            <w:vAlign w:val="bottom"/>
            <w:hideMark/>
          </w:tcPr>
          <w:p w14:paraId="13B698AA" w14:textId="77777777" w:rsidR="008A580F" w:rsidRPr="00AB429E" w:rsidRDefault="008A580F" w:rsidP="008A580F">
            <w:pPr>
              <w:suppressAutoHyphens w:val="0"/>
              <w:autoSpaceDN/>
              <w:spacing w:after="0" w:line="240" w:lineRule="auto"/>
              <w:rPr>
                <w:rFonts w:cs="Arial"/>
                <w:b/>
                <w:bCs/>
                <w:color w:val="000000"/>
                <w:sz w:val="18"/>
                <w:szCs w:val="18"/>
              </w:rPr>
            </w:pPr>
            <w:r w:rsidRPr="00AB429E">
              <w:rPr>
                <w:rFonts w:cs="Arial"/>
                <w:b/>
                <w:bCs/>
                <w:color w:val="000000"/>
                <w:sz w:val="18"/>
                <w:szCs w:val="18"/>
              </w:rPr>
              <w:t>PN9</w:t>
            </w:r>
          </w:p>
        </w:tc>
        <w:tc>
          <w:tcPr>
            <w:tcW w:w="899" w:type="dxa"/>
            <w:noWrap/>
            <w:vAlign w:val="bottom"/>
            <w:hideMark/>
          </w:tcPr>
          <w:p w14:paraId="5F0B6695"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RSO5.1</w:t>
            </w:r>
          </w:p>
        </w:tc>
        <w:tc>
          <w:tcPr>
            <w:tcW w:w="848" w:type="dxa"/>
            <w:noWrap/>
            <w:vAlign w:val="bottom"/>
            <w:hideMark/>
          </w:tcPr>
          <w:p w14:paraId="536B3E24" w14:textId="77777777" w:rsidR="008A580F" w:rsidRPr="00AB429E" w:rsidRDefault="008A580F" w:rsidP="008A580F">
            <w:pPr>
              <w:suppressAutoHyphens w:val="0"/>
              <w:autoSpaceDN/>
              <w:spacing w:after="0" w:line="240" w:lineRule="auto"/>
              <w:rPr>
                <w:rFonts w:cs="Arial"/>
                <w:b/>
                <w:bCs/>
                <w:color w:val="000000"/>
                <w:sz w:val="18"/>
                <w:szCs w:val="18"/>
              </w:rPr>
            </w:pPr>
            <w:r w:rsidRPr="00AB429E">
              <w:rPr>
                <w:rFonts w:cs="Arial"/>
                <w:b/>
                <w:bCs/>
                <w:color w:val="000000"/>
                <w:sz w:val="18"/>
                <w:szCs w:val="18"/>
              </w:rPr>
              <w:t>ESRR</w:t>
            </w:r>
          </w:p>
        </w:tc>
        <w:tc>
          <w:tcPr>
            <w:tcW w:w="1569" w:type="dxa"/>
            <w:noWrap/>
            <w:vAlign w:val="bottom"/>
            <w:hideMark/>
          </w:tcPr>
          <w:p w14:paraId="543BC704"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Vzhod</w:t>
            </w:r>
          </w:p>
        </w:tc>
        <w:tc>
          <w:tcPr>
            <w:tcW w:w="1194" w:type="dxa"/>
            <w:noWrap/>
            <w:vAlign w:val="bottom"/>
            <w:hideMark/>
          </w:tcPr>
          <w:p w14:paraId="144EB96D"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RCO75</w:t>
            </w:r>
          </w:p>
        </w:tc>
        <w:tc>
          <w:tcPr>
            <w:tcW w:w="1285" w:type="dxa"/>
            <w:noWrap/>
            <w:vAlign w:val="bottom"/>
            <w:hideMark/>
          </w:tcPr>
          <w:p w14:paraId="2B2C3D53"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1</w:t>
            </w:r>
          </w:p>
        </w:tc>
        <w:tc>
          <w:tcPr>
            <w:tcW w:w="1684" w:type="dxa"/>
            <w:shd w:val="clear" w:color="000000" w:fill="F8696B"/>
            <w:noWrap/>
            <w:vAlign w:val="bottom"/>
            <w:hideMark/>
          </w:tcPr>
          <w:p w14:paraId="5B3971DE"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0%</w:t>
            </w:r>
          </w:p>
        </w:tc>
      </w:tr>
      <w:tr w:rsidR="008A580F" w:rsidRPr="008A580F" w14:paraId="50AC862C" w14:textId="77777777" w:rsidTr="008A580F">
        <w:trPr>
          <w:trHeight w:val="300"/>
        </w:trPr>
        <w:tc>
          <w:tcPr>
            <w:tcW w:w="1248" w:type="dxa"/>
            <w:noWrap/>
            <w:vAlign w:val="bottom"/>
            <w:hideMark/>
          </w:tcPr>
          <w:p w14:paraId="2B3727F2" w14:textId="77777777" w:rsidR="008A580F" w:rsidRPr="00AB429E" w:rsidRDefault="008A580F" w:rsidP="008A580F">
            <w:pPr>
              <w:suppressAutoHyphens w:val="0"/>
              <w:autoSpaceDN/>
              <w:spacing w:after="0" w:line="240" w:lineRule="auto"/>
              <w:jc w:val="center"/>
              <w:rPr>
                <w:rFonts w:cs="Arial"/>
                <w:sz w:val="18"/>
                <w:szCs w:val="18"/>
              </w:rPr>
            </w:pPr>
          </w:p>
        </w:tc>
        <w:tc>
          <w:tcPr>
            <w:tcW w:w="813" w:type="dxa"/>
            <w:noWrap/>
            <w:vAlign w:val="bottom"/>
            <w:hideMark/>
          </w:tcPr>
          <w:p w14:paraId="7E043784" w14:textId="77777777" w:rsidR="008A580F" w:rsidRPr="00AB429E" w:rsidRDefault="008A580F" w:rsidP="008A580F">
            <w:pPr>
              <w:suppressAutoHyphens w:val="0"/>
              <w:autoSpaceDN/>
              <w:spacing w:after="0" w:line="240" w:lineRule="auto"/>
              <w:rPr>
                <w:rFonts w:cs="Arial"/>
                <w:sz w:val="18"/>
                <w:szCs w:val="18"/>
              </w:rPr>
            </w:pPr>
          </w:p>
        </w:tc>
        <w:tc>
          <w:tcPr>
            <w:tcW w:w="899" w:type="dxa"/>
            <w:noWrap/>
            <w:vAlign w:val="bottom"/>
            <w:hideMark/>
          </w:tcPr>
          <w:p w14:paraId="02D2C389" w14:textId="77777777" w:rsidR="008A580F" w:rsidRPr="00AB429E" w:rsidRDefault="008A580F" w:rsidP="008A580F">
            <w:pPr>
              <w:suppressAutoHyphens w:val="0"/>
              <w:autoSpaceDN/>
              <w:spacing w:after="0" w:line="240" w:lineRule="auto"/>
              <w:rPr>
                <w:rFonts w:cs="Arial"/>
                <w:sz w:val="18"/>
                <w:szCs w:val="18"/>
              </w:rPr>
            </w:pPr>
          </w:p>
        </w:tc>
        <w:tc>
          <w:tcPr>
            <w:tcW w:w="848" w:type="dxa"/>
            <w:noWrap/>
            <w:vAlign w:val="bottom"/>
            <w:hideMark/>
          </w:tcPr>
          <w:p w14:paraId="6AA4068E" w14:textId="77777777" w:rsidR="008A580F" w:rsidRPr="00AB429E" w:rsidRDefault="008A580F" w:rsidP="008A580F">
            <w:pPr>
              <w:suppressAutoHyphens w:val="0"/>
              <w:autoSpaceDN/>
              <w:spacing w:after="0" w:line="240" w:lineRule="auto"/>
              <w:rPr>
                <w:rFonts w:cs="Arial"/>
                <w:sz w:val="18"/>
                <w:szCs w:val="18"/>
              </w:rPr>
            </w:pPr>
          </w:p>
        </w:tc>
        <w:tc>
          <w:tcPr>
            <w:tcW w:w="1569" w:type="dxa"/>
            <w:noWrap/>
            <w:vAlign w:val="bottom"/>
            <w:hideMark/>
          </w:tcPr>
          <w:p w14:paraId="319C60BD"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Zahod</w:t>
            </w:r>
          </w:p>
        </w:tc>
        <w:tc>
          <w:tcPr>
            <w:tcW w:w="1194" w:type="dxa"/>
            <w:noWrap/>
            <w:vAlign w:val="bottom"/>
            <w:hideMark/>
          </w:tcPr>
          <w:p w14:paraId="5737F366"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RCO75</w:t>
            </w:r>
          </w:p>
        </w:tc>
        <w:tc>
          <w:tcPr>
            <w:tcW w:w="1285" w:type="dxa"/>
            <w:noWrap/>
            <w:vAlign w:val="bottom"/>
            <w:hideMark/>
          </w:tcPr>
          <w:p w14:paraId="18816780"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1</w:t>
            </w:r>
          </w:p>
        </w:tc>
        <w:tc>
          <w:tcPr>
            <w:tcW w:w="1684" w:type="dxa"/>
            <w:shd w:val="clear" w:color="000000" w:fill="F8696B"/>
            <w:noWrap/>
            <w:vAlign w:val="bottom"/>
            <w:hideMark/>
          </w:tcPr>
          <w:p w14:paraId="376C4C01"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0%</w:t>
            </w:r>
          </w:p>
        </w:tc>
      </w:tr>
      <w:tr w:rsidR="008A580F" w:rsidRPr="008A580F" w14:paraId="51F4A65F" w14:textId="77777777" w:rsidTr="008A580F">
        <w:trPr>
          <w:trHeight w:val="300"/>
        </w:trPr>
        <w:tc>
          <w:tcPr>
            <w:tcW w:w="1248" w:type="dxa"/>
            <w:noWrap/>
            <w:vAlign w:val="bottom"/>
            <w:hideMark/>
          </w:tcPr>
          <w:p w14:paraId="05A42E97" w14:textId="77777777" w:rsidR="008A580F" w:rsidRPr="00AB429E" w:rsidRDefault="008A580F" w:rsidP="008A580F">
            <w:pPr>
              <w:suppressAutoHyphens w:val="0"/>
              <w:autoSpaceDN/>
              <w:spacing w:after="0" w:line="240" w:lineRule="auto"/>
              <w:jc w:val="center"/>
              <w:rPr>
                <w:rFonts w:cs="Arial"/>
                <w:sz w:val="18"/>
                <w:szCs w:val="18"/>
              </w:rPr>
            </w:pPr>
          </w:p>
        </w:tc>
        <w:tc>
          <w:tcPr>
            <w:tcW w:w="813" w:type="dxa"/>
            <w:noWrap/>
            <w:vAlign w:val="bottom"/>
            <w:hideMark/>
          </w:tcPr>
          <w:p w14:paraId="069BF9DA" w14:textId="77777777" w:rsidR="008A580F" w:rsidRPr="00AB429E" w:rsidRDefault="008A580F" w:rsidP="008A580F">
            <w:pPr>
              <w:suppressAutoHyphens w:val="0"/>
              <w:autoSpaceDN/>
              <w:spacing w:after="0" w:line="240" w:lineRule="auto"/>
              <w:rPr>
                <w:rFonts w:cs="Arial"/>
                <w:sz w:val="18"/>
                <w:szCs w:val="18"/>
              </w:rPr>
            </w:pPr>
          </w:p>
        </w:tc>
        <w:tc>
          <w:tcPr>
            <w:tcW w:w="899" w:type="dxa"/>
            <w:noWrap/>
            <w:vAlign w:val="bottom"/>
            <w:hideMark/>
          </w:tcPr>
          <w:p w14:paraId="28CCCD01"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RSO5.2</w:t>
            </w:r>
          </w:p>
        </w:tc>
        <w:tc>
          <w:tcPr>
            <w:tcW w:w="848" w:type="dxa"/>
            <w:noWrap/>
            <w:vAlign w:val="bottom"/>
            <w:hideMark/>
          </w:tcPr>
          <w:p w14:paraId="53E16AAA" w14:textId="77777777" w:rsidR="008A580F" w:rsidRPr="00AB429E" w:rsidRDefault="008A580F" w:rsidP="008A580F">
            <w:pPr>
              <w:suppressAutoHyphens w:val="0"/>
              <w:autoSpaceDN/>
              <w:spacing w:after="0" w:line="240" w:lineRule="auto"/>
              <w:rPr>
                <w:rFonts w:cs="Arial"/>
                <w:b/>
                <w:bCs/>
                <w:color w:val="000000"/>
                <w:sz w:val="18"/>
                <w:szCs w:val="18"/>
              </w:rPr>
            </w:pPr>
            <w:r w:rsidRPr="00AB429E">
              <w:rPr>
                <w:rFonts w:cs="Arial"/>
                <w:b/>
                <w:bCs/>
                <w:color w:val="000000"/>
                <w:sz w:val="18"/>
                <w:szCs w:val="18"/>
              </w:rPr>
              <w:t>ESRR</w:t>
            </w:r>
          </w:p>
        </w:tc>
        <w:tc>
          <w:tcPr>
            <w:tcW w:w="1569" w:type="dxa"/>
            <w:noWrap/>
            <w:vAlign w:val="bottom"/>
            <w:hideMark/>
          </w:tcPr>
          <w:p w14:paraId="09C5EAA8"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Vzhod</w:t>
            </w:r>
          </w:p>
        </w:tc>
        <w:tc>
          <w:tcPr>
            <w:tcW w:w="1194" w:type="dxa"/>
            <w:noWrap/>
            <w:vAlign w:val="bottom"/>
            <w:hideMark/>
          </w:tcPr>
          <w:p w14:paraId="08C7DBEB"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RCO80</w:t>
            </w:r>
          </w:p>
        </w:tc>
        <w:tc>
          <w:tcPr>
            <w:tcW w:w="1285" w:type="dxa"/>
            <w:noWrap/>
            <w:vAlign w:val="bottom"/>
            <w:hideMark/>
          </w:tcPr>
          <w:p w14:paraId="764C7247"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1</w:t>
            </w:r>
          </w:p>
        </w:tc>
        <w:tc>
          <w:tcPr>
            <w:tcW w:w="1684" w:type="dxa"/>
            <w:shd w:val="clear" w:color="000000" w:fill="F8696B"/>
            <w:noWrap/>
            <w:vAlign w:val="bottom"/>
            <w:hideMark/>
          </w:tcPr>
          <w:p w14:paraId="6DC8F890"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0%</w:t>
            </w:r>
          </w:p>
        </w:tc>
      </w:tr>
      <w:tr w:rsidR="008A580F" w:rsidRPr="008A580F" w14:paraId="45A657F1" w14:textId="77777777" w:rsidTr="008A580F">
        <w:trPr>
          <w:trHeight w:val="300"/>
        </w:trPr>
        <w:tc>
          <w:tcPr>
            <w:tcW w:w="1248" w:type="dxa"/>
            <w:noWrap/>
            <w:vAlign w:val="bottom"/>
            <w:hideMark/>
          </w:tcPr>
          <w:p w14:paraId="319F604E" w14:textId="77777777" w:rsidR="008A580F" w:rsidRPr="00AB429E" w:rsidRDefault="008A580F" w:rsidP="008A580F">
            <w:pPr>
              <w:suppressAutoHyphens w:val="0"/>
              <w:autoSpaceDN/>
              <w:spacing w:after="0" w:line="240" w:lineRule="auto"/>
              <w:jc w:val="center"/>
              <w:rPr>
                <w:rFonts w:cs="Arial"/>
                <w:sz w:val="18"/>
                <w:szCs w:val="18"/>
              </w:rPr>
            </w:pPr>
          </w:p>
        </w:tc>
        <w:tc>
          <w:tcPr>
            <w:tcW w:w="813" w:type="dxa"/>
            <w:noWrap/>
            <w:vAlign w:val="bottom"/>
            <w:hideMark/>
          </w:tcPr>
          <w:p w14:paraId="4A3E695A" w14:textId="77777777" w:rsidR="008A580F" w:rsidRPr="00AB429E" w:rsidRDefault="008A580F" w:rsidP="008A580F">
            <w:pPr>
              <w:suppressAutoHyphens w:val="0"/>
              <w:autoSpaceDN/>
              <w:spacing w:after="0" w:line="240" w:lineRule="auto"/>
              <w:rPr>
                <w:rFonts w:cs="Arial"/>
                <w:sz w:val="18"/>
                <w:szCs w:val="18"/>
              </w:rPr>
            </w:pPr>
          </w:p>
        </w:tc>
        <w:tc>
          <w:tcPr>
            <w:tcW w:w="899" w:type="dxa"/>
            <w:noWrap/>
            <w:vAlign w:val="bottom"/>
            <w:hideMark/>
          </w:tcPr>
          <w:p w14:paraId="575C7371" w14:textId="77777777" w:rsidR="008A580F" w:rsidRPr="00AB429E" w:rsidRDefault="008A580F" w:rsidP="008A580F">
            <w:pPr>
              <w:suppressAutoHyphens w:val="0"/>
              <w:autoSpaceDN/>
              <w:spacing w:after="0" w:line="240" w:lineRule="auto"/>
              <w:rPr>
                <w:rFonts w:cs="Arial"/>
                <w:sz w:val="18"/>
                <w:szCs w:val="18"/>
              </w:rPr>
            </w:pPr>
          </w:p>
        </w:tc>
        <w:tc>
          <w:tcPr>
            <w:tcW w:w="848" w:type="dxa"/>
            <w:noWrap/>
            <w:vAlign w:val="bottom"/>
            <w:hideMark/>
          </w:tcPr>
          <w:p w14:paraId="10C59669" w14:textId="77777777" w:rsidR="008A580F" w:rsidRPr="00AB429E" w:rsidRDefault="008A580F" w:rsidP="008A580F">
            <w:pPr>
              <w:suppressAutoHyphens w:val="0"/>
              <w:autoSpaceDN/>
              <w:spacing w:after="0" w:line="240" w:lineRule="auto"/>
              <w:rPr>
                <w:rFonts w:cs="Arial"/>
                <w:sz w:val="18"/>
                <w:szCs w:val="18"/>
              </w:rPr>
            </w:pPr>
          </w:p>
        </w:tc>
        <w:tc>
          <w:tcPr>
            <w:tcW w:w="1569" w:type="dxa"/>
            <w:noWrap/>
            <w:vAlign w:val="bottom"/>
            <w:hideMark/>
          </w:tcPr>
          <w:p w14:paraId="07280441"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Zahod</w:t>
            </w:r>
          </w:p>
        </w:tc>
        <w:tc>
          <w:tcPr>
            <w:tcW w:w="1194" w:type="dxa"/>
            <w:noWrap/>
            <w:vAlign w:val="bottom"/>
            <w:hideMark/>
          </w:tcPr>
          <w:p w14:paraId="2537D761"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RCO80</w:t>
            </w:r>
          </w:p>
        </w:tc>
        <w:tc>
          <w:tcPr>
            <w:tcW w:w="1285" w:type="dxa"/>
            <w:noWrap/>
            <w:vAlign w:val="bottom"/>
            <w:hideMark/>
          </w:tcPr>
          <w:p w14:paraId="6A4E6CB1"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1</w:t>
            </w:r>
          </w:p>
        </w:tc>
        <w:tc>
          <w:tcPr>
            <w:tcW w:w="1684" w:type="dxa"/>
            <w:shd w:val="clear" w:color="000000" w:fill="F8696B"/>
            <w:noWrap/>
            <w:vAlign w:val="bottom"/>
            <w:hideMark/>
          </w:tcPr>
          <w:p w14:paraId="5DACB4F1"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0%</w:t>
            </w:r>
          </w:p>
        </w:tc>
      </w:tr>
      <w:tr w:rsidR="008A580F" w:rsidRPr="008A580F" w14:paraId="44DC0EEF" w14:textId="77777777" w:rsidTr="008A580F">
        <w:trPr>
          <w:trHeight w:val="300"/>
        </w:trPr>
        <w:tc>
          <w:tcPr>
            <w:tcW w:w="1248" w:type="dxa"/>
            <w:noWrap/>
            <w:vAlign w:val="bottom"/>
            <w:hideMark/>
          </w:tcPr>
          <w:p w14:paraId="1988A2F4" w14:textId="77777777" w:rsidR="008A580F" w:rsidRPr="00AB429E" w:rsidRDefault="008A580F" w:rsidP="008A580F">
            <w:pPr>
              <w:suppressAutoHyphens w:val="0"/>
              <w:autoSpaceDN/>
              <w:spacing w:after="0" w:line="240" w:lineRule="auto"/>
              <w:rPr>
                <w:rFonts w:cs="Arial"/>
                <w:b/>
                <w:bCs/>
                <w:color w:val="000000"/>
                <w:sz w:val="18"/>
                <w:szCs w:val="18"/>
              </w:rPr>
            </w:pPr>
            <w:r w:rsidRPr="00AB429E">
              <w:rPr>
                <w:rFonts w:cs="Arial"/>
                <w:b/>
                <w:bCs/>
                <w:color w:val="000000"/>
                <w:sz w:val="18"/>
                <w:szCs w:val="18"/>
              </w:rPr>
              <w:t>CP6</w:t>
            </w:r>
          </w:p>
        </w:tc>
        <w:tc>
          <w:tcPr>
            <w:tcW w:w="813" w:type="dxa"/>
            <w:noWrap/>
            <w:vAlign w:val="bottom"/>
            <w:hideMark/>
          </w:tcPr>
          <w:p w14:paraId="29E01B6C" w14:textId="77777777" w:rsidR="008A580F" w:rsidRPr="00AB429E" w:rsidRDefault="008A580F" w:rsidP="008A580F">
            <w:pPr>
              <w:suppressAutoHyphens w:val="0"/>
              <w:autoSpaceDN/>
              <w:spacing w:after="0" w:line="240" w:lineRule="auto"/>
              <w:rPr>
                <w:rFonts w:cs="Arial"/>
                <w:b/>
                <w:bCs/>
                <w:color w:val="000000"/>
                <w:sz w:val="18"/>
                <w:szCs w:val="18"/>
              </w:rPr>
            </w:pPr>
            <w:r w:rsidRPr="00AB429E">
              <w:rPr>
                <w:rFonts w:cs="Arial"/>
                <w:b/>
                <w:bCs/>
                <w:color w:val="000000"/>
                <w:sz w:val="18"/>
                <w:szCs w:val="18"/>
              </w:rPr>
              <w:t>PN10</w:t>
            </w:r>
          </w:p>
        </w:tc>
        <w:tc>
          <w:tcPr>
            <w:tcW w:w="899" w:type="dxa"/>
            <w:noWrap/>
            <w:vAlign w:val="bottom"/>
            <w:hideMark/>
          </w:tcPr>
          <w:p w14:paraId="1588BB3B"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JSO8.1</w:t>
            </w:r>
          </w:p>
        </w:tc>
        <w:tc>
          <w:tcPr>
            <w:tcW w:w="848" w:type="dxa"/>
            <w:noWrap/>
            <w:vAlign w:val="bottom"/>
            <w:hideMark/>
          </w:tcPr>
          <w:p w14:paraId="3983745E" w14:textId="77777777" w:rsidR="008A580F" w:rsidRPr="00AB429E" w:rsidRDefault="008A580F" w:rsidP="008A580F">
            <w:pPr>
              <w:suppressAutoHyphens w:val="0"/>
              <w:autoSpaceDN/>
              <w:spacing w:after="0" w:line="240" w:lineRule="auto"/>
              <w:rPr>
                <w:rFonts w:cs="Arial"/>
                <w:b/>
                <w:bCs/>
                <w:color w:val="000000"/>
                <w:sz w:val="18"/>
                <w:szCs w:val="18"/>
              </w:rPr>
            </w:pPr>
            <w:r w:rsidRPr="00AB429E">
              <w:rPr>
                <w:rFonts w:cs="Arial"/>
                <w:b/>
                <w:bCs/>
                <w:color w:val="000000"/>
                <w:sz w:val="18"/>
                <w:szCs w:val="18"/>
              </w:rPr>
              <w:t>SPP</w:t>
            </w:r>
          </w:p>
        </w:tc>
        <w:tc>
          <w:tcPr>
            <w:tcW w:w="1569" w:type="dxa"/>
            <w:noWrap/>
            <w:vAlign w:val="bottom"/>
            <w:hideMark/>
          </w:tcPr>
          <w:p w14:paraId="0313FAE4"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Celotna Slovenija</w:t>
            </w:r>
          </w:p>
        </w:tc>
        <w:tc>
          <w:tcPr>
            <w:tcW w:w="1194" w:type="dxa"/>
            <w:noWrap/>
            <w:vAlign w:val="bottom"/>
            <w:hideMark/>
          </w:tcPr>
          <w:p w14:paraId="308CADE8"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EECO02</w:t>
            </w:r>
          </w:p>
        </w:tc>
        <w:tc>
          <w:tcPr>
            <w:tcW w:w="1285" w:type="dxa"/>
            <w:noWrap/>
            <w:vAlign w:val="bottom"/>
            <w:hideMark/>
          </w:tcPr>
          <w:p w14:paraId="1FF87627"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1</w:t>
            </w:r>
          </w:p>
        </w:tc>
        <w:tc>
          <w:tcPr>
            <w:tcW w:w="1684" w:type="dxa"/>
            <w:shd w:val="clear" w:color="000000" w:fill="F8696B"/>
            <w:noWrap/>
            <w:vAlign w:val="bottom"/>
            <w:hideMark/>
          </w:tcPr>
          <w:p w14:paraId="19D96A9F"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0%</w:t>
            </w:r>
          </w:p>
        </w:tc>
      </w:tr>
      <w:tr w:rsidR="008A580F" w:rsidRPr="008A580F" w14:paraId="6EF12D7B" w14:textId="77777777" w:rsidTr="008A580F">
        <w:trPr>
          <w:trHeight w:val="300"/>
        </w:trPr>
        <w:tc>
          <w:tcPr>
            <w:tcW w:w="1248" w:type="dxa"/>
            <w:noWrap/>
            <w:vAlign w:val="bottom"/>
            <w:hideMark/>
          </w:tcPr>
          <w:p w14:paraId="4935B101" w14:textId="77777777" w:rsidR="008A580F" w:rsidRPr="00AB429E" w:rsidRDefault="008A580F" w:rsidP="008A580F">
            <w:pPr>
              <w:suppressAutoHyphens w:val="0"/>
              <w:autoSpaceDN/>
              <w:spacing w:after="0" w:line="240" w:lineRule="auto"/>
              <w:jc w:val="center"/>
              <w:rPr>
                <w:rFonts w:cs="Arial"/>
                <w:sz w:val="18"/>
                <w:szCs w:val="18"/>
              </w:rPr>
            </w:pPr>
          </w:p>
        </w:tc>
        <w:tc>
          <w:tcPr>
            <w:tcW w:w="813" w:type="dxa"/>
            <w:noWrap/>
            <w:vAlign w:val="bottom"/>
            <w:hideMark/>
          </w:tcPr>
          <w:p w14:paraId="2BD44676" w14:textId="77777777" w:rsidR="008A580F" w:rsidRPr="00AB429E" w:rsidRDefault="008A580F" w:rsidP="008A580F">
            <w:pPr>
              <w:suppressAutoHyphens w:val="0"/>
              <w:autoSpaceDN/>
              <w:spacing w:after="0" w:line="240" w:lineRule="auto"/>
              <w:rPr>
                <w:rFonts w:cs="Arial"/>
                <w:sz w:val="18"/>
                <w:szCs w:val="18"/>
              </w:rPr>
            </w:pPr>
          </w:p>
        </w:tc>
        <w:tc>
          <w:tcPr>
            <w:tcW w:w="899" w:type="dxa"/>
            <w:noWrap/>
            <w:vAlign w:val="bottom"/>
            <w:hideMark/>
          </w:tcPr>
          <w:p w14:paraId="099FE135" w14:textId="77777777" w:rsidR="008A580F" w:rsidRPr="00AB429E" w:rsidRDefault="008A580F" w:rsidP="008A580F">
            <w:pPr>
              <w:suppressAutoHyphens w:val="0"/>
              <w:autoSpaceDN/>
              <w:spacing w:after="0" w:line="240" w:lineRule="auto"/>
              <w:rPr>
                <w:rFonts w:cs="Arial"/>
                <w:sz w:val="18"/>
                <w:szCs w:val="18"/>
              </w:rPr>
            </w:pPr>
          </w:p>
        </w:tc>
        <w:tc>
          <w:tcPr>
            <w:tcW w:w="848" w:type="dxa"/>
            <w:noWrap/>
            <w:vAlign w:val="bottom"/>
            <w:hideMark/>
          </w:tcPr>
          <w:p w14:paraId="558F548B" w14:textId="77777777" w:rsidR="008A580F" w:rsidRPr="00AB429E" w:rsidRDefault="008A580F" w:rsidP="008A580F">
            <w:pPr>
              <w:suppressAutoHyphens w:val="0"/>
              <w:autoSpaceDN/>
              <w:spacing w:after="0" w:line="240" w:lineRule="auto"/>
              <w:rPr>
                <w:rFonts w:cs="Arial"/>
                <w:sz w:val="18"/>
                <w:szCs w:val="18"/>
              </w:rPr>
            </w:pPr>
          </w:p>
        </w:tc>
        <w:tc>
          <w:tcPr>
            <w:tcW w:w="1569" w:type="dxa"/>
            <w:noWrap/>
            <w:vAlign w:val="bottom"/>
            <w:hideMark/>
          </w:tcPr>
          <w:p w14:paraId="76AB2B5D" w14:textId="77777777" w:rsidR="008A580F" w:rsidRPr="00AB429E" w:rsidRDefault="008A580F" w:rsidP="008A580F">
            <w:pPr>
              <w:suppressAutoHyphens w:val="0"/>
              <w:autoSpaceDN/>
              <w:spacing w:after="0" w:line="240" w:lineRule="auto"/>
              <w:rPr>
                <w:rFonts w:cs="Arial"/>
                <w:sz w:val="18"/>
                <w:szCs w:val="18"/>
              </w:rPr>
            </w:pPr>
          </w:p>
        </w:tc>
        <w:tc>
          <w:tcPr>
            <w:tcW w:w="1194" w:type="dxa"/>
            <w:noWrap/>
            <w:vAlign w:val="bottom"/>
            <w:hideMark/>
          </w:tcPr>
          <w:p w14:paraId="1FAB8AF2"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EECO03</w:t>
            </w:r>
          </w:p>
        </w:tc>
        <w:tc>
          <w:tcPr>
            <w:tcW w:w="1285" w:type="dxa"/>
            <w:noWrap/>
            <w:vAlign w:val="bottom"/>
            <w:hideMark/>
          </w:tcPr>
          <w:p w14:paraId="12FE18A5"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1</w:t>
            </w:r>
          </w:p>
        </w:tc>
        <w:tc>
          <w:tcPr>
            <w:tcW w:w="1684" w:type="dxa"/>
            <w:shd w:val="clear" w:color="000000" w:fill="F8696B"/>
            <w:noWrap/>
            <w:vAlign w:val="bottom"/>
            <w:hideMark/>
          </w:tcPr>
          <w:p w14:paraId="3904244B"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0%</w:t>
            </w:r>
          </w:p>
        </w:tc>
      </w:tr>
      <w:tr w:rsidR="008A580F" w:rsidRPr="008A580F" w14:paraId="2D80577B" w14:textId="77777777" w:rsidTr="008A580F">
        <w:trPr>
          <w:trHeight w:val="300"/>
        </w:trPr>
        <w:tc>
          <w:tcPr>
            <w:tcW w:w="1248" w:type="dxa"/>
            <w:noWrap/>
            <w:vAlign w:val="bottom"/>
            <w:hideMark/>
          </w:tcPr>
          <w:p w14:paraId="356AB887" w14:textId="77777777" w:rsidR="008A580F" w:rsidRPr="00AB429E" w:rsidRDefault="008A580F" w:rsidP="008A580F">
            <w:pPr>
              <w:suppressAutoHyphens w:val="0"/>
              <w:autoSpaceDN/>
              <w:spacing w:after="0" w:line="240" w:lineRule="auto"/>
              <w:jc w:val="center"/>
              <w:rPr>
                <w:rFonts w:cs="Arial"/>
                <w:sz w:val="18"/>
                <w:szCs w:val="18"/>
              </w:rPr>
            </w:pPr>
          </w:p>
        </w:tc>
        <w:tc>
          <w:tcPr>
            <w:tcW w:w="813" w:type="dxa"/>
            <w:noWrap/>
            <w:vAlign w:val="bottom"/>
            <w:hideMark/>
          </w:tcPr>
          <w:p w14:paraId="5A35DBCC" w14:textId="77777777" w:rsidR="008A580F" w:rsidRPr="00AB429E" w:rsidRDefault="008A580F" w:rsidP="008A580F">
            <w:pPr>
              <w:suppressAutoHyphens w:val="0"/>
              <w:autoSpaceDN/>
              <w:spacing w:after="0" w:line="240" w:lineRule="auto"/>
              <w:rPr>
                <w:rFonts w:cs="Arial"/>
                <w:sz w:val="18"/>
                <w:szCs w:val="18"/>
              </w:rPr>
            </w:pPr>
          </w:p>
        </w:tc>
        <w:tc>
          <w:tcPr>
            <w:tcW w:w="899" w:type="dxa"/>
            <w:noWrap/>
            <w:vAlign w:val="bottom"/>
            <w:hideMark/>
          </w:tcPr>
          <w:p w14:paraId="5F3E0942" w14:textId="77777777" w:rsidR="008A580F" w:rsidRPr="00AB429E" w:rsidRDefault="008A580F" w:rsidP="008A580F">
            <w:pPr>
              <w:suppressAutoHyphens w:val="0"/>
              <w:autoSpaceDN/>
              <w:spacing w:after="0" w:line="240" w:lineRule="auto"/>
              <w:rPr>
                <w:rFonts w:cs="Arial"/>
                <w:sz w:val="18"/>
                <w:szCs w:val="18"/>
              </w:rPr>
            </w:pPr>
          </w:p>
        </w:tc>
        <w:tc>
          <w:tcPr>
            <w:tcW w:w="848" w:type="dxa"/>
            <w:noWrap/>
            <w:vAlign w:val="bottom"/>
            <w:hideMark/>
          </w:tcPr>
          <w:p w14:paraId="69F6153F" w14:textId="77777777" w:rsidR="008A580F" w:rsidRPr="00AB429E" w:rsidRDefault="008A580F" w:rsidP="008A580F">
            <w:pPr>
              <w:suppressAutoHyphens w:val="0"/>
              <w:autoSpaceDN/>
              <w:spacing w:after="0" w:line="240" w:lineRule="auto"/>
              <w:rPr>
                <w:rFonts w:cs="Arial"/>
                <w:sz w:val="18"/>
                <w:szCs w:val="18"/>
              </w:rPr>
            </w:pPr>
          </w:p>
        </w:tc>
        <w:tc>
          <w:tcPr>
            <w:tcW w:w="1569" w:type="dxa"/>
            <w:noWrap/>
            <w:vAlign w:val="bottom"/>
            <w:hideMark/>
          </w:tcPr>
          <w:p w14:paraId="2099FDC9" w14:textId="77777777" w:rsidR="008A580F" w:rsidRPr="00AB429E" w:rsidRDefault="008A580F" w:rsidP="008A580F">
            <w:pPr>
              <w:suppressAutoHyphens w:val="0"/>
              <w:autoSpaceDN/>
              <w:spacing w:after="0" w:line="240" w:lineRule="auto"/>
              <w:rPr>
                <w:rFonts w:cs="Arial"/>
                <w:sz w:val="18"/>
                <w:szCs w:val="18"/>
              </w:rPr>
            </w:pPr>
          </w:p>
        </w:tc>
        <w:tc>
          <w:tcPr>
            <w:tcW w:w="1194" w:type="dxa"/>
            <w:noWrap/>
            <w:vAlign w:val="bottom"/>
            <w:hideMark/>
          </w:tcPr>
          <w:p w14:paraId="4EA9D113"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EECO06</w:t>
            </w:r>
          </w:p>
        </w:tc>
        <w:tc>
          <w:tcPr>
            <w:tcW w:w="1285" w:type="dxa"/>
            <w:noWrap/>
            <w:vAlign w:val="bottom"/>
            <w:hideMark/>
          </w:tcPr>
          <w:p w14:paraId="63C6A390"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1</w:t>
            </w:r>
          </w:p>
        </w:tc>
        <w:tc>
          <w:tcPr>
            <w:tcW w:w="1684" w:type="dxa"/>
            <w:shd w:val="clear" w:color="000000" w:fill="F8696B"/>
            <w:noWrap/>
            <w:vAlign w:val="bottom"/>
            <w:hideMark/>
          </w:tcPr>
          <w:p w14:paraId="567DA719"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0%</w:t>
            </w:r>
          </w:p>
        </w:tc>
      </w:tr>
      <w:tr w:rsidR="008A580F" w:rsidRPr="008A580F" w14:paraId="4DB559F9" w14:textId="77777777" w:rsidTr="008A580F">
        <w:trPr>
          <w:trHeight w:val="300"/>
        </w:trPr>
        <w:tc>
          <w:tcPr>
            <w:tcW w:w="1248" w:type="dxa"/>
            <w:noWrap/>
            <w:vAlign w:val="bottom"/>
            <w:hideMark/>
          </w:tcPr>
          <w:p w14:paraId="2FA8C4A7" w14:textId="77777777" w:rsidR="008A580F" w:rsidRPr="00AB429E" w:rsidRDefault="008A580F" w:rsidP="008A580F">
            <w:pPr>
              <w:suppressAutoHyphens w:val="0"/>
              <w:autoSpaceDN/>
              <w:spacing w:after="0" w:line="240" w:lineRule="auto"/>
              <w:jc w:val="center"/>
              <w:rPr>
                <w:rFonts w:cs="Arial"/>
                <w:sz w:val="18"/>
                <w:szCs w:val="18"/>
              </w:rPr>
            </w:pPr>
          </w:p>
        </w:tc>
        <w:tc>
          <w:tcPr>
            <w:tcW w:w="813" w:type="dxa"/>
            <w:noWrap/>
            <w:vAlign w:val="bottom"/>
            <w:hideMark/>
          </w:tcPr>
          <w:p w14:paraId="788D12A1" w14:textId="77777777" w:rsidR="008A580F" w:rsidRPr="00AB429E" w:rsidRDefault="008A580F" w:rsidP="008A580F">
            <w:pPr>
              <w:suppressAutoHyphens w:val="0"/>
              <w:autoSpaceDN/>
              <w:spacing w:after="0" w:line="240" w:lineRule="auto"/>
              <w:rPr>
                <w:rFonts w:cs="Arial"/>
                <w:sz w:val="18"/>
                <w:szCs w:val="18"/>
              </w:rPr>
            </w:pPr>
          </w:p>
        </w:tc>
        <w:tc>
          <w:tcPr>
            <w:tcW w:w="899" w:type="dxa"/>
            <w:noWrap/>
            <w:vAlign w:val="bottom"/>
            <w:hideMark/>
          </w:tcPr>
          <w:p w14:paraId="5710B421" w14:textId="77777777" w:rsidR="008A580F" w:rsidRPr="00AB429E" w:rsidRDefault="008A580F" w:rsidP="008A580F">
            <w:pPr>
              <w:suppressAutoHyphens w:val="0"/>
              <w:autoSpaceDN/>
              <w:spacing w:after="0" w:line="240" w:lineRule="auto"/>
              <w:rPr>
                <w:rFonts w:cs="Arial"/>
                <w:sz w:val="18"/>
                <w:szCs w:val="18"/>
              </w:rPr>
            </w:pPr>
          </w:p>
        </w:tc>
        <w:tc>
          <w:tcPr>
            <w:tcW w:w="848" w:type="dxa"/>
            <w:noWrap/>
            <w:vAlign w:val="bottom"/>
            <w:hideMark/>
          </w:tcPr>
          <w:p w14:paraId="36DB49C1" w14:textId="77777777" w:rsidR="008A580F" w:rsidRPr="00AB429E" w:rsidRDefault="008A580F" w:rsidP="008A580F">
            <w:pPr>
              <w:suppressAutoHyphens w:val="0"/>
              <w:autoSpaceDN/>
              <w:spacing w:after="0" w:line="240" w:lineRule="auto"/>
              <w:rPr>
                <w:rFonts w:cs="Arial"/>
                <w:sz w:val="18"/>
                <w:szCs w:val="18"/>
              </w:rPr>
            </w:pPr>
          </w:p>
        </w:tc>
        <w:tc>
          <w:tcPr>
            <w:tcW w:w="1569" w:type="dxa"/>
            <w:noWrap/>
            <w:vAlign w:val="bottom"/>
            <w:hideMark/>
          </w:tcPr>
          <w:p w14:paraId="15A93CF2" w14:textId="77777777" w:rsidR="008A580F" w:rsidRPr="00AB429E" w:rsidRDefault="008A580F" w:rsidP="008A580F">
            <w:pPr>
              <w:suppressAutoHyphens w:val="0"/>
              <w:autoSpaceDN/>
              <w:spacing w:after="0" w:line="240" w:lineRule="auto"/>
              <w:rPr>
                <w:rFonts w:cs="Arial"/>
                <w:sz w:val="18"/>
                <w:szCs w:val="18"/>
              </w:rPr>
            </w:pPr>
          </w:p>
        </w:tc>
        <w:tc>
          <w:tcPr>
            <w:tcW w:w="1194" w:type="dxa"/>
            <w:noWrap/>
            <w:vAlign w:val="bottom"/>
            <w:hideMark/>
          </w:tcPr>
          <w:p w14:paraId="1893BC80"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EECO08</w:t>
            </w:r>
          </w:p>
        </w:tc>
        <w:tc>
          <w:tcPr>
            <w:tcW w:w="1285" w:type="dxa"/>
            <w:noWrap/>
            <w:vAlign w:val="bottom"/>
            <w:hideMark/>
          </w:tcPr>
          <w:p w14:paraId="76B330E5"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1</w:t>
            </w:r>
          </w:p>
        </w:tc>
        <w:tc>
          <w:tcPr>
            <w:tcW w:w="1684" w:type="dxa"/>
            <w:shd w:val="clear" w:color="000000" w:fill="F8696B"/>
            <w:noWrap/>
            <w:vAlign w:val="bottom"/>
            <w:hideMark/>
          </w:tcPr>
          <w:p w14:paraId="5367BC73"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0%</w:t>
            </w:r>
          </w:p>
        </w:tc>
      </w:tr>
      <w:tr w:rsidR="008A580F" w:rsidRPr="008A580F" w14:paraId="1E5B5656" w14:textId="77777777" w:rsidTr="008A580F">
        <w:trPr>
          <w:trHeight w:val="300"/>
        </w:trPr>
        <w:tc>
          <w:tcPr>
            <w:tcW w:w="1248" w:type="dxa"/>
            <w:noWrap/>
            <w:vAlign w:val="bottom"/>
            <w:hideMark/>
          </w:tcPr>
          <w:p w14:paraId="41498943" w14:textId="77777777" w:rsidR="008A580F" w:rsidRPr="00AB429E" w:rsidRDefault="008A580F" w:rsidP="008A580F">
            <w:pPr>
              <w:suppressAutoHyphens w:val="0"/>
              <w:autoSpaceDN/>
              <w:spacing w:after="0" w:line="240" w:lineRule="auto"/>
              <w:jc w:val="center"/>
              <w:rPr>
                <w:rFonts w:cs="Arial"/>
                <w:sz w:val="18"/>
                <w:szCs w:val="18"/>
              </w:rPr>
            </w:pPr>
          </w:p>
        </w:tc>
        <w:tc>
          <w:tcPr>
            <w:tcW w:w="813" w:type="dxa"/>
            <w:noWrap/>
            <w:vAlign w:val="bottom"/>
            <w:hideMark/>
          </w:tcPr>
          <w:p w14:paraId="3D23A715" w14:textId="77777777" w:rsidR="008A580F" w:rsidRPr="00AB429E" w:rsidRDefault="008A580F" w:rsidP="008A580F">
            <w:pPr>
              <w:suppressAutoHyphens w:val="0"/>
              <w:autoSpaceDN/>
              <w:spacing w:after="0" w:line="240" w:lineRule="auto"/>
              <w:rPr>
                <w:rFonts w:cs="Arial"/>
                <w:sz w:val="18"/>
                <w:szCs w:val="18"/>
              </w:rPr>
            </w:pPr>
          </w:p>
        </w:tc>
        <w:tc>
          <w:tcPr>
            <w:tcW w:w="899" w:type="dxa"/>
            <w:noWrap/>
            <w:vAlign w:val="bottom"/>
            <w:hideMark/>
          </w:tcPr>
          <w:p w14:paraId="1BCD9F02" w14:textId="77777777" w:rsidR="008A580F" w:rsidRPr="00AB429E" w:rsidRDefault="008A580F" w:rsidP="008A580F">
            <w:pPr>
              <w:suppressAutoHyphens w:val="0"/>
              <w:autoSpaceDN/>
              <w:spacing w:after="0" w:line="240" w:lineRule="auto"/>
              <w:rPr>
                <w:rFonts w:cs="Arial"/>
                <w:sz w:val="18"/>
                <w:szCs w:val="18"/>
              </w:rPr>
            </w:pPr>
          </w:p>
        </w:tc>
        <w:tc>
          <w:tcPr>
            <w:tcW w:w="848" w:type="dxa"/>
            <w:noWrap/>
            <w:vAlign w:val="bottom"/>
            <w:hideMark/>
          </w:tcPr>
          <w:p w14:paraId="3A59C30E" w14:textId="77777777" w:rsidR="008A580F" w:rsidRPr="00AB429E" w:rsidRDefault="008A580F" w:rsidP="008A580F">
            <w:pPr>
              <w:suppressAutoHyphens w:val="0"/>
              <w:autoSpaceDN/>
              <w:spacing w:after="0" w:line="240" w:lineRule="auto"/>
              <w:rPr>
                <w:rFonts w:cs="Arial"/>
                <w:sz w:val="18"/>
                <w:szCs w:val="18"/>
              </w:rPr>
            </w:pPr>
          </w:p>
        </w:tc>
        <w:tc>
          <w:tcPr>
            <w:tcW w:w="1569" w:type="dxa"/>
            <w:noWrap/>
            <w:vAlign w:val="bottom"/>
            <w:hideMark/>
          </w:tcPr>
          <w:p w14:paraId="209CB3D3" w14:textId="77777777" w:rsidR="008A580F" w:rsidRPr="00AB429E" w:rsidRDefault="008A580F" w:rsidP="008A580F">
            <w:pPr>
              <w:suppressAutoHyphens w:val="0"/>
              <w:autoSpaceDN/>
              <w:spacing w:after="0" w:line="240" w:lineRule="auto"/>
              <w:rPr>
                <w:rFonts w:cs="Arial"/>
                <w:sz w:val="18"/>
                <w:szCs w:val="18"/>
              </w:rPr>
            </w:pPr>
          </w:p>
        </w:tc>
        <w:tc>
          <w:tcPr>
            <w:tcW w:w="1194" w:type="dxa"/>
            <w:noWrap/>
            <w:vAlign w:val="bottom"/>
            <w:hideMark/>
          </w:tcPr>
          <w:p w14:paraId="36AB60EC"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EECO09</w:t>
            </w:r>
          </w:p>
        </w:tc>
        <w:tc>
          <w:tcPr>
            <w:tcW w:w="1285" w:type="dxa"/>
            <w:noWrap/>
            <w:vAlign w:val="bottom"/>
            <w:hideMark/>
          </w:tcPr>
          <w:p w14:paraId="67B20B35"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1</w:t>
            </w:r>
          </w:p>
        </w:tc>
        <w:tc>
          <w:tcPr>
            <w:tcW w:w="1684" w:type="dxa"/>
            <w:shd w:val="clear" w:color="000000" w:fill="F8696B"/>
            <w:noWrap/>
            <w:vAlign w:val="bottom"/>
            <w:hideMark/>
          </w:tcPr>
          <w:p w14:paraId="3464E96A"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0%</w:t>
            </w:r>
          </w:p>
        </w:tc>
      </w:tr>
      <w:tr w:rsidR="008A580F" w:rsidRPr="008A580F" w14:paraId="2DE64B40" w14:textId="77777777" w:rsidTr="008A580F">
        <w:trPr>
          <w:trHeight w:val="300"/>
        </w:trPr>
        <w:tc>
          <w:tcPr>
            <w:tcW w:w="1248" w:type="dxa"/>
            <w:noWrap/>
            <w:vAlign w:val="bottom"/>
            <w:hideMark/>
          </w:tcPr>
          <w:p w14:paraId="310BD804" w14:textId="77777777" w:rsidR="008A580F" w:rsidRPr="00AB429E" w:rsidRDefault="008A580F" w:rsidP="008A580F">
            <w:pPr>
              <w:suppressAutoHyphens w:val="0"/>
              <w:autoSpaceDN/>
              <w:spacing w:after="0" w:line="240" w:lineRule="auto"/>
              <w:jc w:val="center"/>
              <w:rPr>
                <w:rFonts w:cs="Arial"/>
                <w:sz w:val="18"/>
                <w:szCs w:val="18"/>
              </w:rPr>
            </w:pPr>
          </w:p>
        </w:tc>
        <w:tc>
          <w:tcPr>
            <w:tcW w:w="813" w:type="dxa"/>
            <w:noWrap/>
            <w:vAlign w:val="bottom"/>
            <w:hideMark/>
          </w:tcPr>
          <w:p w14:paraId="2E6AE2D4" w14:textId="77777777" w:rsidR="008A580F" w:rsidRPr="00AB429E" w:rsidRDefault="008A580F" w:rsidP="008A580F">
            <w:pPr>
              <w:suppressAutoHyphens w:val="0"/>
              <w:autoSpaceDN/>
              <w:spacing w:after="0" w:line="240" w:lineRule="auto"/>
              <w:rPr>
                <w:rFonts w:cs="Arial"/>
                <w:sz w:val="18"/>
                <w:szCs w:val="18"/>
              </w:rPr>
            </w:pPr>
          </w:p>
        </w:tc>
        <w:tc>
          <w:tcPr>
            <w:tcW w:w="899" w:type="dxa"/>
            <w:noWrap/>
            <w:vAlign w:val="bottom"/>
            <w:hideMark/>
          </w:tcPr>
          <w:p w14:paraId="558C9C88" w14:textId="77777777" w:rsidR="008A580F" w:rsidRPr="00AB429E" w:rsidRDefault="008A580F" w:rsidP="008A580F">
            <w:pPr>
              <w:suppressAutoHyphens w:val="0"/>
              <w:autoSpaceDN/>
              <w:spacing w:after="0" w:line="240" w:lineRule="auto"/>
              <w:rPr>
                <w:rFonts w:cs="Arial"/>
                <w:sz w:val="18"/>
                <w:szCs w:val="18"/>
              </w:rPr>
            </w:pPr>
          </w:p>
        </w:tc>
        <w:tc>
          <w:tcPr>
            <w:tcW w:w="848" w:type="dxa"/>
            <w:noWrap/>
            <w:vAlign w:val="bottom"/>
            <w:hideMark/>
          </w:tcPr>
          <w:p w14:paraId="0E5DEC1E" w14:textId="77777777" w:rsidR="008A580F" w:rsidRPr="00AB429E" w:rsidRDefault="008A580F" w:rsidP="008A580F">
            <w:pPr>
              <w:suppressAutoHyphens w:val="0"/>
              <w:autoSpaceDN/>
              <w:spacing w:after="0" w:line="240" w:lineRule="auto"/>
              <w:rPr>
                <w:rFonts w:cs="Arial"/>
                <w:sz w:val="18"/>
                <w:szCs w:val="18"/>
              </w:rPr>
            </w:pPr>
          </w:p>
        </w:tc>
        <w:tc>
          <w:tcPr>
            <w:tcW w:w="1569" w:type="dxa"/>
            <w:noWrap/>
            <w:vAlign w:val="bottom"/>
            <w:hideMark/>
          </w:tcPr>
          <w:p w14:paraId="44380527" w14:textId="77777777" w:rsidR="008A580F" w:rsidRPr="00AB429E" w:rsidRDefault="008A580F" w:rsidP="008A580F">
            <w:pPr>
              <w:suppressAutoHyphens w:val="0"/>
              <w:autoSpaceDN/>
              <w:spacing w:after="0" w:line="240" w:lineRule="auto"/>
              <w:rPr>
                <w:rFonts w:cs="Arial"/>
                <w:sz w:val="18"/>
                <w:szCs w:val="18"/>
              </w:rPr>
            </w:pPr>
          </w:p>
        </w:tc>
        <w:tc>
          <w:tcPr>
            <w:tcW w:w="1194" w:type="dxa"/>
            <w:noWrap/>
            <w:vAlign w:val="bottom"/>
            <w:hideMark/>
          </w:tcPr>
          <w:p w14:paraId="342A833C"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EECO10</w:t>
            </w:r>
          </w:p>
        </w:tc>
        <w:tc>
          <w:tcPr>
            <w:tcW w:w="1285" w:type="dxa"/>
            <w:noWrap/>
            <w:vAlign w:val="bottom"/>
            <w:hideMark/>
          </w:tcPr>
          <w:p w14:paraId="5DF95502"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1</w:t>
            </w:r>
          </w:p>
        </w:tc>
        <w:tc>
          <w:tcPr>
            <w:tcW w:w="1684" w:type="dxa"/>
            <w:shd w:val="clear" w:color="000000" w:fill="F8696B"/>
            <w:noWrap/>
            <w:vAlign w:val="bottom"/>
            <w:hideMark/>
          </w:tcPr>
          <w:p w14:paraId="413F211E"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0%</w:t>
            </w:r>
          </w:p>
        </w:tc>
      </w:tr>
      <w:tr w:rsidR="008A580F" w:rsidRPr="008A580F" w14:paraId="4E8AA7C3" w14:textId="77777777" w:rsidTr="008A580F">
        <w:trPr>
          <w:trHeight w:val="300"/>
        </w:trPr>
        <w:tc>
          <w:tcPr>
            <w:tcW w:w="1248" w:type="dxa"/>
            <w:noWrap/>
            <w:vAlign w:val="bottom"/>
            <w:hideMark/>
          </w:tcPr>
          <w:p w14:paraId="76E1976F" w14:textId="77777777" w:rsidR="008A580F" w:rsidRPr="00AB429E" w:rsidRDefault="008A580F" w:rsidP="008A580F">
            <w:pPr>
              <w:suppressAutoHyphens w:val="0"/>
              <w:autoSpaceDN/>
              <w:spacing w:after="0" w:line="240" w:lineRule="auto"/>
              <w:jc w:val="center"/>
              <w:rPr>
                <w:rFonts w:cs="Arial"/>
                <w:sz w:val="18"/>
                <w:szCs w:val="18"/>
              </w:rPr>
            </w:pPr>
          </w:p>
        </w:tc>
        <w:tc>
          <w:tcPr>
            <w:tcW w:w="813" w:type="dxa"/>
            <w:noWrap/>
            <w:vAlign w:val="bottom"/>
            <w:hideMark/>
          </w:tcPr>
          <w:p w14:paraId="477B7E93" w14:textId="77777777" w:rsidR="008A580F" w:rsidRPr="00AB429E" w:rsidRDefault="008A580F" w:rsidP="008A580F">
            <w:pPr>
              <w:suppressAutoHyphens w:val="0"/>
              <w:autoSpaceDN/>
              <w:spacing w:after="0" w:line="240" w:lineRule="auto"/>
              <w:rPr>
                <w:rFonts w:cs="Arial"/>
                <w:sz w:val="18"/>
                <w:szCs w:val="18"/>
              </w:rPr>
            </w:pPr>
          </w:p>
        </w:tc>
        <w:tc>
          <w:tcPr>
            <w:tcW w:w="899" w:type="dxa"/>
            <w:noWrap/>
            <w:vAlign w:val="bottom"/>
            <w:hideMark/>
          </w:tcPr>
          <w:p w14:paraId="67B3B3FA" w14:textId="77777777" w:rsidR="008A580F" w:rsidRPr="00AB429E" w:rsidRDefault="008A580F" w:rsidP="008A580F">
            <w:pPr>
              <w:suppressAutoHyphens w:val="0"/>
              <w:autoSpaceDN/>
              <w:spacing w:after="0" w:line="240" w:lineRule="auto"/>
              <w:rPr>
                <w:rFonts w:cs="Arial"/>
                <w:sz w:val="18"/>
                <w:szCs w:val="18"/>
              </w:rPr>
            </w:pPr>
          </w:p>
        </w:tc>
        <w:tc>
          <w:tcPr>
            <w:tcW w:w="848" w:type="dxa"/>
            <w:noWrap/>
            <w:vAlign w:val="bottom"/>
            <w:hideMark/>
          </w:tcPr>
          <w:p w14:paraId="740C7135" w14:textId="77777777" w:rsidR="008A580F" w:rsidRPr="00AB429E" w:rsidRDefault="008A580F" w:rsidP="008A580F">
            <w:pPr>
              <w:suppressAutoHyphens w:val="0"/>
              <w:autoSpaceDN/>
              <w:spacing w:after="0" w:line="240" w:lineRule="auto"/>
              <w:rPr>
                <w:rFonts w:cs="Arial"/>
                <w:sz w:val="18"/>
                <w:szCs w:val="18"/>
              </w:rPr>
            </w:pPr>
          </w:p>
        </w:tc>
        <w:tc>
          <w:tcPr>
            <w:tcW w:w="1569" w:type="dxa"/>
            <w:noWrap/>
            <w:vAlign w:val="bottom"/>
            <w:hideMark/>
          </w:tcPr>
          <w:p w14:paraId="1C5FF3F8" w14:textId="77777777" w:rsidR="008A580F" w:rsidRPr="00AB429E" w:rsidRDefault="008A580F" w:rsidP="008A580F">
            <w:pPr>
              <w:suppressAutoHyphens w:val="0"/>
              <w:autoSpaceDN/>
              <w:spacing w:after="0" w:line="240" w:lineRule="auto"/>
              <w:rPr>
                <w:rFonts w:cs="Arial"/>
                <w:sz w:val="18"/>
                <w:szCs w:val="18"/>
              </w:rPr>
            </w:pPr>
          </w:p>
        </w:tc>
        <w:tc>
          <w:tcPr>
            <w:tcW w:w="1194" w:type="dxa"/>
            <w:noWrap/>
            <w:vAlign w:val="bottom"/>
            <w:hideMark/>
          </w:tcPr>
          <w:p w14:paraId="281F325C"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EECO11</w:t>
            </w:r>
          </w:p>
        </w:tc>
        <w:tc>
          <w:tcPr>
            <w:tcW w:w="1285" w:type="dxa"/>
            <w:noWrap/>
            <w:vAlign w:val="bottom"/>
            <w:hideMark/>
          </w:tcPr>
          <w:p w14:paraId="4FDBAEEA"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1</w:t>
            </w:r>
          </w:p>
        </w:tc>
        <w:tc>
          <w:tcPr>
            <w:tcW w:w="1684" w:type="dxa"/>
            <w:shd w:val="clear" w:color="000000" w:fill="F8696B"/>
            <w:noWrap/>
            <w:vAlign w:val="bottom"/>
            <w:hideMark/>
          </w:tcPr>
          <w:p w14:paraId="39D22964"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0%</w:t>
            </w:r>
          </w:p>
        </w:tc>
      </w:tr>
      <w:tr w:rsidR="008A580F" w:rsidRPr="008A580F" w14:paraId="1DB6618B" w14:textId="77777777" w:rsidTr="008A580F">
        <w:trPr>
          <w:trHeight w:val="300"/>
        </w:trPr>
        <w:tc>
          <w:tcPr>
            <w:tcW w:w="1248" w:type="dxa"/>
            <w:noWrap/>
            <w:vAlign w:val="bottom"/>
            <w:hideMark/>
          </w:tcPr>
          <w:p w14:paraId="3852B3CA" w14:textId="77777777" w:rsidR="008A580F" w:rsidRPr="00AB429E" w:rsidRDefault="008A580F" w:rsidP="008A580F">
            <w:pPr>
              <w:suppressAutoHyphens w:val="0"/>
              <w:autoSpaceDN/>
              <w:spacing w:after="0" w:line="240" w:lineRule="auto"/>
              <w:jc w:val="center"/>
              <w:rPr>
                <w:rFonts w:cs="Arial"/>
                <w:sz w:val="18"/>
                <w:szCs w:val="18"/>
              </w:rPr>
            </w:pPr>
          </w:p>
        </w:tc>
        <w:tc>
          <w:tcPr>
            <w:tcW w:w="813" w:type="dxa"/>
            <w:noWrap/>
            <w:vAlign w:val="bottom"/>
            <w:hideMark/>
          </w:tcPr>
          <w:p w14:paraId="57C81EF4" w14:textId="77777777" w:rsidR="008A580F" w:rsidRPr="00AB429E" w:rsidRDefault="008A580F" w:rsidP="008A580F">
            <w:pPr>
              <w:suppressAutoHyphens w:val="0"/>
              <w:autoSpaceDN/>
              <w:spacing w:after="0" w:line="240" w:lineRule="auto"/>
              <w:rPr>
                <w:rFonts w:cs="Arial"/>
                <w:sz w:val="18"/>
                <w:szCs w:val="18"/>
              </w:rPr>
            </w:pPr>
          </w:p>
        </w:tc>
        <w:tc>
          <w:tcPr>
            <w:tcW w:w="899" w:type="dxa"/>
            <w:noWrap/>
            <w:vAlign w:val="bottom"/>
            <w:hideMark/>
          </w:tcPr>
          <w:p w14:paraId="335856ED" w14:textId="77777777" w:rsidR="008A580F" w:rsidRPr="00AB429E" w:rsidRDefault="008A580F" w:rsidP="008A580F">
            <w:pPr>
              <w:suppressAutoHyphens w:val="0"/>
              <w:autoSpaceDN/>
              <w:spacing w:after="0" w:line="240" w:lineRule="auto"/>
              <w:rPr>
                <w:rFonts w:cs="Arial"/>
                <w:sz w:val="18"/>
                <w:szCs w:val="18"/>
              </w:rPr>
            </w:pPr>
          </w:p>
        </w:tc>
        <w:tc>
          <w:tcPr>
            <w:tcW w:w="848" w:type="dxa"/>
            <w:noWrap/>
            <w:vAlign w:val="bottom"/>
            <w:hideMark/>
          </w:tcPr>
          <w:p w14:paraId="5F0B853B" w14:textId="77777777" w:rsidR="008A580F" w:rsidRPr="00AB429E" w:rsidRDefault="008A580F" w:rsidP="008A580F">
            <w:pPr>
              <w:suppressAutoHyphens w:val="0"/>
              <w:autoSpaceDN/>
              <w:spacing w:after="0" w:line="240" w:lineRule="auto"/>
              <w:rPr>
                <w:rFonts w:cs="Arial"/>
                <w:sz w:val="18"/>
                <w:szCs w:val="18"/>
              </w:rPr>
            </w:pPr>
          </w:p>
        </w:tc>
        <w:tc>
          <w:tcPr>
            <w:tcW w:w="1569" w:type="dxa"/>
            <w:noWrap/>
            <w:vAlign w:val="bottom"/>
            <w:hideMark/>
          </w:tcPr>
          <w:p w14:paraId="58031F0B" w14:textId="77777777" w:rsidR="008A580F" w:rsidRPr="00AB429E" w:rsidRDefault="008A580F" w:rsidP="008A580F">
            <w:pPr>
              <w:suppressAutoHyphens w:val="0"/>
              <w:autoSpaceDN/>
              <w:spacing w:after="0" w:line="240" w:lineRule="auto"/>
              <w:rPr>
                <w:rFonts w:cs="Arial"/>
                <w:sz w:val="18"/>
                <w:szCs w:val="18"/>
              </w:rPr>
            </w:pPr>
          </w:p>
        </w:tc>
        <w:tc>
          <w:tcPr>
            <w:tcW w:w="1194" w:type="dxa"/>
            <w:noWrap/>
            <w:vAlign w:val="bottom"/>
            <w:hideMark/>
          </w:tcPr>
          <w:p w14:paraId="0ACAD772"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J8.1/U/10</w:t>
            </w:r>
          </w:p>
        </w:tc>
        <w:tc>
          <w:tcPr>
            <w:tcW w:w="1285" w:type="dxa"/>
            <w:noWrap/>
            <w:vAlign w:val="bottom"/>
            <w:hideMark/>
          </w:tcPr>
          <w:p w14:paraId="22B7D9DA"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1</w:t>
            </w:r>
          </w:p>
        </w:tc>
        <w:tc>
          <w:tcPr>
            <w:tcW w:w="1684" w:type="dxa"/>
            <w:shd w:val="clear" w:color="000000" w:fill="F8696B"/>
            <w:noWrap/>
            <w:vAlign w:val="bottom"/>
            <w:hideMark/>
          </w:tcPr>
          <w:p w14:paraId="022D44D5"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0%</w:t>
            </w:r>
          </w:p>
        </w:tc>
      </w:tr>
      <w:tr w:rsidR="008A580F" w:rsidRPr="008A580F" w14:paraId="6D594CCA" w14:textId="77777777" w:rsidTr="008A580F">
        <w:trPr>
          <w:trHeight w:val="300"/>
        </w:trPr>
        <w:tc>
          <w:tcPr>
            <w:tcW w:w="1248" w:type="dxa"/>
            <w:noWrap/>
            <w:vAlign w:val="bottom"/>
            <w:hideMark/>
          </w:tcPr>
          <w:p w14:paraId="78C8D3E2" w14:textId="77777777" w:rsidR="008A580F" w:rsidRPr="00AB429E" w:rsidRDefault="008A580F" w:rsidP="008A580F">
            <w:pPr>
              <w:suppressAutoHyphens w:val="0"/>
              <w:autoSpaceDN/>
              <w:spacing w:after="0" w:line="240" w:lineRule="auto"/>
              <w:jc w:val="center"/>
              <w:rPr>
                <w:rFonts w:cs="Arial"/>
                <w:sz w:val="18"/>
                <w:szCs w:val="18"/>
              </w:rPr>
            </w:pPr>
          </w:p>
        </w:tc>
        <w:tc>
          <w:tcPr>
            <w:tcW w:w="813" w:type="dxa"/>
            <w:noWrap/>
            <w:vAlign w:val="bottom"/>
            <w:hideMark/>
          </w:tcPr>
          <w:p w14:paraId="4B757365" w14:textId="77777777" w:rsidR="008A580F" w:rsidRPr="00AB429E" w:rsidRDefault="008A580F" w:rsidP="008A580F">
            <w:pPr>
              <w:suppressAutoHyphens w:val="0"/>
              <w:autoSpaceDN/>
              <w:spacing w:after="0" w:line="240" w:lineRule="auto"/>
              <w:rPr>
                <w:rFonts w:cs="Arial"/>
                <w:sz w:val="18"/>
                <w:szCs w:val="18"/>
              </w:rPr>
            </w:pPr>
          </w:p>
        </w:tc>
        <w:tc>
          <w:tcPr>
            <w:tcW w:w="899" w:type="dxa"/>
            <w:noWrap/>
            <w:vAlign w:val="bottom"/>
            <w:hideMark/>
          </w:tcPr>
          <w:p w14:paraId="73D8D1EA" w14:textId="77777777" w:rsidR="008A580F" w:rsidRPr="00AB429E" w:rsidRDefault="008A580F" w:rsidP="008A580F">
            <w:pPr>
              <w:suppressAutoHyphens w:val="0"/>
              <w:autoSpaceDN/>
              <w:spacing w:after="0" w:line="240" w:lineRule="auto"/>
              <w:rPr>
                <w:rFonts w:cs="Arial"/>
                <w:sz w:val="18"/>
                <w:szCs w:val="18"/>
              </w:rPr>
            </w:pPr>
          </w:p>
        </w:tc>
        <w:tc>
          <w:tcPr>
            <w:tcW w:w="848" w:type="dxa"/>
            <w:noWrap/>
            <w:vAlign w:val="bottom"/>
            <w:hideMark/>
          </w:tcPr>
          <w:p w14:paraId="5FF9F13F" w14:textId="77777777" w:rsidR="008A580F" w:rsidRPr="00AB429E" w:rsidRDefault="008A580F" w:rsidP="008A580F">
            <w:pPr>
              <w:suppressAutoHyphens w:val="0"/>
              <w:autoSpaceDN/>
              <w:spacing w:after="0" w:line="240" w:lineRule="auto"/>
              <w:rPr>
                <w:rFonts w:cs="Arial"/>
                <w:sz w:val="18"/>
                <w:szCs w:val="18"/>
              </w:rPr>
            </w:pPr>
          </w:p>
        </w:tc>
        <w:tc>
          <w:tcPr>
            <w:tcW w:w="1569" w:type="dxa"/>
            <w:noWrap/>
            <w:vAlign w:val="bottom"/>
            <w:hideMark/>
          </w:tcPr>
          <w:p w14:paraId="12A8E5D1" w14:textId="77777777" w:rsidR="008A580F" w:rsidRPr="00AB429E" w:rsidRDefault="008A580F" w:rsidP="008A580F">
            <w:pPr>
              <w:suppressAutoHyphens w:val="0"/>
              <w:autoSpaceDN/>
              <w:spacing w:after="0" w:line="240" w:lineRule="auto"/>
              <w:rPr>
                <w:rFonts w:cs="Arial"/>
                <w:sz w:val="18"/>
                <w:szCs w:val="18"/>
              </w:rPr>
            </w:pPr>
          </w:p>
        </w:tc>
        <w:tc>
          <w:tcPr>
            <w:tcW w:w="1194" w:type="dxa"/>
            <w:noWrap/>
            <w:vAlign w:val="bottom"/>
            <w:hideMark/>
          </w:tcPr>
          <w:p w14:paraId="748533ED" w14:textId="77777777" w:rsidR="008A580F" w:rsidRPr="00AB429E" w:rsidRDefault="008A580F" w:rsidP="008A580F">
            <w:pPr>
              <w:suppressAutoHyphens w:val="0"/>
              <w:autoSpaceDN/>
              <w:spacing w:after="0" w:line="240" w:lineRule="auto"/>
              <w:rPr>
                <w:rFonts w:cs="Arial"/>
                <w:sz w:val="18"/>
                <w:szCs w:val="18"/>
              </w:rPr>
            </w:pPr>
            <w:r w:rsidRPr="00AB429E">
              <w:rPr>
                <w:rFonts w:cs="Arial"/>
                <w:sz w:val="18"/>
                <w:szCs w:val="18"/>
              </w:rPr>
              <w:t>RCO10</w:t>
            </w:r>
          </w:p>
        </w:tc>
        <w:tc>
          <w:tcPr>
            <w:tcW w:w="1285" w:type="dxa"/>
            <w:noWrap/>
            <w:vAlign w:val="bottom"/>
            <w:hideMark/>
          </w:tcPr>
          <w:p w14:paraId="3526035C"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1</w:t>
            </w:r>
          </w:p>
        </w:tc>
        <w:tc>
          <w:tcPr>
            <w:tcW w:w="1684" w:type="dxa"/>
            <w:shd w:val="clear" w:color="000000" w:fill="F8696B"/>
            <w:noWrap/>
            <w:vAlign w:val="bottom"/>
            <w:hideMark/>
          </w:tcPr>
          <w:p w14:paraId="0E5BA86E" w14:textId="77777777" w:rsidR="008A580F" w:rsidRPr="00AB429E" w:rsidRDefault="008A580F" w:rsidP="008A580F">
            <w:pPr>
              <w:suppressAutoHyphens w:val="0"/>
              <w:autoSpaceDN/>
              <w:spacing w:after="0" w:line="240" w:lineRule="auto"/>
              <w:jc w:val="center"/>
              <w:rPr>
                <w:rFonts w:cs="Arial"/>
                <w:sz w:val="18"/>
                <w:szCs w:val="18"/>
              </w:rPr>
            </w:pPr>
            <w:r w:rsidRPr="00AB429E">
              <w:rPr>
                <w:rFonts w:cs="Arial"/>
                <w:sz w:val="18"/>
                <w:szCs w:val="18"/>
              </w:rPr>
              <w:t>0%</w:t>
            </w:r>
          </w:p>
        </w:tc>
      </w:tr>
      <w:tr w:rsidR="008A580F" w:rsidRPr="008A580F" w14:paraId="2830F686" w14:textId="77777777" w:rsidTr="00C57B56">
        <w:trPr>
          <w:trHeight w:val="300"/>
        </w:trPr>
        <w:tc>
          <w:tcPr>
            <w:tcW w:w="1248" w:type="dxa"/>
            <w:shd w:val="clear" w:color="DCE6F1" w:fill="DCE6F1"/>
            <w:noWrap/>
            <w:vAlign w:val="bottom"/>
            <w:hideMark/>
          </w:tcPr>
          <w:p w14:paraId="15E3D081" w14:textId="77777777" w:rsidR="008A580F" w:rsidRPr="00AB429E" w:rsidRDefault="008A580F" w:rsidP="008A580F">
            <w:pPr>
              <w:suppressAutoHyphens w:val="0"/>
              <w:autoSpaceDN/>
              <w:spacing w:after="0" w:line="240" w:lineRule="auto"/>
              <w:rPr>
                <w:rFonts w:cs="Arial"/>
                <w:b/>
                <w:bCs/>
                <w:color w:val="000000"/>
                <w:sz w:val="18"/>
                <w:szCs w:val="18"/>
              </w:rPr>
            </w:pPr>
            <w:r w:rsidRPr="00AB429E">
              <w:rPr>
                <w:rFonts w:cs="Arial"/>
                <w:b/>
                <w:bCs/>
                <w:color w:val="000000"/>
                <w:sz w:val="18"/>
                <w:szCs w:val="18"/>
              </w:rPr>
              <w:t>Skupna vsota</w:t>
            </w:r>
          </w:p>
        </w:tc>
        <w:tc>
          <w:tcPr>
            <w:tcW w:w="813" w:type="dxa"/>
            <w:shd w:val="clear" w:color="DCE6F1" w:fill="DCE6F1"/>
            <w:noWrap/>
            <w:vAlign w:val="bottom"/>
            <w:hideMark/>
          </w:tcPr>
          <w:p w14:paraId="5FC2A6B9" w14:textId="77777777" w:rsidR="008A580F" w:rsidRPr="00AB429E" w:rsidRDefault="008A580F" w:rsidP="008A580F">
            <w:pPr>
              <w:suppressAutoHyphens w:val="0"/>
              <w:autoSpaceDN/>
              <w:spacing w:after="0" w:line="240" w:lineRule="auto"/>
              <w:rPr>
                <w:rFonts w:cs="Arial"/>
                <w:b/>
                <w:bCs/>
                <w:color w:val="000000"/>
                <w:sz w:val="18"/>
                <w:szCs w:val="18"/>
              </w:rPr>
            </w:pPr>
          </w:p>
        </w:tc>
        <w:tc>
          <w:tcPr>
            <w:tcW w:w="899" w:type="dxa"/>
            <w:shd w:val="clear" w:color="DCE6F1" w:fill="DCE6F1"/>
            <w:noWrap/>
            <w:vAlign w:val="bottom"/>
            <w:hideMark/>
          </w:tcPr>
          <w:p w14:paraId="4982FA72" w14:textId="77777777" w:rsidR="008A580F" w:rsidRPr="00AB429E" w:rsidRDefault="008A580F" w:rsidP="008A580F">
            <w:pPr>
              <w:suppressAutoHyphens w:val="0"/>
              <w:autoSpaceDN/>
              <w:spacing w:after="0" w:line="240" w:lineRule="auto"/>
              <w:rPr>
                <w:rFonts w:cs="Arial"/>
                <w:sz w:val="18"/>
                <w:szCs w:val="18"/>
              </w:rPr>
            </w:pPr>
          </w:p>
        </w:tc>
        <w:tc>
          <w:tcPr>
            <w:tcW w:w="848" w:type="dxa"/>
            <w:shd w:val="clear" w:color="DCE6F1" w:fill="DCE6F1"/>
            <w:noWrap/>
            <w:vAlign w:val="bottom"/>
            <w:hideMark/>
          </w:tcPr>
          <w:p w14:paraId="40CECF31" w14:textId="77777777" w:rsidR="008A580F" w:rsidRPr="00AB429E" w:rsidRDefault="008A580F" w:rsidP="008A580F">
            <w:pPr>
              <w:suppressAutoHyphens w:val="0"/>
              <w:autoSpaceDN/>
              <w:spacing w:after="0" w:line="240" w:lineRule="auto"/>
              <w:rPr>
                <w:rFonts w:cs="Arial"/>
                <w:sz w:val="18"/>
                <w:szCs w:val="18"/>
              </w:rPr>
            </w:pPr>
          </w:p>
        </w:tc>
        <w:tc>
          <w:tcPr>
            <w:tcW w:w="1569" w:type="dxa"/>
            <w:shd w:val="clear" w:color="DCE6F1" w:fill="DCE6F1"/>
            <w:noWrap/>
            <w:vAlign w:val="bottom"/>
            <w:hideMark/>
          </w:tcPr>
          <w:p w14:paraId="58EF543B" w14:textId="77777777" w:rsidR="008A580F" w:rsidRPr="00AB429E" w:rsidRDefault="008A580F" w:rsidP="008A580F">
            <w:pPr>
              <w:suppressAutoHyphens w:val="0"/>
              <w:autoSpaceDN/>
              <w:spacing w:after="0" w:line="240" w:lineRule="auto"/>
              <w:rPr>
                <w:rFonts w:cs="Arial"/>
                <w:sz w:val="18"/>
                <w:szCs w:val="18"/>
              </w:rPr>
            </w:pPr>
          </w:p>
        </w:tc>
        <w:tc>
          <w:tcPr>
            <w:tcW w:w="1194" w:type="dxa"/>
            <w:shd w:val="clear" w:color="DCE6F1" w:fill="DCE6F1"/>
            <w:noWrap/>
            <w:vAlign w:val="bottom"/>
            <w:hideMark/>
          </w:tcPr>
          <w:p w14:paraId="707F3592" w14:textId="77777777" w:rsidR="008A580F" w:rsidRPr="00AB429E" w:rsidRDefault="008A580F" w:rsidP="008A580F">
            <w:pPr>
              <w:suppressAutoHyphens w:val="0"/>
              <w:autoSpaceDN/>
              <w:spacing w:after="0" w:line="240" w:lineRule="auto"/>
              <w:rPr>
                <w:rFonts w:cs="Arial"/>
                <w:sz w:val="18"/>
                <w:szCs w:val="18"/>
              </w:rPr>
            </w:pPr>
          </w:p>
        </w:tc>
        <w:tc>
          <w:tcPr>
            <w:tcW w:w="1285" w:type="dxa"/>
            <w:shd w:val="clear" w:color="DCE6F1" w:fill="DCE6F1"/>
            <w:noWrap/>
            <w:vAlign w:val="bottom"/>
            <w:hideMark/>
          </w:tcPr>
          <w:p w14:paraId="5B370F95" w14:textId="77777777" w:rsidR="008A580F" w:rsidRPr="00AB429E" w:rsidRDefault="008A580F" w:rsidP="008A580F">
            <w:pPr>
              <w:suppressAutoHyphens w:val="0"/>
              <w:autoSpaceDN/>
              <w:spacing w:after="0" w:line="240" w:lineRule="auto"/>
              <w:jc w:val="center"/>
              <w:rPr>
                <w:rFonts w:cs="Arial"/>
                <w:b/>
                <w:bCs/>
                <w:sz w:val="18"/>
                <w:szCs w:val="18"/>
              </w:rPr>
            </w:pPr>
            <w:r w:rsidRPr="00AB429E">
              <w:rPr>
                <w:rFonts w:cs="Arial"/>
                <w:b/>
                <w:bCs/>
                <w:sz w:val="18"/>
                <w:szCs w:val="18"/>
              </w:rPr>
              <w:t>76</w:t>
            </w:r>
          </w:p>
        </w:tc>
        <w:tc>
          <w:tcPr>
            <w:tcW w:w="1684" w:type="dxa"/>
            <w:shd w:val="clear" w:color="DCE6F1" w:fill="EAE583"/>
            <w:noWrap/>
            <w:vAlign w:val="bottom"/>
            <w:hideMark/>
          </w:tcPr>
          <w:p w14:paraId="6A5DB68C" w14:textId="77777777" w:rsidR="008A580F" w:rsidRPr="00AB429E" w:rsidRDefault="008A580F" w:rsidP="008A580F">
            <w:pPr>
              <w:suppressAutoHyphens w:val="0"/>
              <w:autoSpaceDN/>
              <w:spacing w:after="0" w:line="240" w:lineRule="auto"/>
              <w:jc w:val="center"/>
              <w:rPr>
                <w:rFonts w:cs="Arial"/>
                <w:b/>
                <w:bCs/>
                <w:sz w:val="18"/>
                <w:szCs w:val="18"/>
              </w:rPr>
            </w:pPr>
            <w:r w:rsidRPr="00AB429E">
              <w:rPr>
                <w:rFonts w:cs="Arial"/>
                <w:b/>
                <w:bCs/>
                <w:sz w:val="18"/>
                <w:szCs w:val="18"/>
              </w:rPr>
              <w:t>18%</w:t>
            </w:r>
          </w:p>
        </w:tc>
      </w:tr>
    </w:tbl>
    <w:p w14:paraId="6CF93D07" w14:textId="070C1E67" w:rsidR="000E7A5A" w:rsidRPr="00B6179D" w:rsidRDefault="3994E1AC" w:rsidP="00F7FCEE">
      <w:pPr>
        <w:spacing w:after="0"/>
        <w:rPr>
          <w:rFonts w:cs="Arial"/>
          <w:sz w:val="18"/>
          <w:szCs w:val="18"/>
        </w:rPr>
      </w:pPr>
      <w:r w:rsidRPr="00F7FCEE">
        <w:rPr>
          <w:rFonts w:cs="Arial"/>
          <w:sz w:val="18"/>
          <w:szCs w:val="18"/>
        </w:rPr>
        <w:t xml:space="preserve">Vir: </w:t>
      </w:r>
      <w:r w:rsidR="0173791C" w:rsidRPr="00F7FCEE">
        <w:rPr>
          <w:rFonts w:cs="Arial"/>
          <w:sz w:val="18"/>
          <w:szCs w:val="18"/>
        </w:rPr>
        <w:t>e-Ma2: Modul spremljanje in poročanje- stanje na dan 31. 12. 2024</w:t>
      </w:r>
    </w:p>
    <w:p w14:paraId="0C3CF696" w14:textId="77777777" w:rsidR="00B6179D" w:rsidRDefault="00B6179D" w:rsidP="00623803">
      <w:pPr>
        <w:spacing w:after="0" w:line="276" w:lineRule="auto"/>
        <w:jc w:val="both"/>
        <w:rPr>
          <w:rFonts w:cs="Arial"/>
        </w:rPr>
      </w:pPr>
    </w:p>
    <w:p w14:paraId="480DC03A" w14:textId="4130AAC4" w:rsidR="000E7A5A" w:rsidRPr="00B45272" w:rsidRDefault="70F5DA1E" w:rsidP="00064E01">
      <w:pPr>
        <w:pStyle w:val="Napis"/>
        <w:keepNext/>
        <w:spacing w:after="0"/>
        <w:jc w:val="both"/>
        <w:rPr>
          <w:rFonts w:cs="Arial"/>
          <w:b w:val="0"/>
          <w:bCs w:val="0"/>
          <w:sz w:val="18"/>
          <w:szCs w:val="18"/>
        </w:rPr>
      </w:pPr>
      <w:bookmarkStart w:id="4150" w:name="_Toc191379184"/>
      <w:r w:rsidRPr="00F7FCEE">
        <w:rPr>
          <w:rFonts w:cs="Arial"/>
          <w:b w:val="0"/>
          <w:bCs w:val="0"/>
          <w:sz w:val="18"/>
          <w:szCs w:val="18"/>
        </w:rPr>
        <w:t xml:space="preserve">Slika </w:t>
      </w:r>
      <w:r w:rsidR="00B45272" w:rsidRPr="00F7FCEE">
        <w:rPr>
          <w:rFonts w:cs="Arial"/>
          <w:b w:val="0"/>
          <w:bCs w:val="0"/>
          <w:sz w:val="18"/>
          <w:szCs w:val="18"/>
        </w:rPr>
        <w:fldChar w:fldCharType="begin"/>
      </w:r>
      <w:r w:rsidR="00B45272" w:rsidRPr="00F7FCEE">
        <w:rPr>
          <w:rFonts w:cs="Arial"/>
          <w:b w:val="0"/>
          <w:bCs w:val="0"/>
          <w:sz w:val="18"/>
          <w:szCs w:val="18"/>
        </w:rPr>
        <w:instrText xml:space="preserve"> SEQ Slika \* ARABIC </w:instrText>
      </w:r>
      <w:r w:rsidR="00B45272" w:rsidRPr="00F7FCEE">
        <w:rPr>
          <w:rFonts w:cs="Arial"/>
          <w:b w:val="0"/>
          <w:bCs w:val="0"/>
          <w:sz w:val="18"/>
          <w:szCs w:val="18"/>
        </w:rPr>
        <w:fldChar w:fldCharType="separate"/>
      </w:r>
      <w:r w:rsidR="00064E01">
        <w:rPr>
          <w:rFonts w:cs="Arial"/>
          <w:b w:val="0"/>
          <w:bCs w:val="0"/>
          <w:sz w:val="18"/>
          <w:szCs w:val="18"/>
        </w:rPr>
        <w:t>7</w:t>
      </w:r>
      <w:r w:rsidR="00B45272" w:rsidRPr="00F7FCEE">
        <w:rPr>
          <w:rFonts w:cs="Arial"/>
          <w:b w:val="0"/>
          <w:bCs w:val="0"/>
          <w:sz w:val="18"/>
          <w:szCs w:val="18"/>
        </w:rPr>
        <w:fldChar w:fldCharType="end"/>
      </w:r>
      <w:r w:rsidRPr="00F7FCEE">
        <w:rPr>
          <w:rFonts w:cs="Arial"/>
          <w:b w:val="0"/>
          <w:bCs w:val="0"/>
          <w:sz w:val="18"/>
          <w:szCs w:val="18"/>
        </w:rPr>
        <w:t xml:space="preserve">: Deleži doseganja mejnikov kazalnikov </w:t>
      </w:r>
      <w:r w:rsidR="59F27C8B" w:rsidRPr="00F7FCEE">
        <w:rPr>
          <w:rFonts w:cs="Arial"/>
          <w:b w:val="0"/>
          <w:bCs w:val="0"/>
          <w:sz w:val="18"/>
          <w:szCs w:val="18"/>
        </w:rPr>
        <w:t>PEKP 21</w:t>
      </w:r>
      <w:r w:rsidR="004C451E" w:rsidRPr="004C451E">
        <w:rPr>
          <w:rFonts w:cs="Arial"/>
          <w:b w:val="0"/>
          <w:bCs w:val="0"/>
          <w:sz w:val="18"/>
          <w:szCs w:val="18"/>
        </w:rPr>
        <w:t>–</w:t>
      </w:r>
      <w:r w:rsidR="59F27C8B" w:rsidRPr="00F7FCEE">
        <w:rPr>
          <w:rFonts w:cs="Arial"/>
          <w:b w:val="0"/>
          <w:bCs w:val="0"/>
          <w:sz w:val="18"/>
          <w:szCs w:val="18"/>
        </w:rPr>
        <w:t>27</w:t>
      </w:r>
      <w:bookmarkEnd w:id="4150"/>
    </w:p>
    <w:p w14:paraId="7B845CF8" w14:textId="30D86FAC" w:rsidR="000E7A5A" w:rsidRPr="00B45272" w:rsidRDefault="000E7A5A" w:rsidP="00F7FCEE">
      <w:pPr>
        <w:spacing w:after="0"/>
      </w:pPr>
    </w:p>
    <w:p w14:paraId="4DC8F3AE" w14:textId="74B37DA6" w:rsidR="000E7A5A" w:rsidRPr="00B45272" w:rsidRDefault="1C590E3C" w:rsidP="00A11EF1">
      <w:pPr>
        <w:spacing w:after="0"/>
      </w:pPr>
      <w:r>
        <w:rPr>
          <w:noProof/>
        </w:rPr>
        <w:drawing>
          <wp:inline distT="0" distB="0" distL="0" distR="0" wp14:anchorId="3330A451" wp14:editId="62151F43">
            <wp:extent cx="5762625" cy="7943852"/>
            <wp:effectExtent l="0" t="0" r="0" b="0"/>
            <wp:docPr id="1582978826" name="Slika 1582978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extLst>
                        <a:ext uri="{28A0092B-C50C-407E-A947-70E740481C1C}">
                          <a14:useLocalDpi xmlns:a14="http://schemas.microsoft.com/office/drawing/2010/main" val="0"/>
                        </a:ext>
                      </a:extLst>
                    </a:blip>
                    <a:stretch>
                      <a:fillRect/>
                    </a:stretch>
                  </pic:blipFill>
                  <pic:spPr>
                    <a:xfrm>
                      <a:off x="0" y="0"/>
                      <a:ext cx="5762625" cy="7943852"/>
                    </a:xfrm>
                    <a:prstGeom prst="rect">
                      <a:avLst/>
                    </a:prstGeom>
                  </pic:spPr>
                </pic:pic>
              </a:graphicData>
            </a:graphic>
          </wp:inline>
        </w:drawing>
      </w:r>
    </w:p>
    <w:p w14:paraId="310A75D0" w14:textId="3603E51C" w:rsidR="000E7A5A" w:rsidRPr="00B45272" w:rsidRDefault="525B8746" w:rsidP="00A11EF1">
      <w:pPr>
        <w:pStyle w:val="Napis"/>
        <w:spacing w:after="0" w:line="276" w:lineRule="auto"/>
        <w:jc w:val="both"/>
        <w:rPr>
          <w:rFonts w:cs="Arial"/>
          <w:sz w:val="18"/>
          <w:szCs w:val="18"/>
        </w:rPr>
      </w:pPr>
      <w:r w:rsidRPr="00F7FCEE">
        <w:rPr>
          <w:rFonts w:cs="Arial"/>
          <w:b w:val="0"/>
          <w:bCs w:val="0"/>
          <w:sz w:val="18"/>
          <w:szCs w:val="18"/>
        </w:rPr>
        <w:t xml:space="preserve">Vir: </w:t>
      </w:r>
      <w:r w:rsidR="12A85C65" w:rsidRPr="00F7FCEE">
        <w:rPr>
          <w:rFonts w:cs="Arial"/>
          <w:b w:val="0"/>
          <w:bCs w:val="0"/>
          <w:sz w:val="18"/>
          <w:szCs w:val="18"/>
        </w:rPr>
        <w:t>e-MA2: Modul spremljanje in poročanje</w:t>
      </w:r>
      <w:r w:rsidR="1397E241" w:rsidRPr="00F7FCEE">
        <w:rPr>
          <w:rFonts w:cs="Arial"/>
          <w:b w:val="0"/>
          <w:bCs w:val="0"/>
          <w:sz w:val="18"/>
          <w:szCs w:val="18"/>
        </w:rPr>
        <w:t xml:space="preserve"> - stanje na dan 31. 12. 2024</w:t>
      </w:r>
    </w:p>
    <w:p w14:paraId="0F5F09E4" w14:textId="77777777" w:rsidR="000E7A5A" w:rsidRPr="00F425EA" w:rsidRDefault="000E7A5A" w:rsidP="00E247FF">
      <w:pPr>
        <w:spacing w:line="276" w:lineRule="auto"/>
        <w:jc w:val="both"/>
        <w:rPr>
          <w:rFonts w:cs="Arial"/>
        </w:rPr>
      </w:pPr>
    </w:p>
    <w:p w14:paraId="64CC29D0" w14:textId="51F438DC" w:rsidR="74C79C8A" w:rsidRDefault="398894F7" w:rsidP="000B2C28">
      <w:pPr>
        <w:pStyle w:val="Naslov2"/>
        <w:rPr>
          <w:rFonts w:cs="Arial"/>
          <w:sz w:val="18"/>
          <w:szCs w:val="18"/>
        </w:rPr>
      </w:pPr>
      <w:bookmarkStart w:id="4151" w:name="_Toc192682029"/>
      <w:r>
        <w:lastRenderedPageBreak/>
        <w:t>7.2</w:t>
      </w:r>
      <w:r w:rsidR="74C79C8A">
        <w:tab/>
      </w:r>
      <w:r w:rsidR="7DDAB9F3">
        <w:t>PREGLED</w:t>
      </w:r>
      <w:r w:rsidR="3495EC43">
        <w:t xml:space="preserve"> USPEŠNOST</w:t>
      </w:r>
      <w:r w:rsidR="71A67789">
        <w:t>I</w:t>
      </w:r>
      <w:r w:rsidR="3495EC43">
        <w:t xml:space="preserve"> IZVAJANJA PEKP 21</w:t>
      </w:r>
      <w:r w:rsidR="004C451E" w:rsidRPr="004C451E">
        <w:t>–</w:t>
      </w:r>
      <w:r w:rsidR="3495EC43">
        <w:t>27</w:t>
      </w:r>
      <w:bookmarkEnd w:id="4151"/>
    </w:p>
    <w:p w14:paraId="655D27D6" w14:textId="45599EF1" w:rsidR="473E32AA" w:rsidRDefault="473E32AA" w:rsidP="473E32AA">
      <w:pPr>
        <w:spacing w:after="0" w:line="276" w:lineRule="auto"/>
        <w:jc w:val="both"/>
        <w:rPr>
          <w:rFonts w:cs="Arial"/>
        </w:rPr>
      </w:pPr>
    </w:p>
    <w:p w14:paraId="4C872B44" w14:textId="50539AB9" w:rsidR="473E32AA" w:rsidRDefault="68624943" w:rsidP="04DCEC86">
      <w:pPr>
        <w:spacing w:after="0" w:line="276" w:lineRule="auto"/>
        <w:jc w:val="both"/>
        <w:rPr>
          <w:rFonts w:cs="Arial"/>
        </w:rPr>
      </w:pPr>
      <w:r w:rsidRPr="00F7FCEE">
        <w:rPr>
          <w:rFonts w:cs="Arial"/>
        </w:rPr>
        <w:t xml:space="preserve">Analiza ukrepov specifičnih ciljev, kjer mejniki ne bodo doseženi, razkriva, da je mogoče uvrstiti kazalnike učinka v okviru PEKP 21–27 v dve skupini: </w:t>
      </w:r>
    </w:p>
    <w:p w14:paraId="241FBD7D" w14:textId="1B5E9CDE" w:rsidR="473E32AA" w:rsidRDefault="473E32AA" w:rsidP="04DCEC86">
      <w:pPr>
        <w:spacing w:after="0" w:line="276" w:lineRule="auto"/>
        <w:jc w:val="both"/>
        <w:rPr>
          <w:rFonts w:cs="Arial"/>
        </w:rPr>
      </w:pPr>
    </w:p>
    <w:p w14:paraId="5123D62F" w14:textId="7CCAF9B8" w:rsidR="473E32AA" w:rsidRDefault="68624943" w:rsidP="00DD42C3">
      <w:pPr>
        <w:pStyle w:val="Odstavekseznama"/>
        <w:numPr>
          <w:ilvl w:val="0"/>
          <w:numId w:val="2"/>
        </w:numPr>
        <w:spacing w:after="0" w:line="276" w:lineRule="auto"/>
        <w:jc w:val="both"/>
        <w:rPr>
          <w:rFonts w:cs="Arial"/>
        </w:rPr>
      </w:pPr>
      <w:r w:rsidRPr="00F7FCEE">
        <w:rPr>
          <w:rFonts w:cs="Arial"/>
        </w:rPr>
        <w:t xml:space="preserve">v prvo skupino spadajo kazalniki, na katere neposredno vplivajo eden ali več zgoraj navedenih razlogov, </w:t>
      </w:r>
      <w:r w:rsidR="00560684">
        <w:rPr>
          <w:rFonts w:cs="Arial"/>
        </w:rPr>
        <w:t>pri čemer</w:t>
      </w:r>
      <w:r w:rsidRPr="00F7FCEE">
        <w:rPr>
          <w:rFonts w:cs="Arial"/>
        </w:rPr>
        <w:t xml:space="preserve"> ocenjujemo, da bodo ciljne vrednosti dosežene tekom nadaljnjega izvajanja PEKP 21–27,</w:t>
      </w:r>
    </w:p>
    <w:p w14:paraId="675069B3" w14:textId="34466B58" w:rsidR="473E32AA" w:rsidRDefault="68624943" w:rsidP="00DD42C3">
      <w:pPr>
        <w:pStyle w:val="Odstavekseznama"/>
        <w:numPr>
          <w:ilvl w:val="0"/>
          <w:numId w:val="2"/>
        </w:numPr>
        <w:spacing w:after="0" w:line="276" w:lineRule="auto"/>
        <w:jc w:val="both"/>
      </w:pPr>
      <w:r w:rsidRPr="00F7FCEE">
        <w:rPr>
          <w:rFonts w:cs="Arial"/>
        </w:rPr>
        <w:t xml:space="preserve"> v drugo skupino spadajo kazalniki, za katere ocenjujemo, da bo pri spremembi PEKP 21–27 potrebno revidirati metodološki pristop in po potrebi ponovno opredeliti ali določiti vrednosti kazalnikov. </w:t>
      </w:r>
    </w:p>
    <w:p w14:paraId="67704130" w14:textId="49F5966C" w:rsidR="473E32AA" w:rsidRDefault="473E32AA" w:rsidP="04DCEC86">
      <w:pPr>
        <w:spacing w:after="0" w:line="276" w:lineRule="auto"/>
        <w:jc w:val="both"/>
        <w:rPr>
          <w:rFonts w:cs="Arial"/>
        </w:rPr>
      </w:pPr>
    </w:p>
    <w:p w14:paraId="25434412" w14:textId="07B3DBE2" w:rsidR="473E32AA" w:rsidRDefault="0EDFD798" w:rsidP="04DCEC86">
      <w:pPr>
        <w:spacing w:after="0" w:line="276" w:lineRule="auto"/>
        <w:jc w:val="both"/>
        <w:rPr>
          <w:rFonts w:cs="Arial"/>
        </w:rPr>
      </w:pPr>
      <w:r w:rsidRPr="00F7FCEE">
        <w:rPr>
          <w:rFonts w:cs="Arial"/>
        </w:rPr>
        <w:t xml:space="preserve">Vpliv nedoseganja kazalnikov </w:t>
      </w:r>
      <w:r w:rsidR="40F08D74" w:rsidRPr="00F7FCEE">
        <w:rPr>
          <w:rFonts w:cs="Arial"/>
        </w:rPr>
        <w:t xml:space="preserve">iz prve skupine </w:t>
      </w:r>
      <w:r w:rsidRPr="00F7FCEE">
        <w:rPr>
          <w:rFonts w:cs="Arial"/>
        </w:rPr>
        <w:t xml:space="preserve">na nadaljnje izvajanja </w:t>
      </w:r>
      <w:r w:rsidR="7EF9E5A7" w:rsidRPr="00F7FCEE">
        <w:rPr>
          <w:rFonts w:cs="Arial"/>
        </w:rPr>
        <w:t>ukrepov</w:t>
      </w:r>
      <w:r w:rsidRPr="00F7FCEE">
        <w:rPr>
          <w:rFonts w:cs="Arial"/>
        </w:rPr>
        <w:t xml:space="preserve"> in uresn</w:t>
      </w:r>
      <w:r w:rsidR="1A89AEAC" w:rsidRPr="00F7FCEE">
        <w:rPr>
          <w:rFonts w:cs="Arial"/>
        </w:rPr>
        <w:t>ič</w:t>
      </w:r>
      <w:r w:rsidR="4AAEEDBD" w:rsidRPr="00F7FCEE">
        <w:rPr>
          <w:rFonts w:cs="Arial"/>
        </w:rPr>
        <w:t xml:space="preserve">evanje </w:t>
      </w:r>
      <w:r w:rsidR="1A89AEAC" w:rsidRPr="00F7FCEE">
        <w:rPr>
          <w:rFonts w:cs="Arial"/>
        </w:rPr>
        <w:t>strateških ciljev</w:t>
      </w:r>
      <w:r w:rsidR="5DF4D79F" w:rsidRPr="00F7FCEE">
        <w:rPr>
          <w:rFonts w:cs="Arial"/>
        </w:rPr>
        <w:t xml:space="preserve"> programa </w:t>
      </w:r>
      <w:r w:rsidR="4128DFEB" w:rsidRPr="00F7FCEE">
        <w:rPr>
          <w:rFonts w:cs="Arial"/>
        </w:rPr>
        <w:t>sm</w:t>
      </w:r>
      <w:r w:rsidR="67307C85" w:rsidRPr="00F7FCEE">
        <w:rPr>
          <w:rFonts w:cs="Arial"/>
        </w:rPr>
        <w:t xml:space="preserve">o </w:t>
      </w:r>
      <w:r w:rsidR="5DF4D79F" w:rsidRPr="00F7FCEE">
        <w:rPr>
          <w:rFonts w:cs="Arial"/>
        </w:rPr>
        <w:t>ocen</w:t>
      </w:r>
      <w:r w:rsidR="2D39EE17" w:rsidRPr="00F7FCEE">
        <w:rPr>
          <w:rFonts w:cs="Arial"/>
        </w:rPr>
        <w:t>ili</w:t>
      </w:r>
      <w:r w:rsidR="5DF4D79F" w:rsidRPr="00F7FCEE">
        <w:rPr>
          <w:rFonts w:cs="Arial"/>
        </w:rPr>
        <w:t xml:space="preserve"> ob upoštevanju</w:t>
      </w:r>
      <w:r w:rsidR="47F7E1B0" w:rsidRPr="00F7FCEE">
        <w:rPr>
          <w:rFonts w:cs="Arial"/>
        </w:rPr>
        <w:t xml:space="preserve"> izdanih odločitev o podpori in načrtovanih operacij v informacijskem sistemu OU e-MA2</w:t>
      </w:r>
      <w:r w:rsidR="013DD3A4" w:rsidRPr="00F7FCEE">
        <w:rPr>
          <w:rFonts w:cs="Arial"/>
        </w:rPr>
        <w:t>.</w:t>
      </w:r>
      <w:r w:rsidR="1A89AEAC" w:rsidRPr="00F7FCEE">
        <w:rPr>
          <w:rFonts w:cs="Arial"/>
        </w:rPr>
        <w:t xml:space="preserve"> </w:t>
      </w:r>
    </w:p>
    <w:p w14:paraId="3D9EB6B8" w14:textId="089FB860" w:rsidR="473E32AA" w:rsidRDefault="473E32AA" w:rsidP="473E32AA">
      <w:pPr>
        <w:spacing w:after="0" w:line="276" w:lineRule="auto"/>
        <w:jc w:val="both"/>
        <w:rPr>
          <w:rFonts w:cs="Arial"/>
        </w:rPr>
      </w:pPr>
    </w:p>
    <w:p w14:paraId="6ACEB7F5" w14:textId="7466BA83" w:rsidR="39415FD6" w:rsidRDefault="4C7EC600" w:rsidP="478C58D8">
      <w:pPr>
        <w:spacing w:after="0" w:line="276" w:lineRule="auto"/>
        <w:jc w:val="both"/>
        <w:rPr>
          <w:rFonts w:cs="Arial"/>
        </w:rPr>
      </w:pPr>
      <w:r w:rsidRPr="00F7FCEE">
        <w:rPr>
          <w:rFonts w:cs="Arial"/>
        </w:rPr>
        <w:t xml:space="preserve">Za kazalnike iz druge skupine </w:t>
      </w:r>
      <w:r w:rsidR="1DCE7AE2" w:rsidRPr="00F7FCEE">
        <w:rPr>
          <w:rFonts w:cs="Arial"/>
        </w:rPr>
        <w:t xml:space="preserve">bo </w:t>
      </w:r>
      <w:r w:rsidR="2E8FA4C4" w:rsidRPr="00F7FCEE">
        <w:rPr>
          <w:rFonts w:cs="Arial"/>
        </w:rPr>
        <w:t xml:space="preserve">v okviru spremembe programa </w:t>
      </w:r>
      <w:r w:rsidR="1DCE7AE2" w:rsidRPr="00F7FCEE">
        <w:rPr>
          <w:rFonts w:cs="Arial"/>
        </w:rPr>
        <w:t>izveden proces revizije vs</w:t>
      </w:r>
      <w:r w:rsidR="373D31F1" w:rsidRPr="00F7FCEE">
        <w:rPr>
          <w:rFonts w:cs="Arial"/>
        </w:rPr>
        <w:t>ebine in vrednosti posameznih kazalnikov v komunikaciji m</w:t>
      </w:r>
      <w:r w:rsidR="1F3DC095" w:rsidRPr="00F7FCEE">
        <w:rPr>
          <w:rFonts w:cs="Arial"/>
        </w:rPr>
        <w:t>ed PT in OU</w:t>
      </w:r>
      <w:r w:rsidR="5B57A652" w:rsidRPr="00F7FCEE">
        <w:rPr>
          <w:rFonts w:cs="Arial"/>
        </w:rPr>
        <w:t>, s ciljem, da se ohranijo osnovni strateški cilji programa</w:t>
      </w:r>
      <w:r w:rsidR="426C6966" w:rsidRPr="00F7FCEE">
        <w:rPr>
          <w:rFonts w:cs="Arial"/>
        </w:rPr>
        <w:t>.</w:t>
      </w:r>
    </w:p>
    <w:p w14:paraId="5B06FB82" w14:textId="77777777" w:rsidR="00560684" w:rsidRDefault="00560684" w:rsidP="478C58D8">
      <w:pPr>
        <w:spacing w:after="0" w:line="276" w:lineRule="auto"/>
        <w:jc w:val="both"/>
        <w:rPr>
          <w:rFonts w:cs="Arial"/>
        </w:rPr>
      </w:pPr>
    </w:p>
    <w:p w14:paraId="585E81CC" w14:textId="46404DF2" w:rsidR="00560684" w:rsidRDefault="00E76A87" w:rsidP="478C58D8">
      <w:pPr>
        <w:spacing w:after="0" w:line="276" w:lineRule="auto"/>
        <w:jc w:val="both"/>
        <w:rPr>
          <w:rFonts w:cs="Arial"/>
        </w:rPr>
      </w:pPr>
      <w:r w:rsidRPr="00C57B56">
        <w:rPr>
          <w:rStyle w:val="Neenpoudarek"/>
          <w:rFonts w:eastAsia="SimSun"/>
          <w:i w:val="0"/>
          <w:iCs w:val="0"/>
          <w:color w:val="0070C0"/>
          <w:sz w:val="24"/>
          <w:szCs w:val="26"/>
        </w:rPr>
        <w:t>7.2.1</w:t>
      </w:r>
      <w:r w:rsidRPr="00C57B56">
        <w:rPr>
          <w:rStyle w:val="Neenpoudarek"/>
          <w:rFonts w:eastAsia="SimSun"/>
          <w:i w:val="0"/>
          <w:iCs w:val="0"/>
          <w:color w:val="0070C0"/>
          <w:sz w:val="24"/>
          <w:szCs w:val="26"/>
        </w:rPr>
        <w:tab/>
      </w:r>
      <w:r>
        <w:rPr>
          <w:rStyle w:val="Neenpoudarek"/>
          <w:i w:val="0"/>
          <w:iCs w:val="0"/>
          <w:color w:val="0070C0"/>
        </w:rPr>
        <w:tab/>
      </w:r>
      <w:r w:rsidR="00D254F6" w:rsidRPr="00C57B56">
        <w:rPr>
          <w:rStyle w:val="Neenpoudarek"/>
          <w:rFonts w:eastAsia="SimSun"/>
          <w:i w:val="0"/>
          <w:iCs w:val="0"/>
          <w:color w:val="0070C0"/>
          <w:sz w:val="24"/>
          <w:szCs w:val="26"/>
        </w:rPr>
        <w:t>Pregled kazalnikov</w:t>
      </w:r>
      <w:r w:rsidRPr="00C57B56">
        <w:rPr>
          <w:rStyle w:val="Neenpoudarek"/>
          <w:rFonts w:eastAsia="SimSun"/>
          <w:i w:val="0"/>
          <w:iCs w:val="0"/>
          <w:color w:val="0070C0"/>
          <w:sz w:val="24"/>
          <w:szCs w:val="26"/>
        </w:rPr>
        <w:t xml:space="preserve"> učinka in kazalnikov rezultata, ki se spremenijo </w:t>
      </w:r>
      <w:r w:rsidR="00611787">
        <w:rPr>
          <w:rStyle w:val="Neenpoudarek"/>
          <w:i w:val="0"/>
          <w:iCs w:val="0"/>
          <w:color w:val="0070C0"/>
        </w:rPr>
        <w:t>ob spremembi</w:t>
      </w:r>
      <w:r w:rsidRPr="00C57B56">
        <w:rPr>
          <w:rStyle w:val="Neenpoudarek"/>
          <w:rFonts w:eastAsia="SimSun"/>
          <w:i w:val="0"/>
          <w:iCs w:val="0"/>
          <w:color w:val="0070C0"/>
          <w:sz w:val="24"/>
          <w:szCs w:val="26"/>
        </w:rPr>
        <w:t xml:space="preserve"> PEKP 21-27</w:t>
      </w:r>
    </w:p>
    <w:p w14:paraId="3B9CD769" w14:textId="01851CCD" w:rsidR="00636F47" w:rsidRDefault="00E76A87" w:rsidP="478C58D8">
      <w:pPr>
        <w:spacing w:after="0" w:line="276" w:lineRule="auto"/>
        <w:jc w:val="both"/>
        <w:rPr>
          <w:rFonts w:cs="Arial"/>
        </w:rPr>
      </w:pPr>
      <w:r>
        <w:rPr>
          <w:rFonts w:cs="Arial"/>
        </w:rPr>
        <w:t xml:space="preserve">Ob upoštevanju trenutnega stanja izvajanja in </w:t>
      </w:r>
      <w:r w:rsidR="0029464D">
        <w:rPr>
          <w:rFonts w:cs="Arial"/>
        </w:rPr>
        <w:t xml:space="preserve">načrtovanih </w:t>
      </w:r>
      <w:r w:rsidR="0029464D" w:rsidRPr="0029464D">
        <w:rPr>
          <w:rFonts w:cs="Arial"/>
        </w:rPr>
        <w:t>finančnih prerazporeditev znotraj PEKP 21–27</w:t>
      </w:r>
      <w:r w:rsidR="0029464D">
        <w:rPr>
          <w:rFonts w:cs="Arial"/>
        </w:rPr>
        <w:t xml:space="preserve">, so predvidene spremembe kazalnikov v okviru prednostnih nalog PN 1, 3 in 6. </w:t>
      </w:r>
      <w:r w:rsidR="00E44440">
        <w:rPr>
          <w:rFonts w:cs="Arial"/>
        </w:rPr>
        <w:t>S</w:t>
      </w:r>
      <w:r w:rsidR="0029464D">
        <w:rPr>
          <w:rFonts w:cs="Arial"/>
        </w:rPr>
        <w:t xml:space="preserve">premembe kazalnikov so </w:t>
      </w:r>
      <w:r w:rsidR="00636F47">
        <w:rPr>
          <w:rFonts w:cs="Arial"/>
        </w:rPr>
        <w:t xml:space="preserve">povezane </w:t>
      </w:r>
      <w:r w:rsidR="00E44440">
        <w:rPr>
          <w:rFonts w:cs="Arial"/>
        </w:rPr>
        <w:t xml:space="preserve">bodisi </w:t>
      </w:r>
      <w:r w:rsidR="00636F47">
        <w:rPr>
          <w:rFonts w:cs="Arial"/>
        </w:rPr>
        <w:t xml:space="preserve">z </w:t>
      </w:r>
      <w:r w:rsidR="00980BB2">
        <w:rPr>
          <w:rFonts w:cs="Arial"/>
        </w:rPr>
        <w:t>vključitvijo</w:t>
      </w:r>
      <w:r w:rsidR="00636F47">
        <w:rPr>
          <w:rFonts w:cs="Arial"/>
        </w:rPr>
        <w:t xml:space="preserve"> ukrepov platforme STEP</w:t>
      </w:r>
      <w:r w:rsidR="00980BB2">
        <w:rPr>
          <w:rFonts w:cs="Arial"/>
        </w:rPr>
        <w:t xml:space="preserve"> ali s potrebo po reviziji </w:t>
      </w:r>
      <w:r w:rsidR="00D9695D">
        <w:rPr>
          <w:rFonts w:cs="Arial"/>
        </w:rPr>
        <w:t>metodologije ali vrednosti kazalnikov po nastanku novih okoliščin, ki vplivajo na izvajanje programa</w:t>
      </w:r>
      <w:r w:rsidR="00636F47">
        <w:rPr>
          <w:rFonts w:cs="Arial"/>
        </w:rPr>
        <w:t>.</w:t>
      </w:r>
    </w:p>
    <w:p w14:paraId="423D3299" w14:textId="77777777" w:rsidR="00636F47" w:rsidRDefault="00636F47" w:rsidP="478C58D8">
      <w:pPr>
        <w:spacing w:after="0" w:line="276" w:lineRule="auto"/>
        <w:jc w:val="both"/>
        <w:rPr>
          <w:rFonts w:cs="Arial"/>
        </w:rPr>
      </w:pPr>
    </w:p>
    <w:p w14:paraId="7599E34A" w14:textId="77777777" w:rsidR="00ED3F1F" w:rsidRDefault="0029464D" w:rsidP="478C58D8">
      <w:pPr>
        <w:spacing w:after="0" w:line="276" w:lineRule="auto"/>
        <w:jc w:val="both"/>
        <w:rPr>
          <w:rFonts w:cs="Arial"/>
        </w:rPr>
      </w:pPr>
      <w:r>
        <w:rPr>
          <w:rFonts w:cs="Arial"/>
        </w:rPr>
        <w:t xml:space="preserve">V okviru PN 1 </w:t>
      </w:r>
      <w:r w:rsidR="00636F47">
        <w:rPr>
          <w:rFonts w:cs="Arial"/>
        </w:rPr>
        <w:t xml:space="preserve">so potrebne spremembe kazalnikov </w:t>
      </w:r>
      <w:r w:rsidR="00ED3F1F">
        <w:rPr>
          <w:rFonts w:cs="Arial"/>
        </w:rPr>
        <w:t xml:space="preserve">učinka in kazalnikov rezultata </w:t>
      </w:r>
      <w:r w:rsidR="00636F47">
        <w:rPr>
          <w:rFonts w:cs="Arial"/>
        </w:rPr>
        <w:t>pri specifičnih cilji</w:t>
      </w:r>
      <w:r w:rsidR="00ED3F1F">
        <w:rPr>
          <w:rFonts w:cs="Arial"/>
        </w:rPr>
        <w:t>h</w:t>
      </w:r>
      <w:r w:rsidR="00636F47">
        <w:rPr>
          <w:rFonts w:cs="Arial"/>
        </w:rPr>
        <w:t xml:space="preserve"> RSO1.1, RSO1.2 in RSO1.4</w:t>
      </w:r>
      <w:r w:rsidR="00ED3F1F">
        <w:rPr>
          <w:rFonts w:cs="Arial"/>
        </w:rPr>
        <w:t>, kjer so predvidene spremembe alokacije sredstev</w:t>
      </w:r>
      <w:r w:rsidR="00636F47">
        <w:rPr>
          <w:rFonts w:cs="Arial"/>
        </w:rPr>
        <w:t>.</w:t>
      </w:r>
    </w:p>
    <w:p w14:paraId="0DA9861B" w14:textId="5DA61C03" w:rsidR="00E76A87" w:rsidRDefault="00636F47" w:rsidP="478C58D8">
      <w:pPr>
        <w:spacing w:after="0" w:line="276" w:lineRule="auto"/>
        <w:jc w:val="both"/>
        <w:rPr>
          <w:rFonts w:cs="Arial"/>
        </w:rPr>
      </w:pPr>
      <w:r>
        <w:rPr>
          <w:rFonts w:cs="Arial"/>
        </w:rPr>
        <w:t xml:space="preserve">Zaradi </w:t>
      </w:r>
      <w:r w:rsidR="00ED3F1F">
        <w:rPr>
          <w:rFonts w:cs="Arial"/>
        </w:rPr>
        <w:t>vključitve</w:t>
      </w:r>
      <w:r>
        <w:rPr>
          <w:rFonts w:cs="Arial"/>
        </w:rPr>
        <w:t xml:space="preserve"> </w:t>
      </w:r>
      <w:r w:rsidR="00ED3F1F">
        <w:rPr>
          <w:rFonts w:cs="Arial"/>
        </w:rPr>
        <w:t xml:space="preserve">ukrepov platforma STEP in uvedbe </w:t>
      </w:r>
      <w:r>
        <w:rPr>
          <w:rFonts w:cs="Arial"/>
        </w:rPr>
        <w:t xml:space="preserve">novega specifičnega cilja RSO1.6 </w:t>
      </w:r>
      <w:r w:rsidR="00D9695D">
        <w:rPr>
          <w:rFonts w:cs="Arial"/>
        </w:rPr>
        <w:t>bodo</w:t>
      </w:r>
      <w:r>
        <w:rPr>
          <w:rFonts w:cs="Arial"/>
        </w:rPr>
        <w:t xml:space="preserve"> </w:t>
      </w:r>
      <w:r w:rsidR="00ED3F1F">
        <w:rPr>
          <w:rFonts w:cs="Arial"/>
        </w:rPr>
        <w:t>identif</w:t>
      </w:r>
      <w:r w:rsidR="00D85401">
        <w:rPr>
          <w:rFonts w:cs="Arial"/>
        </w:rPr>
        <w:t>icira</w:t>
      </w:r>
      <w:r w:rsidR="00D9695D">
        <w:rPr>
          <w:rFonts w:cs="Arial"/>
        </w:rPr>
        <w:t>n</w:t>
      </w:r>
      <w:r w:rsidR="00D85401">
        <w:rPr>
          <w:rFonts w:cs="Arial"/>
        </w:rPr>
        <w:t>i nov</w:t>
      </w:r>
      <w:r w:rsidR="00D9695D">
        <w:rPr>
          <w:rFonts w:cs="Arial"/>
        </w:rPr>
        <w:t>i</w:t>
      </w:r>
      <w:r w:rsidR="00D85401">
        <w:rPr>
          <w:rFonts w:cs="Arial"/>
        </w:rPr>
        <w:t xml:space="preserve"> kazalnik</w:t>
      </w:r>
      <w:r w:rsidR="00D9695D">
        <w:rPr>
          <w:rFonts w:cs="Arial"/>
        </w:rPr>
        <w:t>i</w:t>
      </w:r>
      <w:r w:rsidR="00D85401">
        <w:rPr>
          <w:rFonts w:cs="Arial"/>
        </w:rPr>
        <w:t xml:space="preserve"> učinka in kazalnik</w:t>
      </w:r>
      <w:r w:rsidR="00D9695D">
        <w:rPr>
          <w:rFonts w:cs="Arial"/>
        </w:rPr>
        <w:t>i</w:t>
      </w:r>
      <w:r w:rsidR="00D85401">
        <w:rPr>
          <w:rFonts w:cs="Arial"/>
        </w:rPr>
        <w:t xml:space="preserve"> rezultata v okviru </w:t>
      </w:r>
      <w:r w:rsidR="00D9695D">
        <w:rPr>
          <w:rFonts w:cs="Arial"/>
        </w:rPr>
        <w:t>dodeljenih</w:t>
      </w:r>
      <w:r w:rsidR="00D85401">
        <w:rPr>
          <w:rFonts w:cs="Arial"/>
        </w:rPr>
        <w:t xml:space="preserve"> sredstev.</w:t>
      </w:r>
    </w:p>
    <w:p w14:paraId="65E99246" w14:textId="77777777" w:rsidR="00E76A87" w:rsidRDefault="00E76A87" w:rsidP="478C58D8">
      <w:pPr>
        <w:spacing w:after="0" w:line="276" w:lineRule="auto"/>
        <w:jc w:val="both"/>
        <w:rPr>
          <w:rFonts w:cs="Arial"/>
        </w:rPr>
      </w:pPr>
    </w:p>
    <w:p w14:paraId="0BEDD679" w14:textId="77777777" w:rsidR="0079073E" w:rsidRDefault="00D85401" w:rsidP="478C58D8">
      <w:pPr>
        <w:spacing w:after="0" w:line="276" w:lineRule="auto"/>
        <w:jc w:val="both"/>
        <w:rPr>
          <w:rFonts w:cs="Arial"/>
        </w:rPr>
      </w:pPr>
      <w:r>
        <w:rPr>
          <w:rFonts w:cs="Arial"/>
        </w:rPr>
        <w:t>V okviru PN 3 so p</w:t>
      </w:r>
      <w:r w:rsidR="0079073E">
        <w:rPr>
          <w:rFonts w:cs="Arial"/>
        </w:rPr>
        <w:t>otrebne</w:t>
      </w:r>
      <w:r>
        <w:rPr>
          <w:rFonts w:cs="Arial"/>
        </w:rPr>
        <w:t xml:space="preserve"> spremembe kazalnikov </w:t>
      </w:r>
      <w:r w:rsidR="006D561D">
        <w:rPr>
          <w:rFonts w:cs="Arial"/>
        </w:rPr>
        <w:t xml:space="preserve">učinka in rezultata pri specifičnih ciljih RSO2.2 in RSO2.3, kjer je predvideno znižanje alokacije zaradi prenosa sredstev za </w:t>
      </w:r>
      <w:r w:rsidR="00B770DA">
        <w:rPr>
          <w:rFonts w:cs="Arial"/>
        </w:rPr>
        <w:t xml:space="preserve">ukrepe </w:t>
      </w:r>
      <w:r w:rsidR="006D561D">
        <w:rPr>
          <w:rFonts w:cs="Arial"/>
        </w:rPr>
        <w:t>platf</w:t>
      </w:r>
      <w:r w:rsidR="00B770DA">
        <w:rPr>
          <w:rFonts w:cs="Arial"/>
        </w:rPr>
        <w:t>orme</w:t>
      </w:r>
      <w:r w:rsidR="006D561D">
        <w:rPr>
          <w:rFonts w:cs="Arial"/>
        </w:rPr>
        <w:t xml:space="preserve"> STEP,</w:t>
      </w:r>
    </w:p>
    <w:p w14:paraId="29292200" w14:textId="526C073D" w:rsidR="00D85401" w:rsidRDefault="0079073E" w:rsidP="478C58D8">
      <w:pPr>
        <w:spacing w:after="0" w:line="276" w:lineRule="auto"/>
        <w:jc w:val="both"/>
        <w:rPr>
          <w:rFonts w:cs="Arial"/>
        </w:rPr>
      </w:pPr>
      <w:r>
        <w:rPr>
          <w:rFonts w:cs="Arial"/>
        </w:rPr>
        <w:t xml:space="preserve">Hkrati so pri specifičnih ciljih </w:t>
      </w:r>
      <w:r w:rsidR="009D6F21">
        <w:rPr>
          <w:rFonts w:cs="Arial"/>
        </w:rPr>
        <w:t>RSO2.4 in RSO2.5 predvidene spremembe kazalnikov učinka in kazalnikov rezultata zaradi vključitve novih ukrepov</w:t>
      </w:r>
      <w:r w:rsidR="009D6F21" w:rsidRPr="009D6F21">
        <w:t xml:space="preserve"> </w:t>
      </w:r>
      <w:r w:rsidR="009D6F21" w:rsidRPr="009D6F21">
        <w:rPr>
          <w:rFonts w:cs="Arial"/>
        </w:rPr>
        <w:t>za odziv na podnebno pogojene nesreče</w:t>
      </w:r>
      <w:r w:rsidR="009D6F21">
        <w:rPr>
          <w:rFonts w:cs="Arial"/>
        </w:rPr>
        <w:t xml:space="preserve"> in spremembe vira financiranja ukrepov za gradnjo komunalne infr</w:t>
      </w:r>
      <w:r w:rsidR="00DC4E13">
        <w:rPr>
          <w:rFonts w:cs="Arial"/>
        </w:rPr>
        <w:t>a</w:t>
      </w:r>
      <w:r w:rsidR="009D6F21">
        <w:rPr>
          <w:rFonts w:cs="Arial"/>
        </w:rPr>
        <w:t>strukture.</w:t>
      </w:r>
    </w:p>
    <w:p w14:paraId="09C8872D" w14:textId="77777777" w:rsidR="00B770DA" w:rsidRDefault="00B770DA" w:rsidP="478C58D8">
      <w:pPr>
        <w:spacing w:after="0" w:line="276" w:lineRule="auto"/>
        <w:jc w:val="both"/>
        <w:rPr>
          <w:rFonts w:cs="Arial"/>
        </w:rPr>
      </w:pPr>
    </w:p>
    <w:p w14:paraId="3B71B1F3" w14:textId="18E3A25D" w:rsidR="00B770DA" w:rsidRDefault="00B770DA" w:rsidP="478C58D8">
      <w:pPr>
        <w:spacing w:after="0" w:line="276" w:lineRule="auto"/>
        <w:jc w:val="both"/>
        <w:rPr>
          <w:rFonts w:cs="Arial"/>
        </w:rPr>
      </w:pPr>
      <w:r>
        <w:rPr>
          <w:rFonts w:cs="Arial"/>
        </w:rPr>
        <w:t>V okviru PN 6 so potrebn</w:t>
      </w:r>
      <w:r w:rsidR="0079073E">
        <w:rPr>
          <w:rFonts w:cs="Arial"/>
        </w:rPr>
        <w:t>e</w:t>
      </w:r>
      <w:r>
        <w:rPr>
          <w:rFonts w:cs="Arial"/>
        </w:rPr>
        <w:t xml:space="preserve"> spremembe kazalnikov učinka in rezultata pri specifičnem cilju ESO4.1, kjer je predvideno znižanje alokacije zaradi </w:t>
      </w:r>
      <w:r w:rsidRPr="00B770DA">
        <w:rPr>
          <w:rFonts w:cs="Arial"/>
        </w:rPr>
        <w:t xml:space="preserve">prenosa sredstev </w:t>
      </w:r>
      <w:r w:rsidR="00611787">
        <w:rPr>
          <w:rFonts w:cs="Arial"/>
        </w:rPr>
        <w:t>za ukrepe platforme</w:t>
      </w:r>
      <w:r w:rsidRPr="00B770DA">
        <w:rPr>
          <w:rFonts w:cs="Arial"/>
        </w:rPr>
        <w:t xml:space="preserve"> STEP.</w:t>
      </w:r>
    </w:p>
    <w:p w14:paraId="403D8A2E" w14:textId="0B51FF54" w:rsidR="002529CC" w:rsidRDefault="002529CC" w:rsidP="478C58D8">
      <w:pPr>
        <w:spacing w:after="0" w:line="276" w:lineRule="auto"/>
        <w:jc w:val="both"/>
        <w:rPr>
          <w:rFonts w:cs="Arial"/>
        </w:rPr>
      </w:pPr>
      <w:r>
        <w:rPr>
          <w:rFonts w:cs="Arial"/>
        </w:rPr>
        <w:t xml:space="preserve">Prav tako </w:t>
      </w:r>
      <w:r w:rsidR="00DC4E13">
        <w:rPr>
          <w:rFonts w:cs="Arial"/>
        </w:rPr>
        <w:t>so</w:t>
      </w:r>
      <w:r>
        <w:rPr>
          <w:rFonts w:cs="Arial"/>
        </w:rPr>
        <w:t xml:space="preserve"> pri specifičn</w:t>
      </w:r>
      <w:r w:rsidR="00DC4E13">
        <w:rPr>
          <w:rFonts w:cs="Arial"/>
        </w:rPr>
        <w:t>ih</w:t>
      </w:r>
      <w:r>
        <w:rPr>
          <w:rFonts w:cs="Arial"/>
        </w:rPr>
        <w:t xml:space="preserve"> cilj</w:t>
      </w:r>
      <w:r w:rsidR="00DC4E13">
        <w:rPr>
          <w:rFonts w:cs="Arial"/>
        </w:rPr>
        <w:t>ih</w:t>
      </w:r>
      <w:r>
        <w:rPr>
          <w:rFonts w:cs="Arial"/>
        </w:rPr>
        <w:t xml:space="preserve"> </w:t>
      </w:r>
      <w:r w:rsidRPr="002529CC">
        <w:rPr>
          <w:rFonts w:cs="Arial"/>
        </w:rPr>
        <w:t>ESO4.7</w:t>
      </w:r>
      <w:r w:rsidR="00DC4E13">
        <w:rPr>
          <w:rFonts w:cs="Arial"/>
        </w:rPr>
        <w:t>, ESO 4.8 in ESO4.11 predvidene spremembe kazalnikov učinka in kazalnikov rezultata po ponovnem pregledu učinkov načrtovanih ukrepov.</w:t>
      </w:r>
    </w:p>
    <w:p w14:paraId="38921014" w14:textId="77777777" w:rsidR="00DC4E13" w:rsidRDefault="00DC4E13" w:rsidP="478C58D8">
      <w:pPr>
        <w:spacing w:after="0" w:line="276" w:lineRule="auto"/>
        <w:jc w:val="both"/>
        <w:rPr>
          <w:rFonts w:cs="Arial"/>
        </w:rPr>
      </w:pPr>
    </w:p>
    <w:p w14:paraId="455F7E6D" w14:textId="4AC9E175" w:rsidR="00DC4E13" w:rsidRDefault="00DC4E13" w:rsidP="478C58D8">
      <w:pPr>
        <w:spacing w:after="0" w:line="276" w:lineRule="auto"/>
        <w:jc w:val="both"/>
        <w:rPr>
          <w:rFonts w:cs="Arial"/>
        </w:rPr>
      </w:pPr>
      <w:r w:rsidRPr="00CD255C">
        <w:rPr>
          <w:rFonts w:cs="Arial"/>
        </w:rPr>
        <w:t xml:space="preserve">V okviru PN 10 </w:t>
      </w:r>
      <w:r w:rsidR="00E22C11" w:rsidRPr="00CD255C">
        <w:rPr>
          <w:rFonts w:cs="Arial"/>
        </w:rPr>
        <w:t>so predvidene spremembe kazalnikov učinka in kazalnikov rezultata pri specifičnem cilju JSO8.1.</w:t>
      </w:r>
    </w:p>
    <w:p w14:paraId="4373A143" w14:textId="77777777" w:rsidR="00560684" w:rsidRDefault="00560684" w:rsidP="478C58D8">
      <w:pPr>
        <w:spacing w:after="0" w:line="276" w:lineRule="auto"/>
        <w:jc w:val="both"/>
        <w:rPr>
          <w:rFonts w:cs="Arial"/>
        </w:rPr>
      </w:pPr>
    </w:p>
    <w:p w14:paraId="7F2A75DA" w14:textId="2ACD332B" w:rsidR="000E7A5A" w:rsidRPr="00F425EA" w:rsidRDefault="0EE92F69" w:rsidP="000B2C28">
      <w:pPr>
        <w:pStyle w:val="Naslov2"/>
      </w:pPr>
      <w:bookmarkStart w:id="4152" w:name="_Toc192682030"/>
      <w:r>
        <w:t>7.</w:t>
      </w:r>
      <w:r w:rsidR="2C48FFE9">
        <w:t>3</w:t>
      </w:r>
      <w:r w:rsidR="00306071">
        <w:tab/>
      </w:r>
      <w:r w:rsidR="1264AABC">
        <w:t>DOSEGANJE PRAVILA N+3</w:t>
      </w:r>
      <w:bookmarkEnd w:id="4152"/>
    </w:p>
    <w:p w14:paraId="1AF82103" w14:textId="77777777" w:rsidR="000E7A5A" w:rsidRPr="00F425EA" w:rsidRDefault="000E7A5A" w:rsidP="00623803">
      <w:pPr>
        <w:spacing w:after="0" w:line="276" w:lineRule="auto"/>
        <w:jc w:val="both"/>
        <w:rPr>
          <w:rFonts w:cs="Arial"/>
        </w:rPr>
      </w:pPr>
    </w:p>
    <w:p w14:paraId="3C172A76" w14:textId="40B844FF" w:rsidR="000E7A5A" w:rsidRPr="00F425EA" w:rsidRDefault="00306071" w:rsidP="00623803">
      <w:pPr>
        <w:spacing w:after="0" w:line="276" w:lineRule="auto"/>
        <w:jc w:val="both"/>
        <w:rPr>
          <w:rFonts w:cs="Arial"/>
        </w:rPr>
      </w:pPr>
      <w:r w:rsidRPr="00F425EA">
        <w:rPr>
          <w:rFonts w:cs="Arial"/>
        </w:rPr>
        <w:t>Zaradi počasnejšega izvajanja načrtovanih ukrepov PEKP 21</w:t>
      </w:r>
      <w:r w:rsidRPr="00F425EA">
        <w:rPr>
          <w:rFonts w:cs="Arial"/>
          <w:sz w:val="22"/>
          <w:szCs w:val="22"/>
        </w:rPr>
        <w:t>–</w:t>
      </w:r>
      <w:r w:rsidRPr="00F425EA">
        <w:rPr>
          <w:rFonts w:cs="Arial"/>
        </w:rPr>
        <w:t xml:space="preserve">27 obstaja visoko tveganje trajne izgube EU sredstev v letih 2025 in 2026 v zvezi z neizpolnjevanjem pravila N+3. V skladu z načeli in pravili o prenehanju obveznosti iz 105. člena Uredbe 2021/1060/EU prenehajo obveznosti Evropske komisije do države članice, če do 31. decembra tretjega koledarskega leta, ki sledi letu proračunskih obveznosti za </w:t>
      </w:r>
      <w:r w:rsidRPr="00F425EA">
        <w:rPr>
          <w:rFonts w:cs="Arial"/>
        </w:rPr>
        <w:lastRenderedPageBreak/>
        <w:t xml:space="preserve">leta 2021 do 2026, znesek, ki ga je treba pokriti z zahtevkom za plačilo, ni bil porabljen za </w:t>
      </w:r>
      <w:proofErr w:type="spellStart"/>
      <w:r w:rsidRPr="00F425EA">
        <w:rPr>
          <w:rFonts w:cs="Arial"/>
        </w:rPr>
        <w:t>predfinanciranje</w:t>
      </w:r>
      <w:proofErr w:type="spellEnd"/>
      <w:r w:rsidRPr="00F425EA">
        <w:rPr>
          <w:rFonts w:cs="Arial"/>
        </w:rPr>
        <w:t xml:space="preserve"> ali če do tega datuma ni bil predložen zahtevek za plačilo na Evropsko komisijo. </w:t>
      </w:r>
    </w:p>
    <w:p w14:paraId="5FC4B773" w14:textId="77777777" w:rsidR="000E7A5A" w:rsidRPr="00F425EA" w:rsidRDefault="000E7A5A" w:rsidP="00623803">
      <w:pPr>
        <w:spacing w:after="0" w:line="276" w:lineRule="auto"/>
        <w:jc w:val="both"/>
        <w:rPr>
          <w:rFonts w:cs="Arial"/>
        </w:rPr>
      </w:pPr>
    </w:p>
    <w:p w14:paraId="18BE94AA" w14:textId="77777777" w:rsidR="000E7A5A" w:rsidRDefault="00306071" w:rsidP="00623803">
      <w:pPr>
        <w:spacing w:after="0" w:line="276" w:lineRule="auto"/>
        <w:jc w:val="both"/>
        <w:rPr>
          <w:rFonts w:cs="Arial"/>
        </w:rPr>
      </w:pPr>
      <w:r w:rsidRPr="00F425EA">
        <w:rPr>
          <w:rFonts w:cs="Arial"/>
        </w:rPr>
        <w:t>Da bi se Slovenija izognila tveganju trajne izgube sredstev PEKP 21</w:t>
      </w:r>
      <w:r w:rsidRPr="00F425EA">
        <w:rPr>
          <w:rFonts w:cs="Arial"/>
          <w:sz w:val="22"/>
          <w:szCs w:val="22"/>
        </w:rPr>
        <w:t>–</w:t>
      </w:r>
      <w:r w:rsidRPr="00F425EA">
        <w:rPr>
          <w:rFonts w:cs="Arial"/>
        </w:rPr>
        <w:t xml:space="preserve">27 mora nujno pristopiti k spremembi programa in sprejeti ukrepi, kot so opisani v izhodiščih za spremembo programa v nadaljevanju. </w:t>
      </w:r>
    </w:p>
    <w:p w14:paraId="625A0816" w14:textId="77777777" w:rsidR="000E7A5A" w:rsidRPr="00F425EA" w:rsidRDefault="000E7A5A" w:rsidP="00623803">
      <w:pPr>
        <w:spacing w:after="0" w:line="276" w:lineRule="auto"/>
        <w:jc w:val="both"/>
        <w:rPr>
          <w:rFonts w:cs="Arial"/>
        </w:rPr>
      </w:pPr>
    </w:p>
    <w:p w14:paraId="32F51507" w14:textId="6EADEEF9" w:rsidR="000E7A5A" w:rsidRPr="00F425EA" w:rsidRDefault="0EE92F69" w:rsidP="000B2C28">
      <w:pPr>
        <w:pStyle w:val="Naslov2"/>
      </w:pPr>
      <w:bookmarkStart w:id="4153" w:name="_Toc192682031"/>
      <w:r>
        <w:t>7.</w:t>
      </w:r>
      <w:r w:rsidR="0105EE60">
        <w:t>4</w:t>
      </w:r>
      <w:r w:rsidR="00306071">
        <w:tab/>
      </w:r>
      <w:r w:rsidR="1264AABC">
        <w:t>OMOGOČITVENI POGOJI</w:t>
      </w:r>
      <w:bookmarkEnd w:id="4153"/>
    </w:p>
    <w:p w14:paraId="7F3469A2" w14:textId="77777777" w:rsidR="000E7A5A" w:rsidRPr="00F425EA" w:rsidRDefault="000E7A5A" w:rsidP="00623803">
      <w:pPr>
        <w:spacing w:after="0" w:line="276" w:lineRule="auto"/>
        <w:jc w:val="both"/>
        <w:rPr>
          <w:rFonts w:cs="Arial"/>
        </w:rPr>
      </w:pPr>
    </w:p>
    <w:p w14:paraId="18C55F9E" w14:textId="4EE74692" w:rsidR="000E7A5A" w:rsidRDefault="00306071" w:rsidP="00623803">
      <w:pPr>
        <w:spacing w:after="0" w:line="276" w:lineRule="auto"/>
        <w:jc w:val="both"/>
        <w:rPr>
          <w:rFonts w:cs="Arial"/>
        </w:rPr>
      </w:pPr>
      <w:r w:rsidRPr="00F23C77">
        <w:rPr>
          <w:rFonts w:cs="Arial"/>
        </w:rPr>
        <w:t xml:space="preserve">V skladu </w:t>
      </w:r>
      <w:r w:rsidR="00B66CBE" w:rsidRPr="00F23C77">
        <w:rPr>
          <w:rFonts w:cs="Arial"/>
        </w:rPr>
        <w:t xml:space="preserve">z 2. točko </w:t>
      </w:r>
      <w:r w:rsidRPr="00F23C77">
        <w:rPr>
          <w:rFonts w:cs="Arial"/>
        </w:rPr>
        <w:t>15. člen</w:t>
      </w:r>
      <w:r w:rsidR="00B66CBE" w:rsidRPr="00F23C77">
        <w:rPr>
          <w:rFonts w:cs="Arial"/>
        </w:rPr>
        <w:t xml:space="preserve">a </w:t>
      </w:r>
      <w:r w:rsidRPr="00F23C77">
        <w:rPr>
          <w:rFonts w:cs="Arial"/>
        </w:rPr>
        <w:t xml:space="preserve">Uredbe (EU) 2021/1060 mora država članica pri pripravi programa ali uvedbi novega specifičnega cilja kot del spremembe programa oceniti, ali so </w:t>
      </w:r>
      <w:proofErr w:type="spellStart"/>
      <w:r w:rsidRPr="00F23C77">
        <w:rPr>
          <w:rFonts w:cs="Arial"/>
        </w:rPr>
        <w:t>omogočitveni</w:t>
      </w:r>
      <w:proofErr w:type="spellEnd"/>
      <w:r w:rsidRPr="00F23C77">
        <w:rPr>
          <w:rFonts w:cs="Arial"/>
        </w:rPr>
        <w:t xml:space="preserve"> pogoji, ki so povezani z izbranim specifičnim ciljem, izpolnjeni.</w:t>
      </w:r>
    </w:p>
    <w:p w14:paraId="2A3E1785" w14:textId="77777777" w:rsidR="00BA2083" w:rsidRPr="00F425EA" w:rsidRDefault="00BA2083" w:rsidP="00623803">
      <w:pPr>
        <w:spacing w:after="0" w:line="276" w:lineRule="auto"/>
        <w:jc w:val="both"/>
        <w:rPr>
          <w:rFonts w:cs="Arial"/>
        </w:rPr>
      </w:pPr>
    </w:p>
    <w:p w14:paraId="6C68EFE2" w14:textId="09CC7E7D" w:rsidR="000E7A5A" w:rsidRPr="00F425EA" w:rsidRDefault="00306071" w:rsidP="00623803">
      <w:pPr>
        <w:spacing w:after="0" w:line="276" w:lineRule="auto"/>
        <w:jc w:val="both"/>
        <w:rPr>
          <w:rFonts w:cs="Arial"/>
        </w:rPr>
      </w:pPr>
      <w:r w:rsidRPr="00F425EA">
        <w:rPr>
          <w:rFonts w:cs="Arial"/>
        </w:rPr>
        <w:t xml:space="preserve">V času priprave vmesnega poročila so bili izpolnjeni vsi horizontalni </w:t>
      </w:r>
      <w:proofErr w:type="spellStart"/>
      <w:r w:rsidRPr="00F425EA">
        <w:rPr>
          <w:rFonts w:cs="Arial"/>
        </w:rPr>
        <w:t>omogočitveni</w:t>
      </w:r>
      <w:proofErr w:type="spellEnd"/>
      <w:r w:rsidRPr="00F425EA">
        <w:rPr>
          <w:rFonts w:cs="Arial"/>
        </w:rPr>
        <w:t xml:space="preserve"> </w:t>
      </w:r>
      <w:r w:rsidR="00BA2083" w:rsidRPr="00F425EA">
        <w:rPr>
          <w:rFonts w:cs="Arial"/>
        </w:rPr>
        <w:t>pogoji</w:t>
      </w:r>
      <w:r w:rsidRPr="00F425EA">
        <w:rPr>
          <w:rFonts w:cs="Arial"/>
        </w:rPr>
        <w:t xml:space="preserve">. </w:t>
      </w:r>
    </w:p>
    <w:p w14:paraId="10C7B01C" w14:textId="77777777" w:rsidR="000E7A5A" w:rsidRPr="00F425EA" w:rsidRDefault="000E7A5A" w:rsidP="00623803">
      <w:pPr>
        <w:spacing w:after="0" w:line="276" w:lineRule="auto"/>
        <w:jc w:val="both"/>
        <w:rPr>
          <w:rFonts w:cs="Arial"/>
        </w:rPr>
      </w:pPr>
    </w:p>
    <w:p w14:paraId="57BBD127" w14:textId="77777777" w:rsidR="000E7A5A" w:rsidRPr="00F425EA" w:rsidRDefault="00306071" w:rsidP="00623803">
      <w:pPr>
        <w:spacing w:after="0" w:line="276" w:lineRule="auto"/>
        <w:jc w:val="both"/>
        <w:rPr>
          <w:rFonts w:cs="Arial"/>
        </w:rPr>
      </w:pPr>
      <w:r w:rsidRPr="00F425EA">
        <w:rPr>
          <w:rFonts w:cs="Arial"/>
        </w:rPr>
        <w:t xml:space="preserve">Prav tako so izpolnjeni tematski </w:t>
      </w:r>
      <w:proofErr w:type="spellStart"/>
      <w:r w:rsidRPr="00F425EA">
        <w:rPr>
          <w:rFonts w:cs="Arial"/>
        </w:rPr>
        <w:t>omogočitveni</w:t>
      </w:r>
      <w:proofErr w:type="spellEnd"/>
      <w:r w:rsidRPr="00F425EA">
        <w:rPr>
          <w:rFonts w:cs="Arial"/>
        </w:rPr>
        <w:t xml:space="preserve"> pogoji, razen pogoja 2.5 Posodobljeno načrtovanje potrebnih naložb v vodnem sektorju in sektorju odpadne vode, ki je še ni izpolnjen pri pogojih v zvezi z naložbami za zagotovitev skladnosti z evropsko direktivo o pitni vodi.</w:t>
      </w:r>
    </w:p>
    <w:p w14:paraId="09B87B00" w14:textId="77777777" w:rsidR="00623803" w:rsidRDefault="00623803" w:rsidP="00623803">
      <w:pPr>
        <w:spacing w:after="0" w:line="276" w:lineRule="auto"/>
        <w:jc w:val="both"/>
        <w:rPr>
          <w:rFonts w:cs="Arial"/>
        </w:rPr>
      </w:pPr>
    </w:p>
    <w:p w14:paraId="5B539ABC" w14:textId="11872C3B" w:rsidR="000E7A5A" w:rsidRPr="00F425EA" w:rsidRDefault="00306071" w:rsidP="00623803">
      <w:pPr>
        <w:spacing w:after="0" w:line="276" w:lineRule="auto"/>
        <w:jc w:val="both"/>
        <w:rPr>
          <w:rFonts w:cs="Arial"/>
        </w:rPr>
      </w:pPr>
      <w:r w:rsidRPr="00F425EA">
        <w:rPr>
          <w:rFonts w:cs="Arial"/>
        </w:rPr>
        <w:t>Gre za pogoj v okviru specifičnega cilja RSO2.5: Spodbujanje dostopa do vode in trajnostnega gospodarjenja z vodnimi viri,</w:t>
      </w:r>
    </w:p>
    <w:p w14:paraId="316408C5" w14:textId="77777777" w:rsidR="000E7A5A" w:rsidRPr="00F425EA" w:rsidRDefault="000E7A5A" w:rsidP="00623803">
      <w:pPr>
        <w:spacing w:after="0" w:line="276" w:lineRule="auto"/>
        <w:jc w:val="both"/>
        <w:rPr>
          <w:rFonts w:cs="Arial"/>
        </w:rPr>
      </w:pPr>
    </w:p>
    <w:p w14:paraId="54D1594A" w14:textId="24644D59" w:rsidR="00623803" w:rsidRDefault="00306071" w:rsidP="00E247FF">
      <w:pPr>
        <w:spacing w:line="276" w:lineRule="auto"/>
        <w:jc w:val="both"/>
        <w:rPr>
          <w:rFonts w:cs="Arial"/>
        </w:rPr>
        <w:sectPr w:rsidR="00623803" w:rsidSect="00105179">
          <w:pgSz w:w="11906" w:h="16838"/>
          <w:pgMar w:top="1418" w:right="1418" w:bottom="1418" w:left="1418" w:header="708" w:footer="708" w:gutter="0"/>
          <w:cols w:space="708"/>
          <w:docGrid w:linePitch="272"/>
        </w:sectPr>
      </w:pPr>
      <w:r w:rsidRPr="00F425EA">
        <w:rPr>
          <w:rFonts w:cs="Arial"/>
        </w:rPr>
        <w:t>V primeru uvedbe novega specifičnega cilja zaradi vključitve ukrepov platforme STEP v izvajanje PEKP 21</w:t>
      </w:r>
      <w:r w:rsidR="003037F8" w:rsidRPr="003037F8">
        <w:rPr>
          <w:rFonts w:cs="Arial"/>
        </w:rPr>
        <w:t>–</w:t>
      </w:r>
      <w:r w:rsidRPr="00F425EA">
        <w:rPr>
          <w:rFonts w:cs="Arial"/>
        </w:rPr>
        <w:t xml:space="preserve">27, kot navedeno v poglavju “Izvajanje Uredbe o vzpostavitvi platforme za strateške tehnologije za Evropo (STEP) v Sloveniji in predvideni ukrepi” ocenjujemo, da spremembe na ravni </w:t>
      </w:r>
      <w:proofErr w:type="spellStart"/>
      <w:r w:rsidRPr="00F425EA">
        <w:rPr>
          <w:rFonts w:cs="Arial"/>
        </w:rPr>
        <w:t>omogočitvenih</w:t>
      </w:r>
      <w:proofErr w:type="spellEnd"/>
      <w:r w:rsidRPr="00F425EA">
        <w:rPr>
          <w:rFonts w:cs="Arial"/>
        </w:rPr>
        <w:t xml:space="preserve"> pogojev v tej fazi niso potrebne.</w:t>
      </w:r>
    </w:p>
    <w:p w14:paraId="28F491A7" w14:textId="4AA84318" w:rsidR="000E7A5A" w:rsidRPr="00F425EA" w:rsidRDefault="00306071" w:rsidP="00E247FF">
      <w:pPr>
        <w:pStyle w:val="Naslov10"/>
        <w:spacing w:line="276" w:lineRule="auto"/>
        <w:rPr>
          <w:rFonts w:cs="Arial"/>
        </w:rPr>
      </w:pPr>
      <w:bookmarkStart w:id="4154" w:name="_Toc1226002903"/>
      <w:bookmarkStart w:id="4155" w:name="_Toc1691238775"/>
      <w:bookmarkStart w:id="4156" w:name="_Toc1953121830"/>
      <w:bookmarkStart w:id="4157" w:name="_Toc1650444220"/>
      <w:bookmarkStart w:id="4158" w:name="_Toc1633233845"/>
      <w:bookmarkStart w:id="4159" w:name="_Toc1624836357"/>
      <w:bookmarkStart w:id="4160" w:name="_Toc2067121797"/>
      <w:bookmarkStart w:id="4161" w:name="_Toc1354384191"/>
      <w:bookmarkStart w:id="4162" w:name="_Toc873818977"/>
      <w:bookmarkStart w:id="4163" w:name="_Toc471206259"/>
      <w:bookmarkStart w:id="4164" w:name="_Toc1762949226"/>
      <w:bookmarkStart w:id="4165" w:name="_Toc1419478993"/>
      <w:bookmarkStart w:id="4166" w:name="_Toc450878275"/>
      <w:bookmarkStart w:id="4167" w:name="_Toc998126558"/>
      <w:bookmarkStart w:id="4168" w:name="_Toc1637810753"/>
      <w:bookmarkStart w:id="4169" w:name="_Toc1581997444"/>
      <w:bookmarkStart w:id="4170" w:name="_Toc476806260"/>
      <w:bookmarkStart w:id="4171" w:name="_Toc445300361"/>
      <w:bookmarkStart w:id="4172" w:name="_Toc1673455147"/>
      <w:bookmarkStart w:id="4173" w:name="_Toc388229025"/>
      <w:bookmarkStart w:id="4174" w:name="_Toc1568045645"/>
      <w:bookmarkStart w:id="4175" w:name="_Toc782710500"/>
      <w:bookmarkStart w:id="4176" w:name="_Toc269780531"/>
      <w:bookmarkStart w:id="4177" w:name="_Toc390780137"/>
      <w:bookmarkStart w:id="4178" w:name="_Toc21035364"/>
      <w:bookmarkStart w:id="4179" w:name="_Toc1299656107"/>
      <w:bookmarkStart w:id="4180" w:name="_Toc1372053257"/>
      <w:bookmarkStart w:id="4181" w:name="_Toc1520884565"/>
      <w:bookmarkStart w:id="4182" w:name="_Toc1846969464"/>
      <w:bookmarkStart w:id="4183" w:name="_Toc1795540561"/>
      <w:bookmarkStart w:id="4184" w:name="_Toc676340147"/>
      <w:bookmarkStart w:id="4185" w:name="_Toc1456386323"/>
      <w:bookmarkStart w:id="4186" w:name="_Toc510022670"/>
      <w:bookmarkStart w:id="4187" w:name="_Toc891665387"/>
      <w:bookmarkStart w:id="4188" w:name="_Toc1887504108"/>
      <w:bookmarkStart w:id="4189" w:name="_Toc253323660"/>
      <w:bookmarkStart w:id="4190" w:name="_Toc243136356"/>
      <w:bookmarkStart w:id="4191" w:name="_Toc1933594560"/>
      <w:bookmarkStart w:id="4192" w:name="_Toc323058245"/>
      <w:bookmarkStart w:id="4193" w:name="_Toc485926252"/>
      <w:bookmarkStart w:id="4194" w:name="_Toc1297505544"/>
      <w:bookmarkStart w:id="4195" w:name="_Toc595179850"/>
      <w:bookmarkStart w:id="4196" w:name="_Toc1281905617"/>
      <w:bookmarkStart w:id="4197" w:name="_Toc1003652667"/>
      <w:bookmarkStart w:id="4198" w:name="_Toc1512368230"/>
      <w:bookmarkStart w:id="4199" w:name="_Toc837216078"/>
      <w:bookmarkStart w:id="4200" w:name="_Toc359312446"/>
      <w:bookmarkStart w:id="4201" w:name="_Toc1742717694"/>
      <w:bookmarkStart w:id="4202" w:name="_Toc2094168781"/>
      <w:bookmarkStart w:id="4203" w:name="_Toc148118629"/>
      <w:bookmarkStart w:id="4204" w:name="_Toc801065137"/>
      <w:bookmarkStart w:id="4205" w:name="_Toc522469342"/>
      <w:bookmarkStart w:id="4206" w:name="_Toc279686172"/>
      <w:bookmarkStart w:id="4207" w:name="_Toc987624808"/>
      <w:bookmarkStart w:id="4208" w:name="_Toc1893452129"/>
      <w:bookmarkStart w:id="4209" w:name="_Toc270541639"/>
      <w:bookmarkStart w:id="4210" w:name="_Toc377265661"/>
      <w:bookmarkStart w:id="4211" w:name="_Toc617150604"/>
      <w:bookmarkStart w:id="4212" w:name="_Toc876207891"/>
      <w:bookmarkStart w:id="4213" w:name="_Toc1880175950"/>
      <w:bookmarkStart w:id="4214" w:name="_Toc1031276444"/>
      <w:bookmarkStart w:id="4215" w:name="_Toc1468587004"/>
      <w:bookmarkStart w:id="4216" w:name="_Toc828102416"/>
      <w:bookmarkStart w:id="4217" w:name="_Toc788397121"/>
      <w:bookmarkStart w:id="4218" w:name="_Toc1371711028"/>
      <w:bookmarkStart w:id="4219" w:name="_Toc512247104"/>
      <w:bookmarkStart w:id="4220" w:name="_Toc1549977567"/>
      <w:bookmarkStart w:id="4221" w:name="_Toc374263739"/>
      <w:bookmarkStart w:id="4222" w:name="_Toc990962377"/>
      <w:bookmarkStart w:id="4223" w:name="_Toc924643950"/>
      <w:bookmarkStart w:id="4224" w:name="_Toc407815275"/>
      <w:bookmarkStart w:id="4225" w:name="_Toc1458804752"/>
      <w:bookmarkStart w:id="4226" w:name="_Toc1484789363"/>
      <w:bookmarkStart w:id="4227" w:name="_Toc1486009840"/>
      <w:bookmarkStart w:id="4228" w:name="_Toc646529482"/>
      <w:bookmarkStart w:id="4229" w:name="_Toc1675606544"/>
      <w:bookmarkStart w:id="4230" w:name="_Toc416087544"/>
      <w:bookmarkStart w:id="4231" w:name="_Toc395544451"/>
      <w:bookmarkStart w:id="4232" w:name="_Toc1374306505"/>
      <w:bookmarkStart w:id="4233" w:name="_Toc1374212525"/>
      <w:bookmarkStart w:id="4234" w:name="_Toc595960698"/>
      <w:bookmarkStart w:id="4235" w:name="_Toc702280296"/>
      <w:bookmarkStart w:id="4236" w:name="_Toc264882282"/>
      <w:bookmarkStart w:id="4237" w:name="_Toc1586282346"/>
      <w:bookmarkStart w:id="4238" w:name="_Toc187739371"/>
      <w:bookmarkStart w:id="4239" w:name="_Toc187740118"/>
      <w:bookmarkStart w:id="4240" w:name="_Toc18671928"/>
      <w:bookmarkStart w:id="4241" w:name="_Toc192682032"/>
      <w:r w:rsidRPr="00F425EA">
        <w:rPr>
          <w:rFonts w:cs="Arial"/>
        </w:rPr>
        <w:lastRenderedPageBreak/>
        <w:t xml:space="preserve">8. </w:t>
      </w:r>
      <w:r w:rsidRPr="00F425EA">
        <w:rPr>
          <w:rFonts w:cs="Arial"/>
        </w:rPr>
        <w:tab/>
      </w:r>
      <w:r w:rsidR="005A12CC" w:rsidRPr="00F425EA">
        <w:rPr>
          <w:rFonts w:cs="Arial"/>
          <w:caps w:val="0"/>
        </w:rPr>
        <w:t>IZVAJANJE UREDBE O VZPOSTAVITVI PLATFORME ZA STRATEŠKE TEHNOLOGIJE ZA EVROPO (STEP) V SLOVENIJI IN PREDVIDENI UKREPI</w:t>
      </w:r>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1"/>
    </w:p>
    <w:p w14:paraId="49846FAF" w14:textId="77777777" w:rsidR="000E7A5A" w:rsidRPr="00F425EA" w:rsidRDefault="000E7A5A" w:rsidP="00623803">
      <w:pPr>
        <w:spacing w:after="0" w:line="276" w:lineRule="auto"/>
        <w:jc w:val="both"/>
        <w:rPr>
          <w:rFonts w:cs="Arial"/>
        </w:rPr>
      </w:pPr>
    </w:p>
    <w:p w14:paraId="78BD795E" w14:textId="77777777" w:rsidR="000E7A5A" w:rsidRPr="00F425EA" w:rsidRDefault="00306071" w:rsidP="00623803">
      <w:pPr>
        <w:spacing w:after="0" w:line="276" w:lineRule="auto"/>
        <w:jc w:val="both"/>
        <w:rPr>
          <w:rFonts w:cs="Arial"/>
        </w:rPr>
      </w:pPr>
      <w:r w:rsidRPr="00F425EA">
        <w:rPr>
          <w:rFonts w:cs="Arial"/>
        </w:rPr>
        <w:t xml:space="preserve">Uvajanje in širjenje globokih in digitalnih tehnologij, čistih tehnologij in biotehnologij v Uniji bosta bistvena za izkoriščanje priložnosti in doseganje ciljev zelenega in digitalnega prehoda ter s tem spodbujanje konkurenčnosti evropske industrije in njene trajnosti. Zato so bili potrebni takojšnji ukrepi za podporo razvoju teh tehnologij in uvajanju z njimi povezanih storitev v Uniji, za zaščito in krepitev njihovih vrednostnih verig, s čimer se bo zmanjšala strateška odvisnost Unije, ter za obravnavanje obstoječega pomanjkanja delovne sile in znanj in spretnosti v teh sektorjih z usposabljanjem in vajeništvom ter ustvarjanjem privlačnih in delovnih mest, ki so dostopna vsem. </w:t>
      </w:r>
    </w:p>
    <w:p w14:paraId="17E60177" w14:textId="18C8F31E" w:rsidR="000E7A5A" w:rsidRPr="00F425EA" w:rsidRDefault="000E7A5A" w:rsidP="00623803">
      <w:pPr>
        <w:spacing w:after="0" w:line="276" w:lineRule="auto"/>
        <w:jc w:val="both"/>
        <w:rPr>
          <w:rFonts w:cs="Arial"/>
        </w:rPr>
      </w:pPr>
    </w:p>
    <w:p w14:paraId="6DD2DE83" w14:textId="2449230E" w:rsidR="000E7A5A" w:rsidRDefault="00306071" w:rsidP="00623803">
      <w:pPr>
        <w:spacing w:after="0" w:line="276" w:lineRule="auto"/>
        <w:jc w:val="both"/>
        <w:rPr>
          <w:rFonts w:cs="Arial"/>
        </w:rPr>
      </w:pPr>
      <w:r w:rsidRPr="00F425EA">
        <w:rPr>
          <w:rFonts w:cs="Arial"/>
        </w:rPr>
        <w:t>S tem namenom je bila sprejeta Uredba (EU) 2024/795 Evropskega parlamenta in Sveta z dne 29. februarja 2024 o vzpostavitvi platforme za strateške tehnologije za Evropo (platforma STEP) in spremembe Direktive 2003/87/ES</w:t>
      </w:r>
      <w:r w:rsidRPr="00F425EA">
        <w:rPr>
          <w:rFonts w:cs="Arial"/>
        </w:rPr>
        <w:footnoteReference w:id="34"/>
      </w:r>
      <w:r w:rsidRPr="00F425EA">
        <w:rPr>
          <w:rFonts w:cs="Arial"/>
        </w:rPr>
        <w:t xml:space="preserve"> ter uredb EU 2021/1058</w:t>
      </w:r>
      <w:r w:rsidRPr="00F425EA">
        <w:rPr>
          <w:rFonts w:cs="Arial"/>
        </w:rPr>
        <w:footnoteReference w:id="35"/>
      </w:r>
      <w:r w:rsidRPr="00F425EA">
        <w:rPr>
          <w:rFonts w:cs="Arial"/>
        </w:rPr>
        <w:t>, EU 2021/1056</w:t>
      </w:r>
      <w:r w:rsidRPr="00F425EA">
        <w:rPr>
          <w:rFonts w:cs="Arial"/>
        </w:rPr>
        <w:footnoteReference w:id="36"/>
      </w:r>
      <w:r w:rsidRPr="00F425EA">
        <w:rPr>
          <w:rFonts w:cs="Arial"/>
        </w:rPr>
        <w:t>, EU 2021/1057</w:t>
      </w:r>
      <w:r w:rsidRPr="00F425EA">
        <w:rPr>
          <w:rFonts w:cs="Arial"/>
        </w:rPr>
        <w:footnoteReference w:id="37"/>
      </w:r>
      <w:r w:rsidRPr="00F425EA">
        <w:rPr>
          <w:rFonts w:cs="Arial"/>
        </w:rPr>
        <w:t>, EU 1303/2013</w:t>
      </w:r>
      <w:r w:rsidRPr="00F425EA">
        <w:rPr>
          <w:rFonts w:cs="Arial"/>
        </w:rPr>
        <w:footnoteReference w:id="38"/>
      </w:r>
      <w:r w:rsidRPr="00F425EA">
        <w:rPr>
          <w:rFonts w:cs="Arial"/>
        </w:rPr>
        <w:t>, EU 223/2014</w:t>
      </w:r>
      <w:r w:rsidRPr="00F425EA">
        <w:rPr>
          <w:rFonts w:cs="Arial"/>
        </w:rPr>
        <w:footnoteReference w:id="39"/>
      </w:r>
      <w:r w:rsidRPr="00F425EA">
        <w:rPr>
          <w:rFonts w:cs="Arial"/>
        </w:rPr>
        <w:t>, EU 2021/1060</w:t>
      </w:r>
      <w:r w:rsidRPr="00F425EA">
        <w:rPr>
          <w:rFonts w:cs="Arial"/>
        </w:rPr>
        <w:footnoteReference w:id="40"/>
      </w:r>
      <w:r w:rsidRPr="00F425EA">
        <w:rPr>
          <w:rFonts w:cs="Arial"/>
        </w:rPr>
        <w:t>, EU 2021/523</w:t>
      </w:r>
      <w:r w:rsidRPr="00F425EA">
        <w:rPr>
          <w:rFonts w:cs="Arial"/>
        </w:rPr>
        <w:footnoteReference w:id="41"/>
      </w:r>
      <w:r w:rsidRPr="00F425EA">
        <w:rPr>
          <w:rFonts w:cs="Arial"/>
        </w:rPr>
        <w:t>, EU 2021/695</w:t>
      </w:r>
      <w:r w:rsidRPr="00F425EA">
        <w:rPr>
          <w:rFonts w:cs="Arial"/>
        </w:rPr>
        <w:footnoteReference w:id="42"/>
      </w:r>
      <w:r w:rsidRPr="00F425EA">
        <w:rPr>
          <w:rFonts w:cs="Arial"/>
        </w:rPr>
        <w:t>, EU 2021/697</w:t>
      </w:r>
      <w:r w:rsidRPr="00F425EA">
        <w:rPr>
          <w:rFonts w:cs="Arial"/>
        </w:rPr>
        <w:footnoteReference w:id="43"/>
      </w:r>
      <w:r w:rsidRPr="00F425EA">
        <w:rPr>
          <w:rFonts w:cs="Arial"/>
        </w:rPr>
        <w:t xml:space="preserve"> in EU 2021/241</w:t>
      </w:r>
      <w:r w:rsidRPr="00F425EA">
        <w:rPr>
          <w:rFonts w:cs="Arial"/>
        </w:rPr>
        <w:footnoteReference w:id="44"/>
      </w:r>
      <w:r w:rsidRPr="00F425EA">
        <w:rPr>
          <w:rFonts w:cs="Arial"/>
        </w:rPr>
        <w:t xml:space="preserve">, ki uvaja več sprememb v omenjenih direktivah (v </w:t>
      </w:r>
      <w:r w:rsidR="00BA2083" w:rsidRPr="00F425EA">
        <w:rPr>
          <w:rFonts w:cs="Arial"/>
        </w:rPr>
        <w:t>nadaljevanju</w:t>
      </w:r>
      <w:r w:rsidR="00BA2083">
        <w:rPr>
          <w:rFonts w:cs="Arial"/>
        </w:rPr>
        <w:t>:</w:t>
      </w:r>
      <w:r w:rsidRPr="00F425EA">
        <w:rPr>
          <w:rFonts w:cs="Arial"/>
        </w:rPr>
        <w:t xml:space="preserve"> Uredba STEP).</w:t>
      </w:r>
    </w:p>
    <w:p w14:paraId="3DC2BDD1" w14:textId="77777777" w:rsidR="00BA2083" w:rsidRPr="00F425EA" w:rsidRDefault="00BA2083" w:rsidP="00623803">
      <w:pPr>
        <w:spacing w:after="0" w:line="276" w:lineRule="auto"/>
        <w:jc w:val="both"/>
        <w:rPr>
          <w:rFonts w:cs="Arial"/>
        </w:rPr>
      </w:pPr>
    </w:p>
    <w:p w14:paraId="54A4D3A2" w14:textId="77777777" w:rsidR="000E7A5A" w:rsidRPr="00623803" w:rsidRDefault="00306071" w:rsidP="00623803">
      <w:pPr>
        <w:spacing w:after="0" w:line="276" w:lineRule="auto"/>
        <w:jc w:val="both"/>
        <w:rPr>
          <w:rFonts w:cs="Arial"/>
          <w:szCs w:val="20"/>
        </w:rPr>
      </w:pPr>
      <w:r w:rsidRPr="00F425EA">
        <w:rPr>
          <w:rFonts w:cs="Arial"/>
        </w:rPr>
        <w:t xml:space="preserve">Z Uredbo STEP je v strateških sektorjih podana zakonska podlaga za podporo tudi produktivnim </w:t>
      </w:r>
      <w:r w:rsidRPr="00623803">
        <w:rPr>
          <w:rFonts w:cs="Arial"/>
          <w:szCs w:val="20"/>
        </w:rPr>
        <w:t xml:space="preserve">naložbam v podjetja, ki niso MSP, kar lahko znatno prispeva k razvoju manj razvitih regij in regij v prehodu, pa tudi bolj razvitih regij v državah članicah, katerih BDP na prebivalca je nižji od povprečja EU. </w:t>
      </w:r>
    </w:p>
    <w:p w14:paraId="5257CC69" w14:textId="77777777" w:rsidR="000E7A5A" w:rsidRPr="00623803" w:rsidRDefault="000E7A5A" w:rsidP="00623803">
      <w:pPr>
        <w:spacing w:after="0" w:line="276" w:lineRule="auto"/>
        <w:jc w:val="both"/>
        <w:rPr>
          <w:rFonts w:cs="Arial"/>
          <w:szCs w:val="20"/>
        </w:rPr>
      </w:pPr>
    </w:p>
    <w:p w14:paraId="0D49BAD4" w14:textId="1A7277E9" w:rsidR="000E7A5A" w:rsidRPr="00623803" w:rsidRDefault="00306071" w:rsidP="00623803">
      <w:pPr>
        <w:pStyle w:val="P68B1DB1-Navaden6"/>
        <w:spacing w:after="0" w:line="276" w:lineRule="auto"/>
        <w:jc w:val="both"/>
        <w:rPr>
          <w:rFonts w:ascii="Arial" w:hAnsi="Arial" w:cs="Arial"/>
          <w:sz w:val="20"/>
          <w:szCs w:val="20"/>
        </w:rPr>
      </w:pPr>
      <w:r w:rsidRPr="00623803">
        <w:rPr>
          <w:rFonts w:ascii="Arial" w:hAnsi="Arial" w:cs="Arial"/>
          <w:color w:val="auto"/>
          <w:sz w:val="20"/>
          <w:szCs w:val="20"/>
        </w:rPr>
        <w:t xml:space="preserve">Za pomoč pri pospeševanju naložb in zagotovitev takojšnje likvidnosti za naložbe, ki podpirajo cilje STEP v okviru ESRR, ESS+ in SPP, se je zagotovila možnost za dodaten znesek izrednega </w:t>
      </w:r>
      <w:r w:rsidRPr="00623803">
        <w:rPr>
          <w:rFonts w:ascii="Arial" w:hAnsi="Arial" w:cs="Arial"/>
          <w:color w:val="auto"/>
          <w:sz w:val="20"/>
          <w:szCs w:val="20"/>
        </w:rPr>
        <w:lastRenderedPageBreak/>
        <w:t>predhodnega financiranja v obliki enkratnega plačila v zvezi s prednostnimi nalogami, namenjenimi naložbam, ki podpirajo cilje STEP. Poleg tega je za nadaljnje spodbujanje projektov in zagotovitev njihovega izvajanja na voljo možnost 100</w:t>
      </w:r>
      <w:r w:rsidR="00776359">
        <w:rPr>
          <w:rFonts w:ascii="Arial" w:hAnsi="Arial" w:cs="Arial"/>
          <w:color w:val="auto"/>
          <w:sz w:val="20"/>
          <w:szCs w:val="20"/>
        </w:rPr>
        <w:t xml:space="preserve"> %</w:t>
      </w:r>
      <w:r w:rsidRPr="00623803">
        <w:rPr>
          <w:rFonts w:ascii="Arial" w:hAnsi="Arial" w:cs="Arial"/>
          <w:color w:val="auto"/>
          <w:sz w:val="20"/>
          <w:szCs w:val="20"/>
        </w:rPr>
        <w:t xml:space="preserve"> stopnje financiranja EU za prednostne naloge STEP. </w:t>
      </w:r>
    </w:p>
    <w:p w14:paraId="609112F5" w14:textId="77777777" w:rsidR="000E7A5A" w:rsidRPr="00623803" w:rsidRDefault="000E7A5A" w:rsidP="00623803">
      <w:pPr>
        <w:pStyle w:val="P68B1DB1-Navaden6"/>
        <w:spacing w:after="0" w:line="276" w:lineRule="auto"/>
        <w:jc w:val="both"/>
        <w:rPr>
          <w:rFonts w:ascii="Arial" w:hAnsi="Arial" w:cs="Arial"/>
          <w:sz w:val="20"/>
          <w:szCs w:val="20"/>
        </w:rPr>
      </w:pPr>
    </w:p>
    <w:p w14:paraId="389126D5" w14:textId="77777777" w:rsidR="000E7A5A" w:rsidRPr="00623803" w:rsidRDefault="00306071" w:rsidP="00623803">
      <w:pPr>
        <w:pStyle w:val="P68B1DB1-Navaden6"/>
        <w:spacing w:after="0" w:line="276" w:lineRule="auto"/>
        <w:jc w:val="both"/>
        <w:rPr>
          <w:rFonts w:ascii="Arial" w:hAnsi="Arial" w:cs="Arial"/>
          <w:sz w:val="20"/>
          <w:szCs w:val="20"/>
        </w:rPr>
      </w:pPr>
      <w:r w:rsidRPr="00623803">
        <w:rPr>
          <w:rFonts w:ascii="Arial" w:hAnsi="Arial" w:cs="Arial"/>
          <w:color w:val="auto"/>
          <w:sz w:val="20"/>
          <w:szCs w:val="20"/>
        </w:rPr>
        <w:t xml:space="preserve">EKP je največja enotna politika EU, ki se financira iz proračuna EU. Da bi spodbudila države članice za uporabo prednosti iz Uredbe STEP, je Evropska komisija predlagala, da se v obstoječe programe uvede nov ali novi specifični cilji za vse glavne sklade - ESRR, KS in SPP. Predlaga, da se ti skladi odprejo na teh specifičnih ciljih za velika podjetja v manj razvitih regijah in regijah v prehodu ter v bolj razvitih regijah držav članic z BDP na prebivalca pod povprečjem EU, da se sprostijo večje naložbe na ciljnih področjih platforme STEP. Z zagotavljanjem finančnih spodbud v obliki višjega predhodnega financiranja in financiranja EU se je države članice s STEP uredbo spodbudilo, da svoje programe na novo pregledajo in upoštevajo nova pravila pri spremembah obstoječih programov. </w:t>
      </w:r>
    </w:p>
    <w:p w14:paraId="338B8D73" w14:textId="77777777" w:rsidR="000E7A5A" w:rsidRPr="00623803" w:rsidRDefault="000E7A5A" w:rsidP="00623803">
      <w:pPr>
        <w:shd w:val="clear" w:color="auto" w:fill="FFFFFF"/>
        <w:spacing w:after="0" w:line="276" w:lineRule="auto"/>
        <w:jc w:val="both"/>
        <w:rPr>
          <w:rFonts w:cs="Arial"/>
          <w:szCs w:val="20"/>
        </w:rPr>
      </w:pPr>
    </w:p>
    <w:p w14:paraId="0BBE46FA" w14:textId="77777777" w:rsidR="000E7A5A" w:rsidRPr="00623803" w:rsidRDefault="00306071" w:rsidP="00623803">
      <w:pPr>
        <w:shd w:val="clear" w:color="auto" w:fill="FFFFFF"/>
        <w:spacing w:after="0" w:line="276" w:lineRule="auto"/>
        <w:jc w:val="both"/>
        <w:rPr>
          <w:rFonts w:cs="Arial"/>
          <w:szCs w:val="20"/>
        </w:rPr>
      </w:pPr>
      <w:r w:rsidRPr="00623803">
        <w:rPr>
          <w:rFonts w:cs="Arial"/>
          <w:szCs w:val="20"/>
        </w:rPr>
        <w:t>Vse zgoraj naštete možnosti in druge, ki so na voljo v okviru Uredbe STEP, pa ni mogoče izkoristiti v kolikor se ne spremeni Program EKP 2021–2027.</w:t>
      </w:r>
    </w:p>
    <w:p w14:paraId="1DB5A244" w14:textId="77777777" w:rsidR="000E7A5A" w:rsidRPr="00623803" w:rsidRDefault="000E7A5A" w:rsidP="00623803">
      <w:pPr>
        <w:spacing w:after="0" w:line="276" w:lineRule="auto"/>
        <w:jc w:val="both"/>
        <w:rPr>
          <w:rFonts w:cs="Arial"/>
          <w:szCs w:val="20"/>
        </w:rPr>
      </w:pPr>
    </w:p>
    <w:p w14:paraId="5C1EBC14" w14:textId="53F388B1" w:rsidR="000E7A5A" w:rsidRPr="00623803" w:rsidRDefault="00306071" w:rsidP="00623803">
      <w:pPr>
        <w:pStyle w:val="P68B1DB1-Navaden6"/>
        <w:spacing w:after="0" w:line="276" w:lineRule="auto"/>
        <w:jc w:val="both"/>
        <w:rPr>
          <w:rFonts w:ascii="Arial" w:hAnsi="Arial" w:cs="Arial"/>
          <w:sz w:val="20"/>
          <w:szCs w:val="20"/>
        </w:rPr>
      </w:pPr>
      <w:r w:rsidRPr="00623803">
        <w:rPr>
          <w:rFonts w:ascii="Arial" w:hAnsi="Arial" w:cs="Arial"/>
          <w:color w:val="auto"/>
          <w:sz w:val="20"/>
          <w:szCs w:val="20"/>
        </w:rPr>
        <w:t xml:space="preserve">Na podlagi sprejetih izhodišč na Vladi RS bo OU pripravil predlog za spremembo PEKP 21–27, in sicer z vključitvijo platforme STEP, ki poleg razvojnih ciljev prinaša 30 </w:t>
      </w:r>
      <w:r w:rsidR="00776359">
        <w:rPr>
          <w:rFonts w:ascii="Arial" w:hAnsi="Arial" w:cs="Arial"/>
          <w:color w:val="auto"/>
          <w:sz w:val="20"/>
          <w:szCs w:val="20"/>
        </w:rPr>
        <w:t>%</w:t>
      </w:r>
      <w:r w:rsidR="00776359" w:rsidRPr="00623803">
        <w:rPr>
          <w:rFonts w:ascii="Arial" w:hAnsi="Arial" w:cs="Arial"/>
          <w:color w:val="auto"/>
          <w:sz w:val="20"/>
          <w:szCs w:val="20"/>
        </w:rPr>
        <w:t xml:space="preserve"> </w:t>
      </w:r>
      <w:proofErr w:type="spellStart"/>
      <w:r w:rsidRPr="00623803">
        <w:rPr>
          <w:rFonts w:ascii="Arial" w:hAnsi="Arial" w:cs="Arial"/>
          <w:color w:val="auto"/>
          <w:sz w:val="20"/>
          <w:szCs w:val="20"/>
        </w:rPr>
        <w:t>predfinanciranje</w:t>
      </w:r>
      <w:proofErr w:type="spellEnd"/>
      <w:r w:rsidRPr="00623803">
        <w:rPr>
          <w:rFonts w:ascii="Arial" w:hAnsi="Arial" w:cs="Arial"/>
          <w:color w:val="auto"/>
          <w:sz w:val="20"/>
          <w:szCs w:val="20"/>
        </w:rPr>
        <w:t xml:space="preserve"> in prispeva k doseganju mejnika N+3 v letu 2025. Glede na predvideno alokacijo sredstev v višini 100 mio EUR EU dela, je predvideno </w:t>
      </w:r>
      <w:proofErr w:type="spellStart"/>
      <w:r w:rsidRPr="00623803">
        <w:rPr>
          <w:rFonts w:ascii="Arial" w:hAnsi="Arial" w:cs="Arial"/>
          <w:color w:val="auto"/>
          <w:sz w:val="20"/>
          <w:szCs w:val="20"/>
        </w:rPr>
        <w:t>predfinanciranje</w:t>
      </w:r>
      <w:proofErr w:type="spellEnd"/>
      <w:r w:rsidRPr="00623803">
        <w:rPr>
          <w:rFonts w:ascii="Arial" w:hAnsi="Arial" w:cs="Arial"/>
          <w:color w:val="auto"/>
          <w:sz w:val="20"/>
          <w:szCs w:val="20"/>
        </w:rPr>
        <w:t xml:space="preserve"> v višini 30 mio EUR v letu 2025.</w:t>
      </w:r>
    </w:p>
    <w:p w14:paraId="22224002" w14:textId="77777777" w:rsidR="000E7A5A" w:rsidRPr="00623803" w:rsidRDefault="000E7A5A" w:rsidP="00623803">
      <w:pPr>
        <w:spacing w:after="0" w:line="276" w:lineRule="auto"/>
        <w:jc w:val="both"/>
        <w:rPr>
          <w:rFonts w:cs="Arial"/>
          <w:szCs w:val="20"/>
        </w:rPr>
      </w:pPr>
    </w:p>
    <w:p w14:paraId="16FE400E" w14:textId="77777777" w:rsidR="000E7A5A" w:rsidRPr="00623803" w:rsidRDefault="00306071" w:rsidP="00E247FF">
      <w:pPr>
        <w:spacing w:after="0" w:line="276" w:lineRule="auto"/>
        <w:jc w:val="both"/>
        <w:rPr>
          <w:rFonts w:cs="Arial"/>
          <w:szCs w:val="20"/>
        </w:rPr>
      </w:pPr>
      <w:r w:rsidRPr="00623803">
        <w:rPr>
          <w:rFonts w:cs="Arial"/>
          <w:szCs w:val="20"/>
        </w:rPr>
        <w:t>Slovenija se sooča z izzivi, kot so nizka rast produktivnosti, zaostanek za povprečjem EU in potreba po prehodu v pametno in zeleno gospodarstvo. Platforma STEP (</w:t>
      </w:r>
      <w:proofErr w:type="spellStart"/>
      <w:r w:rsidRPr="00623803">
        <w:rPr>
          <w:rFonts w:cs="Arial"/>
          <w:szCs w:val="20"/>
        </w:rPr>
        <w:t>Strategic</w:t>
      </w:r>
      <w:proofErr w:type="spellEnd"/>
      <w:r w:rsidRPr="00623803">
        <w:rPr>
          <w:rFonts w:cs="Arial"/>
          <w:szCs w:val="20"/>
        </w:rPr>
        <w:t xml:space="preserve"> Technologies </w:t>
      </w:r>
      <w:proofErr w:type="spellStart"/>
      <w:r w:rsidRPr="00623803">
        <w:rPr>
          <w:rFonts w:cs="Arial"/>
          <w:szCs w:val="20"/>
        </w:rPr>
        <w:t>for</w:t>
      </w:r>
      <w:proofErr w:type="spellEnd"/>
      <w:r w:rsidRPr="00623803">
        <w:rPr>
          <w:rFonts w:cs="Arial"/>
          <w:szCs w:val="20"/>
        </w:rPr>
        <w:t xml:space="preserve"> </w:t>
      </w:r>
      <w:proofErr w:type="spellStart"/>
      <w:r w:rsidRPr="00623803">
        <w:rPr>
          <w:rFonts w:cs="Arial"/>
          <w:szCs w:val="20"/>
        </w:rPr>
        <w:t>Europe</w:t>
      </w:r>
      <w:proofErr w:type="spellEnd"/>
      <w:r w:rsidRPr="00623803">
        <w:rPr>
          <w:rFonts w:cs="Arial"/>
          <w:szCs w:val="20"/>
        </w:rPr>
        <w:t xml:space="preserve"> Platform) predstavlja ključni evropski mehanizem za podporo strateškim tehnologijam, katerih razvoj je bistven za krepitev evropske suverenosti in konkurenčnosti. </w:t>
      </w:r>
    </w:p>
    <w:p w14:paraId="32EC1CD2" w14:textId="25A7F709" w:rsidR="000E7A5A" w:rsidRPr="00623803" w:rsidRDefault="000E7A5A" w:rsidP="00E247FF">
      <w:pPr>
        <w:spacing w:after="0" w:line="276" w:lineRule="auto"/>
        <w:jc w:val="both"/>
        <w:rPr>
          <w:rFonts w:cs="Arial"/>
          <w:szCs w:val="20"/>
        </w:rPr>
      </w:pPr>
    </w:p>
    <w:p w14:paraId="271A85EC" w14:textId="77777777" w:rsidR="000E7A5A" w:rsidRPr="00623803" w:rsidRDefault="00306071" w:rsidP="00E247FF">
      <w:pPr>
        <w:spacing w:after="0" w:line="276" w:lineRule="auto"/>
        <w:jc w:val="both"/>
        <w:rPr>
          <w:rFonts w:cs="Arial"/>
          <w:szCs w:val="20"/>
        </w:rPr>
      </w:pPr>
      <w:r w:rsidRPr="00623803">
        <w:rPr>
          <w:rFonts w:cs="Arial"/>
          <w:szCs w:val="20"/>
        </w:rPr>
        <w:t xml:space="preserve">Platforma STEP spodbuja projekte, ki naslavljajo digitalne tehnologije in </w:t>
      </w:r>
      <w:proofErr w:type="spellStart"/>
      <w:r w:rsidRPr="00623803">
        <w:rPr>
          <w:rFonts w:cs="Arial"/>
          <w:szCs w:val="20"/>
        </w:rPr>
        <w:t>globokotehnološke</w:t>
      </w:r>
      <w:proofErr w:type="spellEnd"/>
      <w:r w:rsidRPr="00623803">
        <w:rPr>
          <w:rFonts w:cs="Arial"/>
          <w:szCs w:val="20"/>
        </w:rPr>
        <w:t xml:space="preserve"> inovacije, čiste tehnologije in biotehnologije, s posebnim poudarkom na zmanjševanju odvisnosti od tretjih držav, podpori evropskim vrednostnim verigam in razvoju tehnologij za prihodnost. Skladno s tem tudi Slovenija v okviru tega specifičnega cilja načrtuje ciljno usmerjene ukrepe, ki prispevajo k trajnostni konkurenčnosti in vključevanju v evropske strateške pobude. </w:t>
      </w:r>
    </w:p>
    <w:p w14:paraId="3F907C36" w14:textId="37BCE39F" w:rsidR="000E7A5A" w:rsidRPr="00623803" w:rsidRDefault="000E7A5A" w:rsidP="00E247FF">
      <w:pPr>
        <w:spacing w:after="0" w:line="276" w:lineRule="auto"/>
        <w:jc w:val="both"/>
        <w:rPr>
          <w:rFonts w:cs="Arial"/>
          <w:szCs w:val="20"/>
        </w:rPr>
      </w:pPr>
    </w:p>
    <w:p w14:paraId="24F9F66A" w14:textId="77777777" w:rsidR="000E7A5A" w:rsidRPr="00F425EA" w:rsidRDefault="00306071" w:rsidP="00E247FF">
      <w:pPr>
        <w:spacing w:after="0" w:line="276" w:lineRule="auto"/>
        <w:jc w:val="both"/>
        <w:rPr>
          <w:rFonts w:cs="Arial"/>
        </w:rPr>
      </w:pPr>
      <w:r w:rsidRPr="00623803">
        <w:rPr>
          <w:rFonts w:cs="Arial"/>
          <w:szCs w:val="20"/>
        </w:rPr>
        <w:t>Vključevanje STEP v izvajanje PEKP 21–27 je predvideno z uvedbo specifičnega cilja RSO1.6 »Razvoj ali proizvodnja kritičnih tehnologij«. Specifični cilj bo neposredno podprl prioritete</w:t>
      </w:r>
      <w:r w:rsidRPr="00F425EA">
        <w:rPr>
          <w:rFonts w:cs="Arial"/>
        </w:rPr>
        <w:t xml:space="preserve"> platforme STEP z osredotočanjem na razvoj in proizvodnjo ključnih tehnologij, prenos inovacij ter sodelovanje v projektih evropskega pomena. Poleg tega bo omogočil Sloveniji boljšo integracijo v strateške vrednostne verige EU, izboljšal produktivnost in spodbudil trajnostno gospodarstvo. Na področju čistih tehnologij bo dan poudarek na razsežnostih NEPN: razogljičenje, energetska učinkovitost, energetska varnost, notranji trg energije, predvsem v smeri razvoja (inovativnih, procesnih) tehnologij, ki zagotavljajo </w:t>
      </w:r>
      <w:proofErr w:type="spellStart"/>
      <w:r w:rsidRPr="00F425EA">
        <w:rPr>
          <w:rFonts w:cs="Arial"/>
        </w:rPr>
        <w:t>sinergijske</w:t>
      </w:r>
      <w:proofErr w:type="spellEnd"/>
      <w:r w:rsidRPr="00F425EA">
        <w:rPr>
          <w:rFonts w:cs="Arial"/>
        </w:rPr>
        <w:t xml:space="preserve"> učinke povečanja OVE, energetske učinkovitosti, hrambe energije, </w:t>
      </w:r>
      <w:proofErr w:type="spellStart"/>
      <w:r w:rsidRPr="00F425EA">
        <w:rPr>
          <w:rFonts w:cs="Arial"/>
        </w:rPr>
        <w:t>brezemisijske</w:t>
      </w:r>
      <w:proofErr w:type="spellEnd"/>
      <w:r w:rsidRPr="00F425EA">
        <w:rPr>
          <w:rFonts w:cs="Arial"/>
        </w:rPr>
        <w:t xml:space="preserve"> mobilnosti, v okviru pametnih energetskih sistemov za povečanje avtonomije oskrbe z energijo ter posledično večjo trajnost in konkurenčnost. </w:t>
      </w:r>
    </w:p>
    <w:p w14:paraId="246F0F56" w14:textId="64750BF3" w:rsidR="000E7A5A" w:rsidRPr="00F425EA" w:rsidRDefault="000E7A5A" w:rsidP="00E247FF">
      <w:pPr>
        <w:spacing w:after="0" w:line="276" w:lineRule="auto"/>
        <w:jc w:val="both"/>
        <w:rPr>
          <w:rFonts w:cs="Arial"/>
        </w:rPr>
      </w:pPr>
    </w:p>
    <w:p w14:paraId="53AC0D04" w14:textId="77777777" w:rsidR="000E7A5A" w:rsidRPr="00F425EA" w:rsidRDefault="00306071" w:rsidP="00E247FF">
      <w:pPr>
        <w:spacing w:after="0" w:line="276" w:lineRule="auto"/>
        <w:jc w:val="both"/>
        <w:rPr>
          <w:rFonts w:cs="Arial"/>
        </w:rPr>
      </w:pPr>
      <w:r w:rsidRPr="00F425EA">
        <w:rPr>
          <w:rFonts w:cs="Arial"/>
        </w:rPr>
        <w:t>Ukrepi STEP, ki se uvrstijo v PEKP 21</w:t>
      </w:r>
      <w:r w:rsidRPr="00F425EA">
        <w:rPr>
          <w:rFonts w:cs="Arial"/>
          <w:sz w:val="22"/>
          <w:szCs w:val="22"/>
        </w:rPr>
        <w:t>–</w:t>
      </w:r>
      <w:r w:rsidRPr="00F425EA">
        <w:rPr>
          <w:rFonts w:cs="Arial"/>
        </w:rPr>
        <w:t xml:space="preserve">27 bodo osredotočeni na: </w:t>
      </w:r>
    </w:p>
    <w:p w14:paraId="0A7C23D4" w14:textId="255B0B9C" w:rsidR="000E7A5A" w:rsidRPr="00F425EA" w:rsidRDefault="00306071" w:rsidP="00E247FF">
      <w:pPr>
        <w:pStyle w:val="Odstavekseznama"/>
        <w:numPr>
          <w:ilvl w:val="0"/>
          <w:numId w:val="57"/>
        </w:numPr>
        <w:spacing w:after="0" w:line="276" w:lineRule="auto"/>
        <w:ind w:left="630" w:hanging="450"/>
        <w:jc w:val="both"/>
        <w:rPr>
          <w:rFonts w:cs="Arial"/>
        </w:rPr>
      </w:pPr>
      <w:r w:rsidRPr="00F425EA">
        <w:rPr>
          <w:rFonts w:cs="Arial"/>
        </w:rPr>
        <w:t>Podporo razvoju in proizvodnji kritičnih tehnologij: spodbujanje raziskovalno-inovacijskih projektov (TRL 4–9) z namenom prehoda v komercialno proizvodnjo. Podpora bo namenjena projektom, ki razvijajo napredne digitalne tehnologije, čiste tehnologije (</w:t>
      </w:r>
      <w:proofErr w:type="spellStart"/>
      <w:r w:rsidRPr="00F425EA">
        <w:rPr>
          <w:rFonts w:cs="Arial"/>
        </w:rPr>
        <w:t>cleantech</w:t>
      </w:r>
      <w:proofErr w:type="spellEnd"/>
      <w:r w:rsidRPr="00F425EA">
        <w:rPr>
          <w:rFonts w:cs="Arial"/>
        </w:rPr>
        <w:t xml:space="preserve">) in biotehnologije, s poudarkom na zmanjševanju strateških odvisnosti EU, zlasti na področju čipov in polprevodniških tehnologij. Ukrep naslavlja potrebo po pospeševanju rasti produktivnosti in prehodu v pametno in zeleno gospodarstvo, kar je ključno za zmanjšanje razvojnega zaostanka za povprečjem EU. </w:t>
      </w:r>
    </w:p>
    <w:p w14:paraId="57773988" w14:textId="5C701D29" w:rsidR="000E7A5A" w:rsidRPr="00F425EA" w:rsidRDefault="000E7A5A" w:rsidP="00E247FF">
      <w:pPr>
        <w:pStyle w:val="Odstavekseznama"/>
        <w:spacing w:after="0" w:line="276" w:lineRule="auto"/>
        <w:ind w:left="630"/>
        <w:jc w:val="both"/>
        <w:rPr>
          <w:rFonts w:cs="Arial"/>
        </w:rPr>
      </w:pPr>
    </w:p>
    <w:p w14:paraId="13E6F51E" w14:textId="77777777" w:rsidR="000E7A5A" w:rsidRPr="00F425EA" w:rsidRDefault="00306071" w:rsidP="00E247FF">
      <w:pPr>
        <w:pStyle w:val="Odstavekseznama"/>
        <w:numPr>
          <w:ilvl w:val="0"/>
          <w:numId w:val="57"/>
        </w:numPr>
        <w:spacing w:after="0" w:line="276" w:lineRule="auto"/>
        <w:ind w:left="630" w:hanging="450"/>
        <w:jc w:val="both"/>
        <w:rPr>
          <w:rFonts w:cs="Arial"/>
        </w:rPr>
      </w:pPr>
      <w:r w:rsidRPr="00F425EA">
        <w:rPr>
          <w:rFonts w:cs="Arial"/>
        </w:rPr>
        <w:lastRenderedPageBreak/>
        <w:t>Podporo skupnemu raziskovalnemu projektu med javno raziskovalno organizacijo in industrijo, ki bo s pomočjo vrhunske raziskovalne infrastrukture (GIGA NMR) pomembno prispevala k razvoju znanstvenih zmogljivosti na področju biotehnologije, vključno s sodelovanjem v evropskem raziskovalnem infrastrukturnem konzorciju CERIC.</w:t>
      </w:r>
    </w:p>
    <w:p w14:paraId="1E564A28" w14:textId="4746C25A" w:rsidR="000E7A5A" w:rsidRPr="00F425EA" w:rsidRDefault="00306071" w:rsidP="00E247FF">
      <w:pPr>
        <w:pStyle w:val="Odstavekseznama"/>
        <w:numPr>
          <w:ilvl w:val="0"/>
          <w:numId w:val="57"/>
        </w:numPr>
        <w:spacing w:after="0" w:line="276" w:lineRule="auto"/>
        <w:ind w:left="630" w:hanging="450"/>
        <w:jc w:val="both"/>
        <w:rPr>
          <w:rFonts w:cs="Arial"/>
        </w:rPr>
      </w:pPr>
      <w:r w:rsidRPr="00F425EA">
        <w:rPr>
          <w:rFonts w:cs="Arial"/>
        </w:rPr>
        <w:t>Podporo projektom s pečatom suverenosti: financiranje projektov, ki so pridobili Pečat suverenosti, kar potrjuje njihovo skladnost s cilji platforme STEP in njihov prispevek k evropski suverenosti. Ukrep krepi strateško avtonomijo Slovenije in EU ter spodbuja vključujoč družbeni razvoj, kar je pomembno za dolgoročno konkurenčnost.</w:t>
      </w:r>
    </w:p>
    <w:p w14:paraId="6F67943B" w14:textId="77777777" w:rsidR="000E7A5A" w:rsidRPr="00F425EA" w:rsidRDefault="00306071" w:rsidP="00E247FF">
      <w:pPr>
        <w:pStyle w:val="Odstavekseznama"/>
        <w:numPr>
          <w:ilvl w:val="0"/>
          <w:numId w:val="57"/>
        </w:numPr>
        <w:spacing w:after="0" w:line="276" w:lineRule="auto"/>
        <w:ind w:left="630" w:hanging="450"/>
        <w:jc w:val="both"/>
        <w:rPr>
          <w:rFonts w:cs="Arial"/>
        </w:rPr>
      </w:pPr>
      <w:r w:rsidRPr="00F425EA">
        <w:rPr>
          <w:rFonts w:cs="Arial"/>
        </w:rPr>
        <w:t xml:space="preserve">Podporo projektom direktnih partnerjev v IPCEI: subvencioniranje slovenskih podjetij, ki sodelujejo v pomembnih projektih skupnega evropskega interesa (IPCEI), z namenom krepitve njihove vloge v evropskih vrednostnih verigah. Ukrep omogoča pravičen prehod na podnebno nevtralno in krožno gospodarstvo ter spodbuja mednarodno sodelovanje, kar je ključno za izboljšanje produktivnosti. </w:t>
      </w:r>
    </w:p>
    <w:p w14:paraId="73AE8202" w14:textId="77777777" w:rsidR="000E7A5A" w:rsidRPr="00623803" w:rsidRDefault="000E7A5A" w:rsidP="00623803">
      <w:pPr>
        <w:spacing w:after="0" w:line="276" w:lineRule="auto"/>
        <w:jc w:val="both"/>
        <w:rPr>
          <w:rFonts w:cs="Arial"/>
        </w:rPr>
      </w:pPr>
    </w:p>
    <w:p w14:paraId="5B1F2CF9" w14:textId="30D929C7" w:rsidR="00623803" w:rsidRDefault="00306071" w:rsidP="00623803">
      <w:pPr>
        <w:spacing w:after="0" w:line="276" w:lineRule="auto"/>
        <w:jc w:val="both"/>
        <w:rPr>
          <w:rFonts w:cs="Arial"/>
        </w:rPr>
        <w:sectPr w:rsidR="00623803" w:rsidSect="00367FBF">
          <w:pgSz w:w="11906" w:h="16838"/>
          <w:pgMar w:top="1418" w:right="1418" w:bottom="1418" w:left="1418" w:header="708" w:footer="708" w:gutter="0"/>
          <w:cols w:space="708"/>
          <w:docGrid w:linePitch="272"/>
        </w:sectPr>
      </w:pPr>
      <w:r w:rsidRPr="00623803">
        <w:rPr>
          <w:rFonts w:cs="Arial"/>
        </w:rPr>
        <w:t>Ukrepi v okviru tega specifičnega cilja morajo izpolnjevati kriterije iz uredbe STEP. Hkrati morajo biti zasnovani za neposredno naslavljanje ključnih izzivov Slovenije, kot so opredeljeni v Poročilu o državi za leto 2024. S spodbujanjem razvoja in proizvodnje kritičnih tehnologij bodo prispevali k trajnostni konkurenčnosti, strateški avtonomiji ter vključujočemu družbenemu razvoju Slovenije in Evropske unije. Z namenom učinkovite porabe sredstev PEKP 21</w:t>
      </w:r>
      <w:r w:rsidRPr="00623803">
        <w:rPr>
          <w:rFonts w:cs="Arial"/>
          <w:sz w:val="22"/>
          <w:szCs w:val="22"/>
        </w:rPr>
        <w:t>–</w:t>
      </w:r>
      <w:r w:rsidRPr="00623803">
        <w:rPr>
          <w:rFonts w:cs="Arial"/>
        </w:rPr>
        <w:t xml:space="preserve">27 morajo biti vsi podprti projekti izvedljivi do leta 2029.  </w:t>
      </w:r>
    </w:p>
    <w:p w14:paraId="109D87E7" w14:textId="730AB8FA" w:rsidR="000E7A5A" w:rsidRPr="00F425EA" w:rsidRDefault="00306071" w:rsidP="00E247FF">
      <w:pPr>
        <w:pStyle w:val="Naslov10"/>
        <w:spacing w:before="0" w:line="276" w:lineRule="auto"/>
        <w:ind w:left="567" w:hanging="567"/>
        <w:rPr>
          <w:rFonts w:cs="Arial"/>
        </w:rPr>
      </w:pPr>
      <w:bookmarkStart w:id="4242" w:name="_Toc1879700962"/>
      <w:bookmarkStart w:id="4243" w:name="_Toc420030294"/>
      <w:bookmarkStart w:id="4244" w:name="_Toc889249862"/>
      <w:bookmarkStart w:id="4245" w:name="_Toc280073956"/>
      <w:bookmarkStart w:id="4246" w:name="_Toc1771163303"/>
      <w:bookmarkStart w:id="4247" w:name="_Toc668643135"/>
      <w:bookmarkStart w:id="4248" w:name="_Toc1287474896"/>
      <w:bookmarkStart w:id="4249" w:name="_Toc309963610"/>
      <w:bookmarkStart w:id="4250" w:name="_Toc1709556304"/>
      <w:bookmarkStart w:id="4251" w:name="_Toc1245046216"/>
      <w:bookmarkStart w:id="4252" w:name="_Toc1837886467"/>
      <w:bookmarkStart w:id="4253" w:name="_Toc857012136"/>
      <w:bookmarkStart w:id="4254" w:name="_Toc1473450821"/>
      <w:bookmarkStart w:id="4255" w:name="_Toc1578759383"/>
      <w:bookmarkStart w:id="4256" w:name="_Toc537987372"/>
      <w:bookmarkStart w:id="4257" w:name="_Toc2023413022"/>
      <w:bookmarkStart w:id="4258" w:name="_Toc2065252078"/>
      <w:bookmarkStart w:id="4259" w:name="_Toc106997370"/>
      <w:bookmarkStart w:id="4260" w:name="_Toc439223106"/>
      <w:bookmarkStart w:id="4261" w:name="_Toc928596718"/>
      <w:bookmarkStart w:id="4262" w:name="_Toc641694393"/>
      <w:bookmarkStart w:id="4263" w:name="_Toc1232824880"/>
      <w:bookmarkStart w:id="4264" w:name="_Toc367090191"/>
      <w:bookmarkStart w:id="4265" w:name="_Toc2006205461"/>
      <w:bookmarkStart w:id="4266" w:name="_Toc1501846007"/>
      <w:bookmarkStart w:id="4267" w:name="_Toc699639801"/>
      <w:bookmarkStart w:id="4268" w:name="_Toc1031349886"/>
      <w:bookmarkStart w:id="4269" w:name="_Toc1927708827"/>
      <w:bookmarkStart w:id="4270" w:name="_Toc982158886"/>
      <w:bookmarkStart w:id="4271" w:name="_Toc90205380"/>
      <w:bookmarkStart w:id="4272" w:name="_Toc2047442106"/>
      <w:bookmarkStart w:id="4273" w:name="_Toc913003670"/>
      <w:bookmarkStart w:id="4274" w:name="_Toc1430720300"/>
      <w:bookmarkStart w:id="4275" w:name="_Toc94324310"/>
      <w:bookmarkStart w:id="4276" w:name="_Toc387375732"/>
      <w:bookmarkStart w:id="4277" w:name="_Toc269713524"/>
      <w:bookmarkStart w:id="4278" w:name="_Toc1379930951"/>
      <w:bookmarkStart w:id="4279" w:name="_Toc139346237"/>
      <w:bookmarkStart w:id="4280" w:name="_Toc543541880"/>
      <w:bookmarkStart w:id="4281" w:name="_Toc1426363165"/>
      <w:bookmarkStart w:id="4282" w:name="_Toc1441585561"/>
      <w:bookmarkStart w:id="4283" w:name="_Toc1759518749"/>
      <w:bookmarkStart w:id="4284" w:name="_Toc1073947250"/>
      <w:bookmarkStart w:id="4285" w:name="_Toc1834075021"/>
      <w:bookmarkStart w:id="4286" w:name="_Toc502306568"/>
      <w:bookmarkStart w:id="4287" w:name="_Toc1475632160"/>
      <w:bookmarkStart w:id="4288" w:name="_Toc2056862846"/>
      <w:bookmarkStart w:id="4289" w:name="_Toc123007400"/>
      <w:bookmarkStart w:id="4290" w:name="_Toc383063953"/>
      <w:bookmarkStart w:id="4291" w:name="_Toc548385603"/>
      <w:bookmarkStart w:id="4292" w:name="_Toc1336527700"/>
      <w:bookmarkStart w:id="4293" w:name="_Toc1306990978"/>
      <w:bookmarkStart w:id="4294" w:name="_Toc1157591979"/>
      <w:bookmarkStart w:id="4295" w:name="_Toc605533336"/>
      <w:bookmarkStart w:id="4296" w:name="_Toc1169303573"/>
      <w:bookmarkStart w:id="4297" w:name="_Toc541504341"/>
      <w:bookmarkStart w:id="4298" w:name="_Toc862525852"/>
      <w:bookmarkStart w:id="4299" w:name="_Toc297082561"/>
      <w:bookmarkStart w:id="4300" w:name="_Toc1417335774"/>
      <w:bookmarkStart w:id="4301" w:name="_Toc35315019"/>
      <w:bookmarkStart w:id="4302" w:name="_Toc1534870725"/>
      <w:bookmarkStart w:id="4303" w:name="_Toc1505920579"/>
      <w:bookmarkStart w:id="4304" w:name="_Toc881615820"/>
      <w:bookmarkStart w:id="4305" w:name="_Toc1668569918"/>
      <w:bookmarkStart w:id="4306" w:name="_Toc261836012"/>
      <w:bookmarkStart w:id="4307" w:name="_Toc2063795984"/>
      <w:bookmarkStart w:id="4308" w:name="_Toc365739388"/>
      <w:bookmarkStart w:id="4309" w:name="_Toc2044253870"/>
      <w:bookmarkStart w:id="4310" w:name="_Toc1612496218"/>
      <w:bookmarkStart w:id="4311" w:name="_Toc2074478590"/>
      <w:bookmarkStart w:id="4312" w:name="_Toc537040519"/>
      <w:bookmarkStart w:id="4313" w:name="_Toc1946389872"/>
      <w:bookmarkStart w:id="4314" w:name="_Toc1033517179"/>
      <w:bookmarkStart w:id="4315" w:name="_Toc164938700"/>
      <w:bookmarkStart w:id="4316" w:name="_Toc1355242826"/>
      <w:bookmarkStart w:id="4317" w:name="_Toc896887504"/>
      <w:bookmarkStart w:id="4318" w:name="_Toc1896919004"/>
      <w:bookmarkStart w:id="4319" w:name="_Toc309457657"/>
      <w:bookmarkStart w:id="4320" w:name="_Toc1128961530"/>
      <w:bookmarkStart w:id="4321" w:name="_Toc43406057"/>
      <w:bookmarkStart w:id="4322" w:name="_Toc269880476"/>
      <w:bookmarkStart w:id="4323" w:name="_Toc133475802"/>
      <w:bookmarkStart w:id="4324" w:name="_Toc1886735820"/>
      <w:bookmarkStart w:id="4325" w:name="_Toc1854963521"/>
      <w:bookmarkStart w:id="4326" w:name="_Toc187739372"/>
      <w:bookmarkStart w:id="4327" w:name="_Toc187740119"/>
      <w:bookmarkStart w:id="4328" w:name="_Toc192682033"/>
      <w:r w:rsidRPr="00F425EA">
        <w:rPr>
          <w:rFonts w:cs="Arial"/>
        </w:rPr>
        <w:lastRenderedPageBreak/>
        <w:t>9.</w:t>
      </w:r>
      <w:r w:rsidRPr="00F425EA">
        <w:rPr>
          <w:rFonts w:cs="Arial"/>
        </w:rPr>
        <w:tab/>
      </w:r>
      <w:r w:rsidR="005A12CC" w:rsidRPr="00F425EA">
        <w:rPr>
          <w:rFonts w:cs="Arial"/>
          <w:caps w:val="0"/>
        </w:rPr>
        <w:t>FINANČNE PRERAZPOREDITVE MED PREDNOSTNIMI NALOGAMI S PREDLOGOM ZA DOKONČNO DODELITEV ZNESKA PROŽNOSTI</w:t>
      </w:r>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p>
    <w:p w14:paraId="5DB80DD1" w14:textId="77777777" w:rsidR="007C1098" w:rsidRDefault="007C1098" w:rsidP="00E247FF">
      <w:pPr>
        <w:tabs>
          <w:tab w:val="left" w:pos="1820"/>
        </w:tabs>
        <w:spacing w:after="0" w:line="276" w:lineRule="auto"/>
        <w:jc w:val="both"/>
        <w:rPr>
          <w:rFonts w:cs="Arial"/>
        </w:rPr>
      </w:pPr>
    </w:p>
    <w:p w14:paraId="11C66AB6" w14:textId="49B27179" w:rsidR="000E7A5A" w:rsidRPr="00F425EA" w:rsidRDefault="0EE92F69" w:rsidP="00E247FF">
      <w:pPr>
        <w:tabs>
          <w:tab w:val="left" w:pos="1820"/>
        </w:tabs>
        <w:spacing w:after="0" w:line="276" w:lineRule="auto"/>
        <w:jc w:val="both"/>
        <w:rPr>
          <w:rFonts w:cs="Arial"/>
        </w:rPr>
      </w:pPr>
      <w:r w:rsidRPr="00F7FCEE">
        <w:rPr>
          <w:rFonts w:cs="Arial"/>
        </w:rPr>
        <w:t>Analiza izvajanja PEKP 21</w:t>
      </w:r>
      <w:r w:rsidRPr="00F7FCEE">
        <w:rPr>
          <w:rFonts w:cs="Arial"/>
          <w:sz w:val="22"/>
          <w:szCs w:val="22"/>
        </w:rPr>
        <w:t>–</w:t>
      </w:r>
      <w:r w:rsidRPr="00F7FCEE">
        <w:rPr>
          <w:rFonts w:cs="Arial"/>
        </w:rPr>
        <w:t>27 kaže, da je sprememba programa nujna, zaradi počasnejšega izvajanja in tveganja nedoseganja pravila N+3 ter potencialne izgube sredstev evropske kohezijske politike v naslednjih dveh letih.</w:t>
      </w:r>
    </w:p>
    <w:p w14:paraId="490A48AB" w14:textId="77777777" w:rsidR="473E32AA" w:rsidRDefault="473E32AA" w:rsidP="473E32AA">
      <w:pPr>
        <w:tabs>
          <w:tab w:val="left" w:pos="1820"/>
        </w:tabs>
        <w:spacing w:after="0" w:line="276" w:lineRule="auto"/>
        <w:jc w:val="both"/>
        <w:rPr>
          <w:rFonts w:cs="Arial"/>
        </w:rPr>
      </w:pPr>
    </w:p>
    <w:p w14:paraId="7C28105B" w14:textId="49A5D381" w:rsidR="623DDC96" w:rsidRDefault="6417EC55" w:rsidP="000B2C28">
      <w:pPr>
        <w:pStyle w:val="Naslov2"/>
      </w:pPr>
      <w:bookmarkStart w:id="4329" w:name="_Toc192682034"/>
      <w:r>
        <w:t>9.1 FINANČNE PRERAZPOREDITVE MED PREDNOSTNIMI NALOGAMI</w:t>
      </w:r>
      <w:bookmarkEnd w:id="4329"/>
      <w:r>
        <w:t xml:space="preserve"> </w:t>
      </w:r>
    </w:p>
    <w:p w14:paraId="00CD7287" w14:textId="77777777" w:rsidR="473E32AA" w:rsidRDefault="473E32AA" w:rsidP="473E32AA">
      <w:pPr>
        <w:tabs>
          <w:tab w:val="left" w:pos="1820"/>
        </w:tabs>
        <w:spacing w:after="0" w:line="276" w:lineRule="auto"/>
        <w:jc w:val="both"/>
        <w:rPr>
          <w:rFonts w:cs="Arial"/>
        </w:rPr>
      </w:pPr>
    </w:p>
    <w:p w14:paraId="244CC72A" w14:textId="42E070C0" w:rsidR="4D416E8F" w:rsidRDefault="0F197E5C" w:rsidP="473E32AA">
      <w:pPr>
        <w:tabs>
          <w:tab w:val="left" w:pos="1820"/>
        </w:tabs>
        <w:spacing w:after="0" w:line="276" w:lineRule="auto"/>
        <w:jc w:val="both"/>
        <w:rPr>
          <w:rFonts w:cs="Arial"/>
        </w:rPr>
      </w:pPr>
      <w:r w:rsidRPr="00F7FCEE">
        <w:rPr>
          <w:rFonts w:cs="Arial"/>
        </w:rPr>
        <w:t>Predl</w:t>
      </w:r>
      <w:r w:rsidR="735711A9" w:rsidRPr="00F7FCEE">
        <w:rPr>
          <w:rFonts w:cs="Arial"/>
        </w:rPr>
        <w:t>og</w:t>
      </w:r>
      <w:r w:rsidRPr="00F7FCEE">
        <w:rPr>
          <w:rFonts w:cs="Arial"/>
        </w:rPr>
        <w:t xml:space="preserve"> finančn</w:t>
      </w:r>
      <w:r w:rsidR="46D1C7AD" w:rsidRPr="00F7FCEE">
        <w:rPr>
          <w:rFonts w:cs="Arial"/>
        </w:rPr>
        <w:t>ih</w:t>
      </w:r>
      <w:r w:rsidRPr="00F7FCEE">
        <w:rPr>
          <w:rFonts w:cs="Arial"/>
        </w:rPr>
        <w:t xml:space="preserve"> prerazporedit</w:t>
      </w:r>
      <w:r w:rsidR="46E54881" w:rsidRPr="00F7FCEE">
        <w:rPr>
          <w:rFonts w:cs="Arial"/>
        </w:rPr>
        <w:t>e</w:t>
      </w:r>
      <w:r w:rsidRPr="00F7FCEE">
        <w:rPr>
          <w:rFonts w:cs="Arial"/>
        </w:rPr>
        <w:t>v znotraj Programa EKP 21</w:t>
      </w:r>
      <w:r w:rsidR="004C451E" w:rsidRPr="004C451E">
        <w:rPr>
          <w:rFonts w:cs="Arial"/>
        </w:rPr>
        <w:t>–</w:t>
      </w:r>
      <w:r w:rsidRPr="00F7FCEE">
        <w:rPr>
          <w:rFonts w:cs="Arial"/>
        </w:rPr>
        <w:t>27 so razvidne iz</w:t>
      </w:r>
      <w:r w:rsidR="235F5EEE" w:rsidRPr="00F7FCEE">
        <w:rPr>
          <w:rFonts w:cs="Arial"/>
        </w:rPr>
        <w:t xml:space="preserve"> spodnje tabele.</w:t>
      </w:r>
    </w:p>
    <w:p w14:paraId="46791CCE" w14:textId="69E3C84E" w:rsidR="473E32AA" w:rsidRDefault="473E32AA" w:rsidP="473E32AA">
      <w:pPr>
        <w:tabs>
          <w:tab w:val="left" w:pos="1820"/>
        </w:tabs>
        <w:spacing w:after="0" w:line="276" w:lineRule="auto"/>
        <w:jc w:val="both"/>
        <w:rPr>
          <w:rFonts w:cs="Arial"/>
        </w:rPr>
      </w:pPr>
    </w:p>
    <w:p w14:paraId="1D08370F" w14:textId="1EBCB0B8" w:rsidR="34C418D3" w:rsidRDefault="1734DE01" w:rsidP="473E32AA">
      <w:pPr>
        <w:tabs>
          <w:tab w:val="left" w:pos="1820"/>
        </w:tabs>
        <w:spacing w:after="0" w:line="276" w:lineRule="auto"/>
        <w:jc w:val="both"/>
        <w:rPr>
          <w:rFonts w:cs="Arial"/>
        </w:rPr>
      </w:pPr>
      <w:r w:rsidRPr="00F7FCEE">
        <w:rPr>
          <w:rFonts w:cs="Arial"/>
        </w:rPr>
        <w:t>Trenutna</w:t>
      </w:r>
      <w:r w:rsidR="7E8720AE" w:rsidRPr="00F7FCEE">
        <w:rPr>
          <w:rFonts w:cs="Arial"/>
        </w:rPr>
        <w:t xml:space="preserve"> analiza</w:t>
      </w:r>
      <w:r w:rsidRPr="00F7FCEE">
        <w:rPr>
          <w:rFonts w:cs="Arial"/>
        </w:rPr>
        <w:t xml:space="preserve"> izvajanja </w:t>
      </w:r>
      <w:r w:rsidR="3C37293D" w:rsidRPr="00F7FCEE">
        <w:rPr>
          <w:rFonts w:cs="Arial"/>
        </w:rPr>
        <w:t>ukrepov PEKP 21</w:t>
      </w:r>
      <w:r w:rsidR="004C451E" w:rsidRPr="004C451E">
        <w:rPr>
          <w:rFonts w:cs="Arial"/>
        </w:rPr>
        <w:t>–</w:t>
      </w:r>
      <w:r w:rsidR="3C37293D" w:rsidRPr="00F7FCEE">
        <w:rPr>
          <w:rFonts w:cs="Arial"/>
        </w:rPr>
        <w:t xml:space="preserve">27 kaže, da so prerazporeditve </w:t>
      </w:r>
      <w:r w:rsidR="43C16F15" w:rsidRPr="00F7FCEE">
        <w:rPr>
          <w:rFonts w:cs="Arial"/>
        </w:rPr>
        <w:t xml:space="preserve">možne </w:t>
      </w:r>
      <w:r w:rsidR="3619F1D6" w:rsidRPr="00F7FCEE">
        <w:rPr>
          <w:rFonts w:cs="Arial"/>
        </w:rPr>
        <w:t>v</w:t>
      </w:r>
      <w:r w:rsidR="43C16F15" w:rsidRPr="00F7FCEE">
        <w:rPr>
          <w:rFonts w:cs="Arial"/>
        </w:rPr>
        <w:t xml:space="preserve"> okviru PN 1</w:t>
      </w:r>
      <w:r w:rsidR="30AAA943" w:rsidRPr="00F7FCEE">
        <w:rPr>
          <w:rFonts w:cs="Arial"/>
        </w:rPr>
        <w:t xml:space="preserve">, </w:t>
      </w:r>
      <w:r w:rsidR="43C16F15" w:rsidRPr="00F7FCEE">
        <w:rPr>
          <w:rFonts w:cs="Arial"/>
        </w:rPr>
        <w:t>PN 3, PN 5 in PN 6.</w:t>
      </w:r>
    </w:p>
    <w:p w14:paraId="2DAB8252" w14:textId="7C55C52A" w:rsidR="473E32AA" w:rsidRDefault="473E32AA" w:rsidP="473E32AA">
      <w:pPr>
        <w:tabs>
          <w:tab w:val="left" w:pos="1820"/>
        </w:tabs>
        <w:spacing w:after="0" w:line="276" w:lineRule="auto"/>
        <w:jc w:val="both"/>
        <w:rPr>
          <w:rFonts w:cs="Arial"/>
        </w:rPr>
      </w:pPr>
    </w:p>
    <w:p w14:paraId="6D24AFDB" w14:textId="41E618CB" w:rsidR="2478EDB5" w:rsidRDefault="6B8D7861" w:rsidP="473E32AA">
      <w:pPr>
        <w:tabs>
          <w:tab w:val="left" w:pos="1820"/>
        </w:tabs>
        <w:spacing w:after="0" w:line="276" w:lineRule="auto"/>
        <w:jc w:val="both"/>
        <w:rPr>
          <w:rFonts w:cs="Arial"/>
        </w:rPr>
      </w:pPr>
      <w:r w:rsidRPr="00F7FCEE">
        <w:rPr>
          <w:rFonts w:cs="Arial"/>
        </w:rPr>
        <w:t>Prerazporeditve na PN 1 in PN 3 so potreb</w:t>
      </w:r>
      <w:r w:rsidR="052225E0" w:rsidRPr="00F7FCEE">
        <w:rPr>
          <w:rFonts w:cs="Arial"/>
        </w:rPr>
        <w:t xml:space="preserve">ne </w:t>
      </w:r>
      <w:r w:rsidRPr="00F7FCEE">
        <w:rPr>
          <w:rFonts w:cs="Arial"/>
        </w:rPr>
        <w:t xml:space="preserve">predvsem </w:t>
      </w:r>
      <w:r w:rsidR="706008C3" w:rsidRPr="00F7FCEE">
        <w:rPr>
          <w:rFonts w:cs="Arial"/>
        </w:rPr>
        <w:t>zaradi vključevanja uk</w:t>
      </w:r>
      <w:r w:rsidR="73B16392" w:rsidRPr="00F7FCEE">
        <w:rPr>
          <w:rFonts w:cs="Arial"/>
        </w:rPr>
        <w:t>r</w:t>
      </w:r>
      <w:r w:rsidR="706008C3" w:rsidRPr="00F7FCEE">
        <w:rPr>
          <w:rFonts w:cs="Arial"/>
        </w:rPr>
        <w:t>epov platforme STEP in oblikovanja novega speci</w:t>
      </w:r>
      <w:r w:rsidR="1472710B" w:rsidRPr="00F7FCEE">
        <w:rPr>
          <w:rFonts w:cs="Arial"/>
        </w:rPr>
        <w:t>fičnega cilja SC RSO 1.6.</w:t>
      </w:r>
      <w:r w:rsidR="32DDF78A" w:rsidRPr="00F7FCEE">
        <w:rPr>
          <w:rFonts w:cs="Arial"/>
        </w:rPr>
        <w:t xml:space="preserve"> Ostale prerazporeditve</w:t>
      </w:r>
      <w:r w:rsidR="5CCDCE5A" w:rsidRPr="00F7FCEE">
        <w:rPr>
          <w:rFonts w:cs="Arial"/>
        </w:rPr>
        <w:t xml:space="preserve"> </w:t>
      </w:r>
      <w:r w:rsidR="32DDF78A" w:rsidRPr="00F7FCEE">
        <w:rPr>
          <w:rFonts w:cs="Arial"/>
        </w:rPr>
        <w:t xml:space="preserve">se nanašajo na </w:t>
      </w:r>
      <w:r w:rsidR="2FE9115B" w:rsidRPr="00F7FCEE">
        <w:rPr>
          <w:rFonts w:cs="Arial"/>
        </w:rPr>
        <w:t xml:space="preserve">spodbujanje trajnostne mobilnosti ter </w:t>
      </w:r>
      <w:r w:rsidR="2F8A771D" w:rsidRPr="00F7FCEE">
        <w:rPr>
          <w:rFonts w:cs="Arial"/>
        </w:rPr>
        <w:t>krepitev kompetenc in izboljšanje zaposljivosti</w:t>
      </w:r>
      <w:r w:rsidR="7CD81714" w:rsidRPr="00F7FCEE">
        <w:rPr>
          <w:rFonts w:cs="Arial"/>
        </w:rPr>
        <w:t xml:space="preserve">, </w:t>
      </w:r>
    </w:p>
    <w:p w14:paraId="49E05F78" w14:textId="0F16DF1C" w:rsidR="473E32AA" w:rsidRDefault="473E32AA" w:rsidP="473E32AA">
      <w:pPr>
        <w:tabs>
          <w:tab w:val="left" w:pos="1820"/>
        </w:tabs>
        <w:spacing w:after="0" w:line="276" w:lineRule="auto"/>
        <w:jc w:val="both"/>
        <w:rPr>
          <w:rFonts w:cs="Arial"/>
        </w:rPr>
      </w:pPr>
    </w:p>
    <w:p w14:paraId="2A23055C" w14:textId="5B2A0773" w:rsidR="30E95560" w:rsidRPr="00064E01" w:rsidRDefault="7CEC1D41" w:rsidP="00064E01">
      <w:pPr>
        <w:pStyle w:val="Napis"/>
        <w:keepNext/>
        <w:spacing w:after="0"/>
        <w:rPr>
          <w:rFonts w:cs="Arial"/>
          <w:b w:val="0"/>
          <w:bCs w:val="0"/>
          <w:color w:val="auto"/>
          <w:sz w:val="18"/>
          <w:szCs w:val="18"/>
        </w:rPr>
      </w:pPr>
      <w:bookmarkStart w:id="4330" w:name="_Hlk191371504"/>
      <w:r w:rsidRPr="00064E01">
        <w:rPr>
          <w:rFonts w:cs="Arial"/>
          <w:b w:val="0"/>
          <w:bCs w:val="0"/>
          <w:color w:val="auto"/>
          <w:sz w:val="18"/>
          <w:szCs w:val="18"/>
        </w:rPr>
        <w:t xml:space="preserve">Tabela </w:t>
      </w:r>
      <w:r w:rsidR="2829BF8B" w:rsidRPr="00064E01">
        <w:rPr>
          <w:rFonts w:cs="Arial"/>
          <w:b w:val="0"/>
          <w:bCs w:val="0"/>
          <w:color w:val="auto"/>
          <w:sz w:val="18"/>
          <w:szCs w:val="18"/>
        </w:rPr>
        <w:t>13</w:t>
      </w:r>
      <w:r w:rsidRPr="00064E01">
        <w:rPr>
          <w:rFonts w:cs="Arial"/>
          <w:b w:val="0"/>
          <w:bCs w:val="0"/>
          <w:color w:val="auto"/>
          <w:sz w:val="18"/>
          <w:szCs w:val="18"/>
        </w:rPr>
        <w:t>: Predlog finančnih prerazporeditev</w:t>
      </w:r>
      <w:r w:rsidR="35AD8314" w:rsidRPr="00064E01">
        <w:rPr>
          <w:rFonts w:cs="Arial"/>
          <w:b w:val="0"/>
          <w:bCs w:val="0"/>
          <w:color w:val="auto"/>
          <w:sz w:val="18"/>
          <w:szCs w:val="18"/>
        </w:rPr>
        <w:t xml:space="preserve"> v okviru PEKP 21</w:t>
      </w:r>
      <w:r w:rsidR="004C451E" w:rsidRPr="00064E01">
        <w:rPr>
          <w:rFonts w:cs="Arial"/>
          <w:b w:val="0"/>
          <w:bCs w:val="0"/>
          <w:color w:val="auto"/>
          <w:sz w:val="18"/>
          <w:szCs w:val="18"/>
        </w:rPr>
        <w:t>–</w:t>
      </w:r>
      <w:r w:rsidR="35AD8314" w:rsidRPr="00064E01">
        <w:rPr>
          <w:rFonts w:cs="Arial"/>
          <w:b w:val="0"/>
          <w:bCs w:val="0"/>
          <w:color w:val="auto"/>
          <w:sz w:val="18"/>
          <w:szCs w:val="18"/>
        </w:rPr>
        <w:t>27</w:t>
      </w:r>
    </w:p>
    <w:bookmarkEnd w:id="4330"/>
    <w:p w14:paraId="3384FC7C" w14:textId="77777777" w:rsidR="00DD42C3" w:rsidRDefault="00DD42C3" w:rsidP="00DD42C3">
      <w:pPr>
        <w:spacing w:after="0"/>
        <w:jc w:val="both"/>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1133"/>
        <w:gridCol w:w="709"/>
        <w:gridCol w:w="1126"/>
        <w:gridCol w:w="1420"/>
        <w:gridCol w:w="1427"/>
        <w:gridCol w:w="1420"/>
        <w:gridCol w:w="1547"/>
      </w:tblGrid>
      <w:tr w:rsidR="00F601AA" w:rsidRPr="00F601AA" w14:paraId="76CEF5CB" w14:textId="77777777" w:rsidTr="00C57B56">
        <w:trPr>
          <w:trHeight w:val="600"/>
          <w:jc w:val="center"/>
        </w:trPr>
        <w:tc>
          <w:tcPr>
            <w:tcW w:w="562" w:type="dxa"/>
            <w:shd w:val="clear" w:color="000000" w:fill="D9E1F2"/>
            <w:noWrap/>
            <w:vAlign w:val="center"/>
            <w:hideMark/>
          </w:tcPr>
          <w:p w14:paraId="2C3FDE84" w14:textId="77777777" w:rsidR="00F601AA" w:rsidRPr="00AB429E" w:rsidRDefault="00F601AA" w:rsidP="00F601AA">
            <w:pPr>
              <w:suppressAutoHyphens w:val="0"/>
              <w:autoSpaceDN/>
              <w:spacing w:after="0" w:line="240" w:lineRule="auto"/>
              <w:jc w:val="center"/>
              <w:rPr>
                <w:rFonts w:cs="Arial"/>
                <w:color w:val="000000"/>
                <w:sz w:val="18"/>
                <w:szCs w:val="18"/>
              </w:rPr>
            </w:pPr>
            <w:r w:rsidRPr="00AB429E">
              <w:rPr>
                <w:rFonts w:cs="Arial"/>
                <w:color w:val="000000"/>
                <w:sz w:val="18"/>
                <w:szCs w:val="18"/>
              </w:rPr>
              <w:t>PN</w:t>
            </w:r>
          </w:p>
        </w:tc>
        <w:tc>
          <w:tcPr>
            <w:tcW w:w="1133" w:type="dxa"/>
            <w:shd w:val="clear" w:color="000000" w:fill="D9E1F2"/>
            <w:noWrap/>
            <w:vAlign w:val="center"/>
            <w:hideMark/>
          </w:tcPr>
          <w:p w14:paraId="29483835" w14:textId="77777777" w:rsidR="00F601AA" w:rsidRPr="00AB429E" w:rsidRDefault="00F601AA" w:rsidP="00F601AA">
            <w:pPr>
              <w:suppressAutoHyphens w:val="0"/>
              <w:autoSpaceDN/>
              <w:spacing w:after="0" w:line="240" w:lineRule="auto"/>
              <w:jc w:val="center"/>
              <w:rPr>
                <w:rFonts w:cs="Arial"/>
                <w:color w:val="000000"/>
                <w:sz w:val="18"/>
                <w:szCs w:val="18"/>
              </w:rPr>
            </w:pPr>
            <w:r w:rsidRPr="00AB429E">
              <w:rPr>
                <w:rFonts w:cs="Arial"/>
                <w:color w:val="000000"/>
                <w:sz w:val="18"/>
                <w:szCs w:val="18"/>
              </w:rPr>
              <w:t>SC</w:t>
            </w:r>
          </w:p>
        </w:tc>
        <w:tc>
          <w:tcPr>
            <w:tcW w:w="709" w:type="dxa"/>
            <w:shd w:val="clear" w:color="000000" w:fill="D9E1F2"/>
            <w:noWrap/>
            <w:vAlign w:val="center"/>
            <w:hideMark/>
          </w:tcPr>
          <w:p w14:paraId="52A12351" w14:textId="77777777" w:rsidR="00F601AA" w:rsidRPr="00AB429E" w:rsidRDefault="00F601AA" w:rsidP="00F601AA">
            <w:pPr>
              <w:suppressAutoHyphens w:val="0"/>
              <w:autoSpaceDN/>
              <w:spacing w:after="0" w:line="240" w:lineRule="auto"/>
              <w:jc w:val="center"/>
              <w:rPr>
                <w:rFonts w:cs="Arial"/>
                <w:color w:val="000000"/>
                <w:sz w:val="18"/>
                <w:szCs w:val="18"/>
              </w:rPr>
            </w:pPr>
            <w:r w:rsidRPr="00AB429E">
              <w:rPr>
                <w:rFonts w:cs="Arial"/>
                <w:color w:val="000000"/>
                <w:sz w:val="18"/>
                <w:szCs w:val="18"/>
              </w:rPr>
              <w:t>Sklad</w:t>
            </w:r>
          </w:p>
        </w:tc>
        <w:tc>
          <w:tcPr>
            <w:tcW w:w="1126" w:type="dxa"/>
            <w:shd w:val="clear" w:color="000000" w:fill="D9E1F2"/>
            <w:noWrap/>
            <w:vAlign w:val="center"/>
            <w:hideMark/>
          </w:tcPr>
          <w:p w14:paraId="0AD4C102" w14:textId="77777777" w:rsidR="00F601AA" w:rsidRPr="00AB429E" w:rsidRDefault="00F601AA" w:rsidP="00F601AA">
            <w:pPr>
              <w:suppressAutoHyphens w:val="0"/>
              <w:autoSpaceDN/>
              <w:spacing w:after="0" w:line="240" w:lineRule="auto"/>
              <w:jc w:val="center"/>
              <w:rPr>
                <w:rFonts w:cs="Arial"/>
                <w:color w:val="000000"/>
                <w:sz w:val="18"/>
                <w:szCs w:val="18"/>
              </w:rPr>
            </w:pPr>
            <w:r w:rsidRPr="00AB429E">
              <w:rPr>
                <w:rFonts w:cs="Arial"/>
                <w:color w:val="000000"/>
                <w:sz w:val="18"/>
                <w:szCs w:val="18"/>
              </w:rPr>
              <w:t>Regija</w:t>
            </w:r>
          </w:p>
        </w:tc>
        <w:tc>
          <w:tcPr>
            <w:tcW w:w="1420" w:type="dxa"/>
            <w:shd w:val="clear" w:color="000000" w:fill="D9E1F2"/>
            <w:vAlign w:val="center"/>
            <w:hideMark/>
          </w:tcPr>
          <w:p w14:paraId="3B3C6E5D" w14:textId="77777777" w:rsidR="00F601AA" w:rsidRPr="00AB429E" w:rsidRDefault="00F601AA" w:rsidP="00F601AA">
            <w:pPr>
              <w:suppressAutoHyphens w:val="0"/>
              <w:autoSpaceDN/>
              <w:spacing w:after="0" w:line="240" w:lineRule="auto"/>
              <w:jc w:val="center"/>
              <w:rPr>
                <w:rFonts w:cs="Arial"/>
                <w:color w:val="000000"/>
                <w:sz w:val="18"/>
                <w:szCs w:val="18"/>
              </w:rPr>
            </w:pPr>
            <w:r w:rsidRPr="00AB429E">
              <w:rPr>
                <w:rFonts w:cs="Arial"/>
                <w:color w:val="000000"/>
                <w:sz w:val="18"/>
                <w:szCs w:val="18"/>
              </w:rPr>
              <w:t xml:space="preserve">Pravice </w:t>
            </w:r>
          </w:p>
          <w:p w14:paraId="67131741" w14:textId="77777777" w:rsidR="00F601AA" w:rsidRPr="00AB429E" w:rsidRDefault="00F601AA" w:rsidP="00F601AA">
            <w:pPr>
              <w:suppressAutoHyphens w:val="0"/>
              <w:autoSpaceDN/>
              <w:spacing w:after="0" w:line="240" w:lineRule="auto"/>
              <w:jc w:val="center"/>
              <w:rPr>
                <w:rFonts w:cs="Arial"/>
                <w:color w:val="000000"/>
                <w:sz w:val="18"/>
                <w:szCs w:val="18"/>
              </w:rPr>
            </w:pPr>
            <w:r w:rsidRPr="00AB429E">
              <w:rPr>
                <w:rFonts w:cs="Arial"/>
                <w:color w:val="000000"/>
                <w:sz w:val="18"/>
                <w:szCs w:val="18"/>
              </w:rPr>
              <w:t xml:space="preserve">porabe </w:t>
            </w:r>
          </w:p>
          <w:p w14:paraId="1EFD1064" w14:textId="1630BEC4" w:rsidR="00F601AA" w:rsidRPr="00AB429E" w:rsidRDefault="00F601AA" w:rsidP="00F601AA">
            <w:pPr>
              <w:suppressAutoHyphens w:val="0"/>
              <w:autoSpaceDN/>
              <w:spacing w:after="0" w:line="240" w:lineRule="auto"/>
              <w:jc w:val="center"/>
              <w:rPr>
                <w:rFonts w:cs="Arial"/>
                <w:color w:val="000000"/>
                <w:sz w:val="18"/>
                <w:szCs w:val="18"/>
              </w:rPr>
            </w:pPr>
            <w:r w:rsidRPr="00AB429E">
              <w:rPr>
                <w:rFonts w:cs="Arial"/>
                <w:color w:val="000000"/>
                <w:sz w:val="18"/>
                <w:szCs w:val="18"/>
              </w:rPr>
              <w:t>(EU del)</w:t>
            </w:r>
          </w:p>
        </w:tc>
        <w:tc>
          <w:tcPr>
            <w:tcW w:w="1427" w:type="dxa"/>
            <w:shd w:val="clear" w:color="000000" w:fill="D9E1F2"/>
            <w:noWrap/>
            <w:vAlign w:val="center"/>
            <w:hideMark/>
          </w:tcPr>
          <w:p w14:paraId="146FCFBD"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 xml:space="preserve">Predlagane </w:t>
            </w:r>
          </w:p>
          <w:p w14:paraId="0A78B9ED"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finančne</w:t>
            </w:r>
          </w:p>
          <w:p w14:paraId="6D6A9BAD" w14:textId="040D3A0D"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spremembe</w:t>
            </w:r>
          </w:p>
        </w:tc>
        <w:tc>
          <w:tcPr>
            <w:tcW w:w="1420" w:type="dxa"/>
            <w:shd w:val="clear" w:color="000000" w:fill="D9E1F2"/>
            <w:vAlign w:val="center"/>
            <w:hideMark/>
          </w:tcPr>
          <w:p w14:paraId="795AE60C" w14:textId="77777777" w:rsidR="00F601AA" w:rsidRPr="00AB429E" w:rsidRDefault="00F601AA" w:rsidP="00F601AA">
            <w:pPr>
              <w:suppressAutoHyphens w:val="0"/>
              <w:autoSpaceDN/>
              <w:spacing w:after="0" w:line="240" w:lineRule="auto"/>
              <w:jc w:val="center"/>
              <w:rPr>
                <w:rFonts w:cs="Arial"/>
                <w:color w:val="000000"/>
                <w:sz w:val="18"/>
                <w:szCs w:val="18"/>
              </w:rPr>
            </w:pPr>
            <w:r w:rsidRPr="00AB429E">
              <w:rPr>
                <w:rFonts w:cs="Arial"/>
                <w:color w:val="000000"/>
                <w:sz w:val="18"/>
                <w:szCs w:val="18"/>
              </w:rPr>
              <w:t xml:space="preserve">Pravice </w:t>
            </w:r>
          </w:p>
          <w:p w14:paraId="2DE32366" w14:textId="67606DA3" w:rsidR="00F601AA" w:rsidRPr="00AB429E" w:rsidRDefault="00F601AA" w:rsidP="00F601AA">
            <w:pPr>
              <w:suppressAutoHyphens w:val="0"/>
              <w:autoSpaceDN/>
              <w:spacing w:after="0" w:line="240" w:lineRule="auto"/>
              <w:jc w:val="center"/>
              <w:rPr>
                <w:rFonts w:cs="Arial"/>
                <w:color w:val="000000"/>
                <w:sz w:val="18"/>
                <w:szCs w:val="18"/>
              </w:rPr>
            </w:pPr>
            <w:r w:rsidRPr="00AB429E">
              <w:rPr>
                <w:rFonts w:cs="Arial"/>
                <w:color w:val="000000"/>
                <w:sz w:val="18"/>
                <w:szCs w:val="18"/>
              </w:rPr>
              <w:t>porabe po spremembi</w:t>
            </w:r>
          </w:p>
        </w:tc>
        <w:tc>
          <w:tcPr>
            <w:tcW w:w="1547" w:type="dxa"/>
            <w:shd w:val="clear" w:color="000000" w:fill="D9E1F2"/>
            <w:noWrap/>
            <w:vAlign w:val="center"/>
            <w:hideMark/>
          </w:tcPr>
          <w:p w14:paraId="7DD1DB17" w14:textId="77777777" w:rsidR="00F601AA" w:rsidRPr="00AB429E" w:rsidRDefault="00F601AA" w:rsidP="00F601AA">
            <w:pPr>
              <w:suppressAutoHyphens w:val="0"/>
              <w:autoSpaceDN/>
              <w:spacing w:after="0" w:line="240" w:lineRule="auto"/>
              <w:jc w:val="center"/>
              <w:rPr>
                <w:rFonts w:cs="Arial"/>
                <w:color w:val="000000"/>
                <w:sz w:val="18"/>
                <w:szCs w:val="18"/>
              </w:rPr>
            </w:pPr>
            <w:r w:rsidRPr="00AB429E">
              <w:rPr>
                <w:rFonts w:cs="Arial"/>
                <w:color w:val="000000"/>
                <w:sz w:val="18"/>
                <w:szCs w:val="18"/>
              </w:rPr>
              <w:t>Obrazložitev</w:t>
            </w:r>
          </w:p>
        </w:tc>
      </w:tr>
      <w:tr w:rsidR="00F601AA" w:rsidRPr="00F601AA" w14:paraId="2695D189" w14:textId="77777777" w:rsidTr="00C57B56">
        <w:trPr>
          <w:trHeight w:val="300"/>
          <w:jc w:val="center"/>
        </w:trPr>
        <w:tc>
          <w:tcPr>
            <w:tcW w:w="562" w:type="dxa"/>
            <w:shd w:val="clear" w:color="auto" w:fill="auto"/>
            <w:noWrap/>
            <w:vAlign w:val="bottom"/>
            <w:hideMark/>
          </w:tcPr>
          <w:p w14:paraId="7CB85112"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1</w:t>
            </w:r>
          </w:p>
        </w:tc>
        <w:tc>
          <w:tcPr>
            <w:tcW w:w="1133" w:type="dxa"/>
            <w:shd w:val="clear" w:color="auto" w:fill="auto"/>
            <w:noWrap/>
            <w:vAlign w:val="bottom"/>
            <w:hideMark/>
          </w:tcPr>
          <w:p w14:paraId="460B2822"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RSO 1.1</w:t>
            </w:r>
          </w:p>
        </w:tc>
        <w:tc>
          <w:tcPr>
            <w:tcW w:w="709" w:type="dxa"/>
            <w:shd w:val="clear" w:color="auto" w:fill="auto"/>
            <w:noWrap/>
            <w:vAlign w:val="bottom"/>
            <w:hideMark/>
          </w:tcPr>
          <w:p w14:paraId="350F7F49"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ESRR</w:t>
            </w:r>
          </w:p>
        </w:tc>
        <w:tc>
          <w:tcPr>
            <w:tcW w:w="1126" w:type="dxa"/>
            <w:shd w:val="clear" w:color="auto" w:fill="auto"/>
            <w:noWrap/>
            <w:vAlign w:val="bottom"/>
            <w:hideMark/>
          </w:tcPr>
          <w:p w14:paraId="2E92F2AE"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Vzhod</w:t>
            </w:r>
          </w:p>
        </w:tc>
        <w:tc>
          <w:tcPr>
            <w:tcW w:w="1420" w:type="dxa"/>
            <w:shd w:val="clear" w:color="auto" w:fill="auto"/>
            <w:noWrap/>
            <w:vAlign w:val="bottom"/>
            <w:hideMark/>
          </w:tcPr>
          <w:p w14:paraId="5674CAE9"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281.620.000</w:t>
            </w:r>
          </w:p>
        </w:tc>
        <w:tc>
          <w:tcPr>
            <w:tcW w:w="1427" w:type="dxa"/>
            <w:shd w:val="clear" w:color="auto" w:fill="auto"/>
            <w:noWrap/>
            <w:vAlign w:val="bottom"/>
            <w:hideMark/>
          </w:tcPr>
          <w:p w14:paraId="59993458"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-44.274.446</w:t>
            </w:r>
          </w:p>
        </w:tc>
        <w:tc>
          <w:tcPr>
            <w:tcW w:w="1420" w:type="dxa"/>
            <w:shd w:val="clear" w:color="auto" w:fill="auto"/>
            <w:noWrap/>
            <w:vAlign w:val="bottom"/>
            <w:hideMark/>
          </w:tcPr>
          <w:p w14:paraId="6579FCCB"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237.345.554</w:t>
            </w:r>
          </w:p>
        </w:tc>
        <w:tc>
          <w:tcPr>
            <w:tcW w:w="1547" w:type="dxa"/>
            <w:shd w:val="clear" w:color="auto" w:fill="auto"/>
            <w:noWrap/>
            <w:vAlign w:val="bottom"/>
            <w:hideMark/>
          </w:tcPr>
          <w:p w14:paraId="13E3D602"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Prenos na nov SC RSO1.6</w:t>
            </w:r>
          </w:p>
        </w:tc>
      </w:tr>
      <w:tr w:rsidR="00F601AA" w:rsidRPr="00F601AA" w14:paraId="7AF64F2F" w14:textId="77777777" w:rsidTr="00C57B56">
        <w:trPr>
          <w:trHeight w:val="300"/>
          <w:jc w:val="center"/>
        </w:trPr>
        <w:tc>
          <w:tcPr>
            <w:tcW w:w="562" w:type="dxa"/>
            <w:shd w:val="clear" w:color="auto" w:fill="auto"/>
            <w:noWrap/>
            <w:vAlign w:val="bottom"/>
            <w:hideMark/>
          </w:tcPr>
          <w:p w14:paraId="5C944132"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1</w:t>
            </w:r>
          </w:p>
        </w:tc>
        <w:tc>
          <w:tcPr>
            <w:tcW w:w="1133" w:type="dxa"/>
            <w:shd w:val="clear" w:color="auto" w:fill="auto"/>
            <w:noWrap/>
            <w:vAlign w:val="bottom"/>
            <w:hideMark/>
          </w:tcPr>
          <w:p w14:paraId="3E95FF7E"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RSO 1.1</w:t>
            </w:r>
          </w:p>
        </w:tc>
        <w:tc>
          <w:tcPr>
            <w:tcW w:w="709" w:type="dxa"/>
            <w:shd w:val="clear" w:color="auto" w:fill="auto"/>
            <w:noWrap/>
            <w:vAlign w:val="bottom"/>
            <w:hideMark/>
          </w:tcPr>
          <w:p w14:paraId="1B7766EF"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ESRR</w:t>
            </w:r>
          </w:p>
        </w:tc>
        <w:tc>
          <w:tcPr>
            <w:tcW w:w="1126" w:type="dxa"/>
            <w:shd w:val="clear" w:color="auto" w:fill="auto"/>
            <w:noWrap/>
            <w:vAlign w:val="bottom"/>
            <w:hideMark/>
          </w:tcPr>
          <w:p w14:paraId="4EB4905A"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Zahod</w:t>
            </w:r>
          </w:p>
        </w:tc>
        <w:tc>
          <w:tcPr>
            <w:tcW w:w="1420" w:type="dxa"/>
            <w:shd w:val="clear" w:color="auto" w:fill="auto"/>
            <w:noWrap/>
            <w:vAlign w:val="bottom"/>
            <w:hideMark/>
          </w:tcPr>
          <w:p w14:paraId="0012A903"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132.270.000</w:t>
            </w:r>
          </w:p>
        </w:tc>
        <w:tc>
          <w:tcPr>
            <w:tcW w:w="1427" w:type="dxa"/>
            <w:shd w:val="clear" w:color="auto" w:fill="auto"/>
            <w:noWrap/>
            <w:vAlign w:val="bottom"/>
            <w:hideMark/>
          </w:tcPr>
          <w:p w14:paraId="66EA832C"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-17.446.185</w:t>
            </w:r>
          </w:p>
        </w:tc>
        <w:tc>
          <w:tcPr>
            <w:tcW w:w="1420" w:type="dxa"/>
            <w:shd w:val="clear" w:color="auto" w:fill="auto"/>
            <w:noWrap/>
            <w:vAlign w:val="bottom"/>
            <w:hideMark/>
          </w:tcPr>
          <w:p w14:paraId="4DB719D5"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114.823.815</w:t>
            </w:r>
          </w:p>
        </w:tc>
        <w:tc>
          <w:tcPr>
            <w:tcW w:w="1547" w:type="dxa"/>
            <w:shd w:val="clear" w:color="auto" w:fill="auto"/>
            <w:noWrap/>
            <w:vAlign w:val="bottom"/>
            <w:hideMark/>
          </w:tcPr>
          <w:p w14:paraId="0466E89C"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Prenos na nov SC RSO1.6</w:t>
            </w:r>
          </w:p>
        </w:tc>
      </w:tr>
      <w:tr w:rsidR="00F601AA" w:rsidRPr="00F601AA" w14:paraId="050ECBCD" w14:textId="77777777" w:rsidTr="00C57B56">
        <w:trPr>
          <w:trHeight w:val="300"/>
          <w:jc w:val="center"/>
        </w:trPr>
        <w:tc>
          <w:tcPr>
            <w:tcW w:w="562" w:type="dxa"/>
            <w:shd w:val="clear" w:color="auto" w:fill="auto"/>
            <w:noWrap/>
            <w:vAlign w:val="bottom"/>
            <w:hideMark/>
          </w:tcPr>
          <w:p w14:paraId="5648A5D9"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1</w:t>
            </w:r>
          </w:p>
        </w:tc>
        <w:tc>
          <w:tcPr>
            <w:tcW w:w="1133" w:type="dxa"/>
            <w:shd w:val="clear" w:color="auto" w:fill="auto"/>
            <w:noWrap/>
            <w:vAlign w:val="bottom"/>
            <w:hideMark/>
          </w:tcPr>
          <w:p w14:paraId="3C0F65B3"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RSO 1.2</w:t>
            </w:r>
          </w:p>
        </w:tc>
        <w:tc>
          <w:tcPr>
            <w:tcW w:w="709" w:type="dxa"/>
            <w:shd w:val="clear" w:color="auto" w:fill="auto"/>
            <w:noWrap/>
            <w:vAlign w:val="bottom"/>
            <w:hideMark/>
          </w:tcPr>
          <w:p w14:paraId="35BD6523"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ESRR</w:t>
            </w:r>
          </w:p>
        </w:tc>
        <w:tc>
          <w:tcPr>
            <w:tcW w:w="1126" w:type="dxa"/>
            <w:shd w:val="clear" w:color="auto" w:fill="auto"/>
            <w:noWrap/>
            <w:vAlign w:val="bottom"/>
            <w:hideMark/>
          </w:tcPr>
          <w:p w14:paraId="3DDDB2C7"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Vzhod</w:t>
            </w:r>
          </w:p>
        </w:tc>
        <w:tc>
          <w:tcPr>
            <w:tcW w:w="1420" w:type="dxa"/>
            <w:shd w:val="clear" w:color="auto" w:fill="auto"/>
            <w:noWrap/>
            <w:vAlign w:val="bottom"/>
            <w:hideMark/>
          </w:tcPr>
          <w:p w14:paraId="7D204592"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51.590.772</w:t>
            </w:r>
          </w:p>
        </w:tc>
        <w:tc>
          <w:tcPr>
            <w:tcW w:w="1427" w:type="dxa"/>
            <w:shd w:val="clear" w:color="auto" w:fill="auto"/>
            <w:noWrap/>
            <w:vAlign w:val="bottom"/>
            <w:hideMark/>
          </w:tcPr>
          <w:p w14:paraId="5A19E49A"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-5.271.912</w:t>
            </w:r>
          </w:p>
        </w:tc>
        <w:tc>
          <w:tcPr>
            <w:tcW w:w="1420" w:type="dxa"/>
            <w:shd w:val="clear" w:color="auto" w:fill="auto"/>
            <w:noWrap/>
            <w:vAlign w:val="bottom"/>
            <w:hideMark/>
          </w:tcPr>
          <w:p w14:paraId="2E63DDCF"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46.318.860</w:t>
            </w:r>
          </w:p>
        </w:tc>
        <w:tc>
          <w:tcPr>
            <w:tcW w:w="1547" w:type="dxa"/>
            <w:shd w:val="clear" w:color="auto" w:fill="auto"/>
            <w:noWrap/>
            <w:vAlign w:val="bottom"/>
            <w:hideMark/>
          </w:tcPr>
          <w:p w14:paraId="48411D53"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Prenos na nov SC RSO1.6</w:t>
            </w:r>
          </w:p>
        </w:tc>
      </w:tr>
      <w:tr w:rsidR="00F601AA" w:rsidRPr="00F601AA" w14:paraId="5E9F7D0F" w14:textId="77777777" w:rsidTr="00C57B56">
        <w:trPr>
          <w:trHeight w:val="300"/>
          <w:jc w:val="center"/>
        </w:trPr>
        <w:tc>
          <w:tcPr>
            <w:tcW w:w="562" w:type="dxa"/>
            <w:shd w:val="clear" w:color="auto" w:fill="auto"/>
            <w:noWrap/>
            <w:vAlign w:val="bottom"/>
            <w:hideMark/>
          </w:tcPr>
          <w:p w14:paraId="23AD385D"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1</w:t>
            </w:r>
          </w:p>
        </w:tc>
        <w:tc>
          <w:tcPr>
            <w:tcW w:w="1133" w:type="dxa"/>
            <w:shd w:val="clear" w:color="auto" w:fill="auto"/>
            <w:noWrap/>
            <w:vAlign w:val="bottom"/>
            <w:hideMark/>
          </w:tcPr>
          <w:p w14:paraId="475806CD"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RSO 1.2</w:t>
            </w:r>
          </w:p>
        </w:tc>
        <w:tc>
          <w:tcPr>
            <w:tcW w:w="709" w:type="dxa"/>
            <w:shd w:val="clear" w:color="auto" w:fill="auto"/>
            <w:noWrap/>
            <w:vAlign w:val="bottom"/>
            <w:hideMark/>
          </w:tcPr>
          <w:p w14:paraId="1709B719"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ESRR</w:t>
            </w:r>
          </w:p>
        </w:tc>
        <w:tc>
          <w:tcPr>
            <w:tcW w:w="1126" w:type="dxa"/>
            <w:shd w:val="clear" w:color="auto" w:fill="auto"/>
            <w:noWrap/>
            <w:vAlign w:val="bottom"/>
            <w:hideMark/>
          </w:tcPr>
          <w:p w14:paraId="6AC1FEA4"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Zahod</w:t>
            </w:r>
          </w:p>
        </w:tc>
        <w:tc>
          <w:tcPr>
            <w:tcW w:w="1420" w:type="dxa"/>
            <w:shd w:val="clear" w:color="auto" w:fill="auto"/>
            <w:noWrap/>
            <w:vAlign w:val="bottom"/>
            <w:hideMark/>
          </w:tcPr>
          <w:p w14:paraId="2F52BB23"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36.328.372</w:t>
            </w:r>
          </w:p>
        </w:tc>
        <w:tc>
          <w:tcPr>
            <w:tcW w:w="1427" w:type="dxa"/>
            <w:shd w:val="clear" w:color="auto" w:fill="auto"/>
            <w:noWrap/>
            <w:vAlign w:val="bottom"/>
            <w:hideMark/>
          </w:tcPr>
          <w:p w14:paraId="13E1F43A"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-3.774.024</w:t>
            </w:r>
          </w:p>
        </w:tc>
        <w:tc>
          <w:tcPr>
            <w:tcW w:w="1420" w:type="dxa"/>
            <w:shd w:val="clear" w:color="auto" w:fill="auto"/>
            <w:noWrap/>
            <w:vAlign w:val="bottom"/>
            <w:hideMark/>
          </w:tcPr>
          <w:p w14:paraId="5E63059F"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32.554.348</w:t>
            </w:r>
          </w:p>
        </w:tc>
        <w:tc>
          <w:tcPr>
            <w:tcW w:w="1547" w:type="dxa"/>
            <w:shd w:val="clear" w:color="auto" w:fill="auto"/>
            <w:noWrap/>
            <w:vAlign w:val="bottom"/>
            <w:hideMark/>
          </w:tcPr>
          <w:p w14:paraId="17DB9994"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Prenos na nov SC RSO1.6</w:t>
            </w:r>
          </w:p>
        </w:tc>
      </w:tr>
      <w:tr w:rsidR="00F601AA" w:rsidRPr="00F601AA" w14:paraId="28E1D31F" w14:textId="77777777" w:rsidTr="00C57B56">
        <w:trPr>
          <w:trHeight w:val="300"/>
          <w:jc w:val="center"/>
        </w:trPr>
        <w:tc>
          <w:tcPr>
            <w:tcW w:w="562" w:type="dxa"/>
            <w:shd w:val="clear" w:color="auto" w:fill="auto"/>
            <w:noWrap/>
            <w:vAlign w:val="bottom"/>
            <w:hideMark/>
          </w:tcPr>
          <w:p w14:paraId="278D8E6E"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1</w:t>
            </w:r>
          </w:p>
        </w:tc>
        <w:tc>
          <w:tcPr>
            <w:tcW w:w="1133" w:type="dxa"/>
            <w:shd w:val="clear" w:color="auto" w:fill="auto"/>
            <w:noWrap/>
            <w:vAlign w:val="bottom"/>
            <w:hideMark/>
          </w:tcPr>
          <w:p w14:paraId="7C9DCD9A"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RSO 1.3</w:t>
            </w:r>
          </w:p>
        </w:tc>
        <w:tc>
          <w:tcPr>
            <w:tcW w:w="709" w:type="dxa"/>
            <w:shd w:val="clear" w:color="auto" w:fill="auto"/>
            <w:noWrap/>
            <w:vAlign w:val="bottom"/>
            <w:hideMark/>
          </w:tcPr>
          <w:p w14:paraId="4CE57D43"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ESRR</w:t>
            </w:r>
          </w:p>
        </w:tc>
        <w:tc>
          <w:tcPr>
            <w:tcW w:w="1126" w:type="dxa"/>
            <w:shd w:val="clear" w:color="auto" w:fill="auto"/>
            <w:noWrap/>
            <w:vAlign w:val="bottom"/>
            <w:hideMark/>
          </w:tcPr>
          <w:p w14:paraId="1B0357F9"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Vzhod</w:t>
            </w:r>
          </w:p>
        </w:tc>
        <w:tc>
          <w:tcPr>
            <w:tcW w:w="1420" w:type="dxa"/>
            <w:shd w:val="clear" w:color="auto" w:fill="auto"/>
            <w:noWrap/>
            <w:vAlign w:val="bottom"/>
            <w:hideMark/>
          </w:tcPr>
          <w:p w14:paraId="6A529CC2"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120.262.353</w:t>
            </w:r>
          </w:p>
        </w:tc>
        <w:tc>
          <w:tcPr>
            <w:tcW w:w="1427" w:type="dxa"/>
            <w:shd w:val="clear" w:color="auto" w:fill="auto"/>
            <w:noWrap/>
            <w:vAlign w:val="bottom"/>
            <w:hideMark/>
          </w:tcPr>
          <w:p w14:paraId="7E54AC3E" w14:textId="77777777" w:rsidR="00F601AA" w:rsidRPr="00AB429E" w:rsidRDefault="00F601AA" w:rsidP="00F601AA">
            <w:pPr>
              <w:suppressAutoHyphens w:val="0"/>
              <w:autoSpaceDN/>
              <w:spacing w:after="0" w:line="240" w:lineRule="auto"/>
              <w:rPr>
                <w:rFonts w:cs="Arial"/>
                <w:sz w:val="18"/>
                <w:szCs w:val="18"/>
              </w:rPr>
            </w:pPr>
            <w:r w:rsidRPr="00AB429E">
              <w:rPr>
                <w:rFonts w:cs="Arial"/>
                <w:sz w:val="18"/>
                <w:szCs w:val="18"/>
              </w:rPr>
              <w:t> </w:t>
            </w:r>
          </w:p>
        </w:tc>
        <w:tc>
          <w:tcPr>
            <w:tcW w:w="1420" w:type="dxa"/>
            <w:shd w:val="clear" w:color="auto" w:fill="auto"/>
            <w:noWrap/>
            <w:vAlign w:val="bottom"/>
            <w:hideMark/>
          </w:tcPr>
          <w:p w14:paraId="1160CAB3"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120.262.353</w:t>
            </w:r>
          </w:p>
        </w:tc>
        <w:tc>
          <w:tcPr>
            <w:tcW w:w="1547" w:type="dxa"/>
            <w:shd w:val="clear" w:color="auto" w:fill="auto"/>
            <w:noWrap/>
            <w:vAlign w:val="bottom"/>
            <w:hideMark/>
          </w:tcPr>
          <w:p w14:paraId="494CF863"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 </w:t>
            </w:r>
          </w:p>
        </w:tc>
      </w:tr>
      <w:tr w:rsidR="00F601AA" w:rsidRPr="00F601AA" w14:paraId="2B4B2041" w14:textId="77777777" w:rsidTr="00C57B56">
        <w:trPr>
          <w:trHeight w:val="300"/>
          <w:jc w:val="center"/>
        </w:trPr>
        <w:tc>
          <w:tcPr>
            <w:tcW w:w="562" w:type="dxa"/>
            <w:shd w:val="clear" w:color="auto" w:fill="auto"/>
            <w:noWrap/>
            <w:vAlign w:val="bottom"/>
            <w:hideMark/>
          </w:tcPr>
          <w:p w14:paraId="7A6D07FA"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1</w:t>
            </w:r>
          </w:p>
        </w:tc>
        <w:tc>
          <w:tcPr>
            <w:tcW w:w="1133" w:type="dxa"/>
            <w:shd w:val="clear" w:color="auto" w:fill="auto"/>
            <w:noWrap/>
            <w:vAlign w:val="bottom"/>
            <w:hideMark/>
          </w:tcPr>
          <w:p w14:paraId="43D7F91B"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RSO 1.3</w:t>
            </w:r>
          </w:p>
        </w:tc>
        <w:tc>
          <w:tcPr>
            <w:tcW w:w="709" w:type="dxa"/>
            <w:shd w:val="clear" w:color="auto" w:fill="auto"/>
            <w:noWrap/>
            <w:vAlign w:val="bottom"/>
            <w:hideMark/>
          </w:tcPr>
          <w:p w14:paraId="4F7C613E"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ESRR</w:t>
            </w:r>
          </w:p>
        </w:tc>
        <w:tc>
          <w:tcPr>
            <w:tcW w:w="1126" w:type="dxa"/>
            <w:shd w:val="clear" w:color="auto" w:fill="auto"/>
            <w:noWrap/>
            <w:vAlign w:val="bottom"/>
            <w:hideMark/>
          </w:tcPr>
          <w:p w14:paraId="71AB5898"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Zahod</w:t>
            </w:r>
          </w:p>
        </w:tc>
        <w:tc>
          <w:tcPr>
            <w:tcW w:w="1420" w:type="dxa"/>
            <w:shd w:val="clear" w:color="auto" w:fill="auto"/>
            <w:noWrap/>
            <w:vAlign w:val="bottom"/>
            <w:hideMark/>
          </w:tcPr>
          <w:p w14:paraId="5572AD96"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62.919.472</w:t>
            </w:r>
          </w:p>
        </w:tc>
        <w:tc>
          <w:tcPr>
            <w:tcW w:w="1427" w:type="dxa"/>
            <w:shd w:val="clear" w:color="auto" w:fill="auto"/>
            <w:noWrap/>
            <w:vAlign w:val="bottom"/>
            <w:hideMark/>
          </w:tcPr>
          <w:p w14:paraId="2B7A42C3" w14:textId="77777777" w:rsidR="00F601AA" w:rsidRPr="00AB429E" w:rsidRDefault="00F601AA" w:rsidP="00F601AA">
            <w:pPr>
              <w:suppressAutoHyphens w:val="0"/>
              <w:autoSpaceDN/>
              <w:spacing w:after="0" w:line="240" w:lineRule="auto"/>
              <w:rPr>
                <w:rFonts w:cs="Arial"/>
                <w:sz w:val="18"/>
                <w:szCs w:val="18"/>
              </w:rPr>
            </w:pPr>
            <w:r w:rsidRPr="00AB429E">
              <w:rPr>
                <w:rFonts w:cs="Arial"/>
                <w:sz w:val="18"/>
                <w:szCs w:val="18"/>
              </w:rPr>
              <w:t> </w:t>
            </w:r>
          </w:p>
        </w:tc>
        <w:tc>
          <w:tcPr>
            <w:tcW w:w="1420" w:type="dxa"/>
            <w:shd w:val="clear" w:color="auto" w:fill="auto"/>
            <w:noWrap/>
            <w:vAlign w:val="bottom"/>
            <w:hideMark/>
          </w:tcPr>
          <w:p w14:paraId="0C600291"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62.919.472</w:t>
            </w:r>
          </w:p>
        </w:tc>
        <w:tc>
          <w:tcPr>
            <w:tcW w:w="1547" w:type="dxa"/>
            <w:shd w:val="clear" w:color="auto" w:fill="auto"/>
            <w:noWrap/>
            <w:vAlign w:val="bottom"/>
            <w:hideMark/>
          </w:tcPr>
          <w:p w14:paraId="5A4F3257"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 </w:t>
            </w:r>
          </w:p>
        </w:tc>
      </w:tr>
      <w:tr w:rsidR="00F601AA" w:rsidRPr="00F601AA" w14:paraId="22E8BF69" w14:textId="77777777" w:rsidTr="00C57B56">
        <w:trPr>
          <w:trHeight w:val="300"/>
          <w:jc w:val="center"/>
        </w:trPr>
        <w:tc>
          <w:tcPr>
            <w:tcW w:w="562" w:type="dxa"/>
            <w:shd w:val="clear" w:color="auto" w:fill="auto"/>
            <w:noWrap/>
            <w:vAlign w:val="bottom"/>
            <w:hideMark/>
          </w:tcPr>
          <w:p w14:paraId="7C211F9F"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1</w:t>
            </w:r>
          </w:p>
        </w:tc>
        <w:tc>
          <w:tcPr>
            <w:tcW w:w="1133" w:type="dxa"/>
            <w:shd w:val="clear" w:color="auto" w:fill="auto"/>
            <w:noWrap/>
            <w:vAlign w:val="bottom"/>
            <w:hideMark/>
          </w:tcPr>
          <w:p w14:paraId="1DC717F1"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RSO 1.4</w:t>
            </w:r>
          </w:p>
        </w:tc>
        <w:tc>
          <w:tcPr>
            <w:tcW w:w="709" w:type="dxa"/>
            <w:shd w:val="clear" w:color="auto" w:fill="auto"/>
            <w:noWrap/>
            <w:vAlign w:val="bottom"/>
            <w:hideMark/>
          </w:tcPr>
          <w:p w14:paraId="79EE31B8"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ESRR</w:t>
            </w:r>
          </w:p>
        </w:tc>
        <w:tc>
          <w:tcPr>
            <w:tcW w:w="1126" w:type="dxa"/>
            <w:shd w:val="clear" w:color="auto" w:fill="auto"/>
            <w:noWrap/>
            <w:vAlign w:val="bottom"/>
            <w:hideMark/>
          </w:tcPr>
          <w:p w14:paraId="41F65063"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Vzhod</w:t>
            </w:r>
          </w:p>
        </w:tc>
        <w:tc>
          <w:tcPr>
            <w:tcW w:w="1420" w:type="dxa"/>
            <w:shd w:val="clear" w:color="auto" w:fill="auto"/>
            <w:noWrap/>
            <w:vAlign w:val="bottom"/>
            <w:hideMark/>
          </w:tcPr>
          <w:p w14:paraId="2176B936"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16.810.200</w:t>
            </w:r>
          </w:p>
        </w:tc>
        <w:tc>
          <w:tcPr>
            <w:tcW w:w="1427" w:type="dxa"/>
            <w:shd w:val="clear" w:color="auto" w:fill="auto"/>
            <w:noWrap/>
            <w:vAlign w:val="bottom"/>
            <w:hideMark/>
          </w:tcPr>
          <w:p w14:paraId="62AC1EE3"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-7.053.256</w:t>
            </w:r>
          </w:p>
        </w:tc>
        <w:tc>
          <w:tcPr>
            <w:tcW w:w="1420" w:type="dxa"/>
            <w:shd w:val="clear" w:color="auto" w:fill="auto"/>
            <w:noWrap/>
            <w:vAlign w:val="bottom"/>
            <w:hideMark/>
          </w:tcPr>
          <w:p w14:paraId="0029D53E"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9.756.944</w:t>
            </w:r>
          </w:p>
        </w:tc>
        <w:tc>
          <w:tcPr>
            <w:tcW w:w="1547" w:type="dxa"/>
            <w:shd w:val="clear" w:color="auto" w:fill="auto"/>
            <w:noWrap/>
            <w:vAlign w:val="bottom"/>
            <w:hideMark/>
          </w:tcPr>
          <w:p w14:paraId="5FE658C7"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Prenos na nov SC RSO1.6</w:t>
            </w:r>
          </w:p>
        </w:tc>
      </w:tr>
      <w:tr w:rsidR="00F601AA" w:rsidRPr="00F601AA" w14:paraId="5653BF82" w14:textId="77777777" w:rsidTr="00C57B56">
        <w:trPr>
          <w:trHeight w:val="300"/>
          <w:jc w:val="center"/>
        </w:trPr>
        <w:tc>
          <w:tcPr>
            <w:tcW w:w="562" w:type="dxa"/>
            <w:shd w:val="clear" w:color="auto" w:fill="auto"/>
            <w:noWrap/>
            <w:vAlign w:val="bottom"/>
            <w:hideMark/>
          </w:tcPr>
          <w:p w14:paraId="5603DD56"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1</w:t>
            </w:r>
          </w:p>
        </w:tc>
        <w:tc>
          <w:tcPr>
            <w:tcW w:w="1133" w:type="dxa"/>
            <w:shd w:val="clear" w:color="auto" w:fill="auto"/>
            <w:noWrap/>
            <w:vAlign w:val="bottom"/>
            <w:hideMark/>
          </w:tcPr>
          <w:p w14:paraId="6D4EFCF0"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RSO 1.4</w:t>
            </w:r>
          </w:p>
        </w:tc>
        <w:tc>
          <w:tcPr>
            <w:tcW w:w="709" w:type="dxa"/>
            <w:shd w:val="clear" w:color="auto" w:fill="auto"/>
            <w:noWrap/>
            <w:vAlign w:val="bottom"/>
            <w:hideMark/>
          </w:tcPr>
          <w:p w14:paraId="0A4A7515"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ESRR</w:t>
            </w:r>
          </w:p>
        </w:tc>
        <w:tc>
          <w:tcPr>
            <w:tcW w:w="1126" w:type="dxa"/>
            <w:shd w:val="clear" w:color="auto" w:fill="auto"/>
            <w:noWrap/>
            <w:vAlign w:val="bottom"/>
            <w:hideMark/>
          </w:tcPr>
          <w:p w14:paraId="657A5DB3"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Zahod</w:t>
            </w:r>
          </w:p>
        </w:tc>
        <w:tc>
          <w:tcPr>
            <w:tcW w:w="1420" w:type="dxa"/>
            <w:shd w:val="clear" w:color="auto" w:fill="auto"/>
            <w:noWrap/>
            <w:vAlign w:val="bottom"/>
            <w:hideMark/>
          </w:tcPr>
          <w:p w14:paraId="22698946"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5.709.900</w:t>
            </w:r>
          </w:p>
        </w:tc>
        <w:tc>
          <w:tcPr>
            <w:tcW w:w="1427" w:type="dxa"/>
            <w:shd w:val="clear" w:color="auto" w:fill="auto"/>
            <w:noWrap/>
            <w:vAlign w:val="bottom"/>
            <w:hideMark/>
          </w:tcPr>
          <w:p w14:paraId="45C415D3"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-2.180.177</w:t>
            </w:r>
          </w:p>
        </w:tc>
        <w:tc>
          <w:tcPr>
            <w:tcW w:w="1420" w:type="dxa"/>
            <w:shd w:val="clear" w:color="auto" w:fill="auto"/>
            <w:noWrap/>
            <w:vAlign w:val="bottom"/>
            <w:hideMark/>
          </w:tcPr>
          <w:p w14:paraId="0E861FDD"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3.529.723</w:t>
            </w:r>
          </w:p>
        </w:tc>
        <w:tc>
          <w:tcPr>
            <w:tcW w:w="1547" w:type="dxa"/>
            <w:shd w:val="clear" w:color="auto" w:fill="auto"/>
            <w:noWrap/>
            <w:vAlign w:val="bottom"/>
            <w:hideMark/>
          </w:tcPr>
          <w:p w14:paraId="4A811D74"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Prenos na nov SC RSO1.6</w:t>
            </w:r>
          </w:p>
        </w:tc>
      </w:tr>
      <w:tr w:rsidR="00F601AA" w:rsidRPr="00F601AA" w14:paraId="6E591C66" w14:textId="77777777" w:rsidTr="00C57B56">
        <w:trPr>
          <w:trHeight w:val="300"/>
          <w:jc w:val="center"/>
        </w:trPr>
        <w:tc>
          <w:tcPr>
            <w:tcW w:w="562" w:type="dxa"/>
            <w:shd w:val="clear" w:color="auto" w:fill="auto"/>
            <w:noWrap/>
            <w:vAlign w:val="bottom"/>
            <w:hideMark/>
          </w:tcPr>
          <w:p w14:paraId="65E6CC4B"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1</w:t>
            </w:r>
          </w:p>
        </w:tc>
        <w:tc>
          <w:tcPr>
            <w:tcW w:w="1133" w:type="dxa"/>
            <w:shd w:val="clear" w:color="auto" w:fill="auto"/>
            <w:noWrap/>
            <w:vAlign w:val="bottom"/>
            <w:hideMark/>
          </w:tcPr>
          <w:p w14:paraId="623852EE"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RSO1.6</w:t>
            </w:r>
          </w:p>
        </w:tc>
        <w:tc>
          <w:tcPr>
            <w:tcW w:w="709" w:type="dxa"/>
            <w:shd w:val="clear" w:color="auto" w:fill="auto"/>
            <w:noWrap/>
            <w:vAlign w:val="bottom"/>
            <w:hideMark/>
          </w:tcPr>
          <w:p w14:paraId="25D24DB4"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ESRR</w:t>
            </w:r>
          </w:p>
        </w:tc>
        <w:tc>
          <w:tcPr>
            <w:tcW w:w="1126" w:type="dxa"/>
            <w:shd w:val="clear" w:color="auto" w:fill="auto"/>
            <w:noWrap/>
            <w:vAlign w:val="bottom"/>
            <w:hideMark/>
          </w:tcPr>
          <w:p w14:paraId="0FFBB2AF"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Vzhod</w:t>
            </w:r>
          </w:p>
        </w:tc>
        <w:tc>
          <w:tcPr>
            <w:tcW w:w="1420" w:type="dxa"/>
            <w:shd w:val="clear" w:color="auto" w:fill="auto"/>
            <w:noWrap/>
            <w:vAlign w:val="bottom"/>
            <w:hideMark/>
          </w:tcPr>
          <w:p w14:paraId="46029135"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0</w:t>
            </w:r>
          </w:p>
        </w:tc>
        <w:tc>
          <w:tcPr>
            <w:tcW w:w="1427" w:type="dxa"/>
            <w:shd w:val="clear" w:color="auto" w:fill="auto"/>
            <w:noWrap/>
            <w:vAlign w:val="bottom"/>
            <w:hideMark/>
          </w:tcPr>
          <w:p w14:paraId="6B89697B"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71.099.614</w:t>
            </w:r>
          </w:p>
        </w:tc>
        <w:tc>
          <w:tcPr>
            <w:tcW w:w="1420" w:type="dxa"/>
            <w:shd w:val="clear" w:color="auto" w:fill="auto"/>
            <w:noWrap/>
            <w:vAlign w:val="bottom"/>
            <w:hideMark/>
          </w:tcPr>
          <w:p w14:paraId="11A07B9D"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71.099.614</w:t>
            </w:r>
          </w:p>
        </w:tc>
        <w:tc>
          <w:tcPr>
            <w:tcW w:w="1547" w:type="dxa"/>
            <w:shd w:val="clear" w:color="auto" w:fill="auto"/>
            <w:noWrap/>
            <w:vAlign w:val="bottom"/>
            <w:hideMark/>
          </w:tcPr>
          <w:p w14:paraId="54B2E71D"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Nov SC RSO1.6 za namene STEP</w:t>
            </w:r>
          </w:p>
        </w:tc>
      </w:tr>
      <w:tr w:rsidR="00F601AA" w:rsidRPr="00F601AA" w14:paraId="6093FA6E" w14:textId="77777777" w:rsidTr="00C57B56">
        <w:trPr>
          <w:trHeight w:val="300"/>
          <w:jc w:val="center"/>
        </w:trPr>
        <w:tc>
          <w:tcPr>
            <w:tcW w:w="562" w:type="dxa"/>
            <w:shd w:val="clear" w:color="auto" w:fill="auto"/>
            <w:noWrap/>
            <w:vAlign w:val="bottom"/>
            <w:hideMark/>
          </w:tcPr>
          <w:p w14:paraId="6BA35F3A"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1</w:t>
            </w:r>
          </w:p>
        </w:tc>
        <w:tc>
          <w:tcPr>
            <w:tcW w:w="1133" w:type="dxa"/>
            <w:shd w:val="clear" w:color="auto" w:fill="auto"/>
            <w:noWrap/>
            <w:vAlign w:val="bottom"/>
            <w:hideMark/>
          </w:tcPr>
          <w:p w14:paraId="75891CBE"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RSO1.6</w:t>
            </w:r>
          </w:p>
        </w:tc>
        <w:tc>
          <w:tcPr>
            <w:tcW w:w="709" w:type="dxa"/>
            <w:shd w:val="clear" w:color="auto" w:fill="auto"/>
            <w:noWrap/>
            <w:vAlign w:val="bottom"/>
            <w:hideMark/>
          </w:tcPr>
          <w:p w14:paraId="28209BC9"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ESRR</w:t>
            </w:r>
          </w:p>
        </w:tc>
        <w:tc>
          <w:tcPr>
            <w:tcW w:w="1126" w:type="dxa"/>
            <w:shd w:val="clear" w:color="auto" w:fill="auto"/>
            <w:noWrap/>
            <w:vAlign w:val="bottom"/>
            <w:hideMark/>
          </w:tcPr>
          <w:p w14:paraId="0605441E"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Zahod</w:t>
            </w:r>
          </w:p>
        </w:tc>
        <w:tc>
          <w:tcPr>
            <w:tcW w:w="1420" w:type="dxa"/>
            <w:shd w:val="clear" w:color="auto" w:fill="auto"/>
            <w:noWrap/>
            <w:vAlign w:val="bottom"/>
            <w:hideMark/>
          </w:tcPr>
          <w:p w14:paraId="1312DB10"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0</w:t>
            </w:r>
          </w:p>
        </w:tc>
        <w:tc>
          <w:tcPr>
            <w:tcW w:w="1427" w:type="dxa"/>
            <w:shd w:val="clear" w:color="auto" w:fill="auto"/>
            <w:noWrap/>
            <w:vAlign w:val="bottom"/>
            <w:hideMark/>
          </w:tcPr>
          <w:p w14:paraId="556AB613"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28.900.386</w:t>
            </w:r>
          </w:p>
        </w:tc>
        <w:tc>
          <w:tcPr>
            <w:tcW w:w="1420" w:type="dxa"/>
            <w:shd w:val="clear" w:color="auto" w:fill="auto"/>
            <w:noWrap/>
            <w:vAlign w:val="bottom"/>
            <w:hideMark/>
          </w:tcPr>
          <w:p w14:paraId="79D7D8C1"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28.900.386</w:t>
            </w:r>
          </w:p>
        </w:tc>
        <w:tc>
          <w:tcPr>
            <w:tcW w:w="1547" w:type="dxa"/>
            <w:shd w:val="clear" w:color="auto" w:fill="auto"/>
            <w:noWrap/>
            <w:vAlign w:val="bottom"/>
            <w:hideMark/>
          </w:tcPr>
          <w:p w14:paraId="68A36CDB"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Nov SC RSO1.6 za namene STEP</w:t>
            </w:r>
          </w:p>
        </w:tc>
      </w:tr>
      <w:tr w:rsidR="00F601AA" w:rsidRPr="00F601AA" w14:paraId="6FB1C24F" w14:textId="77777777" w:rsidTr="00C57B56">
        <w:trPr>
          <w:trHeight w:val="300"/>
          <w:jc w:val="center"/>
        </w:trPr>
        <w:tc>
          <w:tcPr>
            <w:tcW w:w="562" w:type="dxa"/>
            <w:shd w:val="clear" w:color="auto" w:fill="auto"/>
            <w:noWrap/>
            <w:vAlign w:val="bottom"/>
            <w:hideMark/>
          </w:tcPr>
          <w:p w14:paraId="27FB24E1"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2</w:t>
            </w:r>
          </w:p>
        </w:tc>
        <w:tc>
          <w:tcPr>
            <w:tcW w:w="1133" w:type="dxa"/>
            <w:shd w:val="clear" w:color="auto" w:fill="auto"/>
            <w:noWrap/>
            <w:vAlign w:val="bottom"/>
            <w:hideMark/>
          </w:tcPr>
          <w:p w14:paraId="68C29A30"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RSO 1.5</w:t>
            </w:r>
          </w:p>
        </w:tc>
        <w:tc>
          <w:tcPr>
            <w:tcW w:w="709" w:type="dxa"/>
            <w:shd w:val="clear" w:color="auto" w:fill="auto"/>
            <w:noWrap/>
            <w:vAlign w:val="bottom"/>
            <w:hideMark/>
          </w:tcPr>
          <w:p w14:paraId="0CA20419"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ESRR</w:t>
            </w:r>
          </w:p>
        </w:tc>
        <w:tc>
          <w:tcPr>
            <w:tcW w:w="1126" w:type="dxa"/>
            <w:shd w:val="clear" w:color="auto" w:fill="auto"/>
            <w:noWrap/>
            <w:vAlign w:val="bottom"/>
            <w:hideMark/>
          </w:tcPr>
          <w:p w14:paraId="3E83F2B2"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Vzhod</w:t>
            </w:r>
          </w:p>
        </w:tc>
        <w:tc>
          <w:tcPr>
            <w:tcW w:w="1420" w:type="dxa"/>
            <w:shd w:val="clear" w:color="auto" w:fill="auto"/>
            <w:noWrap/>
            <w:vAlign w:val="bottom"/>
            <w:hideMark/>
          </w:tcPr>
          <w:p w14:paraId="670278AB"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15.584.000</w:t>
            </w:r>
          </w:p>
        </w:tc>
        <w:tc>
          <w:tcPr>
            <w:tcW w:w="1427" w:type="dxa"/>
            <w:shd w:val="clear" w:color="auto" w:fill="auto"/>
            <w:noWrap/>
            <w:vAlign w:val="bottom"/>
            <w:hideMark/>
          </w:tcPr>
          <w:p w14:paraId="64DC2870" w14:textId="77777777" w:rsidR="00F601AA" w:rsidRPr="00AB429E" w:rsidRDefault="00F601AA" w:rsidP="00F601AA">
            <w:pPr>
              <w:suppressAutoHyphens w:val="0"/>
              <w:autoSpaceDN/>
              <w:spacing w:after="0" w:line="240" w:lineRule="auto"/>
              <w:rPr>
                <w:rFonts w:cs="Arial"/>
                <w:sz w:val="18"/>
                <w:szCs w:val="18"/>
              </w:rPr>
            </w:pPr>
            <w:r w:rsidRPr="00AB429E">
              <w:rPr>
                <w:rFonts w:cs="Arial"/>
                <w:sz w:val="18"/>
                <w:szCs w:val="18"/>
              </w:rPr>
              <w:t> </w:t>
            </w:r>
          </w:p>
        </w:tc>
        <w:tc>
          <w:tcPr>
            <w:tcW w:w="1420" w:type="dxa"/>
            <w:shd w:val="clear" w:color="auto" w:fill="auto"/>
            <w:noWrap/>
            <w:vAlign w:val="bottom"/>
            <w:hideMark/>
          </w:tcPr>
          <w:p w14:paraId="6D08353D"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15.584.000</w:t>
            </w:r>
          </w:p>
        </w:tc>
        <w:tc>
          <w:tcPr>
            <w:tcW w:w="1547" w:type="dxa"/>
            <w:shd w:val="clear" w:color="auto" w:fill="auto"/>
            <w:noWrap/>
            <w:vAlign w:val="bottom"/>
            <w:hideMark/>
          </w:tcPr>
          <w:p w14:paraId="6EEF5C38"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 </w:t>
            </w:r>
          </w:p>
        </w:tc>
      </w:tr>
      <w:tr w:rsidR="00F601AA" w:rsidRPr="00F601AA" w14:paraId="0B5C6331" w14:textId="77777777" w:rsidTr="00C57B56">
        <w:trPr>
          <w:trHeight w:val="300"/>
          <w:jc w:val="center"/>
        </w:trPr>
        <w:tc>
          <w:tcPr>
            <w:tcW w:w="562" w:type="dxa"/>
            <w:shd w:val="clear" w:color="auto" w:fill="auto"/>
            <w:noWrap/>
            <w:vAlign w:val="bottom"/>
            <w:hideMark/>
          </w:tcPr>
          <w:p w14:paraId="1178352E"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2</w:t>
            </w:r>
          </w:p>
        </w:tc>
        <w:tc>
          <w:tcPr>
            <w:tcW w:w="1133" w:type="dxa"/>
            <w:shd w:val="clear" w:color="auto" w:fill="auto"/>
            <w:noWrap/>
            <w:vAlign w:val="bottom"/>
            <w:hideMark/>
          </w:tcPr>
          <w:p w14:paraId="4B9CEF84"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RSO 1.5</w:t>
            </w:r>
          </w:p>
        </w:tc>
        <w:tc>
          <w:tcPr>
            <w:tcW w:w="709" w:type="dxa"/>
            <w:shd w:val="clear" w:color="auto" w:fill="auto"/>
            <w:noWrap/>
            <w:vAlign w:val="bottom"/>
            <w:hideMark/>
          </w:tcPr>
          <w:p w14:paraId="5E9D7192"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ESRR</w:t>
            </w:r>
          </w:p>
        </w:tc>
        <w:tc>
          <w:tcPr>
            <w:tcW w:w="1126" w:type="dxa"/>
            <w:shd w:val="clear" w:color="auto" w:fill="auto"/>
            <w:noWrap/>
            <w:vAlign w:val="bottom"/>
            <w:hideMark/>
          </w:tcPr>
          <w:p w14:paraId="591AC6FA"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Zahod</w:t>
            </w:r>
          </w:p>
        </w:tc>
        <w:tc>
          <w:tcPr>
            <w:tcW w:w="1420" w:type="dxa"/>
            <w:shd w:val="clear" w:color="auto" w:fill="auto"/>
            <w:noWrap/>
            <w:vAlign w:val="bottom"/>
            <w:hideMark/>
          </w:tcPr>
          <w:p w14:paraId="735055F6"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4.078.744</w:t>
            </w:r>
          </w:p>
        </w:tc>
        <w:tc>
          <w:tcPr>
            <w:tcW w:w="1427" w:type="dxa"/>
            <w:shd w:val="clear" w:color="auto" w:fill="auto"/>
            <w:noWrap/>
            <w:vAlign w:val="bottom"/>
            <w:hideMark/>
          </w:tcPr>
          <w:p w14:paraId="6BFEA2D8" w14:textId="77777777" w:rsidR="00F601AA" w:rsidRPr="00AB429E" w:rsidRDefault="00F601AA" w:rsidP="00F601AA">
            <w:pPr>
              <w:suppressAutoHyphens w:val="0"/>
              <w:autoSpaceDN/>
              <w:spacing w:after="0" w:line="240" w:lineRule="auto"/>
              <w:rPr>
                <w:rFonts w:cs="Arial"/>
                <w:sz w:val="18"/>
                <w:szCs w:val="18"/>
              </w:rPr>
            </w:pPr>
            <w:r w:rsidRPr="00AB429E">
              <w:rPr>
                <w:rFonts w:cs="Arial"/>
                <w:sz w:val="18"/>
                <w:szCs w:val="18"/>
              </w:rPr>
              <w:t> </w:t>
            </w:r>
          </w:p>
        </w:tc>
        <w:tc>
          <w:tcPr>
            <w:tcW w:w="1420" w:type="dxa"/>
            <w:shd w:val="clear" w:color="auto" w:fill="auto"/>
            <w:noWrap/>
            <w:vAlign w:val="bottom"/>
            <w:hideMark/>
          </w:tcPr>
          <w:p w14:paraId="22BA28A3"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4.078.744</w:t>
            </w:r>
          </w:p>
        </w:tc>
        <w:tc>
          <w:tcPr>
            <w:tcW w:w="1547" w:type="dxa"/>
            <w:shd w:val="clear" w:color="auto" w:fill="auto"/>
            <w:noWrap/>
            <w:vAlign w:val="bottom"/>
            <w:hideMark/>
          </w:tcPr>
          <w:p w14:paraId="5AB5CBE8"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 </w:t>
            </w:r>
          </w:p>
        </w:tc>
      </w:tr>
      <w:tr w:rsidR="00F601AA" w:rsidRPr="00F601AA" w14:paraId="6DD381E7" w14:textId="77777777" w:rsidTr="00C57B56">
        <w:trPr>
          <w:trHeight w:val="300"/>
          <w:jc w:val="center"/>
        </w:trPr>
        <w:tc>
          <w:tcPr>
            <w:tcW w:w="562" w:type="dxa"/>
            <w:shd w:val="clear" w:color="auto" w:fill="auto"/>
            <w:noWrap/>
            <w:vAlign w:val="bottom"/>
            <w:hideMark/>
          </w:tcPr>
          <w:p w14:paraId="72561575"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3</w:t>
            </w:r>
          </w:p>
        </w:tc>
        <w:tc>
          <w:tcPr>
            <w:tcW w:w="1133" w:type="dxa"/>
            <w:shd w:val="clear" w:color="auto" w:fill="auto"/>
            <w:noWrap/>
            <w:vAlign w:val="bottom"/>
            <w:hideMark/>
          </w:tcPr>
          <w:p w14:paraId="6B820E5B"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RSO 2.1</w:t>
            </w:r>
          </w:p>
        </w:tc>
        <w:tc>
          <w:tcPr>
            <w:tcW w:w="709" w:type="dxa"/>
            <w:shd w:val="clear" w:color="auto" w:fill="auto"/>
            <w:noWrap/>
            <w:vAlign w:val="bottom"/>
            <w:hideMark/>
          </w:tcPr>
          <w:p w14:paraId="776DA5C7"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ESRR</w:t>
            </w:r>
          </w:p>
        </w:tc>
        <w:tc>
          <w:tcPr>
            <w:tcW w:w="1126" w:type="dxa"/>
            <w:shd w:val="clear" w:color="auto" w:fill="auto"/>
            <w:noWrap/>
            <w:vAlign w:val="bottom"/>
            <w:hideMark/>
          </w:tcPr>
          <w:p w14:paraId="447DB2B6"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Vzhod</w:t>
            </w:r>
          </w:p>
        </w:tc>
        <w:tc>
          <w:tcPr>
            <w:tcW w:w="1420" w:type="dxa"/>
            <w:shd w:val="clear" w:color="auto" w:fill="auto"/>
            <w:noWrap/>
            <w:vAlign w:val="bottom"/>
            <w:hideMark/>
          </w:tcPr>
          <w:p w14:paraId="253DCDDB"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32.539.537</w:t>
            </w:r>
          </w:p>
        </w:tc>
        <w:tc>
          <w:tcPr>
            <w:tcW w:w="1427" w:type="dxa"/>
            <w:shd w:val="clear" w:color="auto" w:fill="auto"/>
            <w:noWrap/>
            <w:vAlign w:val="bottom"/>
            <w:hideMark/>
          </w:tcPr>
          <w:p w14:paraId="4F0F06F3" w14:textId="77777777" w:rsidR="00F601AA" w:rsidRPr="00AB429E" w:rsidRDefault="00F601AA" w:rsidP="00F601AA">
            <w:pPr>
              <w:suppressAutoHyphens w:val="0"/>
              <w:autoSpaceDN/>
              <w:spacing w:after="0" w:line="240" w:lineRule="auto"/>
              <w:rPr>
                <w:rFonts w:cs="Arial"/>
                <w:sz w:val="18"/>
                <w:szCs w:val="18"/>
              </w:rPr>
            </w:pPr>
            <w:r w:rsidRPr="00AB429E">
              <w:rPr>
                <w:rFonts w:cs="Arial"/>
                <w:sz w:val="18"/>
                <w:szCs w:val="18"/>
              </w:rPr>
              <w:t> </w:t>
            </w:r>
          </w:p>
        </w:tc>
        <w:tc>
          <w:tcPr>
            <w:tcW w:w="1420" w:type="dxa"/>
            <w:shd w:val="clear" w:color="auto" w:fill="auto"/>
            <w:noWrap/>
            <w:vAlign w:val="bottom"/>
            <w:hideMark/>
          </w:tcPr>
          <w:p w14:paraId="0E8A818E"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32.539.537</w:t>
            </w:r>
          </w:p>
        </w:tc>
        <w:tc>
          <w:tcPr>
            <w:tcW w:w="1547" w:type="dxa"/>
            <w:shd w:val="clear" w:color="auto" w:fill="auto"/>
            <w:noWrap/>
            <w:vAlign w:val="bottom"/>
            <w:hideMark/>
          </w:tcPr>
          <w:p w14:paraId="7298DFED"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 </w:t>
            </w:r>
          </w:p>
        </w:tc>
      </w:tr>
      <w:tr w:rsidR="00F601AA" w:rsidRPr="00F601AA" w14:paraId="23672DC4" w14:textId="77777777" w:rsidTr="00C57B56">
        <w:trPr>
          <w:trHeight w:val="300"/>
          <w:jc w:val="center"/>
        </w:trPr>
        <w:tc>
          <w:tcPr>
            <w:tcW w:w="562" w:type="dxa"/>
            <w:shd w:val="clear" w:color="auto" w:fill="auto"/>
            <w:noWrap/>
            <w:vAlign w:val="bottom"/>
            <w:hideMark/>
          </w:tcPr>
          <w:p w14:paraId="662B7007"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3</w:t>
            </w:r>
          </w:p>
        </w:tc>
        <w:tc>
          <w:tcPr>
            <w:tcW w:w="1133" w:type="dxa"/>
            <w:shd w:val="clear" w:color="auto" w:fill="auto"/>
            <w:noWrap/>
            <w:vAlign w:val="bottom"/>
            <w:hideMark/>
          </w:tcPr>
          <w:p w14:paraId="2B75B926"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RSO 2.1</w:t>
            </w:r>
          </w:p>
        </w:tc>
        <w:tc>
          <w:tcPr>
            <w:tcW w:w="709" w:type="dxa"/>
            <w:shd w:val="clear" w:color="auto" w:fill="auto"/>
            <w:noWrap/>
            <w:vAlign w:val="bottom"/>
            <w:hideMark/>
          </w:tcPr>
          <w:p w14:paraId="5E4CC344"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ESRR</w:t>
            </w:r>
          </w:p>
        </w:tc>
        <w:tc>
          <w:tcPr>
            <w:tcW w:w="1126" w:type="dxa"/>
            <w:shd w:val="clear" w:color="auto" w:fill="auto"/>
            <w:noWrap/>
            <w:vAlign w:val="bottom"/>
            <w:hideMark/>
          </w:tcPr>
          <w:p w14:paraId="41EBE716"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Zahod</w:t>
            </w:r>
          </w:p>
        </w:tc>
        <w:tc>
          <w:tcPr>
            <w:tcW w:w="1420" w:type="dxa"/>
            <w:shd w:val="clear" w:color="auto" w:fill="auto"/>
            <w:noWrap/>
            <w:vAlign w:val="bottom"/>
            <w:hideMark/>
          </w:tcPr>
          <w:p w14:paraId="120D199A"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10.675.896</w:t>
            </w:r>
          </w:p>
        </w:tc>
        <w:tc>
          <w:tcPr>
            <w:tcW w:w="1427" w:type="dxa"/>
            <w:shd w:val="clear" w:color="auto" w:fill="auto"/>
            <w:noWrap/>
            <w:vAlign w:val="bottom"/>
            <w:hideMark/>
          </w:tcPr>
          <w:p w14:paraId="1B9BDDEC" w14:textId="77777777" w:rsidR="00F601AA" w:rsidRPr="00AB429E" w:rsidRDefault="00F601AA" w:rsidP="00F601AA">
            <w:pPr>
              <w:suppressAutoHyphens w:val="0"/>
              <w:autoSpaceDN/>
              <w:spacing w:after="0" w:line="240" w:lineRule="auto"/>
              <w:rPr>
                <w:rFonts w:cs="Arial"/>
                <w:sz w:val="18"/>
                <w:szCs w:val="18"/>
              </w:rPr>
            </w:pPr>
            <w:r w:rsidRPr="00AB429E">
              <w:rPr>
                <w:rFonts w:cs="Arial"/>
                <w:sz w:val="18"/>
                <w:szCs w:val="18"/>
              </w:rPr>
              <w:t> </w:t>
            </w:r>
          </w:p>
        </w:tc>
        <w:tc>
          <w:tcPr>
            <w:tcW w:w="1420" w:type="dxa"/>
            <w:shd w:val="clear" w:color="auto" w:fill="auto"/>
            <w:noWrap/>
            <w:vAlign w:val="bottom"/>
            <w:hideMark/>
          </w:tcPr>
          <w:p w14:paraId="459D6A52"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10.675.896</w:t>
            </w:r>
          </w:p>
        </w:tc>
        <w:tc>
          <w:tcPr>
            <w:tcW w:w="1547" w:type="dxa"/>
            <w:shd w:val="clear" w:color="auto" w:fill="auto"/>
            <w:noWrap/>
            <w:vAlign w:val="bottom"/>
            <w:hideMark/>
          </w:tcPr>
          <w:p w14:paraId="43049F7C"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 </w:t>
            </w:r>
          </w:p>
        </w:tc>
      </w:tr>
      <w:tr w:rsidR="00F601AA" w:rsidRPr="00F601AA" w14:paraId="22E88A5F" w14:textId="77777777" w:rsidTr="00C57B56">
        <w:trPr>
          <w:trHeight w:val="300"/>
          <w:jc w:val="center"/>
        </w:trPr>
        <w:tc>
          <w:tcPr>
            <w:tcW w:w="562" w:type="dxa"/>
            <w:shd w:val="clear" w:color="auto" w:fill="auto"/>
            <w:noWrap/>
            <w:vAlign w:val="bottom"/>
            <w:hideMark/>
          </w:tcPr>
          <w:p w14:paraId="48538A40"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3</w:t>
            </w:r>
          </w:p>
        </w:tc>
        <w:tc>
          <w:tcPr>
            <w:tcW w:w="1133" w:type="dxa"/>
            <w:shd w:val="clear" w:color="auto" w:fill="auto"/>
            <w:noWrap/>
            <w:vAlign w:val="bottom"/>
            <w:hideMark/>
          </w:tcPr>
          <w:p w14:paraId="47EB8F1E"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RSO 2.1</w:t>
            </w:r>
          </w:p>
        </w:tc>
        <w:tc>
          <w:tcPr>
            <w:tcW w:w="709" w:type="dxa"/>
            <w:shd w:val="clear" w:color="auto" w:fill="auto"/>
            <w:noWrap/>
            <w:vAlign w:val="bottom"/>
            <w:hideMark/>
          </w:tcPr>
          <w:p w14:paraId="32DE51E2"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KS</w:t>
            </w:r>
          </w:p>
        </w:tc>
        <w:tc>
          <w:tcPr>
            <w:tcW w:w="1126" w:type="dxa"/>
            <w:shd w:val="clear" w:color="auto" w:fill="auto"/>
            <w:noWrap/>
            <w:vAlign w:val="bottom"/>
            <w:hideMark/>
          </w:tcPr>
          <w:p w14:paraId="15F818BB"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Celotna SI</w:t>
            </w:r>
          </w:p>
        </w:tc>
        <w:tc>
          <w:tcPr>
            <w:tcW w:w="1420" w:type="dxa"/>
            <w:shd w:val="clear" w:color="auto" w:fill="auto"/>
            <w:noWrap/>
            <w:vAlign w:val="bottom"/>
            <w:hideMark/>
          </w:tcPr>
          <w:p w14:paraId="69D9784D"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59.470.000</w:t>
            </w:r>
          </w:p>
        </w:tc>
        <w:tc>
          <w:tcPr>
            <w:tcW w:w="1427" w:type="dxa"/>
            <w:shd w:val="clear" w:color="auto" w:fill="auto"/>
            <w:noWrap/>
            <w:vAlign w:val="bottom"/>
            <w:hideMark/>
          </w:tcPr>
          <w:p w14:paraId="56E90EEB" w14:textId="77777777" w:rsidR="00F601AA" w:rsidRPr="00AB429E" w:rsidRDefault="00F601AA" w:rsidP="00F601AA">
            <w:pPr>
              <w:suppressAutoHyphens w:val="0"/>
              <w:autoSpaceDN/>
              <w:spacing w:after="0" w:line="240" w:lineRule="auto"/>
              <w:rPr>
                <w:rFonts w:cs="Arial"/>
                <w:sz w:val="18"/>
                <w:szCs w:val="18"/>
              </w:rPr>
            </w:pPr>
            <w:r w:rsidRPr="00AB429E">
              <w:rPr>
                <w:rFonts w:cs="Arial"/>
                <w:sz w:val="18"/>
                <w:szCs w:val="18"/>
              </w:rPr>
              <w:t> </w:t>
            </w:r>
          </w:p>
        </w:tc>
        <w:tc>
          <w:tcPr>
            <w:tcW w:w="1420" w:type="dxa"/>
            <w:shd w:val="clear" w:color="auto" w:fill="auto"/>
            <w:noWrap/>
            <w:vAlign w:val="bottom"/>
            <w:hideMark/>
          </w:tcPr>
          <w:p w14:paraId="45EE2B42"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59.470.000</w:t>
            </w:r>
          </w:p>
        </w:tc>
        <w:tc>
          <w:tcPr>
            <w:tcW w:w="1547" w:type="dxa"/>
            <w:shd w:val="clear" w:color="auto" w:fill="auto"/>
            <w:noWrap/>
            <w:vAlign w:val="bottom"/>
            <w:hideMark/>
          </w:tcPr>
          <w:p w14:paraId="5CFE4D4E"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 </w:t>
            </w:r>
          </w:p>
        </w:tc>
      </w:tr>
      <w:tr w:rsidR="00F601AA" w:rsidRPr="00F601AA" w14:paraId="7B6FC253" w14:textId="77777777" w:rsidTr="00C57B56">
        <w:trPr>
          <w:trHeight w:val="300"/>
          <w:jc w:val="center"/>
        </w:trPr>
        <w:tc>
          <w:tcPr>
            <w:tcW w:w="562" w:type="dxa"/>
            <w:shd w:val="clear" w:color="auto" w:fill="auto"/>
            <w:noWrap/>
            <w:vAlign w:val="bottom"/>
            <w:hideMark/>
          </w:tcPr>
          <w:p w14:paraId="4E111A9B"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3</w:t>
            </w:r>
          </w:p>
        </w:tc>
        <w:tc>
          <w:tcPr>
            <w:tcW w:w="1133" w:type="dxa"/>
            <w:shd w:val="clear" w:color="auto" w:fill="auto"/>
            <w:noWrap/>
            <w:vAlign w:val="bottom"/>
            <w:hideMark/>
          </w:tcPr>
          <w:p w14:paraId="013679B7"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RSO 2.2</w:t>
            </w:r>
          </w:p>
        </w:tc>
        <w:tc>
          <w:tcPr>
            <w:tcW w:w="709" w:type="dxa"/>
            <w:shd w:val="clear" w:color="auto" w:fill="auto"/>
            <w:noWrap/>
            <w:vAlign w:val="bottom"/>
            <w:hideMark/>
          </w:tcPr>
          <w:p w14:paraId="21E806F2"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ESRR</w:t>
            </w:r>
          </w:p>
        </w:tc>
        <w:tc>
          <w:tcPr>
            <w:tcW w:w="1126" w:type="dxa"/>
            <w:shd w:val="clear" w:color="auto" w:fill="auto"/>
            <w:noWrap/>
            <w:vAlign w:val="bottom"/>
            <w:hideMark/>
          </w:tcPr>
          <w:p w14:paraId="5D5F44DC"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Vzhod</w:t>
            </w:r>
          </w:p>
        </w:tc>
        <w:tc>
          <w:tcPr>
            <w:tcW w:w="1420" w:type="dxa"/>
            <w:shd w:val="clear" w:color="auto" w:fill="auto"/>
            <w:noWrap/>
            <w:vAlign w:val="bottom"/>
            <w:hideMark/>
          </w:tcPr>
          <w:p w14:paraId="2AE19430"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80.052.114</w:t>
            </w:r>
          </w:p>
        </w:tc>
        <w:tc>
          <w:tcPr>
            <w:tcW w:w="1427" w:type="dxa"/>
            <w:shd w:val="clear" w:color="auto" w:fill="auto"/>
            <w:noWrap/>
            <w:vAlign w:val="bottom"/>
            <w:hideMark/>
          </w:tcPr>
          <w:p w14:paraId="2AFEB295" w14:textId="77777777" w:rsidR="00F601AA" w:rsidRPr="00AB429E" w:rsidRDefault="00F601AA" w:rsidP="00F601AA">
            <w:pPr>
              <w:suppressAutoHyphens w:val="0"/>
              <w:autoSpaceDN/>
              <w:spacing w:after="0" w:line="240" w:lineRule="auto"/>
              <w:rPr>
                <w:rFonts w:cs="Arial"/>
                <w:sz w:val="18"/>
                <w:szCs w:val="18"/>
              </w:rPr>
            </w:pPr>
            <w:r w:rsidRPr="00AB429E">
              <w:rPr>
                <w:rFonts w:cs="Arial"/>
                <w:sz w:val="18"/>
                <w:szCs w:val="18"/>
              </w:rPr>
              <w:t> </w:t>
            </w:r>
          </w:p>
        </w:tc>
        <w:tc>
          <w:tcPr>
            <w:tcW w:w="1420" w:type="dxa"/>
            <w:shd w:val="clear" w:color="auto" w:fill="auto"/>
            <w:noWrap/>
            <w:vAlign w:val="bottom"/>
            <w:hideMark/>
          </w:tcPr>
          <w:p w14:paraId="0815BA00"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80.052.114</w:t>
            </w:r>
          </w:p>
        </w:tc>
        <w:tc>
          <w:tcPr>
            <w:tcW w:w="1547" w:type="dxa"/>
            <w:shd w:val="clear" w:color="auto" w:fill="auto"/>
            <w:noWrap/>
            <w:vAlign w:val="bottom"/>
            <w:hideMark/>
          </w:tcPr>
          <w:p w14:paraId="448D4A7F"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 </w:t>
            </w:r>
          </w:p>
        </w:tc>
      </w:tr>
      <w:tr w:rsidR="00F601AA" w:rsidRPr="00F601AA" w14:paraId="4C6DA307" w14:textId="77777777" w:rsidTr="00C57B56">
        <w:trPr>
          <w:trHeight w:val="300"/>
          <w:jc w:val="center"/>
        </w:trPr>
        <w:tc>
          <w:tcPr>
            <w:tcW w:w="562" w:type="dxa"/>
            <w:shd w:val="clear" w:color="auto" w:fill="auto"/>
            <w:noWrap/>
            <w:vAlign w:val="bottom"/>
            <w:hideMark/>
          </w:tcPr>
          <w:p w14:paraId="097EE257"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3</w:t>
            </w:r>
          </w:p>
        </w:tc>
        <w:tc>
          <w:tcPr>
            <w:tcW w:w="1133" w:type="dxa"/>
            <w:shd w:val="clear" w:color="auto" w:fill="auto"/>
            <w:noWrap/>
            <w:vAlign w:val="bottom"/>
            <w:hideMark/>
          </w:tcPr>
          <w:p w14:paraId="63BDE491"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RSO 2.2</w:t>
            </w:r>
          </w:p>
        </w:tc>
        <w:tc>
          <w:tcPr>
            <w:tcW w:w="709" w:type="dxa"/>
            <w:shd w:val="clear" w:color="auto" w:fill="auto"/>
            <w:noWrap/>
            <w:vAlign w:val="bottom"/>
            <w:hideMark/>
          </w:tcPr>
          <w:p w14:paraId="06F67B07"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ESRR</w:t>
            </w:r>
          </w:p>
        </w:tc>
        <w:tc>
          <w:tcPr>
            <w:tcW w:w="1126" w:type="dxa"/>
            <w:shd w:val="clear" w:color="auto" w:fill="auto"/>
            <w:noWrap/>
            <w:vAlign w:val="bottom"/>
            <w:hideMark/>
          </w:tcPr>
          <w:p w14:paraId="38DA61AF"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Zahod</w:t>
            </w:r>
          </w:p>
        </w:tc>
        <w:tc>
          <w:tcPr>
            <w:tcW w:w="1420" w:type="dxa"/>
            <w:shd w:val="clear" w:color="auto" w:fill="auto"/>
            <w:noWrap/>
            <w:vAlign w:val="bottom"/>
            <w:hideMark/>
          </w:tcPr>
          <w:p w14:paraId="2CE23B82"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21.171.613</w:t>
            </w:r>
          </w:p>
        </w:tc>
        <w:tc>
          <w:tcPr>
            <w:tcW w:w="1427" w:type="dxa"/>
            <w:shd w:val="clear" w:color="auto" w:fill="auto"/>
            <w:noWrap/>
            <w:vAlign w:val="bottom"/>
            <w:hideMark/>
          </w:tcPr>
          <w:p w14:paraId="7E11C842"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-4.000.000</w:t>
            </w:r>
          </w:p>
        </w:tc>
        <w:tc>
          <w:tcPr>
            <w:tcW w:w="1420" w:type="dxa"/>
            <w:shd w:val="clear" w:color="auto" w:fill="auto"/>
            <w:noWrap/>
            <w:vAlign w:val="bottom"/>
            <w:hideMark/>
          </w:tcPr>
          <w:p w14:paraId="0B3C8A9C"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17.171.613</w:t>
            </w:r>
          </w:p>
        </w:tc>
        <w:tc>
          <w:tcPr>
            <w:tcW w:w="1547" w:type="dxa"/>
            <w:shd w:val="clear" w:color="auto" w:fill="auto"/>
            <w:noWrap/>
            <w:vAlign w:val="bottom"/>
            <w:hideMark/>
          </w:tcPr>
          <w:p w14:paraId="2C9E3540"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Prenos na nov SC RSO1.6</w:t>
            </w:r>
          </w:p>
        </w:tc>
      </w:tr>
      <w:tr w:rsidR="00F601AA" w:rsidRPr="00F601AA" w14:paraId="51184638" w14:textId="77777777" w:rsidTr="00C57B56">
        <w:trPr>
          <w:trHeight w:val="300"/>
          <w:jc w:val="center"/>
        </w:trPr>
        <w:tc>
          <w:tcPr>
            <w:tcW w:w="562" w:type="dxa"/>
            <w:shd w:val="clear" w:color="auto" w:fill="auto"/>
            <w:noWrap/>
            <w:vAlign w:val="bottom"/>
            <w:hideMark/>
          </w:tcPr>
          <w:p w14:paraId="25142806"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3</w:t>
            </w:r>
          </w:p>
        </w:tc>
        <w:tc>
          <w:tcPr>
            <w:tcW w:w="1133" w:type="dxa"/>
            <w:shd w:val="clear" w:color="auto" w:fill="auto"/>
            <w:noWrap/>
            <w:vAlign w:val="bottom"/>
            <w:hideMark/>
          </w:tcPr>
          <w:p w14:paraId="115037EA"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RSO 2.2</w:t>
            </w:r>
          </w:p>
        </w:tc>
        <w:tc>
          <w:tcPr>
            <w:tcW w:w="709" w:type="dxa"/>
            <w:shd w:val="clear" w:color="auto" w:fill="auto"/>
            <w:noWrap/>
            <w:vAlign w:val="bottom"/>
            <w:hideMark/>
          </w:tcPr>
          <w:p w14:paraId="4D7DB54B"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KS</w:t>
            </w:r>
          </w:p>
        </w:tc>
        <w:tc>
          <w:tcPr>
            <w:tcW w:w="1126" w:type="dxa"/>
            <w:shd w:val="clear" w:color="auto" w:fill="auto"/>
            <w:noWrap/>
            <w:vAlign w:val="bottom"/>
            <w:hideMark/>
          </w:tcPr>
          <w:p w14:paraId="6AA0DB4E"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Celotna SI</w:t>
            </w:r>
          </w:p>
        </w:tc>
        <w:tc>
          <w:tcPr>
            <w:tcW w:w="1420" w:type="dxa"/>
            <w:shd w:val="clear" w:color="auto" w:fill="auto"/>
            <w:noWrap/>
            <w:vAlign w:val="bottom"/>
            <w:hideMark/>
          </w:tcPr>
          <w:p w14:paraId="380A301B"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13.433.041</w:t>
            </w:r>
          </w:p>
        </w:tc>
        <w:tc>
          <w:tcPr>
            <w:tcW w:w="1427" w:type="dxa"/>
            <w:shd w:val="clear" w:color="auto" w:fill="auto"/>
            <w:noWrap/>
            <w:vAlign w:val="bottom"/>
            <w:hideMark/>
          </w:tcPr>
          <w:p w14:paraId="79E43D71" w14:textId="77777777" w:rsidR="00F601AA" w:rsidRPr="00AB429E" w:rsidRDefault="00F601AA" w:rsidP="00F601AA">
            <w:pPr>
              <w:suppressAutoHyphens w:val="0"/>
              <w:autoSpaceDN/>
              <w:spacing w:after="0" w:line="240" w:lineRule="auto"/>
              <w:rPr>
                <w:rFonts w:cs="Arial"/>
                <w:sz w:val="18"/>
                <w:szCs w:val="18"/>
              </w:rPr>
            </w:pPr>
            <w:r w:rsidRPr="00AB429E">
              <w:rPr>
                <w:rFonts w:cs="Arial"/>
                <w:sz w:val="18"/>
                <w:szCs w:val="18"/>
              </w:rPr>
              <w:t> </w:t>
            </w:r>
          </w:p>
        </w:tc>
        <w:tc>
          <w:tcPr>
            <w:tcW w:w="1420" w:type="dxa"/>
            <w:shd w:val="clear" w:color="auto" w:fill="auto"/>
            <w:noWrap/>
            <w:vAlign w:val="bottom"/>
            <w:hideMark/>
          </w:tcPr>
          <w:p w14:paraId="44161CC0"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13.433.041</w:t>
            </w:r>
          </w:p>
        </w:tc>
        <w:tc>
          <w:tcPr>
            <w:tcW w:w="1547" w:type="dxa"/>
            <w:shd w:val="clear" w:color="auto" w:fill="auto"/>
            <w:noWrap/>
            <w:vAlign w:val="bottom"/>
            <w:hideMark/>
          </w:tcPr>
          <w:p w14:paraId="1F59BF9A"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 </w:t>
            </w:r>
          </w:p>
        </w:tc>
      </w:tr>
      <w:tr w:rsidR="00F601AA" w:rsidRPr="00F601AA" w14:paraId="0FAEC2B2" w14:textId="77777777" w:rsidTr="00C57B56">
        <w:trPr>
          <w:trHeight w:val="300"/>
          <w:jc w:val="center"/>
        </w:trPr>
        <w:tc>
          <w:tcPr>
            <w:tcW w:w="562" w:type="dxa"/>
            <w:shd w:val="clear" w:color="auto" w:fill="auto"/>
            <w:noWrap/>
            <w:vAlign w:val="bottom"/>
            <w:hideMark/>
          </w:tcPr>
          <w:p w14:paraId="2B4AB2EE"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3</w:t>
            </w:r>
          </w:p>
        </w:tc>
        <w:tc>
          <w:tcPr>
            <w:tcW w:w="1133" w:type="dxa"/>
            <w:shd w:val="clear" w:color="auto" w:fill="auto"/>
            <w:noWrap/>
            <w:vAlign w:val="bottom"/>
            <w:hideMark/>
          </w:tcPr>
          <w:p w14:paraId="6BBF0D1B"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RSO 2.3</w:t>
            </w:r>
          </w:p>
        </w:tc>
        <w:tc>
          <w:tcPr>
            <w:tcW w:w="709" w:type="dxa"/>
            <w:shd w:val="clear" w:color="auto" w:fill="auto"/>
            <w:noWrap/>
            <w:vAlign w:val="bottom"/>
            <w:hideMark/>
          </w:tcPr>
          <w:p w14:paraId="1B66AAF0"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ESRR</w:t>
            </w:r>
          </w:p>
        </w:tc>
        <w:tc>
          <w:tcPr>
            <w:tcW w:w="1126" w:type="dxa"/>
            <w:shd w:val="clear" w:color="auto" w:fill="auto"/>
            <w:noWrap/>
            <w:vAlign w:val="bottom"/>
            <w:hideMark/>
          </w:tcPr>
          <w:p w14:paraId="4CB882D7"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Vzhod</w:t>
            </w:r>
          </w:p>
        </w:tc>
        <w:tc>
          <w:tcPr>
            <w:tcW w:w="1420" w:type="dxa"/>
            <w:shd w:val="clear" w:color="auto" w:fill="auto"/>
            <w:noWrap/>
            <w:vAlign w:val="bottom"/>
            <w:hideMark/>
          </w:tcPr>
          <w:p w14:paraId="5D806126"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33.002.978</w:t>
            </w:r>
          </w:p>
        </w:tc>
        <w:tc>
          <w:tcPr>
            <w:tcW w:w="1427" w:type="dxa"/>
            <w:shd w:val="clear" w:color="auto" w:fill="auto"/>
            <w:noWrap/>
            <w:vAlign w:val="bottom"/>
            <w:hideMark/>
          </w:tcPr>
          <w:p w14:paraId="211BCFFD"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-14.500.000</w:t>
            </w:r>
          </w:p>
        </w:tc>
        <w:tc>
          <w:tcPr>
            <w:tcW w:w="1420" w:type="dxa"/>
            <w:shd w:val="clear" w:color="auto" w:fill="auto"/>
            <w:noWrap/>
            <w:vAlign w:val="bottom"/>
            <w:hideMark/>
          </w:tcPr>
          <w:p w14:paraId="4306E6F0"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18.502.978</w:t>
            </w:r>
          </w:p>
        </w:tc>
        <w:tc>
          <w:tcPr>
            <w:tcW w:w="1547" w:type="dxa"/>
            <w:shd w:val="clear" w:color="auto" w:fill="auto"/>
            <w:noWrap/>
            <w:vAlign w:val="bottom"/>
            <w:hideMark/>
          </w:tcPr>
          <w:p w14:paraId="7AD670B5"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Prenos na nov SC RSO1.6</w:t>
            </w:r>
          </w:p>
        </w:tc>
      </w:tr>
      <w:tr w:rsidR="00F601AA" w:rsidRPr="00F601AA" w14:paraId="7BFEA29F" w14:textId="77777777" w:rsidTr="00C57B56">
        <w:trPr>
          <w:trHeight w:val="300"/>
          <w:jc w:val="center"/>
        </w:trPr>
        <w:tc>
          <w:tcPr>
            <w:tcW w:w="562" w:type="dxa"/>
            <w:shd w:val="clear" w:color="auto" w:fill="auto"/>
            <w:noWrap/>
            <w:vAlign w:val="bottom"/>
            <w:hideMark/>
          </w:tcPr>
          <w:p w14:paraId="3E6FF2B7"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3</w:t>
            </w:r>
          </w:p>
        </w:tc>
        <w:tc>
          <w:tcPr>
            <w:tcW w:w="1133" w:type="dxa"/>
            <w:shd w:val="clear" w:color="auto" w:fill="auto"/>
            <w:noWrap/>
            <w:vAlign w:val="bottom"/>
            <w:hideMark/>
          </w:tcPr>
          <w:p w14:paraId="67BF3E54"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RSO 2.3</w:t>
            </w:r>
          </w:p>
        </w:tc>
        <w:tc>
          <w:tcPr>
            <w:tcW w:w="709" w:type="dxa"/>
            <w:shd w:val="clear" w:color="auto" w:fill="auto"/>
            <w:noWrap/>
            <w:vAlign w:val="bottom"/>
            <w:hideMark/>
          </w:tcPr>
          <w:p w14:paraId="2EC71347"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ESRR</w:t>
            </w:r>
          </w:p>
        </w:tc>
        <w:tc>
          <w:tcPr>
            <w:tcW w:w="1126" w:type="dxa"/>
            <w:shd w:val="clear" w:color="auto" w:fill="auto"/>
            <w:noWrap/>
            <w:vAlign w:val="bottom"/>
            <w:hideMark/>
          </w:tcPr>
          <w:p w14:paraId="263B60D0"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Zahod</w:t>
            </w:r>
          </w:p>
        </w:tc>
        <w:tc>
          <w:tcPr>
            <w:tcW w:w="1420" w:type="dxa"/>
            <w:shd w:val="clear" w:color="auto" w:fill="auto"/>
            <w:noWrap/>
            <w:vAlign w:val="bottom"/>
            <w:hideMark/>
          </w:tcPr>
          <w:p w14:paraId="4EFDD31E"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5.997.912</w:t>
            </w:r>
          </w:p>
        </w:tc>
        <w:tc>
          <w:tcPr>
            <w:tcW w:w="1427" w:type="dxa"/>
            <w:shd w:val="clear" w:color="auto" w:fill="auto"/>
            <w:noWrap/>
            <w:vAlign w:val="bottom"/>
            <w:hideMark/>
          </w:tcPr>
          <w:p w14:paraId="7A9911A4"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-1.500.000</w:t>
            </w:r>
          </w:p>
        </w:tc>
        <w:tc>
          <w:tcPr>
            <w:tcW w:w="1420" w:type="dxa"/>
            <w:shd w:val="clear" w:color="auto" w:fill="auto"/>
            <w:noWrap/>
            <w:vAlign w:val="bottom"/>
            <w:hideMark/>
          </w:tcPr>
          <w:p w14:paraId="5D46C86C"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4.497.912</w:t>
            </w:r>
          </w:p>
        </w:tc>
        <w:tc>
          <w:tcPr>
            <w:tcW w:w="1547" w:type="dxa"/>
            <w:shd w:val="clear" w:color="auto" w:fill="auto"/>
            <w:noWrap/>
            <w:vAlign w:val="bottom"/>
            <w:hideMark/>
          </w:tcPr>
          <w:p w14:paraId="7F83BD35"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Prenos na nov SC RSO1.6</w:t>
            </w:r>
          </w:p>
        </w:tc>
      </w:tr>
      <w:tr w:rsidR="00F601AA" w:rsidRPr="00F601AA" w14:paraId="77A6B4B3" w14:textId="77777777" w:rsidTr="00C57B56">
        <w:trPr>
          <w:trHeight w:val="300"/>
          <w:jc w:val="center"/>
        </w:trPr>
        <w:tc>
          <w:tcPr>
            <w:tcW w:w="562" w:type="dxa"/>
            <w:shd w:val="clear" w:color="auto" w:fill="auto"/>
            <w:noWrap/>
            <w:vAlign w:val="bottom"/>
            <w:hideMark/>
          </w:tcPr>
          <w:p w14:paraId="72B19E14"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3</w:t>
            </w:r>
          </w:p>
        </w:tc>
        <w:tc>
          <w:tcPr>
            <w:tcW w:w="1133" w:type="dxa"/>
            <w:shd w:val="clear" w:color="auto" w:fill="auto"/>
            <w:noWrap/>
            <w:vAlign w:val="bottom"/>
            <w:hideMark/>
          </w:tcPr>
          <w:p w14:paraId="230A49E5"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RSO 2.3</w:t>
            </w:r>
          </w:p>
        </w:tc>
        <w:tc>
          <w:tcPr>
            <w:tcW w:w="709" w:type="dxa"/>
            <w:shd w:val="clear" w:color="auto" w:fill="auto"/>
            <w:noWrap/>
            <w:vAlign w:val="bottom"/>
            <w:hideMark/>
          </w:tcPr>
          <w:p w14:paraId="5CC1ADEE"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KS</w:t>
            </w:r>
          </w:p>
        </w:tc>
        <w:tc>
          <w:tcPr>
            <w:tcW w:w="1126" w:type="dxa"/>
            <w:shd w:val="clear" w:color="auto" w:fill="auto"/>
            <w:noWrap/>
            <w:vAlign w:val="bottom"/>
            <w:hideMark/>
          </w:tcPr>
          <w:p w14:paraId="0D3A7834"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Celotna SI</w:t>
            </w:r>
          </w:p>
        </w:tc>
        <w:tc>
          <w:tcPr>
            <w:tcW w:w="1420" w:type="dxa"/>
            <w:shd w:val="clear" w:color="auto" w:fill="auto"/>
            <w:noWrap/>
            <w:vAlign w:val="bottom"/>
            <w:hideMark/>
          </w:tcPr>
          <w:p w14:paraId="17221638"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15.000.000</w:t>
            </w:r>
          </w:p>
        </w:tc>
        <w:tc>
          <w:tcPr>
            <w:tcW w:w="1427" w:type="dxa"/>
            <w:shd w:val="clear" w:color="auto" w:fill="auto"/>
            <w:noWrap/>
            <w:vAlign w:val="bottom"/>
            <w:hideMark/>
          </w:tcPr>
          <w:p w14:paraId="11BB2615" w14:textId="77777777" w:rsidR="00F601AA" w:rsidRPr="00AB429E" w:rsidRDefault="00F601AA" w:rsidP="00F601AA">
            <w:pPr>
              <w:suppressAutoHyphens w:val="0"/>
              <w:autoSpaceDN/>
              <w:spacing w:after="0" w:line="240" w:lineRule="auto"/>
              <w:rPr>
                <w:rFonts w:cs="Arial"/>
                <w:sz w:val="18"/>
                <w:szCs w:val="18"/>
              </w:rPr>
            </w:pPr>
            <w:r w:rsidRPr="00AB429E">
              <w:rPr>
                <w:rFonts w:cs="Arial"/>
                <w:sz w:val="18"/>
                <w:szCs w:val="18"/>
              </w:rPr>
              <w:t> </w:t>
            </w:r>
          </w:p>
        </w:tc>
        <w:tc>
          <w:tcPr>
            <w:tcW w:w="1420" w:type="dxa"/>
            <w:shd w:val="clear" w:color="auto" w:fill="auto"/>
            <w:noWrap/>
            <w:vAlign w:val="bottom"/>
            <w:hideMark/>
          </w:tcPr>
          <w:p w14:paraId="53B0AEE5"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15.000.000</w:t>
            </w:r>
          </w:p>
        </w:tc>
        <w:tc>
          <w:tcPr>
            <w:tcW w:w="1547" w:type="dxa"/>
            <w:shd w:val="clear" w:color="auto" w:fill="auto"/>
            <w:noWrap/>
            <w:vAlign w:val="bottom"/>
            <w:hideMark/>
          </w:tcPr>
          <w:p w14:paraId="3C327B08"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 </w:t>
            </w:r>
          </w:p>
        </w:tc>
      </w:tr>
      <w:tr w:rsidR="00F601AA" w:rsidRPr="00F601AA" w14:paraId="5D622BC4" w14:textId="77777777" w:rsidTr="00C57B56">
        <w:trPr>
          <w:trHeight w:val="300"/>
          <w:jc w:val="center"/>
        </w:trPr>
        <w:tc>
          <w:tcPr>
            <w:tcW w:w="562" w:type="dxa"/>
            <w:shd w:val="clear" w:color="auto" w:fill="auto"/>
            <w:noWrap/>
            <w:vAlign w:val="bottom"/>
            <w:hideMark/>
          </w:tcPr>
          <w:p w14:paraId="516F2C37"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lastRenderedPageBreak/>
              <w:t>3</w:t>
            </w:r>
          </w:p>
        </w:tc>
        <w:tc>
          <w:tcPr>
            <w:tcW w:w="1133" w:type="dxa"/>
            <w:shd w:val="clear" w:color="auto" w:fill="auto"/>
            <w:noWrap/>
            <w:vAlign w:val="bottom"/>
            <w:hideMark/>
          </w:tcPr>
          <w:p w14:paraId="3100171E"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RSO 2.4</w:t>
            </w:r>
          </w:p>
        </w:tc>
        <w:tc>
          <w:tcPr>
            <w:tcW w:w="709" w:type="dxa"/>
            <w:shd w:val="clear" w:color="auto" w:fill="auto"/>
            <w:noWrap/>
            <w:vAlign w:val="bottom"/>
            <w:hideMark/>
          </w:tcPr>
          <w:p w14:paraId="6B83AB45"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ESRR</w:t>
            </w:r>
          </w:p>
        </w:tc>
        <w:tc>
          <w:tcPr>
            <w:tcW w:w="1126" w:type="dxa"/>
            <w:shd w:val="clear" w:color="auto" w:fill="auto"/>
            <w:noWrap/>
            <w:vAlign w:val="bottom"/>
            <w:hideMark/>
          </w:tcPr>
          <w:p w14:paraId="354E59F2"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Vzhod</w:t>
            </w:r>
          </w:p>
        </w:tc>
        <w:tc>
          <w:tcPr>
            <w:tcW w:w="1420" w:type="dxa"/>
            <w:shd w:val="clear" w:color="auto" w:fill="auto"/>
            <w:noWrap/>
            <w:vAlign w:val="bottom"/>
            <w:hideMark/>
          </w:tcPr>
          <w:p w14:paraId="19DD77B3"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109.313.122</w:t>
            </w:r>
          </w:p>
        </w:tc>
        <w:tc>
          <w:tcPr>
            <w:tcW w:w="1427" w:type="dxa"/>
            <w:shd w:val="clear" w:color="auto" w:fill="auto"/>
            <w:noWrap/>
            <w:vAlign w:val="bottom"/>
            <w:hideMark/>
          </w:tcPr>
          <w:p w14:paraId="6045DF3F" w14:textId="77777777" w:rsidR="00F601AA" w:rsidRPr="00AB429E" w:rsidRDefault="00F601AA" w:rsidP="00F601AA">
            <w:pPr>
              <w:suppressAutoHyphens w:val="0"/>
              <w:autoSpaceDN/>
              <w:spacing w:after="0" w:line="240" w:lineRule="auto"/>
              <w:rPr>
                <w:rFonts w:cs="Arial"/>
                <w:sz w:val="18"/>
                <w:szCs w:val="18"/>
              </w:rPr>
            </w:pPr>
            <w:r w:rsidRPr="00AB429E">
              <w:rPr>
                <w:rFonts w:cs="Arial"/>
                <w:sz w:val="18"/>
                <w:szCs w:val="18"/>
              </w:rPr>
              <w:t> </w:t>
            </w:r>
          </w:p>
        </w:tc>
        <w:tc>
          <w:tcPr>
            <w:tcW w:w="1420" w:type="dxa"/>
            <w:shd w:val="clear" w:color="auto" w:fill="auto"/>
            <w:noWrap/>
            <w:vAlign w:val="bottom"/>
            <w:hideMark/>
          </w:tcPr>
          <w:p w14:paraId="73927031"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109.313.122</w:t>
            </w:r>
          </w:p>
        </w:tc>
        <w:tc>
          <w:tcPr>
            <w:tcW w:w="1547" w:type="dxa"/>
            <w:shd w:val="clear" w:color="auto" w:fill="auto"/>
            <w:noWrap/>
            <w:vAlign w:val="bottom"/>
            <w:hideMark/>
          </w:tcPr>
          <w:p w14:paraId="53E6EEC0"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 </w:t>
            </w:r>
          </w:p>
        </w:tc>
      </w:tr>
      <w:tr w:rsidR="00F601AA" w:rsidRPr="00F601AA" w14:paraId="3E56CB7F" w14:textId="77777777" w:rsidTr="00C57B56">
        <w:trPr>
          <w:trHeight w:val="300"/>
          <w:jc w:val="center"/>
        </w:trPr>
        <w:tc>
          <w:tcPr>
            <w:tcW w:w="562" w:type="dxa"/>
            <w:shd w:val="clear" w:color="auto" w:fill="auto"/>
            <w:noWrap/>
            <w:vAlign w:val="bottom"/>
          </w:tcPr>
          <w:p w14:paraId="1A35ED40"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3</w:t>
            </w:r>
          </w:p>
        </w:tc>
        <w:tc>
          <w:tcPr>
            <w:tcW w:w="1133" w:type="dxa"/>
            <w:shd w:val="clear" w:color="auto" w:fill="auto"/>
            <w:noWrap/>
            <w:vAlign w:val="bottom"/>
          </w:tcPr>
          <w:p w14:paraId="21DB6B12"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RSO 2.4</w:t>
            </w:r>
          </w:p>
        </w:tc>
        <w:tc>
          <w:tcPr>
            <w:tcW w:w="709" w:type="dxa"/>
            <w:shd w:val="clear" w:color="auto" w:fill="auto"/>
            <w:noWrap/>
            <w:vAlign w:val="bottom"/>
          </w:tcPr>
          <w:p w14:paraId="79A75B91"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ESRR</w:t>
            </w:r>
          </w:p>
        </w:tc>
        <w:tc>
          <w:tcPr>
            <w:tcW w:w="1126" w:type="dxa"/>
            <w:shd w:val="clear" w:color="auto" w:fill="auto"/>
            <w:noWrap/>
            <w:vAlign w:val="bottom"/>
          </w:tcPr>
          <w:p w14:paraId="2470B533"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Zahod</w:t>
            </w:r>
          </w:p>
        </w:tc>
        <w:tc>
          <w:tcPr>
            <w:tcW w:w="1420" w:type="dxa"/>
            <w:shd w:val="clear" w:color="auto" w:fill="auto"/>
            <w:noWrap/>
            <w:vAlign w:val="bottom"/>
          </w:tcPr>
          <w:p w14:paraId="12E4322F" w14:textId="77777777" w:rsidR="00F601AA" w:rsidRPr="00AB429E" w:rsidRDefault="00F601AA" w:rsidP="00F601AA">
            <w:pPr>
              <w:suppressAutoHyphens w:val="0"/>
              <w:autoSpaceDN/>
              <w:spacing w:after="0" w:line="240" w:lineRule="auto"/>
              <w:jc w:val="right"/>
              <w:rPr>
                <w:rFonts w:cs="Arial"/>
                <w:sz w:val="18"/>
                <w:szCs w:val="18"/>
              </w:rPr>
            </w:pPr>
          </w:p>
        </w:tc>
        <w:tc>
          <w:tcPr>
            <w:tcW w:w="1427" w:type="dxa"/>
            <w:shd w:val="clear" w:color="auto" w:fill="auto"/>
            <w:noWrap/>
            <w:vAlign w:val="bottom"/>
          </w:tcPr>
          <w:p w14:paraId="5765E195" w14:textId="77777777" w:rsidR="00F601AA" w:rsidRPr="00AB429E" w:rsidRDefault="00F601AA" w:rsidP="00F601AA">
            <w:pPr>
              <w:suppressAutoHyphens w:val="0"/>
              <w:autoSpaceDN/>
              <w:spacing w:after="0" w:line="240" w:lineRule="auto"/>
              <w:rPr>
                <w:rFonts w:cs="Arial"/>
                <w:sz w:val="18"/>
                <w:szCs w:val="18"/>
              </w:rPr>
            </w:pPr>
            <w:r w:rsidRPr="00AB429E">
              <w:rPr>
                <w:rFonts w:cs="Arial"/>
                <w:sz w:val="18"/>
                <w:szCs w:val="18"/>
              </w:rPr>
              <w:t>+ 13.306.048</w:t>
            </w:r>
          </w:p>
        </w:tc>
        <w:tc>
          <w:tcPr>
            <w:tcW w:w="1420" w:type="dxa"/>
            <w:shd w:val="clear" w:color="auto" w:fill="auto"/>
            <w:noWrap/>
            <w:vAlign w:val="bottom"/>
          </w:tcPr>
          <w:p w14:paraId="7A8BE6EB"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13.306.048</w:t>
            </w:r>
          </w:p>
        </w:tc>
        <w:tc>
          <w:tcPr>
            <w:tcW w:w="1547" w:type="dxa"/>
            <w:shd w:val="clear" w:color="auto" w:fill="auto"/>
            <w:noWrap/>
            <w:vAlign w:val="bottom"/>
          </w:tcPr>
          <w:p w14:paraId="6426C4BF"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Novo: Prenos iz RSO2.5, ESRR Zahod</w:t>
            </w:r>
          </w:p>
        </w:tc>
      </w:tr>
      <w:tr w:rsidR="00F601AA" w:rsidRPr="00F601AA" w14:paraId="5655B536" w14:textId="77777777" w:rsidTr="00C57B56">
        <w:trPr>
          <w:trHeight w:val="300"/>
          <w:jc w:val="center"/>
        </w:trPr>
        <w:tc>
          <w:tcPr>
            <w:tcW w:w="562" w:type="dxa"/>
            <w:shd w:val="clear" w:color="auto" w:fill="auto"/>
            <w:noWrap/>
            <w:vAlign w:val="bottom"/>
            <w:hideMark/>
          </w:tcPr>
          <w:p w14:paraId="22C9A77F"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3</w:t>
            </w:r>
          </w:p>
        </w:tc>
        <w:tc>
          <w:tcPr>
            <w:tcW w:w="1133" w:type="dxa"/>
            <w:shd w:val="clear" w:color="auto" w:fill="auto"/>
            <w:noWrap/>
            <w:vAlign w:val="bottom"/>
            <w:hideMark/>
          </w:tcPr>
          <w:p w14:paraId="2D2B7D3E"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RSO 2.4</w:t>
            </w:r>
          </w:p>
        </w:tc>
        <w:tc>
          <w:tcPr>
            <w:tcW w:w="709" w:type="dxa"/>
            <w:shd w:val="clear" w:color="auto" w:fill="auto"/>
            <w:noWrap/>
            <w:vAlign w:val="bottom"/>
            <w:hideMark/>
          </w:tcPr>
          <w:p w14:paraId="78707FA6"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KS</w:t>
            </w:r>
          </w:p>
        </w:tc>
        <w:tc>
          <w:tcPr>
            <w:tcW w:w="1126" w:type="dxa"/>
            <w:shd w:val="clear" w:color="auto" w:fill="auto"/>
            <w:noWrap/>
            <w:vAlign w:val="bottom"/>
            <w:hideMark/>
          </w:tcPr>
          <w:p w14:paraId="0EDDF221"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Celotna SI</w:t>
            </w:r>
          </w:p>
        </w:tc>
        <w:tc>
          <w:tcPr>
            <w:tcW w:w="1420" w:type="dxa"/>
            <w:shd w:val="clear" w:color="auto" w:fill="auto"/>
            <w:noWrap/>
            <w:vAlign w:val="bottom"/>
            <w:hideMark/>
          </w:tcPr>
          <w:p w14:paraId="739E81F9"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49.730.000</w:t>
            </w:r>
          </w:p>
        </w:tc>
        <w:tc>
          <w:tcPr>
            <w:tcW w:w="1427" w:type="dxa"/>
            <w:shd w:val="clear" w:color="auto" w:fill="auto"/>
            <w:noWrap/>
            <w:vAlign w:val="bottom"/>
            <w:hideMark/>
          </w:tcPr>
          <w:p w14:paraId="22ED312F"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9.400.000</w:t>
            </w:r>
          </w:p>
        </w:tc>
        <w:tc>
          <w:tcPr>
            <w:tcW w:w="1420" w:type="dxa"/>
            <w:shd w:val="clear" w:color="auto" w:fill="auto"/>
            <w:noWrap/>
            <w:vAlign w:val="bottom"/>
            <w:hideMark/>
          </w:tcPr>
          <w:p w14:paraId="00849824"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59.130.000</w:t>
            </w:r>
          </w:p>
        </w:tc>
        <w:tc>
          <w:tcPr>
            <w:tcW w:w="1547" w:type="dxa"/>
            <w:shd w:val="clear" w:color="auto" w:fill="auto"/>
            <w:noWrap/>
            <w:vAlign w:val="bottom"/>
            <w:hideMark/>
          </w:tcPr>
          <w:p w14:paraId="79CD5C2A"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Prenos iz Spodbujanje trajnostne mobilnosti na horizontalni ravni na NIO SOVIR</w:t>
            </w:r>
          </w:p>
        </w:tc>
      </w:tr>
      <w:tr w:rsidR="00F601AA" w:rsidRPr="00F601AA" w14:paraId="648304F0" w14:textId="77777777" w:rsidTr="00C57B56">
        <w:trPr>
          <w:trHeight w:val="300"/>
          <w:jc w:val="center"/>
        </w:trPr>
        <w:tc>
          <w:tcPr>
            <w:tcW w:w="562" w:type="dxa"/>
            <w:shd w:val="clear" w:color="auto" w:fill="auto"/>
            <w:noWrap/>
            <w:vAlign w:val="bottom"/>
            <w:hideMark/>
          </w:tcPr>
          <w:p w14:paraId="3115CB09"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3</w:t>
            </w:r>
          </w:p>
        </w:tc>
        <w:tc>
          <w:tcPr>
            <w:tcW w:w="1133" w:type="dxa"/>
            <w:shd w:val="clear" w:color="auto" w:fill="auto"/>
            <w:noWrap/>
            <w:vAlign w:val="bottom"/>
            <w:hideMark/>
          </w:tcPr>
          <w:p w14:paraId="2C1AD9C2"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RSO 2.5</w:t>
            </w:r>
          </w:p>
        </w:tc>
        <w:tc>
          <w:tcPr>
            <w:tcW w:w="709" w:type="dxa"/>
            <w:shd w:val="clear" w:color="auto" w:fill="auto"/>
            <w:noWrap/>
            <w:vAlign w:val="bottom"/>
            <w:hideMark/>
          </w:tcPr>
          <w:p w14:paraId="1D20B7E1"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ESRR</w:t>
            </w:r>
          </w:p>
        </w:tc>
        <w:tc>
          <w:tcPr>
            <w:tcW w:w="1126" w:type="dxa"/>
            <w:shd w:val="clear" w:color="auto" w:fill="auto"/>
            <w:noWrap/>
            <w:vAlign w:val="bottom"/>
            <w:hideMark/>
          </w:tcPr>
          <w:p w14:paraId="0B3AE265"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Zahod</w:t>
            </w:r>
          </w:p>
        </w:tc>
        <w:tc>
          <w:tcPr>
            <w:tcW w:w="1420" w:type="dxa"/>
            <w:shd w:val="clear" w:color="auto" w:fill="auto"/>
            <w:noWrap/>
            <w:vAlign w:val="bottom"/>
            <w:hideMark/>
          </w:tcPr>
          <w:p w14:paraId="6D0C043F"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13.306.048</w:t>
            </w:r>
          </w:p>
        </w:tc>
        <w:tc>
          <w:tcPr>
            <w:tcW w:w="1427" w:type="dxa"/>
            <w:shd w:val="clear" w:color="auto" w:fill="auto"/>
            <w:noWrap/>
            <w:vAlign w:val="bottom"/>
            <w:hideMark/>
          </w:tcPr>
          <w:p w14:paraId="010BD0A3" w14:textId="77777777" w:rsidR="00F601AA" w:rsidRPr="00AB429E" w:rsidRDefault="00F601AA" w:rsidP="00F601AA">
            <w:pPr>
              <w:suppressAutoHyphens w:val="0"/>
              <w:autoSpaceDN/>
              <w:spacing w:after="0" w:line="240" w:lineRule="auto"/>
              <w:rPr>
                <w:rFonts w:cs="Arial"/>
                <w:sz w:val="18"/>
                <w:szCs w:val="18"/>
              </w:rPr>
            </w:pPr>
            <w:r w:rsidRPr="00AB429E">
              <w:rPr>
                <w:rFonts w:cs="Arial"/>
                <w:sz w:val="18"/>
                <w:szCs w:val="18"/>
              </w:rPr>
              <w:t> - 13.306.048</w:t>
            </w:r>
          </w:p>
        </w:tc>
        <w:tc>
          <w:tcPr>
            <w:tcW w:w="1420" w:type="dxa"/>
            <w:shd w:val="clear" w:color="auto" w:fill="auto"/>
            <w:noWrap/>
            <w:vAlign w:val="bottom"/>
            <w:hideMark/>
          </w:tcPr>
          <w:p w14:paraId="3D4FB87C"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0</w:t>
            </w:r>
          </w:p>
        </w:tc>
        <w:tc>
          <w:tcPr>
            <w:tcW w:w="1547" w:type="dxa"/>
            <w:shd w:val="clear" w:color="auto" w:fill="auto"/>
            <w:noWrap/>
            <w:vAlign w:val="bottom"/>
            <w:hideMark/>
          </w:tcPr>
          <w:p w14:paraId="36653A86"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 Prenos sredstev na RSO 2.4, ESRR Zahod.</w:t>
            </w:r>
          </w:p>
        </w:tc>
      </w:tr>
      <w:tr w:rsidR="00F601AA" w:rsidRPr="00F601AA" w14:paraId="5483ADAA" w14:textId="77777777" w:rsidTr="00C57B56">
        <w:trPr>
          <w:trHeight w:val="300"/>
          <w:jc w:val="center"/>
        </w:trPr>
        <w:tc>
          <w:tcPr>
            <w:tcW w:w="562" w:type="dxa"/>
            <w:shd w:val="clear" w:color="auto" w:fill="auto"/>
            <w:noWrap/>
            <w:vAlign w:val="bottom"/>
            <w:hideMark/>
          </w:tcPr>
          <w:p w14:paraId="1161585C"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3</w:t>
            </w:r>
          </w:p>
        </w:tc>
        <w:tc>
          <w:tcPr>
            <w:tcW w:w="1133" w:type="dxa"/>
            <w:shd w:val="clear" w:color="auto" w:fill="auto"/>
            <w:noWrap/>
            <w:vAlign w:val="bottom"/>
            <w:hideMark/>
          </w:tcPr>
          <w:p w14:paraId="5E878DD9"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RSO 2.5</w:t>
            </w:r>
          </w:p>
        </w:tc>
        <w:tc>
          <w:tcPr>
            <w:tcW w:w="709" w:type="dxa"/>
            <w:shd w:val="clear" w:color="auto" w:fill="auto"/>
            <w:noWrap/>
            <w:vAlign w:val="bottom"/>
            <w:hideMark/>
          </w:tcPr>
          <w:p w14:paraId="1159A22A"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KS</w:t>
            </w:r>
          </w:p>
        </w:tc>
        <w:tc>
          <w:tcPr>
            <w:tcW w:w="1126" w:type="dxa"/>
            <w:shd w:val="clear" w:color="auto" w:fill="auto"/>
            <w:noWrap/>
            <w:vAlign w:val="bottom"/>
            <w:hideMark/>
          </w:tcPr>
          <w:p w14:paraId="36AEE10D"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Celotna SI</w:t>
            </w:r>
          </w:p>
        </w:tc>
        <w:tc>
          <w:tcPr>
            <w:tcW w:w="1420" w:type="dxa"/>
            <w:shd w:val="clear" w:color="auto" w:fill="auto"/>
            <w:noWrap/>
            <w:vAlign w:val="bottom"/>
            <w:hideMark/>
          </w:tcPr>
          <w:p w14:paraId="6DFC879C"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155.350.000</w:t>
            </w:r>
          </w:p>
        </w:tc>
        <w:tc>
          <w:tcPr>
            <w:tcW w:w="1427" w:type="dxa"/>
            <w:shd w:val="clear" w:color="auto" w:fill="auto"/>
            <w:noWrap/>
            <w:vAlign w:val="bottom"/>
            <w:hideMark/>
          </w:tcPr>
          <w:p w14:paraId="0BEB6E5A" w14:textId="77777777" w:rsidR="00F601AA" w:rsidRPr="00AB429E" w:rsidRDefault="00F601AA" w:rsidP="00F601AA">
            <w:pPr>
              <w:suppressAutoHyphens w:val="0"/>
              <w:autoSpaceDN/>
              <w:spacing w:after="0" w:line="240" w:lineRule="auto"/>
              <w:rPr>
                <w:rFonts w:cs="Arial"/>
                <w:sz w:val="18"/>
                <w:szCs w:val="18"/>
              </w:rPr>
            </w:pPr>
            <w:r w:rsidRPr="00AB429E">
              <w:rPr>
                <w:rFonts w:cs="Arial"/>
                <w:sz w:val="18"/>
                <w:szCs w:val="18"/>
              </w:rPr>
              <w:t> </w:t>
            </w:r>
          </w:p>
        </w:tc>
        <w:tc>
          <w:tcPr>
            <w:tcW w:w="1420" w:type="dxa"/>
            <w:shd w:val="clear" w:color="auto" w:fill="auto"/>
            <w:noWrap/>
            <w:vAlign w:val="bottom"/>
            <w:hideMark/>
          </w:tcPr>
          <w:p w14:paraId="61F51DC7"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155.350.000</w:t>
            </w:r>
          </w:p>
        </w:tc>
        <w:tc>
          <w:tcPr>
            <w:tcW w:w="1547" w:type="dxa"/>
            <w:shd w:val="clear" w:color="auto" w:fill="auto"/>
            <w:noWrap/>
            <w:vAlign w:val="bottom"/>
            <w:hideMark/>
          </w:tcPr>
          <w:p w14:paraId="13844625"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 </w:t>
            </w:r>
          </w:p>
        </w:tc>
      </w:tr>
      <w:tr w:rsidR="00F601AA" w:rsidRPr="00F601AA" w14:paraId="7904483F" w14:textId="77777777" w:rsidTr="00C57B56">
        <w:trPr>
          <w:trHeight w:val="300"/>
          <w:jc w:val="center"/>
        </w:trPr>
        <w:tc>
          <w:tcPr>
            <w:tcW w:w="562" w:type="dxa"/>
            <w:shd w:val="clear" w:color="auto" w:fill="auto"/>
            <w:noWrap/>
            <w:vAlign w:val="bottom"/>
            <w:hideMark/>
          </w:tcPr>
          <w:p w14:paraId="5AAA43C0"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3</w:t>
            </w:r>
          </w:p>
        </w:tc>
        <w:tc>
          <w:tcPr>
            <w:tcW w:w="1133" w:type="dxa"/>
            <w:shd w:val="clear" w:color="auto" w:fill="auto"/>
            <w:noWrap/>
            <w:vAlign w:val="bottom"/>
            <w:hideMark/>
          </w:tcPr>
          <w:p w14:paraId="50F5F34B"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RSO 2.6</w:t>
            </w:r>
          </w:p>
        </w:tc>
        <w:tc>
          <w:tcPr>
            <w:tcW w:w="709" w:type="dxa"/>
            <w:shd w:val="clear" w:color="auto" w:fill="auto"/>
            <w:noWrap/>
            <w:vAlign w:val="bottom"/>
            <w:hideMark/>
          </w:tcPr>
          <w:p w14:paraId="06835639"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ESRR</w:t>
            </w:r>
          </w:p>
        </w:tc>
        <w:tc>
          <w:tcPr>
            <w:tcW w:w="1126" w:type="dxa"/>
            <w:shd w:val="clear" w:color="auto" w:fill="auto"/>
            <w:noWrap/>
            <w:vAlign w:val="bottom"/>
            <w:hideMark/>
          </w:tcPr>
          <w:p w14:paraId="778F713D"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Vzhod</w:t>
            </w:r>
          </w:p>
        </w:tc>
        <w:tc>
          <w:tcPr>
            <w:tcW w:w="1420" w:type="dxa"/>
            <w:shd w:val="clear" w:color="auto" w:fill="auto"/>
            <w:noWrap/>
            <w:vAlign w:val="bottom"/>
            <w:hideMark/>
          </w:tcPr>
          <w:p w14:paraId="54F83BA0"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41.573.100</w:t>
            </w:r>
          </w:p>
        </w:tc>
        <w:tc>
          <w:tcPr>
            <w:tcW w:w="1427" w:type="dxa"/>
            <w:shd w:val="clear" w:color="auto" w:fill="auto"/>
            <w:noWrap/>
            <w:vAlign w:val="bottom"/>
            <w:hideMark/>
          </w:tcPr>
          <w:p w14:paraId="52145CBD" w14:textId="77777777" w:rsidR="00F601AA" w:rsidRPr="00AB429E" w:rsidRDefault="00F601AA" w:rsidP="00F601AA">
            <w:pPr>
              <w:suppressAutoHyphens w:val="0"/>
              <w:autoSpaceDN/>
              <w:spacing w:after="0" w:line="240" w:lineRule="auto"/>
              <w:rPr>
                <w:rFonts w:cs="Arial"/>
                <w:sz w:val="18"/>
                <w:szCs w:val="18"/>
              </w:rPr>
            </w:pPr>
            <w:r w:rsidRPr="00AB429E">
              <w:rPr>
                <w:rFonts w:cs="Arial"/>
                <w:sz w:val="18"/>
                <w:szCs w:val="18"/>
              </w:rPr>
              <w:t> </w:t>
            </w:r>
          </w:p>
        </w:tc>
        <w:tc>
          <w:tcPr>
            <w:tcW w:w="1420" w:type="dxa"/>
            <w:shd w:val="clear" w:color="auto" w:fill="auto"/>
            <w:noWrap/>
            <w:vAlign w:val="bottom"/>
            <w:hideMark/>
          </w:tcPr>
          <w:p w14:paraId="7236A2E9"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41.573.100</w:t>
            </w:r>
          </w:p>
        </w:tc>
        <w:tc>
          <w:tcPr>
            <w:tcW w:w="1547" w:type="dxa"/>
            <w:shd w:val="clear" w:color="auto" w:fill="auto"/>
            <w:noWrap/>
            <w:vAlign w:val="bottom"/>
            <w:hideMark/>
          </w:tcPr>
          <w:p w14:paraId="3514C632"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 </w:t>
            </w:r>
          </w:p>
        </w:tc>
      </w:tr>
      <w:tr w:rsidR="00F601AA" w:rsidRPr="00F601AA" w14:paraId="3E52116D" w14:textId="77777777" w:rsidTr="00C57B56">
        <w:trPr>
          <w:trHeight w:val="300"/>
          <w:jc w:val="center"/>
        </w:trPr>
        <w:tc>
          <w:tcPr>
            <w:tcW w:w="562" w:type="dxa"/>
            <w:shd w:val="clear" w:color="auto" w:fill="auto"/>
            <w:noWrap/>
            <w:vAlign w:val="bottom"/>
            <w:hideMark/>
          </w:tcPr>
          <w:p w14:paraId="3454A228"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3</w:t>
            </w:r>
          </w:p>
        </w:tc>
        <w:tc>
          <w:tcPr>
            <w:tcW w:w="1133" w:type="dxa"/>
            <w:shd w:val="clear" w:color="auto" w:fill="auto"/>
            <w:noWrap/>
            <w:vAlign w:val="bottom"/>
            <w:hideMark/>
          </w:tcPr>
          <w:p w14:paraId="2DDDA961"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RSO 2.6</w:t>
            </w:r>
          </w:p>
        </w:tc>
        <w:tc>
          <w:tcPr>
            <w:tcW w:w="709" w:type="dxa"/>
            <w:shd w:val="clear" w:color="auto" w:fill="auto"/>
            <w:noWrap/>
            <w:vAlign w:val="bottom"/>
            <w:hideMark/>
          </w:tcPr>
          <w:p w14:paraId="2BB7C7B4"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ESRR</w:t>
            </w:r>
          </w:p>
        </w:tc>
        <w:tc>
          <w:tcPr>
            <w:tcW w:w="1126" w:type="dxa"/>
            <w:shd w:val="clear" w:color="auto" w:fill="auto"/>
            <w:noWrap/>
            <w:vAlign w:val="bottom"/>
            <w:hideMark/>
          </w:tcPr>
          <w:p w14:paraId="44751996"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Zahod</w:t>
            </w:r>
          </w:p>
        </w:tc>
        <w:tc>
          <w:tcPr>
            <w:tcW w:w="1420" w:type="dxa"/>
            <w:shd w:val="clear" w:color="auto" w:fill="auto"/>
            <w:noWrap/>
            <w:vAlign w:val="bottom"/>
            <w:hideMark/>
          </w:tcPr>
          <w:p w14:paraId="5B63571F"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15.772.600</w:t>
            </w:r>
          </w:p>
        </w:tc>
        <w:tc>
          <w:tcPr>
            <w:tcW w:w="1427" w:type="dxa"/>
            <w:shd w:val="clear" w:color="auto" w:fill="auto"/>
            <w:noWrap/>
            <w:vAlign w:val="bottom"/>
            <w:hideMark/>
          </w:tcPr>
          <w:p w14:paraId="0D1232FB" w14:textId="77777777" w:rsidR="00F601AA" w:rsidRPr="00AB429E" w:rsidRDefault="00F601AA" w:rsidP="00F601AA">
            <w:pPr>
              <w:suppressAutoHyphens w:val="0"/>
              <w:autoSpaceDN/>
              <w:spacing w:after="0" w:line="240" w:lineRule="auto"/>
              <w:rPr>
                <w:rFonts w:cs="Arial"/>
                <w:sz w:val="18"/>
                <w:szCs w:val="18"/>
              </w:rPr>
            </w:pPr>
            <w:r w:rsidRPr="00AB429E">
              <w:rPr>
                <w:rFonts w:cs="Arial"/>
                <w:sz w:val="18"/>
                <w:szCs w:val="18"/>
              </w:rPr>
              <w:t> </w:t>
            </w:r>
          </w:p>
        </w:tc>
        <w:tc>
          <w:tcPr>
            <w:tcW w:w="1420" w:type="dxa"/>
            <w:shd w:val="clear" w:color="auto" w:fill="auto"/>
            <w:noWrap/>
            <w:vAlign w:val="bottom"/>
            <w:hideMark/>
          </w:tcPr>
          <w:p w14:paraId="0E3A7E2F"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15.772.600</w:t>
            </w:r>
          </w:p>
        </w:tc>
        <w:tc>
          <w:tcPr>
            <w:tcW w:w="1547" w:type="dxa"/>
            <w:shd w:val="clear" w:color="auto" w:fill="auto"/>
            <w:noWrap/>
            <w:vAlign w:val="bottom"/>
            <w:hideMark/>
          </w:tcPr>
          <w:p w14:paraId="750790FC"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 </w:t>
            </w:r>
          </w:p>
        </w:tc>
      </w:tr>
      <w:tr w:rsidR="00F601AA" w:rsidRPr="00F601AA" w14:paraId="281DF9E8" w14:textId="77777777" w:rsidTr="00C57B56">
        <w:trPr>
          <w:trHeight w:val="300"/>
          <w:jc w:val="center"/>
        </w:trPr>
        <w:tc>
          <w:tcPr>
            <w:tcW w:w="562" w:type="dxa"/>
            <w:shd w:val="clear" w:color="auto" w:fill="auto"/>
            <w:noWrap/>
            <w:vAlign w:val="bottom"/>
            <w:hideMark/>
          </w:tcPr>
          <w:p w14:paraId="6D73626E"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3</w:t>
            </w:r>
          </w:p>
        </w:tc>
        <w:tc>
          <w:tcPr>
            <w:tcW w:w="1133" w:type="dxa"/>
            <w:shd w:val="clear" w:color="auto" w:fill="auto"/>
            <w:noWrap/>
            <w:vAlign w:val="bottom"/>
            <w:hideMark/>
          </w:tcPr>
          <w:p w14:paraId="7E93FC03"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RSO 2.7</w:t>
            </w:r>
          </w:p>
        </w:tc>
        <w:tc>
          <w:tcPr>
            <w:tcW w:w="709" w:type="dxa"/>
            <w:shd w:val="clear" w:color="auto" w:fill="auto"/>
            <w:noWrap/>
            <w:vAlign w:val="bottom"/>
            <w:hideMark/>
          </w:tcPr>
          <w:p w14:paraId="0E37E838"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ESRR</w:t>
            </w:r>
          </w:p>
        </w:tc>
        <w:tc>
          <w:tcPr>
            <w:tcW w:w="1126" w:type="dxa"/>
            <w:shd w:val="clear" w:color="auto" w:fill="auto"/>
            <w:noWrap/>
            <w:vAlign w:val="bottom"/>
            <w:hideMark/>
          </w:tcPr>
          <w:p w14:paraId="11D459D4"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Vzhod</w:t>
            </w:r>
          </w:p>
        </w:tc>
        <w:tc>
          <w:tcPr>
            <w:tcW w:w="1420" w:type="dxa"/>
            <w:shd w:val="clear" w:color="auto" w:fill="auto"/>
            <w:noWrap/>
            <w:vAlign w:val="bottom"/>
            <w:hideMark/>
          </w:tcPr>
          <w:p w14:paraId="1A86D74F"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52.033.677</w:t>
            </w:r>
          </w:p>
        </w:tc>
        <w:tc>
          <w:tcPr>
            <w:tcW w:w="1427" w:type="dxa"/>
            <w:shd w:val="clear" w:color="auto" w:fill="auto"/>
            <w:noWrap/>
            <w:vAlign w:val="bottom"/>
            <w:hideMark/>
          </w:tcPr>
          <w:p w14:paraId="41FEBB81" w14:textId="77777777" w:rsidR="00F601AA" w:rsidRPr="00AB429E" w:rsidRDefault="00F601AA" w:rsidP="00F601AA">
            <w:pPr>
              <w:suppressAutoHyphens w:val="0"/>
              <w:autoSpaceDN/>
              <w:spacing w:after="0" w:line="240" w:lineRule="auto"/>
              <w:rPr>
                <w:rFonts w:cs="Arial"/>
                <w:sz w:val="18"/>
                <w:szCs w:val="18"/>
              </w:rPr>
            </w:pPr>
            <w:r w:rsidRPr="00AB429E">
              <w:rPr>
                <w:rFonts w:cs="Arial"/>
                <w:sz w:val="18"/>
                <w:szCs w:val="18"/>
              </w:rPr>
              <w:t> </w:t>
            </w:r>
          </w:p>
        </w:tc>
        <w:tc>
          <w:tcPr>
            <w:tcW w:w="1420" w:type="dxa"/>
            <w:shd w:val="clear" w:color="auto" w:fill="auto"/>
            <w:noWrap/>
            <w:vAlign w:val="bottom"/>
            <w:hideMark/>
          </w:tcPr>
          <w:p w14:paraId="646C1A7A"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52.033.677</w:t>
            </w:r>
          </w:p>
        </w:tc>
        <w:tc>
          <w:tcPr>
            <w:tcW w:w="1547" w:type="dxa"/>
            <w:shd w:val="clear" w:color="auto" w:fill="auto"/>
            <w:noWrap/>
            <w:vAlign w:val="bottom"/>
            <w:hideMark/>
          </w:tcPr>
          <w:p w14:paraId="2240B9A0"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 </w:t>
            </w:r>
          </w:p>
        </w:tc>
      </w:tr>
      <w:tr w:rsidR="00F601AA" w:rsidRPr="00F601AA" w14:paraId="5C6BEBFF" w14:textId="77777777" w:rsidTr="00C57B56">
        <w:trPr>
          <w:trHeight w:val="300"/>
          <w:jc w:val="center"/>
        </w:trPr>
        <w:tc>
          <w:tcPr>
            <w:tcW w:w="562" w:type="dxa"/>
            <w:shd w:val="clear" w:color="auto" w:fill="auto"/>
            <w:noWrap/>
            <w:vAlign w:val="bottom"/>
            <w:hideMark/>
          </w:tcPr>
          <w:p w14:paraId="2108F766"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3</w:t>
            </w:r>
          </w:p>
        </w:tc>
        <w:tc>
          <w:tcPr>
            <w:tcW w:w="1133" w:type="dxa"/>
            <w:shd w:val="clear" w:color="auto" w:fill="auto"/>
            <w:noWrap/>
            <w:vAlign w:val="bottom"/>
            <w:hideMark/>
          </w:tcPr>
          <w:p w14:paraId="7007CDC8"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RSO 2.7</w:t>
            </w:r>
          </w:p>
        </w:tc>
        <w:tc>
          <w:tcPr>
            <w:tcW w:w="709" w:type="dxa"/>
            <w:shd w:val="clear" w:color="auto" w:fill="auto"/>
            <w:noWrap/>
            <w:vAlign w:val="bottom"/>
            <w:hideMark/>
          </w:tcPr>
          <w:p w14:paraId="766E67AA"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ESRR</w:t>
            </w:r>
          </w:p>
        </w:tc>
        <w:tc>
          <w:tcPr>
            <w:tcW w:w="1126" w:type="dxa"/>
            <w:shd w:val="clear" w:color="auto" w:fill="auto"/>
            <w:noWrap/>
            <w:vAlign w:val="bottom"/>
            <w:hideMark/>
          </w:tcPr>
          <w:p w14:paraId="048BE843"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Zahod</w:t>
            </w:r>
          </w:p>
        </w:tc>
        <w:tc>
          <w:tcPr>
            <w:tcW w:w="1420" w:type="dxa"/>
            <w:shd w:val="clear" w:color="auto" w:fill="auto"/>
            <w:noWrap/>
            <w:vAlign w:val="bottom"/>
            <w:hideMark/>
          </w:tcPr>
          <w:p w14:paraId="0659FD6D"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28.145.544</w:t>
            </w:r>
          </w:p>
        </w:tc>
        <w:tc>
          <w:tcPr>
            <w:tcW w:w="1427" w:type="dxa"/>
            <w:shd w:val="clear" w:color="auto" w:fill="auto"/>
            <w:noWrap/>
            <w:vAlign w:val="bottom"/>
            <w:hideMark/>
          </w:tcPr>
          <w:p w14:paraId="455C0315" w14:textId="77777777" w:rsidR="00F601AA" w:rsidRPr="00AB429E" w:rsidRDefault="00F601AA" w:rsidP="00F601AA">
            <w:pPr>
              <w:suppressAutoHyphens w:val="0"/>
              <w:autoSpaceDN/>
              <w:spacing w:after="0" w:line="240" w:lineRule="auto"/>
              <w:rPr>
                <w:rFonts w:cs="Arial"/>
                <w:sz w:val="18"/>
                <w:szCs w:val="18"/>
              </w:rPr>
            </w:pPr>
            <w:r w:rsidRPr="00AB429E">
              <w:rPr>
                <w:rFonts w:cs="Arial"/>
                <w:sz w:val="18"/>
                <w:szCs w:val="18"/>
              </w:rPr>
              <w:t> </w:t>
            </w:r>
          </w:p>
        </w:tc>
        <w:tc>
          <w:tcPr>
            <w:tcW w:w="1420" w:type="dxa"/>
            <w:shd w:val="clear" w:color="auto" w:fill="auto"/>
            <w:noWrap/>
            <w:vAlign w:val="bottom"/>
            <w:hideMark/>
          </w:tcPr>
          <w:p w14:paraId="75EF1737"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28.145.544</w:t>
            </w:r>
          </w:p>
        </w:tc>
        <w:tc>
          <w:tcPr>
            <w:tcW w:w="1547" w:type="dxa"/>
            <w:shd w:val="clear" w:color="auto" w:fill="auto"/>
            <w:noWrap/>
            <w:vAlign w:val="bottom"/>
            <w:hideMark/>
          </w:tcPr>
          <w:p w14:paraId="705A89F8"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 </w:t>
            </w:r>
          </w:p>
        </w:tc>
      </w:tr>
      <w:tr w:rsidR="00F601AA" w:rsidRPr="00F601AA" w14:paraId="00C10DAB" w14:textId="77777777" w:rsidTr="00C57B56">
        <w:trPr>
          <w:trHeight w:val="300"/>
          <w:jc w:val="center"/>
        </w:trPr>
        <w:tc>
          <w:tcPr>
            <w:tcW w:w="562" w:type="dxa"/>
            <w:shd w:val="clear" w:color="auto" w:fill="auto"/>
            <w:noWrap/>
            <w:vAlign w:val="bottom"/>
            <w:hideMark/>
          </w:tcPr>
          <w:p w14:paraId="33498E0C"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3</w:t>
            </w:r>
          </w:p>
        </w:tc>
        <w:tc>
          <w:tcPr>
            <w:tcW w:w="1133" w:type="dxa"/>
            <w:shd w:val="clear" w:color="auto" w:fill="auto"/>
            <w:noWrap/>
            <w:vAlign w:val="bottom"/>
            <w:hideMark/>
          </w:tcPr>
          <w:p w14:paraId="27DB383B"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RSO 2.7</w:t>
            </w:r>
          </w:p>
        </w:tc>
        <w:tc>
          <w:tcPr>
            <w:tcW w:w="709" w:type="dxa"/>
            <w:shd w:val="clear" w:color="auto" w:fill="auto"/>
            <w:noWrap/>
            <w:vAlign w:val="bottom"/>
            <w:hideMark/>
          </w:tcPr>
          <w:p w14:paraId="2008E90E"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KS</w:t>
            </w:r>
          </w:p>
        </w:tc>
        <w:tc>
          <w:tcPr>
            <w:tcW w:w="1126" w:type="dxa"/>
            <w:shd w:val="clear" w:color="auto" w:fill="auto"/>
            <w:noWrap/>
            <w:vAlign w:val="bottom"/>
            <w:hideMark/>
          </w:tcPr>
          <w:p w14:paraId="10E18BB7"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Celotna SI</w:t>
            </w:r>
          </w:p>
        </w:tc>
        <w:tc>
          <w:tcPr>
            <w:tcW w:w="1420" w:type="dxa"/>
            <w:shd w:val="clear" w:color="auto" w:fill="auto"/>
            <w:noWrap/>
            <w:vAlign w:val="bottom"/>
            <w:hideMark/>
          </w:tcPr>
          <w:p w14:paraId="37B9A5DA"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2.550.000</w:t>
            </w:r>
          </w:p>
        </w:tc>
        <w:tc>
          <w:tcPr>
            <w:tcW w:w="1427" w:type="dxa"/>
            <w:shd w:val="clear" w:color="auto" w:fill="auto"/>
            <w:noWrap/>
            <w:vAlign w:val="bottom"/>
            <w:hideMark/>
          </w:tcPr>
          <w:p w14:paraId="681C62C7" w14:textId="77777777" w:rsidR="00F601AA" w:rsidRPr="00AB429E" w:rsidRDefault="00F601AA" w:rsidP="00F601AA">
            <w:pPr>
              <w:suppressAutoHyphens w:val="0"/>
              <w:autoSpaceDN/>
              <w:spacing w:after="0" w:line="240" w:lineRule="auto"/>
              <w:rPr>
                <w:rFonts w:cs="Arial"/>
                <w:sz w:val="18"/>
                <w:szCs w:val="18"/>
              </w:rPr>
            </w:pPr>
            <w:r w:rsidRPr="00AB429E">
              <w:rPr>
                <w:rFonts w:cs="Arial"/>
                <w:sz w:val="18"/>
                <w:szCs w:val="18"/>
              </w:rPr>
              <w:t> </w:t>
            </w:r>
          </w:p>
        </w:tc>
        <w:tc>
          <w:tcPr>
            <w:tcW w:w="1420" w:type="dxa"/>
            <w:shd w:val="clear" w:color="auto" w:fill="auto"/>
            <w:noWrap/>
            <w:vAlign w:val="bottom"/>
            <w:hideMark/>
          </w:tcPr>
          <w:p w14:paraId="24064A2E"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2.550.000</w:t>
            </w:r>
          </w:p>
        </w:tc>
        <w:tc>
          <w:tcPr>
            <w:tcW w:w="1547" w:type="dxa"/>
            <w:shd w:val="clear" w:color="auto" w:fill="auto"/>
            <w:noWrap/>
            <w:vAlign w:val="bottom"/>
            <w:hideMark/>
          </w:tcPr>
          <w:p w14:paraId="2058910B"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 </w:t>
            </w:r>
          </w:p>
        </w:tc>
      </w:tr>
      <w:tr w:rsidR="00F601AA" w:rsidRPr="00F601AA" w14:paraId="1EBA5CA3" w14:textId="77777777" w:rsidTr="00C57B56">
        <w:trPr>
          <w:trHeight w:val="300"/>
          <w:jc w:val="center"/>
        </w:trPr>
        <w:tc>
          <w:tcPr>
            <w:tcW w:w="562" w:type="dxa"/>
            <w:shd w:val="clear" w:color="auto" w:fill="auto"/>
            <w:noWrap/>
            <w:vAlign w:val="bottom"/>
            <w:hideMark/>
          </w:tcPr>
          <w:p w14:paraId="09361538"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4</w:t>
            </w:r>
          </w:p>
        </w:tc>
        <w:tc>
          <w:tcPr>
            <w:tcW w:w="1133" w:type="dxa"/>
            <w:shd w:val="clear" w:color="auto" w:fill="auto"/>
            <w:noWrap/>
            <w:vAlign w:val="bottom"/>
            <w:hideMark/>
          </w:tcPr>
          <w:p w14:paraId="7AD8AC61"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RSO 2.8</w:t>
            </w:r>
          </w:p>
        </w:tc>
        <w:tc>
          <w:tcPr>
            <w:tcW w:w="709" w:type="dxa"/>
            <w:shd w:val="clear" w:color="auto" w:fill="auto"/>
            <w:noWrap/>
            <w:vAlign w:val="bottom"/>
            <w:hideMark/>
          </w:tcPr>
          <w:p w14:paraId="655A02EE"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ESRR</w:t>
            </w:r>
          </w:p>
        </w:tc>
        <w:tc>
          <w:tcPr>
            <w:tcW w:w="1126" w:type="dxa"/>
            <w:shd w:val="clear" w:color="auto" w:fill="auto"/>
            <w:noWrap/>
            <w:vAlign w:val="bottom"/>
            <w:hideMark/>
          </w:tcPr>
          <w:p w14:paraId="492F4618"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Vzhod</w:t>
            </w:r>
          </w:p>
        </w:tc>
        <w:tc>
          <w:tcPr>
            <w:tcW w:w="1420" w:type="dxa"/>
            <w:shd w:val="clear" w:color="auto" w:fill="auto"/>
            <w:noWrap/>
            <w:vAlign w:val="bottom"/>
            <w:hideMark/>
          </w:tcPr>
          <w:p w14:paraId="35A0D432"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37.272.561</w:t>
            </w:r>
          </w:p>
        </w:tc>
        <w:tc>
          <w:tcPr>
            <w:tcW w:w="1427" w:type="dxa"/>
            <w:shd w:val="clear" w:color="auto" w:fill="auto"/>
            <w:noWrap/>
            <w:vAlign w:val="bottom"/>
            <w:hideMark/>
          </w:tcPr>
          <w:p w14:paraId="75F954F5" w14:textId="77777777" w:rsidR="00F601AA" w:rsidRPr="00AB429E" w:rsidRDefault="00F601AA" w:rsidP="00F601AA">
            <w:pPr>
              <w:suppressAutoHyphens w:val="0"/>
              <w:autoSpaceDN/>
              <w:spacing w:after="0" w:line="240" w:lineRule="auto"/>
              <w:rPr>
                <w:rFonts w:cs="Arial"/>
                <w:sz w:val="18"/>
                <w:szCs w:val="18"/>
              </w:rPr>
            </w:pPr>
            <w:r w:rsidRPr="00AB429E">
              <w:rPr>
                <w:rFonts w:cs="Arial"/>
                <w:sz w:val="18"/>
                <w:szCs w:val="18"/>
              </w:rPr>
              <w:t> </w:t>
            </w:r>
          </w:p>
        </w:tc>
        <w:tc>
          <w:tcPr>
            <w:tcW w:w="1420" w:type="dxa"/>
            <w:shd w:val="clear" w:color="auto" w:fill="auto"/>
            <w:noWrap/>
            <w:vAlign w:val="bottom"/>
            <w:hideMark/>
          </w:tcPr>
          <w:p w14:paraId="793D3030"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37.272.561</w:t>
            </w:r>
          </w:p>
        </w:tc>
        <w:tc>
          <w:tcPr>
            <w:tcW w:w="1547" w:type="dxa"/>
            <w:shd w:val="clear" w:color="auto" w:fill="auto"/>
            <w:noWrap/>
            <w:vAlign w:val="bottom"/>
            <w:hideMark/>
          </w:tcPr>
          <w:p w14:paraId="3B6EA4F0"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 </w:t>
            </w:r>
          </w:p>
        </w:tc>
      </w:tr>
      <w:tr w:rsidR="00F601AA" w:rsidRPr="00F601AA" w14:paraId="51961C00" w14:textId="77777777" w:rsidTr="00C57B56">
        <w:trPr>
          <w:trHeight w:val="300"/>
          <w:jc w:val="center"/>
        </w:trPr>
        <w:tc>
          <w:tcPr>
            <w:tcW w:w="562" w:type="dxa"/>
            <w:shd w:val="clear" w:color="auto" w:fill="auto"/>
            <w:noWrap/>
            <w:vAlign w:val="bottom"/>
            <w:hideMark/>
          </w:tcPr>
          <w:p w14:paraId="6E809DB2"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4</w:t>
            </w:r>
          </w:p>
        </w:tc>
        <w:tc>
          <w:tcPr>
            <w:tcW w:w="1133" w:type="dxa"/>
            <w:shd w:val="clear" w:color="auto" w:fill="auto"/>
            <w:noWrap/>
            <w:vAlign w:val="bottom"/>
            <w:hideMark/>
          </w:tcPr>
          <w:p w14:paraId="572EB69D"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RSO 2.8</w:t>
            </w:r>
          </w:p>
        </w:tc>
        <w:tc>
          <w:tcPr>
            <w:tcW w:w="709" w:type="dxa"/>
            <w:shd w:val="clear" w:color="auto" w:fill="auto"/>
            <w:noWrap/>
            <w:vAlign w:val="bottom"/>
            <w:hideMark/>
          </w:tcPr>
          <w:p w14:paraId="3620961A"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ESRR</w:t>
            </w:r>
          </w:p>
        </w:tc>
        <w:tc>
          <w:tcPr>
            <w:tcW w:w="1126" w:type="dxa"/>
            <w:shd w:val="clear" w:color="auto" w:fill="auto"/>
            <w:noWrap/>
            <w:vAlign w:val="bottom"/>
            <w:hideMark/>
          </w:tcPr>
          <w:p w14:paraId="1B2B40F5"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Zahod</w:t>
            </w:r>
          </w:p>
        </w:tc>
        <w:tc>
          <w:tcPr>
            <w:tcW w:w="1420" w:type="dxa"/>
            <w:shd w:val="clear" w:color="auto" w:fill="auto"/>
            <w:noWrap/>
            <w:vAlign w:val="bottom"/>
            <w:hideMark/>
          </w:tcPr>
          <w:p w14:paraId="6567C4DA"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16.644.692</w:t>
            </w:r>
          </w:p>
        </w:tc>
        <w:tc>
          <w:tcPr>
            <w:tcW w:w="1427" w:type="dxa"/>
            <w:shd w:val="clear" w:color="auto" w:fill="auto"/>
            <w:noWrap/>
            <w:vAlign w:val="bottom"/>
            <w:hideMark/>
          </w:tcPr>
          <w:p w14:paraId="58F7D4D5" w14:textId="77777777" w:rsidR="00F601AA" w:rsidRPr="00AB429E" w:rsidRDefault="00F601AA" w:rsidP="00F601AA">
            <w:pPr>
              <w:suppressAutoHyphens w:val="0"/>
              <w:autoSpaceDN/>
              <w:spacing w:after="0" w:line="240" w:lineRule="auto"/>
              <w:rPr>
                <w:rFonts w:cs="Arial"/>
                <w:sz w:val="18"/>
                <w:szCs w:val="18"/>
              </w:rPr>
            </w:pPr>
            <w:r w:rsidRPr="00AB429E">
              <w:rPr>
                <w:rFonts w:cs="Arial"/>
                <w:sz w:val="18"/>
                <w:szCs w:val="18"/>
              </w:rPr>
              <w:t> </w:t>
            </w:r>
          </w:p>
        </w:tc>
        <w:tc>
          <w:tcPr>
            <w:tcW w:w="1420" w:type="dxa"/>
            <w:shd w:val="clear" w:color="auto" w:fill="auto"/>
            <w:noWrap/>
            <w:vAlign w:val="bottom"/>
            <w:hideMark/>
          </w:tcPr>
          <w:p w14:paraId="36ACCFF6"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16.644.692</w:t>
            </w:r>
          </w:p>
        </w:tc>
        <w:tc>
          <w:tcPr>
            <w:tcW w:w="1547" w:type="dxa"/>
            <w:shd w:val="clear" w:color="auto" w:fill="auto"/>
            <w:noWrap/>
            <w:vAlign w:val="bottom"/>
            <w:hideMark/>
          </w:tcPr>
          <w:p w14:paraId="1EB2EF61"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 </w:t>
            </w:r>
          </w:p>
        </w:tc>
      </w:tr>
      <w:tr w:rsidR="00F601AA" w:rsidRPr="00F601AA" w14:paraId="4BA4A700" w14:textId="77777777" w:rsidTr="00C57B56">
        <w:trPr>
          <w:trHeight w:val="300"/>
          <w:jc w:val="center"/>
        </w:trPr>
        <w:tc>
          <w:tcPr>
            <w:tcW w:w="562" w:type="dxa"/>
            <w:shd w:val="clear" w:color="auto" w:fill="auto"/>
            <w:noWrap/>
            <w:vAlign w:val="bottom"/>
            <w:hideMark/>
          </w:tcPr>
          <w:p w14:paraId="06BD1BF2"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5</w:t>
            </w:r>
          </w:p>
        </w:tc>
        <w:tc>
          <w:tcPr>
            <w:tcW w:w="1133" w:type="dxa"/>
            <w:shd w:val="clear" w:color="auto" w:fill="auto"/>
            <w:noWrap/>
            <w:vAlign w:val="bottom"/>
            <w:hideMark/>
          </w:tcPr>
          <w:p w14:paraId="1FE5D4A1"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RSO 3.1</w:t>
            </w:r>
          </w:p>
        </w:tc>
        <w:tc>
          <w:tcPr>
            <w:tcW w:w="709" w:type="dxa"/>
            <w:shd w:val="clear" w:color="auto" w:fill="auto"/>
            <w:noWrap/>
            <w:vAlign w:val="bottom"/>
            <w:hideMark/>
          </w:tcPr>
          <w:p w14:paraId="4F1AE36D"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KS</w:t>
            </w:r>
          </w:p>
        </w:tc>
        <w:tc>
          <w:tcPr>
            <w:tcW w:w="1126" w:type="dxa"/>
            <w:shd w:val="clear" w:color="auto" w:fill="auto"/>
            <w:noWrap/>
            <w:vAlign w:val="bottom"/>
            <w:hideMark/>
          </w:tcPr>
          <w:p w14:paraId="5593BC9D"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Celotna SI</w:t>
            </w:r>
          </w:p>
        </w:tc>
        <w:tc>
          <w:tcPr>
            <w:tcW w:w="1420" w:type="dxa"/>
            <w:shd w:val="clear" w:color="auto" w:fill="auto"/>
            <w:noWrap/>
            <w:vAlign w:val="bottom"/>
            <w:hideMark/>
          </w:tcPr>
          <w:p w14:paraId="1FB7C215"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284.140.000</w:t>
            </w:r>
          </w:p>
        </w:tc>
        <w:tc>
          <w:tcPr>
            <w:tcW w:w="1427" w:type="dxa"/>
            <w:shd w:val="clear" w:color="auto" w:fill="auto"/>
            <w:noWrap/>
            <w:vAlign w:val="bottom"/>
            <w:hideMark/>
          </w:tcPr>
          <w:p w14:paraId="679D5A72" w14:textId="77777777" w:rsidR="00F601AA" w:rsidRPr="00AB429E" w:rsidRDefault="00F601AA" w:rsidP="00F601AA">
            <w:pPr>
              <w:suppressAutoHyphens w:val="0"/>
              <w:autoSpaceDN/>
              <w:spacing w:after="0" w:line="240" w:lineRule="auto"/>
              <w:rPr>
                <w:rFonts w:cs="Arial"/>
                <w:sz w:val="18"/>
                <w:szCs w:val="18"/>
              </w:rPr>
            </w:pPr>
            <w:r w:rsidRPr="00AB429E">
              <w:rPr>
                <w:rFonts w:cs="Arial"/>
                <w:sz w:val="18"/>
                <w:szCs w:val="18"/>
              </w:rPr>
              <w:t> </w:t>
            </w:r>
          </w:p>
        </w:tc>
        <w:tc>
          <w:tcPr>
            <w:tcW w:w="1420" w:type="dxa"/>
            <w:shd w:val="clear" w:color="auto" w:fill="auto"/>
            <w:noWrap/>
            <w:vAlign w:val="bottom"/>
            <w:hideMark/>
          </w:tcPr>
          <w:p w14:paraId="1AA3B7CF"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284.140.000</w:t>
            </w:r>
          </w:p>
        </w:tc>
        <w:tc>
          <w:tcPr>
            <w:tcW w:w="1547" w:type="dxa"/>
            <w:shd w:val="clear" w:color="auto" w:fill="auto"/>
            <w:noWrap/>
            <w:vAlign w:val="bottom"/>
            <w:hideMark/>
          </w:tcPr>
          <w:p w14:paraId="15CF455C"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 </w:t>
            </w:r>
          </w:p>
        </w:tc>
      </w:tr>
      <w:tr w:rsidR="00F601AA" w:rsidRPr="00F601AA" w14:paraId="456D6C6A" w14:textId="77777777" w:rsidTr="00C57B56">
        <w:trPr>
          <w:trHeight w:val="300"/>
          <w:jc w:val="center"/>
        </w:trPr>
        <w:tc>
          <w:tcPr>
            <w:tcW w:w="562" w:type="dxa"/>
            <w:shd w:val="clear" w:color="auto" w:fill="auto"/>
            <w:noWrap/>
            <w:vAlign w:val="bottom"/>
            <w:hideMark/>
          </w:tcPr>
          <w:p w14:paraId="06A776E8"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5</w:t>
            </w:r>
          </w:p>
        </w:tc>
        <w:tc>
          <w:tcPr>
            <w:tcW w:w="1133" w:type="dxa"/>
            <w:shd w:val="clear" w:color="auto" w:fill="auto"/>
            <w:noWrap/>
            <w:vAlign w:val="bottom"/>
            <w:hideMark/>
          </w:tcPr>
          <w:p w14:paraId="618955D5"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RSO 3.2</w:t>
            </w:r>
          </w:p>
        </w:tc>
        <w:tc>
          <w:tcPr>
            <w:tcW w:w="709" w:type="dxa"/>
            <w:shd w:val="clear" w:color="auto" w:fill="auto"/>
            <w:noWrap/>
            <w:vAlign w:val="bottom"/>
            <w:hideMark/>
          </w:tcPr>
          <w:p w14:paraId="6CAEA504"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ESRR</w:t>
            </w:r>
          </w:p>
        </w:tc>
        <w:tc>
          <w:tcPr>
            <w:tcW w:w="1126" w:type="dxa"/>
            <w:shd w:val="clear" w:color="auto" w:fill="auto"/>
            <w:noWrap/>
            <w:vAlign w:val="bottom"/>
            <w:hideMark/>
          </w:tcPr>
          <w:p w14:paraId="02FD8617"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Vzhod</w:t>
            </w:r>
          </w:p>
        </w:tc>
        <w:tc>
          <w:tcPr>
            <w:tcW w:w="1420" w:type="dxa"/>
            <w:shd w:val="clear" w:color="auto" w:fill="auto"/>
            <w:noWrap/>
            <w:vAlign w:val="bottom"/>
            <w:hideMark/>
          </w:tcPr>
          <w:p w14:paraId="530DC8BE"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105.888.481</w:t>
            </w:r>
          </w:p>
        </w:tc>
        <w:tc>
          <w:tcPr>
            <w:tcW w:w="1427" w:type="dxa"/>
            <w:shd w:val="clear" w:color="auto" w:fill="auto"/>
            <w:noWrap/>
            <w:vAlign w:val="bottom"/>
            <w:hideMark/>
          </w:tcPr>
          <w:p w14:paraId="52DAF731" w14:textId="77777777" w:rsidR="00F601AA" w:rsidRPr="00AB429E" w:rsidRDefault="00F601AA" w:rsidP="00F601AA">
            <w:pPr>
              <w:suppressAutoHyphens w:val="0"/>
              <w:autoSpaceDN/>
              <w:spacing w:after="0" w:line="240" w:lineRule="auto"/>
              <w:rPr>
                <w:rFonts w:cs="Arial"/>
                <w:sz w:val="18"/>
                <w:szCs w:val="18"/>
              </w:rPr>
            </w:pPr>
            <w:r w:rsidRPr="00AB429E">
              <w:rPr>
                <w:rFonts w:cs="Arial"/>
                <w:sz w:val="18"/>
                <w:szCs w:val="18"/>
              </w:rPr>
              <w:t> </w:t>
            </w:r>
          </w:p>
        </w:tc>
        <w:tc>
          <w:tcPr>
            <w:tcW w:w="1420" w:type="dxa"/>
            <w:shd w:val="clear" w:color="auto" w:fill="auto"/>
            <w:noWrap/>
            <w:vAlign w:val="bottom"/>
            <w:hideMark/>
          </w:tcPr>
          <w:p w14:paraId="3549FF4C"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105.888.481</w:t>
            </w:r>
          </w:p>
        </w:tc>
        <w:tc>
          <w:tcPr>
            <w:tcW w:w="1547" w:type="dxa"/>
            <w:shd w:val="clear" w:color="auto" w:fill="auto"/>
            <w:noWrap/>
            <w:vAlign w:val="bottom"/>
            <w:hideMark/>
          </w:tcPr>
          <w:p w14:paraId="72D3E10C"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 </w:t>
            </w:r>
          </w:p>
        </w:tc>
      </w:tr>
      <w:tr w:rsidR="00F601AA" w:rsidRPr="00F601AA" w14:paraId="773416A5" w14:textId="77777777" w:rsidTr="00C57B56">
        <w:trPr>
          <w:trHeight w:val="300"/>
          <w:jc w:val="center"/>
        </w:trPr>
        <w:tc>
          <w:tcPr>
            <w:tcW w:w="562" w:type="dxa"/>
            <w:shd w:val="clear" w:color="auto" w:fill="auto"/>
            <w:noWrap/>
            <w:vAlign w:val="bottom"/>
            <w:hideMark/>
          </w:tcPr>
          <w:p w14:paraId="11E4FD72"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5</w:t>
            </w:r>
          </w:p>
        </w:tc>
        <w:tc>
          <w:tcPr>
            <w:tcW w:w="1133" w:type="dxa"/>
            <w:shd w:val="clear" w:color="auto" w:fill="auto"/>
            <w:noWrap/>
            <w:vAlign w:val="bottom"/>
            <w:hideMark/>
          </w:tcPr>
          <w:p w14:paraId="18DBB736"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RSO 3.2</w:t>
            </w:r>
          </w:p>
        </w:tc>
        <w:tc>
          <w:tcPr>
            <w:tcW w:w="709" w:type="dxa"/>
            <w:shd w:val="clear" w:color="auto" w:fill="auto"/>
            <w:noWrap/>
            <w:vAlign w:val="bottom"/>
            <w:hideMark/>
          </w:tcPr>
          <w:p w14:paraId="40106051"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KS</w:t>
            </w:r>
          </w:p>
        </w:tc>
        <w:tc>
          <w:tcPr>
            <w:tcW w:w="1126" w:type="dxa"/>
            <w:shd w:val="clear" w:color="auto" w:fill="auto"/>
            <w:noWrap/>
            <w:vAlign w:val="bottom"/>
            <w:hideMark/>
          </w:tcPr>
          <w:p w14:paraId="4F4BEB20"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Celotna SI</w:t>
            </w:r>
          </w:p>
        </w:tc>
        <w:tc>
          <w:tcPr>
            <w:tcW w:w="1420" w:type="dxa"/>
            <w:shd w:val="clear" w:color="auto" w:fill="auto"/>
            <w:noWrap/>
            <w:vAlign w:val="bottom"/>
            <w:hideMark/>
          </w:tcPr>
          <w:p w14:paraId="2E881373"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121.002.680</w:t>
            </w:r>
          </w:p>
        </w:tc>
        <w:tc>
          <w:tcPr>
            <w:tcW w:w="1427" w:type="dxa"/>
            <w:shd w:val="clear" w:color="auto" w:fill="auto"/>
            <w:noWrap/>
            <w:vAlign w:val="bottom"/>
            <w:hideMark/>
          </w:tcPr>
          <w:p w14:paraId="355F010A"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-9.400.000</w:t>
            </w:r>
          </w:p>
        </w:tc>
        <w:tc>
          <w:tcPr>
            <w:tcW w:w="1420" w:type="dxa"/>
            <w:shd w:val="clear" w:color="auto" w:fill="auto"/>
            <w:noWrap/>
            <w:vAlign w:val="bottom"/>
            <w:hideMark/>
          </w:tcPr>
          <w:p w14:paraId="18B7A371"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111.602.680</w:t>
            </w:r>
          </w:p>
        </w:tc>
        <w:tc>
          <w:tcPr>
            <w:tcW w:w="1547" w:type="dxa"/>
            <w:shd w:val="clear" w:color="auto" w:fill="auto"/>
            <w:noWrap/>
            <w:vAlign w:val="bottom"/>
            <w:hideMark/>
          </w:tcPr>
          <w:p w14:paraId="5805F27A"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Prenos iz Spodbujanje trajnostne mobilnosti na horizontalni ravni na NIO SOVIR</w:t>
            </w:r>
          </w:p>
        </w:tc>
      </w:tr>
      <w:tr w:rsidR="00F601AA" w:rsidRPr="00F601AA" w14:paraId="419C88EA" w14:textId="77777777" w:rsidTr="00C57B56">
        <w:trPr>
          <w:trHeight w:val="300"/>
          <w:jc w:val="center"/>
        </w:trPr>
        <w:tc>
          <w:tcPr>
            <w:tcW w:w="562" w:type="dxa"/>
            <w:shd w:val="clear" w:color="auto" w:fill="auto"/>
            <w:noWrap/>
            <w:vAlign w:val="bottom"/>
            <w:hideMark/>
          </w:tcPr>
          <w:p w14:paraId="2455C076"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6</w:t>
            </w:r>
          </w:p>
        </w:tc>
        <w:tc>
          <w:tcPr>
            <w:tcW w:w="1133" w:type="dxa"/>
            <w:shd w:val="clear" w:color="auto" w:fill="auto"/>
            <w:noWrap/>
            <w:vAlign w:val="bottom"/>
            <w:hideMark/>
          </w:tcPr>
          <w:p w14:paraId="08C546E9"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ESO 4.1</w:t>
            </w:r>
          </w:p>
        </w:tc>
        <w:tc>
          <w:tcPr>
            <w:tcW w:w="709" w:type="dxa"/>
            <w:shd w:val="clear" w:color="auto" w:fill="auto"/>
            <w:noWrap/>
            <w:vAlign w:val="bottom"/>
            <w:hideMark/>
          </w:tcPr>
          <w:p w14:paraId="133E1C88"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ESS+</w:t>
            </w:r>
          </w:p>
        </w:tc>
        <w:tc>
          <w:tcPr>
            <w:tcW w:w="1126" w:type="dxa"/>
            <w:shd w:val="clear" w:color="auto" w:fill="auto"/>
            <w:noWrap/>
            <w:vAlign w:val="bottom"/>
            <w:hideMark/>
          </w:tcPr>
          <w:p w14:paraId="50D9569C"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Vzhod</w:t>
            </w:r>
          </w:p>
        </w:tc>
        <w:tc>
          <w:tcPr>
            <w:tcW w:w="1420" w:type="dxa"/>
            <w:shd w:val="clear" w:color="auto" w:fill="auto"/>
            <w:noWrap/>
            <w:vAlign w:val="bottom"/>
            <w:hideMark/>
          </w:tcPr>
          <w:p w14:paraId="3CDC8A45"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126.089.721</w:t>
            </w:r>
          </w:p>
        </w:tc>
        <w:tc>
          <w:tcPr>
            <w:tcW w:w="1427" w:type="dxa"/>
            <w:shd w:val="clear" w:color="auto" w:fill="auto"/>
            <w:noWrap/>
            <w:vAlign w:val="center"/>
            <w:hideMark/>
          </w:tcPr>
          <w:p w14:paraId="73B14C9C" w14:textId="77777777" w:rsidR="00F601AA" w:rsidRPr="00AB429E" w:rsidRDefault="00F601AA" w:rsidP="00F601AA">
            <w:pPr>
              <w:suppressAutoHyphens w:val="0"/>
              <w:autoSpaceDN/>
              <w:spacing w:after="0" w:line="240" w:lineRule="auto"/>
              <w:jc w:val="right"/>
              <w:rPr>
                <w:rFonts w:cs="Arial"/>
                <w:sz w:val="18"/>
                <w:szCs w:val="18"/>
              </w:rPr>
            </w:pPr>
            <w:r w:rsidRPr="00AB429E">
              <w:rPr>
                <w:rFonts w:eastAsiaTheme="minorHAnsi" w:cs="Arial"/>
                <w:kern w:val="2"/>
                <w:sz w:val="18"/>
                <w:szCs w:val="18"/>
                <w:lang w:eastAsia="en-US"/>
                <w14:ligatures w14:val="standardContextual"/>
              </w:rPr>
              <w:t>-6.048.808</w:t>
            </w:r>
          </w:p>
        </w:tc>
        <w:tc>
          <w:tcPr>
            <w:tcW w:w="1420" w:type="dxa"/>
            <w:shd w:val="clear" w:color="auto" w:fill="auto"/>
            <w:noWrap/>
            <w:vAlign w:val="center"/>
            <w:hideMark/>
          </w:tcPr>
          <w:p w14:paraId="73D4EAD0" w14:textId="77777777" w:rsidR="00F601AA" w:rsidRPr="00AB429E" w:rsidRDefault="00F601AA" w:rsidP="00F601AA">
            <w:pPr>
              <w:suppressAutoHyphens w:val="0"/>
              <w:autoSpaceDN/>
              <w:spacing w:after="0" w:line="240" w:lineRule="auto"/>
              <w:jc w:val="right"/>
              <w:rPr>
                <w:rFonts w:cs="Arial"/>
                <w:sz w:val="18"/>
                <w:szCs w:val="18"/>
              </w:rPr>
            </w:pPr>
            <w:r w:rsidRPr="00AB429E">
              <w:rPr>
                <w:rFonts w:eastAsiaTheme="minorHAnsi" w:cs="Arial"/>
                <w:kern w:val="2"/>
                <w:sz w:val="18"/>
                <w:szCs w:val="18"/>
                <w:lang w:eastAsia="en-US"/>
                <w14:ligatures w14:val="standardContextual"/>
              </w:rPr>
              <w:t>120.040.913</w:t>
            </w:r>
          </w:p>
        </w:tc>
        <w:tc>
          <w:tcPr>
            <w:tcW w:w="1547" w:type="dxa"/>
            <w:shd w:val="clear" w:color="auto" w:fill="auto"/>
            <w:noWrap/>
            <w:vAlign w:val="bottom"/>
            <w:hideMark/>
          </w:tcPr>
          <w:p w14:paraId="4A412E5D"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Prenos znotraj CP4</w:t>
            </w:r>
          </w:p>
        </w:tc>
      </w:tr>
      <w:tr w:rsidR="00F601AA" w:rsidRPr="00F601AA" w14:paraId="43ED1AA4" w14:textId="77777777" w:rsidTr="00C57B56">
        <w:trPr>
          <w:trHeight w:val="300"/>
          <w:jc w:val="center"/>
        </w:trPr>
        <w:tc>
          <w:tcPr>
            <w:tcW w:w="562" w:type="dxa"/>
            <w:shd w:val="clear" w:color="auto" w:fill="auto"/>
            <w:noWrap/>
            <w:vAlign w:val="bottom"/>
            <w:hideMark/>
          </w:tcPr>
          <w:p w14:paraId="2D3D5EC3"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6</w:t>
            </w:r>
          </w:p>
        </w:tc>
        <w:tc>
          <w:tcPr>
            <w:tcW w:w="1133" w:type="dxa"/>
            <w:shd w:val="clear" w:color="auto" w:fill="auto"/>
            <w:noWrap/>
            <w:vAlign w:val="bottom"/>
            <w:hideMark/>
          </w:tcPr>
          <w:p w14:paraId="26692BF1"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ESO 4.1</w:t>
            </w:r>
          </w:p>
        </w:tc>
        <w:tc>
          <w:tcPr>
            <w:tcW w:w="709" w:type="dxa"/>
            <w:shd w:val="clear" w:color="auto" w:fill="auto"/>
            <w:noWrap/>
            <w:vAlign w:val="bottom"/>
            <w:hideMark/>
          </w:tcPr>
          <w:p w14:paraId="2BC792DF"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ESS+</w:t>
            </w:r>
          </w:p>
        </w:tc>
        <w:tc>
          <w:tcPr>
            <w:tcW w:w="1126" w:type="dxa"/>
            <w:shd w:val="clear" w:color="auto" w:fill="auto"/>
            <w:noWrap/>
            <w:vAlign w:val="bottom"/>
            <w:hideMark/>
          </w:tcPr>
          <w:p w14:paraId="225A3215"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Zahod</w:t>
            </w:r>
          </w:p>
        </w:tc>
        <w:tc>
          <w:tcPr>
            <w:tcW w:w="1420" w:type="dxa"/>
            <w:shd w:val="clear" w:color="auto" w:fill="auto"/>
            <w:noWrap/>
            <w:vAlign w:val="bottom"/>
            <w:hideMark/>
          </w:tcPr>
          <w:p w14:paraId="79400486"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17.879.783</w:t>
            </w:r>
          </w:p>
        </w:tc>
        <w:tc>
          <w:tcPr>
            <w:tcW w:w="1427" w:type="dxa"/>
            <w:shd w:val="clear" w:color="auto" w:fill="auto"/>
            <w:noWrap/>
            <w:vAlign w:val="bottom"/>
            <w:hideMark/>
          </w:tcPr>
          <w:p w14:paraId="27FA9206" w14:textId="77777777" w:rsidR="00F601AA" w:rsidRPr="00AB429E" w:rsidRDefault="00F601AA" w:rsidP="00F601AA">
            <w:pPr>
              <w:suppressAutoHyphens w:val="0"/>
              <w:autoSpaceDN/>
              <w:spacing w:after="0" w:line="240" w:lineRule="auto"/>
              <w:jc w:val="right"/>
              <w:rPr>
                <w:rFonts w:cs="Arial"/>
                <w:sz w:val="18"/>
                <w:szCs w:val="18"/>
              </w:rPr>
            </w:pPr>
            <w:r w:rsidRPr="00AB429E">
              <w:rPr>
                <w:rFonts w:eastAsiaTheme="minorHAnsi" w:cs="Arial"/>
                <w:kern w:val="2"/>
                <w:sz w:val="18"/>
                <w:szCs w:val="18"/>
                <w:lang w:eastAsia="en-US"/>
                <w14:ligatures w14:val="standardContextual"/>
              </w:rPr>
              <w:t>-2.788.426</w:t>
            </w:r>
          </w:p>
        </w:tc>
        <w:tc>
          <w:tcPr>
            <w:tcW w:w="1420" w:type="dxa"/>
            <w:shd w:val="clear" w:color="auto" w:fill="auto"/>
            <w:noWrap/>
            <w:vAlign w:val="center"/>
            <w:hideMark/>
          </w:tcPr>
          <w:p w14:paraId="52C0C812" w14:textId="77777777" w:rsidR="00F601AA" w:rsidRPr="00AB429E" w:rsidRDefault="00F601AA" w:rsidP="00F601AA">
            <w:pPr>
              <w:suppressAutoHyphens w:val="0"/>
              <w:autoSpaceDN/>
              <w:spacing w:after="0" w:line="240" w:lineRule="auto"/>
              <w:jc w:val="right"/>
              <w:rPr>
                <w:rFonts w:cs="Arial"/>
                <w:sz w:val="18"/>
                <w:szCs w:val="18"/>
              </w:rPr>
            </w:pPr>
            <w:r w:rsidRPr="00AB429E">
              <w:rPr>
                <w:rFonts w:eastAsiaTheme="minorHAnsi" w:cs="Arial"/>
                <w:kern w:val="2"/>
                <w:sz w:val="18"/>
                <w:szCs w:val="18"/>
                <w:lang w:eastAsia="en-US"/>
                <w14:ligatures w14:val="standardContextual"/>
              </w:rPr>
              <w:t>15.091.357</w:t>
            </w:r>
          </w:p>
        </w:tc>
        <w:tc>
          <w:tcPr>
            <w:tcW w:w="1547" w:type="dxa"/>
            <w:shd w:val="clear" w:color="auto" w:fill="auto"/>
            <w:noWrap/>
            <w:vAlign w:val="bottom"/>
            <w:hideMark/>
          </w:tcPr>
          <w:p w14:paraId="48C836DA"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Prenos znotraj CP4</w:t>
            </w:r>
          </w:p>
        </w:tc>
      </w:tr>
      <w:tr w:rsidR="00F601AA" w:rsidRPr="00F601AA" w14:paraId="39C412FB" w14:textId="77777777" w:rsidTr="00C57B56">
        <w:trPr>
          <w:trHeight w:val="300"/>
          <w:jc w:val="center"/>
        </w:trPr>
        <w:tc>
          <w:tcPr>
            <w:tcW w:w="562" w:type="dxa"/>
            <w:shd w:val="clear" w:color="auto" w:fill="auto"/>
            <w:noWrap/>
            <w:hideMark/>
          </w:tcPr>
          <w:p w14:paraId="7A23F06C"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eastAsiaTheme="minorHAnsi" w:cs="Arial"/>
                <w:kern w:val="2"/>
                <w:sz w:val="18"/>
                <w:szCs w:val="18"/>
                <w:lang w:eastAsia="en-US"/>
                <w14:ligatures w14:val="standardContextual"/>
              </w:rPr>
              <w:t>6</w:t>
            </w:r>
          </w:p>
        </w:tc>
        <w:tc>
          <w:tcPr>
            <w:tcW w:w="1133" w:type="dxa"/>
            <w:shd w:val="clear" w:color="auto" w:fill="auto"/>
            <w:noWrap/>
            <w:hideMark/>
          </w:tcPr>
          <w:p w14:paraId="4FCB602F"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eastAsiaTheme="minorHAnsi" w:cs="Arial"/>
                <w:kern w:val="2"/>
                <w:sz w:val="18"/>
                <w:szCs w:val="18"/>
                <w:lang w:eastAsia="en-US"/>
                <w14:ligatures w14:val="standardContextual"/>
              </w:rPr>
              <w:t>ESO 4.2</w:t>
            </w:r>
          </w:p>
        </w:tc>
        <w:tc>
          <w:tcPr>
            <w:tcW w:w="709" w:type="dxa"/>
            <w:shd w:val="clear" w:color="auto" w:fill="auto"/>
            <w:noWrap/>
            <w:hideMark/>
          </w:tcPr>
          <w:p w14:paraId="4835DC24"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eastAsiaTheme="minorHAnsi" w:cs="Arial"/>
                <w:kern w:val="2"/>
                <w:sz w:val="18"/>
                <w:szCs w:val="18"/>
                <w:lang w:eastAsia="en-US"/>
                <w14:ligatures w14:val="standardContextual"/>
              </w:rPr>
              <w:t>ESS+</w:t>
            </w:r>
          </w:p>
        </w:tc>
        <w:tc>
          <w:tcPr>
            <w:tcW w:w="1126" w:type="dxa"/>
            <w:shd w:val="clear" w:color="auto" w:fill="auto"/>
            <w:noWrap/>
            <w:hideMark/>
          </w:tcPr>
          <w:p w14:paraId="554B2E96"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eastAsiaTheme="minorHAnsi" w:cs="Arial"/>
                <w:kern w:val="2"/>
                <w:sz w:val="18"/>
                <w:szCs w:val="18"/>
                <w:lang w:eastAsia="en-US"/>
                <w14:ligatures w14:val="standardContextual"/>
              </w:rPr>
              <w:t>Vzhod</w:t>
            </w:r>
          </w:p>
        </w:tc>
        <w:tc>
          <w:tcPr>
            <w:tcW w:w="1420" w:type="dxa"/>
            <w:shd w:val="clear" w:color="auto" w:fill="auto"/>
            <w:noWrap/>
            <w:hideMark/>
          </w:tcPr>
          <w:p w14:paraId="404724B5" w14:textId="77777777" w:rsidR="00F601AA" w:rsidRPr="00AB429E" w:rsidRDefault="00F601AA" w:rsidP="00F601AA">
            <w:pPr>
              <w:suppressAutoHyphens w:val="0"/>
              <w:autoSpaceDN/>
              <w:spacing w:after="0" w:line="240" w:lineRule="auto"/>
              <w:jc w:val="right"/>
              <w:rPr>
                <w:rFonts w:cs="Arial"/>
                <w:sz w:val="18"/>
                <w:szCs w:val="18"/>
              </w:rPr>
            </w:pPr>
            <w:r w:rsidRPr="00AB429E">
              <w:rPr>
                <w:rFonts w:eastAsiaTheme="minorHAnsi" w:cs="Arial"/>
                <w:kern w:val="2"/>
                <w:sz w:val="18"/>
                <w:szCs w:val="18"/>
                <w:lang w:eastAsia="en-US"/>
                <w14:ligatures w14:val="standardContextual"/>
              </w:rPr>
              <w:t>17.640.000</w:t>
            </w:r>
          </w:p>
        </w:tc>
        <w:tc>
          <w:tcPr>
            <w:tcW w:w="1427" w:type="dxa"/>
            <w:shd w:val="clear" w:color="auto" w:fill="auto"/>
            <w:noWrap/>
            <w:hideMark/>
          </w:tcPr>
          <w:p w14:paraId="04580308" w14:textId="77777777" w:rsidR="00F601AA" w:rsidRPr="00AB429E" w:rsidRDefault="00F601AA" w:rsidP="00F601AA">
            <w:pPr>
              <w:suppressAutoHyphens w:val="0"/>
              <w:autoSpaceDN/>
              <w:spacing w:after="0" w:line="240" w:lineRule="auto"/>
              <w:jc w:val="right"/>
              <w:rPr>
                <w:rFonts w:cs="Arial"/>
                <w:sz w:val="18"/>
                <w:szCs w:val="18"/>
              </w:rPr>
            </w:pPr>
            <w:r w:rsidRPr="00AB429E">
              <w:rPr>
                <w:rFonts w:eastAsiaTheme="minorHAnsi" w:cs="Arial"/>
                <w:kern w:val="2"/>
                <w:sz w:val="18"/>
                <w:szCs w:val="18"/>
                <w:lang w:eastAsia="en-US"/>
                <w14:ligatures w14:val="standardContextual"/>
              </w:rPr>
              <w:t>+4.256.000</w:t>
            </w:r>
          </w:p>
        </w:tc>
        <w:tc>
          <w:tcPr>
            <w:tcW w:w="1420" w:type="dxa"/>
            <w:shd w:val="clear" w:color="auto" w:fill="auto"/>
            <w:noWrap/>
            <w:hideMark/>
          </w:tcPr>
          <w:p w14:paraId="3F790420" w14:textId="77777777" w:rsidR="00F601AA" w:rsidRPr="00AB429E" w:rsidRDefault="00F601AA" w:rsidP="00F601AA">
            <w:pPr>
              <w:suppressAutoHyphens w:val="0"/>
              <w:autoSpaceDN/>
              <w:spacing w:after="0" w:line="240" w:lineRule="auto"/>
              <w:jc w:val="right"/>
              <w:rPr>
                <w:rFonts w:cs="Arial"/>
                <w:sz w:val="18"/>
                <w:szCs w:val="18"/>
              </w:rPr>
            </w:pPr>
            <w:r w:rsidRPr="00AB429E">
              <w:rPr>
                <w:rFonts w:eastAsiaTheme="minorHAnsi" w:cs="Arial"/>
                <w:kern w:val="2"/>
                <w:sz w:val="18"/>
                <w:szCs w:val="18"/>
                <w:lang w:eastAsia="en-US"/>
                <w14:ligatures w14:val="standardContextual"/>
              </w:rPr>
              <w:t>21.896.000</w:t>
            </w:r>
          </w:p>
        </w:tc>
        <w:tc>
          <w:tcPr>
            <w:tcW w:w="1547" w:type="dxa"/>
            <w:shd w:val="clear" w:color="auto" w:fill="auto"/>
            <w:noWrap/>
            <w:vAlign w:val="bottom"/>
            <w:hideMark/>
          </w:tcPr>
          <w:p w14:paraId="20A01EA3" w14:textId="77777777" w:rsidR="00F601AA" w:rsidRPr="00AB429E" w:rsidRDefault="00F601AA" w:rsidP="00F601AA">
            <w:pPr>
              <w:suppressAutoHyphens w:val="0"/>
              <w:autoSpaceDN/>
              <w:spacing w:after="0" w:line="240" w:lineRule="auto"/>
              <w:rPr>
                <w:rFonts w:cs="Arial"/>
                <w:color w:val="000000"/>
                <w:sz w:val="18"/>
                <w:szCs w:val="18"/>
              </w:rPr>
            </w:pPr>
          </w:p>
        </w:tc>
      </w:tr>
      <w:tr w:rsidR="00F601AA" w:rsidRPr="00F601AA" w14:paraId="5971D464" w14:textId="77777777" w:rsidTr="00C57B56">
        <w:trPr>
          <w:trHeight w:val="300"/>
          <w:jc w:val="center"/>
        </w:trPr>
        <w:tc>
          <w:tcPr>
            <w:tcW w:w="562" w:type="dxa"/>
            <w:shd w:val="clear" w:color="auto" w:fill="auto"/>
            <w:noWrap/>
            <w:hideMark/>
          </w:tcPr>
          <w:p w14:paraId="3218F0C4"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eastAsiaTheme="minorHAnsi" w:cs="Arial"/>
                <w:kern w:val="2"/>
                <w:sz w:val="18"/>
                <w:szCs w:val="18"/>
                <w:lang w:eastAsia="en-US"/>
                <w14:ligatures w14:val="standardContextual"/>
              </w:rPr>
              <w:t>6</w:t>
            </w:r>
          </w:p>
        </w:tc>
        <w:tc>
          <w:tcPr>
            <w:tcW w:w="1133" w:type="dxa"/>
            <w:shd w:val="clear" w:color="auto" w:fill="auto"/>
            <w:noWrap/>
            <w:hideMark/>
          </w:tcPr>
          <w:p w14:paraId="01D950EB"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eastAsiaTheme="minorHAnsi" w:cs="Arial"/>
                <w:kern w:val="2"/>
                <w:sz w:val="18"/>
                <w:szCs w:val="18"/>
                <w:lang w:eastAsia="en-US"/>
                <w14:ligatures w14:val="standardContextual"/>
              </w:rPr>
              <w:t>ESO 4.2</w:t>
            </w:r>
          </w:p>
        </w:tc>
        <w:tc>
          <w:tcPr>
            <w:tcW w:w="709" w:type="dxa"/>
            <w:shd w:val="clear" w:color="auto" w:fill="auto"/>
            <w:noWrap/>
            <w:hideMark/>
          </w:tcPr>
          <w:p w14:paraId="09020651"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eastAsiaTheme="minorHAnsi" w:cs="Arial"/>
                <w:kern w:val="2"/>
                <w:sz w:val="18"/>
                <w:szCs w:val="18"/>
                <w:lang w:eastAsia="en-US"/>
                <w14:ligatures w14:val="standardContextual"/>
              </w:rPr>
              <w:t>ESS+</w:t>
            </w:r>
          </w:p>
        </w:tc>
        <w:tc>
          <w:tcPr>
            <w:tcW w:w="1126" w:type="dxa"/>
            <w:shd w:val="clear" w:color="auto" w:fill="auto"/>
            <w:noWrap/>
            <w:hideMark/>
          </w:tcPr>
          <w:p w14:paraId="2DB8F4B9"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eastAsiaTheme="minorHAnsi" w:cs="Arial"/>
                <w:kern w:val="2"/>
                <w:sz w:val="18"/>
                <w:szCs w:val="18"/>
                <w:lang w:eastAsia="en-US"/>
                <w14:ligatures w14:val="standardContextual"/>
              </w:rPr>
              <w:t>Zahod</w:t>
            </w:r>
          </w:p>
        </w:tc>
        <w:tc>
          <w:tcPr>
            <w:tcW w:w="1420" w:type="dxa"/>
            <w:shd w:val="clear" w:color="auto" w:fill="auto"/>
            <w:noWrap/>
            <w:hideMark/>
          </w:tcPr>
          <w:p w14:paraId="2B911685" w14:textId="77777777" w:rsidR="00F601AA" w:rsidRPr="00AB429E" w:rsidRDefault="00F601AA" w:rsidP="00F601AA">
            <w:pPr>
              <w:suppressAutoHyphens w:val="0"/>
              <w:autoSpaceDN/>
              <w:spacing w:after="0" w:line="240" w:lineRule="auto"/>
              <w:jc w:val="right"/>
              <w:rPr>
                <w:rFonts w:cs="Arial"/>
                <w:sz w:val="18"/>
                <w:szCs w:val="18"/>
              </w:rPr>
            </w:pPr>
            <w:r w:rsidRPr="00AB429E">
              <w:rPr>
                <w:rFonts w:eastAsiaTheme="minorHAnsi" w:cs="Arial"/>
                <w:kern w:val="2"/>
                <w:sz w:val="18"/>
                <w:szCs w:val="18"/>
                <w:lang w:eastAsia="en-US"/>
                <w14:ligatures w14:val="standardContextual"/>
              </w:rPr>
              <w:t>6.370.000</w:t>
            </w:r>
          </w:p>
        </w:tc>
        <w:tc>
          <w:tcPr>
            <w:tcW w:w="1427" w:type="dxa"/>
            <w:shd w:val="clear" w:color="auto" w:fill="auto"/>
            <w:noWrap/>
            <w:hideMark/>
          </w:tcPr>
          <w:p w14:paraId="7819B52E" w14:textId="77777777" w:rsidR="00F601AA" w:rsidRPr="00AB429E" w:rsidRDefault="00F601AA" w:rsidP="00F601AA">
            <w:pPr>
              <w:suppressAutoHyphens w:val="0"/>
              <w:autoSpaceDN/>
              <w:spacing w:after="0" w:line="240" w:lineRule="auto"/>
              <w:jc w:val="right"/>
              <w:rPr>
                <w:rFonts w:cs="Arial"/>
                <w:sz w:val="18"/>
                <w:szCs w:val="18"/>
              </w:rPr>
            </w:pPr>
            <w:r w:rsidRPr="00AB429E">
              <w:rPr>
                <w:rFonts w:eastAsiaTheme="minorHAnsi" w:cs="Arial"/>
                <w:kern w:val="2"/>
                <w:sz w:val="18"/>
                <w:szCs w:val="18"/>
                <w:lang w:eastAsia="en-US"/>
                <w14:ligatures w14:val="standardContextual"/>
              </w:rPr>
              <w:t xml:space="preserve"> +6.000</w:t>
            </w:r>
          </w:p>
        </w:tc>
        <w:tc>
          <w:tcPr>
            <w:tcW w:w="1420" w:type="dxa"/>
            <w:shd w:val="clear" w:color="auto" w:fill="auto"/>
            <w:noWrap/>
            <w:hideMark/>
          </w:tcPr>
          <w:p w14:paraId="0D48AB80" w14:textId="77777777" w:rsidR="00F601AA" w:rsidRPr="00AB429E" w:rsidRDefault="00F601AA" w:rsidP="00F601AA">
            <w:pPr>
              <w:suppressAutoHyphens w:val="0"/>
              <w:autoSpaceDN/>
              <w:spacing w:after="0" w:line="240" w:lineRule="auto"/>
              <w:jc w:val="right"/>
              <w:rPr>
                <w:rFonts w:cs="Arial"/>
                <w:sz w:val="18"/>
                <w:szCs w:val="18"/>
              </w:rPr>
            </w:pPr>
            <w:r w:rsidRPr="00AB429E">
              <w:rPr>
                <w:rFonts w:eastAsiaTheme="minorHAnsi" w:cs="Arial"/>
                <w:kern w:val="2"/>
                <w:sz w:val="18"/>
                <w:szCs w:val="18"/>
                <w:lang w:eastAsia="en-US"/>
                <w14:ligatures w14:val="standardContextual"/>
              </w:rPr>
              <w:t>6.376.000</w:t>
            </w:r>
          </w:p>
        </w:tc>
        <w:tc>
          <w:tcPr>
            <w:tcW w:w="1547" w:type="dxa"/>
            <w:shd w:val="clear" w:color="auto" w:fill="auto"/>
            <w:noWrap/>
            <w:vAlign w:val="bottom"/>
            <w:hideMark/>
          </w:tcPr>
          <w:p w14:paraId="37E7FA15" w14:textId="77777777" w:rsidR="00F601AA" w:rsidRPr="00AB429E" w:rsidRDefault="00F601AA" w:rsidP="00F601AA">
            <w:pPr>
              <w:suppressAutoHyphens w:val="0"/>
              <w:autoSpaceDN/>
              <w:spacing w:after="0" w:line="240" w:lineRule="auto"/>
              <w:rPr>
                <w:rFonts w:cs="Arial"/>
                <w:color w:val="000000"/>
                <w:sz w:val="18"/>
                <w:szCs w:val="18"/>
              </w:rPr>
            </w:pPr>
          </w:p>
        </w:tc>
      </w:tr>
      <w:tr w:rsidR="00F601AA" w:rsidRPr="00F601AA" w14:paraId="37B502D0" w14:textId="77777777" w:rsidTr="00C57B56">
        <w:trPr>
          <w:trHeight w:val="300"/>
          <w:jc w:val="center"/>
        </w:trPr>
        <w:tc>
          <w:tcPr>
            <w:tcW w:w="562" w:type="dxa"/>
            <w:shd w:val="clear" w:color="auto" w:fill="auto"/>
            <w:noWrap/>
            <w:hideMark/>
          </w:tcPr>
          <w:p w14:paraId="7EEDD538"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eastAsiaTheme="minorHAnsi" w:cs="Arial"/>
                <w:kern w:val="2"/>
                <w:sz w:val="18"/>
                <w:szCs w:val="18"/>
                <w:lang w:eastAsia="en-US"/>
                <w14:ligatures w14:val="standardContextual"/>
              </w:rPr>
              <w:t>6</w:t>
            </w:r>
          </w:p>
        </w:tc>
        <w:tc>
          <w:tcPr>
            <w:tcW w:w="1133" w:type="dxa"/>
            <w:shd w:val="clear" w:color="auto" w:fill="auto"/>
            <w:noWrap/>
            <w:hideMark/>
          </w:tcPr>
          <w:p w14:paraId="0519BDD5"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eastAsiaTheme="minorHAnsi" w:cs="Arial"/>
                <w:kern w:val="2"/>
                <w:sz w:val="18"/>
                <w:szCs w:val="18"/>
                <w:lang w:eastAsia="en-US"/>
                <w14:ligatures w14:val="standardContextual"/>
              </w:rPr>
              <w:t>ESO 4.4</w:t>
            </w:r>
          </w:p>
        </w:tc>
        <w:tc>
          <w:tcPr>
            <w:tcW w:w="709" w:type="dxa"/>
            <w:shd w:val="clear" w:color="auto" w:fill="auto"/>
            <w:noWrap/>
            <w:hideMark/>
          </w:tcPr>
          <w:p w14:paraId="47944ADA"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eastAsiaTheme="minorHAnsi" w:cs="Arial"/>
                <w:kern w:val="2"/>
                <w:sz w:val="18"/>
                <w:szCs w:val="18"/>
                <w:lang w:eastAsia="en-US"/>
                <w14:ligatures w14:val="standardContextual"/>
              </w:rPr>
              <w:t>ESS+</w:t>
            </w:r>
          </w:p>
        </w:tc>
        <w:tc>
          <w:tcPr>
            <w:tcW w:w="1126" w:type="dxa"/>
            <w:shd w:val="clear" w:color="auto" w:fill="auto"/>
            <w:noWrap/>
            <w:hideMark/>
          </w:tcPr>
          <w:p w14:paraId="1F08690F"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eastAsiaTheme="minorHAnsi" w:cs="Arial"/>
                <w:kern w:val="2"/>
                <w:sz w:val="18"/>
                <w:szCs w:val="18"/>
                <w:lang w:eastAsia="en-US"/>
                <w14:ligatures w14:val="standardContextual"/>
              </w:rPr>
              <w:t>Vzhod</w:t>
            </w:r>
          </w:p>
        </w:tc>
        <w:tc>
          <w:tcPr>
            <w:tcW w:w="1420" w:type="dxa"/>
            <w:shd w:val="clear" w:color="auto" w:fill="auto"/>
            <w:noWrap/>
            <w:hideMark/>
          </w:tcPr>
          <w:p w14:paraId="20B33274" w14:textId="77777777" w:rsidR="00F601AA" w:rsidRPr="00AB429E" w:rsidRDefault="00F601AA" w:rsidP="00F601AA">
            <w:pPr>
              <w:suppressAutoHyphens w:val="0"/>
              <w:autoSpaceDN/>
              <w:spacing w:after="0" w:line="240" w:lineRule="auto"/>
              <w:jc w:val="right"/>
              <w:rPr>
                <w:rFonts w:cs="Arial"/>
                <w:sz w:val="18"/>
                <w:szCs w:val="18"/>
              </w:rPr>
            </w:pPr>
            <w:r w:rsidRPr="00AB429E">
              <w:rPr>
                <w:rFonts w:eastAsiaTheme="minorHAnsi" w:cs="Arial"/>
                <w:kern w:val="2"/>
                <w:sz w:val="18"/>
                <w:szCs w:val="18"/>
                <w:lang w:eastAsia="en-US"/>
                <w14:ligatures w14:val="standardContextual"/>
              </w:rPr>
              <w:t>23.692.000</w:t>
            </w:r>
          </w:p>
        </w:tc>
        <w:tc>
          <w:tcPr>
            <w:tcW w:w="1427" w:type="dxa"/>
            <w:shd w:val="clear" w:color="auto" w:fill="auto"/>
            <w:noWrap/>
            <w:hideMark/>
          </w:tcPr>
          <w:p w14:paraId="15A342FE" w14:textId="77777777" w:rsidR="00F601AA" w:rsidRPr="00AB429E" w:rsidRDefault="00F601AA" w:rsidP="00F601AA">
            <w:pPr>
              <w:suppressAutoHyphens w:val="0"/>
              <w:autoSpaceDN/>
              <w:spacing w:after="0" w:line="240" w:lineRule="auto"/>
              <w:jc w:val="right"/>
              <w:rPr>
                <w:rFonts w:cs="Arial"/>
                <w:sz w:val="18"/>
                <w:szCs w:val="18"/>
              </w:rPr>
            </w:pPr>
            <w:r w:rsidRPr="00AB429E">
              <w:rPr>
                <w:rFonts w:eastAsiaTheme="minorHAnsi" w:cs="Arial"/>
                <w:kern w:val="2"/>
                <w:sz w:val="18"/>
                <w:szCs w:val="18"/>
                <w:lang w:eastAsia="en-US"/>
                <w14:ligatures w14:val="standardContextual"/>
              </w:rPr>
              <w:t xml:space="preserve"> +14.499.850</w:t>
            </w:r>
          </w:p>
        </w:tc>
        <w:tc>
          <w:tcPr>
            <w:tcW w:w="1420" w:type="dxa"/>
            <w:shd w:val="clear" w:color="auto" w:fill="auto"/>
            <w:noWrap/>
            <w:hideMark/>
          </w:tcPr>
          <w:p w14:paraId="334DBC40" w14:textId="77777777" w:rsidR="00F601AA" w:rsidRPr="00AB429E" w:rsidRDefault="00F601AA" w:rsidP="00F601AA">
            <w:pPr>
              <w:suppressAutoHyphens w:val="0"/>
              <w:autoSpaceDN/>
              <w:spacing w:after="0" w:line="240" w:lineRule="auto"/>
              <w:jc w:val="right"/>
              <w:rPr>
                <w:rFonts w:cs="Arial"/>
                <w:sz w:val="18"/>
                <w:szCs w:val="18"/>
              </w:rPr>
            </w:pPr>
            <w:r w:rsidRPr="00AB429E">
              <w:rPr>
                <w:rFonts w:eastAsiaTheme="minorHAnsi" w:cs="Arial"/>
                <w:kern w:val="2"/>
                <w:sz w:val="18"/>
                <w:szCs w:val="18"/>
                <w:lang w:eastAsia="en-US"/>
                <w14:ligatures w14:val="standardContextual"/>
              </w:rPr>
              <w:t>38.191.850</w:t>
            </w:r>
          </w:p>
        </w:tc>
        <w:tc>
          <w:tcPr>
            <w:tcW w:w="1547" w:type="dxa"/>
            <w:shd w:val="clear" w:color="auto" w:fill="auto"/>
            <w:noWrap/>
            <w:vAlign w:val="bottom"/>
            <w:hideMark/>
          </w:tcPr>
          <w:p w14:paraId="483BC302" w14:textId="77777777" w:rsidR="00F601AA" w:rsidRPr="00AB429E" w:rsidRDefault="00F601AA" w:rsidP="00F601AA">
            <w:pPr>
              <w:suppressAutoHyphens w:val="0"/>
              <w:autoSpaceDN/>
              <w:spacing w:after="0" w:line="240" w:lineRule="auto"/>
              <w:rPr>
                <w:rFonts w:cs="Arial"/>
                <w:color w:val="000000"/>
                <w:sz w:val="18"/>
                <w:szCs w:val="18"/>
              </w:rPr>
            </w:pPr>
          </w:p>
        </w:tc>
      </w:tr>
      <w:tr w:rsidR="00F601AA" w:rsidRPr="00F601AA" w14:paraId="012125C2" w14:textId="77777777" w:rsidTr="00C57B56">
        <w:trPr>
          <w:trHeight w:val="300"/>
          <w:jc w:val="center"/>
        </w:trPr>
        <w:tc>
          <w:tcPr>
            <w:tcW w:w="562" w:type="dxa"/>
            <w:shd w:val="clear" w:color="auto" w:fill="auto"/>
            <w:noWrap/>
            <w:hideMark/>
          </w:tcPr>
          <w:p w14:paraId="3639AC4C"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eastAsiaTheme="minorHAnsi" w:cs="Arial"/>
                <w:kern w:val="2"/>
                <w:sz w:val="18"/>
                <w:szCs w:val="18"/>
                <w:lang w:eastAsia="en-US"/>
                <w14:ligatures w14:val="standardContextual"/>
              </w:rPr>
              <w:t>6</w:t>
            </w:r>
          </w:p>
        </w:tc>
        <w:tc>
          <w:tcPr>
            <w:tcW w:w="1133" w:type="dxa"/>
            <w:shd w:val="clear" w:color="auto" w:fill="auto"/>
            <w:noWrap/>
            <w:hideMark/>
          </w:tcPr>
          <w:p w14:paraId="5D93A511"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eastAsiaTheme="minorHAnsi" w:cs="Arial"/>
                <w:kern w:val="2"/>
                <w:sz w:val="18"/>
                <w:szCs w:val="18"/>
                <w:lang w:eastAsia="en-US"/>
                <w14:ligatures w14:val="standardContextual"/>
              </w:rPr>
              <w:t>ESO 4.4</w:t>
            </w:r>
          </w:p>
        </w:tc>
        <w:tc>
          <w:tcPr>
            <w:tcW w:w="709" w:type="dxa"/>
            <w:shd w:val="clear" w:color="auto" w:fill="auto"/>
            <w:noWrap/>
            <w:hideMark/>
          </w:tcPr>
          <w:p w14:paraId="043065A1"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eastAsiaTheme="minorHAnsi" w:cs="Arial"/>
                <w:kern w:val="2"/>
                <w:sz w:val="18"/>
                <w:szCs w:val="18"/>
                <w:lang w:eastAsia="en-US"/>
                <w14:ligatures w14:val="standardContextual"/>
              </w:rPr>
              <w:t>ESS+</w:t>
            </w:r>
          </w:p>
        </w:tc>
        <w:tc>
          <w:tcPr>
            <w:tcW w:w="1126" w:type="dxa"/>
            <w:shd w:val="clear" w:color="auto" w:fill="auto"/>
            <w:noWrap/>
            <w:hideMark/>
          </w:tcPr>
          <w:p w14:paraId="4FB78CE8"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eastAsiaTheme="minorHAnsi" w:cs="Arial"/>
                <w:kern w:val="2"/>
                <w:sz w:val="18"/>
                <w:szCs w:val="18"/>
                <w:lang w:eastAsia="en-US"/>
                <w14:ligatures w14:val="standardContextual"/>
              </w:rPr>
              <w:t>Zahod</w:t>
            </w:r>
          </w:p>
        </w:tc>
        <w:tc>
          <w:tcPr>
            <w:tcW w:w="1420" w:type="dxa"/>
            <w:shd w:val="clear" w:color="auto" w:fill="auto"/>
            <w:noWrap/>
            <w:hideMark/>
          </w:tcPr>
          <w:p w14:paraId="4FA57BB1" w14:textId="77777777" w:rsidR="00F601AA" w:rsidRPr="00AB429E" w:rsidRDefault="00F601AA" w:rsidP="00F601AA">
            <w:pPr>
              <w:suppressAutoHyphens w:val="0"/>
              <w:autoSpaceDN/>
              <w:spacing w:after="0" w:line="240" w:lineRule="auto"/>
              <w:jc w:val="right"/>
              <w:rPr>
                <w:rFonts w:cs="Arial"/>
                <w:sz w:val="18"/>
                <w:szCs w:val="18"/>
              </w:rPr>
            </w:pPr>
            <w:r w:rsidRPr="00AB429E">
              <w:rPr>
                <w:rFonts w:eastAsiaTheme="minorHAnsi" w:cs="Arial"/>
                <w:kern w:val="2"/>
                <w:sz w:val="18"/>
                <w:szCs w:val="18"/>
                <w:lang w:eastAsia="en-US"/>
                <w14:ligatures w14:val="standardContextual"/>
              </w:rPr>
              <w:t>7.550.000</w:t>
            </w:r>
          </w:p>
        </w:tc>
        <w:tc>
          <w:tcPr>
            <w:tcW w:w="1427" w:type="dxa"/>
            <w:shd w:val="clear" w:color="auto" w:fill="auto"/>
            <w:noWrap/>
            <w:hideMark/>
          </w:tcPr>
          <w:p w14:paraId="1A872638" w14:textId="77777777" w:rsidR="00F601AA" w:rsidRPr="00AB429E" w:rsidRDefault="00F601AA" w:rsidP="00F601AA">
            <w:pPr>
              <w:suppressAutoHyphens w:val="0"/>
              <w:autoSpaceDN/>
              <w:spacing w:after="0" w:line="240" w:lineRule="auto"/>
              <w:jc w:val="right"/>
              <w:rPr>
                <w:rFonts w:cs="Arial"/>
                <w:sz w:val="18"/>
                <w:szCs w:val="18"/>
              </w:rPr>
            </w:pPr>
            <w:r w:rsidRPr="00AB429E">
              <w:rPr>
                <w:rFonts w:eastAsiaTheme="minorHAnsi" w:cs="Arial"/>
                <w:kern w:val="2"/>
                <w:sz w:val="18"/>
                <w:szCs w:val="18"/>
                <w:lang w:eastAsia="en-US"/>
                <w14:ligatures w14:val="standardContextual"/>
              </w:rPr>
              <w:t xml:space="preserve"> +13.600</w:t>
            </w:r>
          </w:p>
        </w:tc>
        <w:tc>
          <w:tcPr>
            <w:tcW w:w="1420" w:type="dxa"/>
            <w:shd w:val="clear" w:color="auto" w:fill="auto"/>
            <w:noWrap/>
            <w:hideMark/>
          </w:tcPr>
          <w:p w14:paraId="4DD201EB" w14:textId="77777777" w:rsidR="00F601AA" w:rsidRPr="00AB429E" w:rsidRDefault="00F601AA" w:rsidP="00F601AA">
            <w:pPr>
              <w:suppressAutoHyphens w:val="0"/>
              <w:autoSpaceDN/>
              <w:spacing w:after="0" w:line="240" w:lineRule="auto"/>
              <w:jc w:val="right"/>
              <w:rPr>
                <w:rFonts w:cs="Arial"/>
                <w:sz w:val="18"/>
                <w:szCs w:val="18"/>
              </w:rPr>
            </w:pPr>
            <w:r w:rsidRPr="00AB429E">
              <w:rPr>
                <w:rFonts w:eastAsiaTheme="minorHAnsi" w:cs="Arial"/>
                <w:kern w:val="2"/>
                <w:sz w:val="18"/>
                <w:szCs w:val="18"/>
                <w:lang w:eastAsia="en-US"/>
                <w14:ligatures w14:val="standardContextual"/>
              </w:rPr>
              <w:t>7.563.600</w:t>
            </w:r>
          </w:p>
        </w:tc>
        <w:tc>
          <w:tcPr>
            <w:tcW w:w="1547" w:type="dxa"/>
            <w:shd w:val="clear" w:color="auto" w:fill="auto"/>
            <w:noWrap/>
            <w:vAlign w:val="bottom"/>
            <w:hideMark/>
          </w:tcPr>
          <w:p w14:paraId="0CA06A78" w14:textId="77777777" w:rsidR="00F601AA" w:rsidRPr="00AB429E" w:rsidRDefault="00F601AA" w:rsidP="00F601AA">
            <w:pPr>
              <w:suppressAutoHyphens w:val="0"/>
              <w:autoSpaceDN/>
              <w:spacing w:after="0" w:line="240" w:lineRule="auto"/>
              <w:rPr>
                <w:rFonts w:cs="Arial"/>
                <w:color w:val="000000"/>
                <w:sz w:val="18"/>
                <w:szCs w:val="18"/>
              </w:rPr>
            </w:pPr>
          </w:p>
        </w:tc>
      </w:tr>
      <w:tr w:rsidR="00F601AA" w:rsidRPr="00F601AA" w14:paraId="3F94D656" w14:textId="77777777" w:rsidTr="00C57B56">
        <w:trPr>
          <w:trHeight w:val="300"/>
          <w:jc w:val="center"/>
        </w:trPr>
        <w:tc>
          <w:tcPr>
            <w:tcW w:w="562" w:type="dxa"/>
            <w:shd w:val="clear" w:color="auto" w:fill="auto"/>
            <w:noWrap/>
            <w:vAlign w:val="bottom"/>
            <w:hideMark/>
          </w:tcPr>
          <w:p w14:paraId="6FB244BD"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6</w:t>
            </w:r>
          </w:p>
        </w:tc>
        <w:tc>
          <w:tcPr>
            <w:tcW w:w="1133" w:type="dxa"/>
            <w:shd w:val="clear" w:color="auto" w:fill="auto"/>
            <w:noWrap/>
            <w:vAlign w:val="bottom"/>
            <w:hideMark/>
          </w:tcPr>
          <w:p w14:paraId="2503E885"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ESO 4.5</w:t>
            </w:r>
          </w:p>
        </w:tc>
        <w:tc>
          <w:tcPr>
            <w:tcW w:w="709" w:type="dxa"/>
            <w:shd w:val="clear" w:color="auto" w:fill="auto"/>
            <w:noWrap/>
            <w:vAlign w:val="bottom"/>
            <w:hideMark/>
          </w:tcPr>
          <w:p w14:paraId="21FBFDE0"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ESS+</w:t>
            </w:r>
          </w:p>
        </w:tc>
        <w:tc>
          <w:tcPr>
            <w:tcW w:w="1126" w:type="dxa"/>
            <w:shd w:val="clear" w:color="auto" w:fill="auto"/>
            <w:noWrap/>
            <w:vAlign w:val="bottom"/>
            <w:hideMark/>
          </w:tcPr>
          <w:p w14:paraId="5B473FC2"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Vzhod</w:t>
            </w:r>
          </w:p>
        </w:tc>
        <w:tc>
          <w:tcPr>
            <w:tcW w:w="1420" w:type="dxa"/>
            <w:shd w:val="clear" w:color="auto" w:fill="auto"/>
            <w:noWrap/>
            <w:vAlign w:val="bottom"/>
            <w:hideMark/>
          </w:tcPr>
          <w:p w14:paraId="5765D6F5"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95.168.800</w:t>
            </w:r>
          </w:p>
        </w:tc>
        <w:tc>
          <w:tcPr>
            <w:tcW w:w="1427" w:type="dxa"/>
            <w:shd w:val="clear" w:color="auto" w:fill="auto"/>
            <w:noWrap/>
            <w:vAlign w:val="center"/>
            <w:hideMark/>
          </w:tcPr>
          <w:p w14:paraId="78F45AE7" w14:textId="77777777" w:rsidR="00F601AA" w:rsidRPr="00AB429E" w:rsidRDefault="00F601AA" w:rsidP="00F601AA">
            <w:pPr>
              <w:suppressAutoHyphens w:val="0"/>
              <w:autoSpaceDN/>
              <w:spacing w:after="0" w:line="240" w:lineRule="auto"/>
              <w:jc w:val="right"/>
              <w:rPr>
                <w:rFonts w:cs="Arial"/>
                <w:sz w:val="18"/>
                <w:szCs w:val="18"/>
              </w:rPr>
            </w:pPr>
            <w:r w:rsidRPr="00AB429E">
              <w:rPr>
                <w:rFonts w:eastAsiaTheme="minorHAnsi" w:cs="Arial"/>
                <w:kern w:val="2"/>
                <w:sz w:val="18"/>
                <w:szCs w:val="18"/>
                <w:lang w:eastAsia="en-US"/>
                <w14:ligatures w14:val="standardContextual"/>
              </w:rPr>
              <w:t> </w:t>
            </w:r>
          </w:p>
        </w:tc>
        <w:tc>
          <w:tcPr>
            <w:tcW w:w="1420" w:type="dxa"/>
            <w:shd w:val="clear" w:color="auto" w:fill="auto"/>
            <w:noWrap/>
            <w:vAlign w:val="center"/>
            <w:hideMark/>
          </w:tcPr>
          <w:p w14:paraId="51505152" w14:textId="77777777" w:rsidR="00F601AA" w:rsidRPr="00AB429E" w:rsidRDefault="00F601AA" w:rsidP="00F601AA">
            <w:pPr>
              <w:suppressAutoHyphens w:val="0"/>
              <w:autoSpaceDN/>
              <w:spacing w:after="0" w:line="240" w:lineRule="auto"/>
              <w:jc w:val="right"/>
              <w:rPr>
                <w:rFonts w:cs="Arial"/>
                <w:sz w:val="18"/>
                <w:szCs w:val="18"/>
              </w:rPr>
            </w:pPr>
            <w:r w:rsidRPr="00AB429E">
              <w:rPr>
                <w:rFonts w:eastAsiaTheme="minorHAnsi" w:cs="Arial"/>
                <w:kern w:val="2"/>
                <w:sz w:val="18"/>
                <w:szCs w:val="18"/>
                <w:lang w:eastAsia="en-US"/>
                <w14:ligatures w14:val="standardContextual"/>
              </w:rPr>
              <w:t>95.168.800</w:t>
            </w:r>
          </w:p>
        </w:tc>
        <w:tc>
          <w:tcPr>
            <w:tcW w:w="1547" w:type="dxa"/>
            <w:shd w:val="clear" w:color="auto" w:fill="auto"/>
            <w:noWrap/>
            <w:vAlign w:val="bottom"/>
            <w:hideMark/>
          </w:tcPr>
          <w:p w14:paraId="114C84F1" w14:textId="77777777" w:rsidR="00F601AA" w:rsidRPr="00AB429E" w:rsidRDefault="00F601AA" w:rsidP="00F601AA">
            <w:pPr>
              <w:suppressAutoHyphens w:val="0"/>
              <w:autoSpaceDN/>
              <w:spacing w:after="0" w:line="240" w:lineRule="auto"/>
              <w:rPr>
                <w:rFonts w:cs="Arial"/>
                <w:color w:val="000000"/>
                <w:sz w:val="18"/>
                <w:szCs w:val="18"/>
              </w:rPr>
            </w:pPr>
          </w:p>
        </w:tc>
      </w:tr>
      <w:tr w:rsidR="00F601AA" w:rsidRPr="00F601AA" w14:paraId="719C862F" w14:textId="77777777" w:rsidTr="00C57B56">
        <w:trPr>
          <w:trHeight w:val="300"/>
          <w:jc w:val="center"/>
        </w:trPr>
        <w:tc>
          <w:tcPr>
            <w:tcW w:w="562" w:type="dxa"/>
            <w:shd w:val="clear" w:color="auto" w:fill="auto"/>
            <w:noWrap/>
            <w:vAlign w:val="bottom"/>
            <w:hideMark/>
          </w:tcPr>
          <w:p w14:paraId="4BEF7157"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6</w:t>
            </w:r>
          </w:p>
        </w:tc>
        <w:tc>
          <w:tcPr>
            <w:tcW w:w="1133" w:type="dxa"/>
            <w:shd w:val="clear" w:color="auto" w:fill="auto"/>
            <w:noWrap/>
            <w:vAlign w:val="bottom"/>
            <w:hideMark/>
          </w:tcPr>
          <w:p w14:paraId="3BDBF71D"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ESO 4.5</w:t>
            </w:r>
          </w:p>
        </w:tc>
        <w:tc>
          <w:tcPr>
            <w:tcW w:w="709" w:type="dxa"/>
            <w:shd w:val="clear" w:color="auto" w:fill="auto"/>
            <w:noWrap/>
            <w:vAlign w:val="bottom"/>
            <w:hideMark/>
          </w:tcPr>
          <w:p w14:paraId="00A3EB95"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ESS+</w:t>
            </w:r>
          </w:p>
        </w:tc>
        <w:tc>
          <w:tcPr>
            <w:tcW w:w="1126" w:type="dxa"/>
            <w:shd w:val="clear" w:color="auto" w:fill="auto"/>
            <w:noWrap/>
            <w:vAlign w:val="bottom"/>
            <w:hideMark/>
          </w:tcPr>
          <w:p w14:paraId="2B9150A7"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Zahod</w:t>
            </w:r>
          </w:p>
        </w:tc>
        <w:tc>
          <w:tcPr>
            <w:tcW w:w="1420" w:type="dxa"/>
            <w:shd w:val="clear" w:color="auto" w:fill="auto"/>
            <w:noWrap/>
            <w:vAlign w:val="bottom"/>
            <w:hideMark/>
          </w:tcPr>
          <w:p w14:paraId="00CFDFE1"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42.265.000</w:t>
            </w:r>
          </w:p>
        </w:tc>
        <w:tc>
          <w:tcPr>
            <w:tcW w:w="1427" w:type="dxa"/>
            <w:shd w:val="clear" w:color="auto" w:fill="auto"/>
            <w:noWrap/>
            <w:vAlign w:val="center"/>
            <w:hideMark/>
          </w:tcPr>
          <w:p w14:paraId="41CC651C" w14:textId="77777777" w:rsidR="00F601AA" w:rsidRPr="00AB429E" w:rsidRDefault="00F601AA" w:rsidP="00F601AA">
            <w:pPr>
              <w:suppressAutoHyphens w:val="0"/>
              <w:autoSpaceDN/>
              <w:spacing w:after="0" w:line="240" w:lineRule="auto"/>
              <w:jc w:val="right"/>
              <w:rPr>
                <w:rFonts w:cs="Arial"/>
                <w:sz w:val="18"/>
                <w:szCs w:val="18"/>
              </w:rPr>
            </w:pPr>
            <w:r w:rsidRPr="00AB429E">
              <w:rPr>
                <w:rFonts w:eastAsiaTheme="minorHAnsi" w:cs="Arial"/>
                <w:kern w:val="2"/>
                <w:sz w:val="18"/>
                <w:szCs w:val="18"/>
                <w:lang w:eastAsia="en-US"/>
                <w14:ligatures w14:val="standardContextual"/>
              </w:rPr>
              <w:t> </w:t>
            </w:r>
          </w:p>
        </w:tc>
        <w:tc>
          <w:tcPr>
            <w:tcW w:w="1420" w:type="dxa"/>
            <w:shd w:val="clear" w:color="auto" w:fill="auto"/>
            <w:noWrap/>
            <w:vAlign w:val="center"/>
            <w:hideMark/>
          </w:tcPr>
          <w:p w14:paraId="594FC55E" w14:textId="77777777" w:rsidR="00F601AA" w:rsidRPr="00AB429E" w:rsidRDefault="00F601AA" w:rsidP="00F601AA">
            <w:pPr>
              <w:suppressAutoHyphens w:val="0"/>
              <w:autoSpaceDN/>
              <w:spacing w:after="0" w:line="240" w:lineRule="auto"/>
              <w:jc w:val="right"/>
              <w:rPr>
                <w:rFonts w:cs="Arial"/>
                <w:sz w:val="18"/>
                <w:szCs w:val="18"/>
              </w:rPr>
            </w:pPr>
            <w:r w:rsidRPr="00AB429E">
              <w:rPr>
                <w:rFonts w:eastAsiaTheme="minorHAnsi" w:cs="Arial"/>
                <w:kern w:val="2"/>
                <w:sz w:val="18"/>
                <w:szCs w:val="18"/>
                <w:lang w:eastAsia="en-US"/>
                <w14:ligatures w14:val="standardContextual"/>
              </w:rPr>
              <w:t>42.265.000</w:t>
            </w:r>
          </w:p>
        </w:tc>
        <w:tc>
          <w:tcPr>
            <w:tcW w:w="1547" w:type="dxa"/>
            <w:shd w:val="clear" w:color="auto" w:fill="auto"/>
            <w:noWrap/>
            <w:vAlign w:val="bottom"/>
            <w:hideMark/>
          </w:tcPr>
          <w:p w14:paraId="64537AD7" w14:textId="77777777" w:rsidR="00F601AA" w:rsidRPr="00AB429E" w:rsidRDefault="00F601AA" w:rsidP="00F601AA">
            <w:pPr>
              <w:suppressAutoHyphens w:val="0"/>
              <w:autoSpaceDN/>
              <w:spacing w:after="0" w:line="240" w:lineRule="auto"/>
              <w:rPr>
                <w:rFonts w:cs="Arial"/>
                <w:color w:val="000000"/>
                <w:sz w:val="18"/>
                <w:szCs w:val="18"/>
              </w:rPr>
            </w:pPr>
          </w:p>
        </w:tc>
      </w:tr>
      <w:tr w:rsidR="00F601AA" w:rsidRPr="00F601AA" w14:paraId="74288419" w14:textId="77777777" w:rsidTr="00C57B56">
        <w:trPr>
          <w:trHeight w:val="300"/>
          <w:jc w:val="center"/>
        </w:trPr>
        <w:tc>
          <w:tcPr>
            <w:tcW w:w="562" w:type="dxa"/>
            <w:shd w:val="clear" w:color="auto" w:fill="auto"/>
            <w:noWrap/>
            <w:vAlign w:val="bottom"/>
            <w:hideMark/>
          </w:tcPr>
          <w:p w14:paraId="1CD4B17D"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6</w:t>
            </w:r>
          </w:p>
        </w:tc>
        <w:tc>
          <w:tcPr>
            <w:tcW w:w="1133" w:type="dxa"/>
            <w:shd w:val="clear" w:color="auto" w:fill="auto"/>
            <w:noWrap/>
            <w:vAlign w:val="bottom"/>
            <w:hideMark/>
          </w:tcPr>
          <w:p w14:paraId="26A9B7FE"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ESO 4.7</w:t>
            </w:r>
          </w:p>
        </w:tc>
        <w:tc>
          <w:tcPr>
            <w:tcW w:w="709" w:type="dxa"/>
            <w:shd w:val="clear" w:color="auto" w:fill="auto"/>
            <w:noWrap/>
            <w:vAlign w:val="bottom"/>
            <w:hideMark/>
          </w:tcPr>
          <w:p w14:paraId="58044BDC"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ESS+</w:t>
            </w:r>
          </w:p>
        </w:tc>
        <w:tc>
          <w:tcPr>
            <w:tcW w:w="1126" w:type="dxa"/>
            <w:shd w:val="clear" w:color="auto" w:fill="auto"/>
            <w:noWrap/>
            <w:vAlign w:val="bottom"/>
            <w:hideMark/>
          </w:tcPr>
          <w:p w14:paraId="37DF26CA"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Vzhod</w:t>
            </w:r>
          </w:p>
        </w:tc>
        <w:tc>
          <w:tcPr>
            <w:tcW w:w="1420" w:type="dxa"/>
            <w:shd w:val="clear" w:color="auto" w:fill="auto"/>
            <w:noWrap/>
            <w:vAlign w:val="bottom"/>
            <w:hideMark/>
          </w:tcPr>
          <w:p w14:paraId="06DFF47E"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53.980.000</w:t>
            </w:r>
          </w:p>
        </w:tc>
        <w:tc>
          <w:tcPr>
            <w:tcW w:w="1427" w:type="dxa"/>
            <w:shd w:val="clear" w:color="auto" w:fill="auto"/>
            <w:noWrap/>
            <w:vAlign w:val="center"/>
            <w:hideMark/>
          </w:tcPr>
          <w:p w14:paraId="58B348D5" w14:textId="77777777" w:rsidR="00F601AA" w:rsidRPr="00AB429E" w:rsidRDefault="00F601AA" w:rsidP="00F601AA">
            <w:pPr>
              <w:suppressAutoHyphens w:val="0"/>
              <w:autoSpaceDN/>
              <w:spacing w:after="0" w:line="240" w:lineRule="auto"/>
              <w:jc w:val="right"/>
              <w:rPr>
                <w:rFonts w:cs="Arial"/>
                <w:sz w:val="18"/>
                <w:szCs w:val="18"/>
              </w:rPr>
            </w:pPr>
            <w:r w:rsidRPr="00AB429E">
              <w:rPr>
                <w:rFonts w:eastAsiaTheme="minorHAnsi" w:cs="Arial"/>
                <w:kern w:val="2"/>
                <w:sz w:val="18"/>
                <w:szCs w:val="18"/>
                <w:lang w:eastAsia="en-US"/>
                <w14:ligatures w14:val="standardContextual"/>
              </w:rPr>
              <w:t>6.048.808</w:t>
            </w:r>
          </w:p>
        </w:tc>
        <w:tc>
          <w:tcPr>
            <w:tcW w:w="1420" w:type="dxa"/>
            <w:shd w:val="clear" w:color="auto" w:fill="auto"/>
            <w:noWrap/>
            <w:vAlign w:val="center"/>
            <w:hideMark/>
          </w:tcPr>
          <w:p w14:paraId="70FE0305" w14:textId="77777777" w:rsidR="00F601AA" w:rsidRPr="00AB429E" w:rsidRDefault="00F601AA" w:rsidP="00F601AA">
            <w:pPr>
              <w:suppressAutoHyphens w:val="0"/>
              <w:autoSpaceDN/>
              <w:spacing w:after="0" w:line="240" w:lineRule="auto"/>
              <w:jc w:val="right"/>
              <w:rPr>
                <w:rFonts w:cs="Arial"/>
                <w:sz w:val="18"/>
                <w:szCs w:val="18"/>
              </w:rPr>
            </w:pPr>
            <w:r w:rsidRPr="00AB429E">
              <w:rPr>
                <w:rFonts w:eastAsiaTheme="minorHAnsi" w:cs="Arial"/>
                <w:kern w:val="2"/>
                <w:sz w:val="18"/>
                <w:szCs w:val="18"/>
                <w:lang w:eastAsia="en-US"/>
                <w14:ligatures w14:val="standardContextual"/>
              </w:rPr>
              <w:t>60.028.808</w:t>
            </w:r>
          </w:p>
        </w:tc>
        <w:tc>
          <w:tcPr>
            <w:tcW w:w="1547" w:type="dxa"/>
            <w:shd w:val="clear" w:color="auto" w:fill="auto"/>
            <w:noWrap/>
            <w:vAlign w:val="bottom"/>
            <w:hideMark/>
          </w:tcPr>
          <w:p w14:paraId="5BC6C961"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Umestitev ukrepov MDP</w:t>
            </w:r>
          </w:p>
        </w:tc>
      </w:tr>
      <w:tr w:rsidR="00F601AA" w:rsidRPr="00F601AA" w14:paraId="429DC03F" w14:textId="77777777" w:rsidTr="00C57B56">
        <w:trPr>
          <w:trHeight w:val="300"/>
          <w:jc w:val="center"/>
        </w:trPr>
        <w:tc>
          <w:tcPr>
            <w:tcW w:w="562" w:type="dxa"/>
            <w:shd w:val="clear" w:color="auto" w:fill="auto"/>
            <w:noWrap/>
            <w:vAlign w:val="bottom"/>
            <w:hideMark/>
          </w:tcPr>
          <w:p w14:paraId="5160A892"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6</w:t>
            </w:r>
          </w:p>
        </w:tc>
        <w:tc>
          <w:tcPr>
            <w:tcW w:w="1133" w:type="dxa"/>
            <w:shd w:val="clear" w:color="auto" w:fill="auto"/>
            <w:noWrap/>
            <w:vAlign w:val="bottom"/>
            <w:hideMark/>
          </w:tcPr>
          <w:p w14:paraId="042FBBB0"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ESO 4.7</w:t>
            </w:r>
          </w:p>
        </w:tc>
        <w:tc>
          <w:tcPr>
            <w:tcW w:w="709" w:type="dxa"/>
            <w:shd w:val="clear" w:color="auto" w:fill="auto"/>
            <w:noWrap/>
            <w:vAlign w:val="bottom"/>
            <w:hideMark/>
          </w:tcPr>
          <w:p w14:paraId="36400FD4"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ESS+</w:t>
            </w:r>
          </w:p>
        </w:tc>
        <w:tc>
          <w:tcPr>
            <w:tcW w:w="1126" w:type="dxa"/>
            <w:shd w:val="clear" w:color="auto" w:fill="auto"/>
            <w:noWrap/>
            <w:vAlign w:val="bottom"/>
            <w:hideMark/>
          </w:tcPr>
          <w:p w14:paraId="52ABF708"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Zahod</w:t>
            </w:r>
          </w:p>
        </w:tc>
        <w:tc>
          <w:tcPr>
            <w:tcW w:w="1420" w:type="dxa"/>
            <w:shd w:val="clear" w:color="auto" w:fill="auto"/>
            <w:noWrap/>
            <w:vAlign w:val="bottom"/>
            <w:hideMark/>
          </w:tcPr>
          <w:p w14:paraId="2A30BE88"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15.988.500</w:t>
            </w:r>
          </w:p>
        </w:tc>
        <w:tc>
          <w:tcPr>
            <w:tcW w:w="1427" w:type="dxa"/>
            <w:shd w:val="clear" w:color="auto" w:fill="auto"/>
            <w:noWrap/>
            <w:vAlign w:val="bottom"/>
            <w:hideMark/>
          </w:tcPr>
          <w:p w14:paraId="2B0A2BF8" w14:textId="77777777" w:rsidR="00F601AA" w:rsidRPr="00AB429E" w:rsidRDefault="00F601AA" w:rsidP="00F601AA">
            <w:pPr>
              <w:suppressAutoHyphens w:val="0"/>
              <w:autoSpaceDN/>
              <w:spacing w:after="0" w:line="240" w:lineRule="auto"/>
              <w:jc w:val="right"/>
              <w:rPr>
                <w:rFonts w:cs="Arial"/>
                <w:sz w:val="18"/>
                <w:szCs w:val="18"/>
              </w:rPr>
            </w:pPr>
            <w:r w:rsidRPr="00AB429E">
              <w:rPr>
                <w:rFonts w:eastAsiaTheme="minorHAnsi" w:cs="Arial"/>
                <w:kern w:val="2"/>
                <w:sz w:val="18"/>
                <w:szCs w:val="18"/>
                <w:lang w:eastAsia="en-US"/>
                <w14:ligatures w14:val="standardContextual"/>
              </w:rPr>
              <w:t>2.788.426</w:t>
            </w:r>
          </w:p>
        </w:tc>
        <w:tc>
          <w:tcPr>
            <w:tcW w:w="1420" w:type="dxa"/>
            <w:shd w:val="clear" w:color="auto" w:fill="auto"/>
            <w:noWrap/>
            <w:vAlign w:val="center"/>
            <w:hideMark/>
          </w:tcPr>
          <w:p w14:paraId="4045844A" w14:textId="77777777" w:rsidR="00F601AA" w:rsidRPr="00AB429E" w:rsidRDefault="00F601AA" w:rsidP="00F601AA">
            <w:pPr>
              <w:suppressAutoHyphens w:val="0"/>
              <w:autoSpaceDN/>
              <w:spacing w:after="0" w:line="240" w:lineRule="auto"/>
              <w:jc w:val="right"/>
              <w:rPr>
                <w:rFonts w:cs="Arial"/>
                <w:sz w:val="18"/>
                <w:szCs w:val="18"/>
              </w:rPr>
            </w:pPr>
            <w:r w:rsidRPr="00AB429E">
              <w:rPr>
                <w:rFonts w:eastAsiaTheme="minorHAnsi" w:cs="Arial"/>
                <w:kern w:val="2"/>
                <w:sz w:val="18"/>
                <w:szCs w:val="18"/>
                <w:lang w:eastAsia="en-US"/>
                <w14:ligatures w14:val="standardContextual"/>
              </w:rPr>
              <w:t>18.776.926</w:t>
            </w:r>
          </w:p>
        </w:tc>
        <w:tc>
          <w:tcPr>
            <w:tcW w:w="1547" w:type="dxa"/>
            <w:shd w:val="clear" w:color="auto" w:fill="auto"/>
            <w:noWrap/>
            <w:vAlign w:val="bottom"/>
            <w:hideMark/>
          </w:tcPr>
          <w:p w14:paraId="45F0D164"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Umestitev ukrepov MDP</w:t>
            </w:r>
          </w:p>
        </w:tc>
      </w:tr>
      <w:tr w:rsidR="00F601AA" w:rsidRPr="00F601AA" w14:paraId="3237BC3A" w14:textId="77777777" w:rsidTr="00C57B56">
        <w:trPr>
          <w:trHeight w:val="300"/>
          <w:jc w:val="center"/>
        </w:trPr>
        <w:tc>
          <w:tcPr>
            <w:tcW w:w="562" w:type="dxa"/>
            <w:shd w:val="clear" w:color="auto" w:fill="auto"/>
            <w:noWrap/>
            <w:vAlign w:val="bottom"/>
            <w:hideMark/>
          </w:tcPr>
          <w:p w14:paraId="38E4FF56"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6</w:t>
            </w:r>
          </w:p>
        </w:tc>
        <w:tc>
          <w:tcPr>
            <w:tcW w:w="1133" w:type="dxa"/>
            <w:shd w:val="clear" w:color="auto" w:fill="auto"/>
            <w:noWrap/>
            <w:vAlign w:val="bottom"/>
            <w:hideMark/>
          </w:tcPr>
          <w:p w14:paraId="442466E6"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RSO 4.2</w:t>
            </w:r>
          </w:p>
        </w:tc>
        <w:tc>
          <w:tcPr>
            <w:tcW w:w="709" w:type="dxa"/>
            <w:shd w:val="clear" w:color="auto" w:fill="auto"/>
            <w:noWrap/>
            <w:vAlign w:val="bottom"/>
            <w:hideMark/>
          </w:tcPr>
          <w:p w14:paraId="438C6B88"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ESRR</w:t>
            </w:r>
          </w:p>
        </w:tc>
        <w:tc>
          <w:tcPr>
            <w:tcW w:w="1126" w:type="dxa"/>
            <w:shd w:val="clear" w:color="auto" w:fill="auto"/>
            <w:noWrap/>
            <w:vAlign w:val="bottom"/>
            <w:hideMark/>
          </w:tcPr>
          <w:p w14:paraId="7D062269"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Vzhod</w:t>
            </w:r>
          </w:p>
        </w:tc>
        <w:tc>
          <w:tcPr>
            <w:tcW w:w="1420" w:type="dxa"/>
            <w:shd w:val="clear" w:color="auto" w:fill="auto"/>
            <w:noWrap/>
            <w:vAlign w:val="bottom"/>
            <w:hideMark/>
          </w:tcPr>
          <w:p w14:paraId="6F630676"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32.800.061</w:t>
            </w:r>
          </w:p>
        </w:tc>
        <w:tc>
          <w:tcPr>
            <w:tcW w:w="1427" w:type="dxa"/>
            <w:shd w:val="clear" w:color="auto" w:fill="auto"/>
            <w:noWrap/>
            <w:vAlign w:val="bottom"/>
            <w:hideMark/>
          </w:tcPr>
          <w:p w14:paraId="44FBC17F" w14:textId="77777777" w:rsidR="00F601AA" w:rsidRPr="00AB429E" w:rsidRDefault="00F601AA" w:rsidP="00F601AA">
            <w:pPr>
              <w:suppressAutoHyphens w:val="0"/>
              <w:autoSpaceDN/>
              <w:spacing w:after="0" w:line="240" w:lineRule="auto"/>
              <w:rPr>
                <w:rFonts w:cs="Arial"/>
                <w:sz w:val="18"/>
                <w:szCs w:val="18"/>
              </w:rPr>
            </w:pPr>
            <w:r w:rsidRPr="00AB429E">
              <w:rPr>
                <w:rFonts w:cs="Arial"/>
                <w:sz w:val="18"/>
                <w:szCs w:val="18"/>
              </w:rPr>
              <w:t> </w:t>
            </w:r>
          </w:p>
        </w:tc>
        <w:tc>
          <w:tcPr>
            <w:tcW w:w="1420" w:type="dxa"/>
            <w:shd w:val="clear" w:color="auto" w:fill="auto"/>
            <w:noWrap/>
            <w:vAlign w:val="bottom"/>
            <w:hideMark/>
          </w:tcPr>
          <w:p w14:paraId="093AFCE2"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32.800.061</w:t>
            </w:r>
          </w:p>
        </w:tc>
        <w:tc>
          <w:tcPr>
            <w:tcW w:w="1547" w:type="dxa"/>
            <w:shd w:val="clear" w:color="auto" w:fill="auto"/>
            <w:noWrap/>
            <w:vAlign w:val="bottom"/>
            <w:hideMark/>
          </w:tcPr>
          <w:p w14:paraId="3704121D"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 </w:t>
            </w:r>
          </w:p>
        </w:tc>
      </w:tr>
      <w:tr w:rsidR="00F601AA" w:rsidRPr="00F601AA" w14:paraId="54633C69" w14:textId="77777777" w:rsidTr="00C57B56">
        <w:trPr>
          <w:trHeight w:val="300"/>
          <w:jc w:val="center"/>
        </w:trPr>
        <w:tc>
          <w:tcPr>
            <w:tcW w:w="562" w:type="dxa"/>
            <w:shd w:val="clear" w:color="auto" w:fill="auto"/>
            <w:noWrap/>
            <w:vAlign w:val="bottom"/>
            <w:hideMark/>
          </w:tcPr>
          <w:p w14:paraId="1F3CC0CF"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7</w:t>
            </w:r>
          </w:p>
        </w:tc>
        <w:tc>
          <w:tcPr>
            <w:tcW w:w="1133" w:type="dxa"/>
            <w:shd w:val="clear" w:color="auto" w:fill="auto"/>
            <w:noWrap/>
            <w:vAlign w:val="bottom"/>
            <w:hideMark/>
          </w:tcPr>
          <w:p w14:paraId="78BD8077"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ESO 4.11</w:t>
            </w:r>
          </w:p>
        </w:tc>
        <w:tc>
          <w:tcPr>
            <w:tcW w:w="709" w:type="dxa"/>
            <w:shd w:val="clear" w:color="auto" w:fill="auto"/>
            <w:noWrap/>
            <w:vAlign w:val="bottom"/>
            <w:hideMark/>
          </w:tcPr>
          <w:p w14:paraId="18F64913"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ESS+</w:t>
            </w:r>
          </w:p>
        </w:tc>
        <w:tc>
          <w:tcPr>
            <w:tcW w:w="1126" w:type="dxa"/>
            <w:shd w:val="clear" w:color="auto" w:fill="auto"/>
            <w:noWrap/>
            <w:vAlign w:val="bottom"/>
            <w:hideMark/>
          </w:tcPr>
          <w:p w14:paraId="3B5E0A7C"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Vzhod</w:t>
            </w:r>
          </w:p>
        </w:tc>
        <w:tc>
          <w:tcPr>
            <w:tcW w:w="1420" w:type="dxa"/>
            <w:shd w:val="clear" w:color="auto" w:fill="auto"/>
            <w:noWrap/>
            <w:vAlign w:val="bottom"/>
            <w:hideMark/>
          </w:tcPr>
          <w:p w14:paraId="21C513CF"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79.698.001</w:t>
            </w:r>
          </w:p>
        </w:tc>
        <w:tc>
          <w:tcPr>
            <w:tcW w:w="1427" w:type="dxa"/>
            <w:shd w:val="clear" w:color="auto" w:fill="auto"/>
            <w:noWrap/>
            <w:vAlign w:val="bottom"/>
            <w:hideMark/>
          </w:tcPr>
          <w:p w14:paraId="2095C118" w14:textId="77777777" w:rsidR="00F601AA" w:rsidRPr="00AB429E" w:rsidRDefault="00F601AA" w:rsidP="00F601AA">
            <w:pPr>
              <w:suppressAutoHyphens w:val="0"/>
              <w:autoSpaceDN/>
              <w:spacing w:after="0" w:line="240" w:lineRule="auto"/>
              <w:rPr>
                <w:rFonts w:cs="Arial"/>
                <w:sz w:val="18"/>
                <w:szCs w:val="18"/>
              </w:rPr>
            </w:pPr>
            <w:r w:rsidRPr="00AB429E">
              <w:rPr>
                <w:rFonts w:cs="Arial"/>
                <w:sz w:val="18"/>
                <w:szCs w:val="18"/>
              </w:rPr>
              <w:t> </w:t>
            </w:r>
          </w:p>
        </w:tc>
        <w:tc>
          <w:tcPr>
            <w:tcW w:w="1420" w:type="dxa"/>
            <w:shd w:val="clear" w:color="auto" w:fill="auto"/>
            <w:noWrap/>
            <w:vAlign w:val="bottom"/>
            <w:hideMark/>
          </w:tcPr>
          <w:p w14:paraId="2C1D87D7"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79.698.001</w:t>
            </w:r>
          </w:p>
        </w:tc>
        <w:tc>
          <w:tcPr>
            <w:tcW w:w="1547" w:type="dxa"/>
            <w:shd w:val="clear" w:color="auto" w:fill="auto"/>
            <w:noWrap/>
            <w:vAlign w:val="bottom"/>
            <w:hideMark/>
          </w:tcPr>
          <w:p w14:paraId="03F11FF2"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 </w:t>
            </w:r>
          </w:p>
        </w:tc>
      </w:tr>
      <w:tr w:rsidR="00F601AA" w:rsidRPr="00F601AA" w14:paraId="2D91E78D" w14:textId="77777777" w:rsidTr="00C57B56">
        <w:trPr>
          <w:trHeight w:val="300"/>
          <w:jc w:val="center"/>
        </w:trPr>
        <w:tc>
          <w:tcPr>
            <w:tcW w:w="562" w:type="dxa"/>
            <w:shd w:val="clear" w:color="auto" w:fill="auto"/>
            <w:noWrap/>
            <w:vAlign w:val="bottom"/>
            <w:hideMark/>
          </w:tcPr>
          <w:p w14:paraId="7E117C81"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7</w:t>
            </w:r>
          </w:p>
        </w:tc>
        <w:tc>
          <w:tcPr>
            <w:tcW w:w="1133" w:type="dxa"/>
            <w:shd w:val="clear" w:color="auto" w:fill="auto"/>
            <w:noWrap/>
            <w:vAlign w:val="bottom"/>
            <w:hideMark/>
          </w:tcPr>
          <w:p w14:paraId="7FE2646F"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ESO 4.11</w:t>
            </w:r>
          </w:p>
        </w:tc>
        <w:tc>
          <w:tcPr>
            <w:tcW w:w="709" w:type="dxa"/>
            <w:shd w:val="clear" w:color="auto" w:fill="auto"/>
            <w:noWrap/>
            <w:vAlign w:val="bottom"/>
            <w:hideMark/>
          </w:tcPr>
          <w:p w14:paraId="2B33F508"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ESS+</w:t>
            </w:r>
          </w:p>
        </w:tc>
        <w:tc>
          <w:tcPr>
            <w:tcW w:w="1126" w:type="dxa"/>
            <w:shd w:val="clear" w:color="auto" w:fill="auto"/>
            <w:noWrap/>
            <w:vAlign w:val="bottom"/>
            <w:hideMark/>
          </w:tcPr>
          <w:p w14:paraId="034BED61"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Zahod</w:t>
            </w:r>
          </w:p>
        </w:tc>
        <w:tc>
          <w:tcPr>
            <w:tcW w:w="1420" w:type="dxa"/>
            <w:shd w:val="clear" w:color="auto" w:fill="auto"/>
            <w:noWrap/>
            <w:vAlign w:val="bottom"/>
            <w:hideMark/>
          </w:tcPr>
          <w:p w14:paraId="12DE61EE"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28.354.518</w:t>
            </w:r>
          </w:p>
        </w:tc>
        <w:tc>
          <w:tcPr>
            <w:tcW w:w="1427" w:type="dxa"/>
            <w:shd w:val="clear" w:color="auto" w:fill="auto"/>
            <w:noWrap/>
            <w:vAlign w:val="bottom"/>
            <w:hideMark/>
          </w:tcPr>
          <w:p w14:paraId="785FAA12" w14:textId="77777777" w:rsidR="00F601AA" w:rsidRPr="00AB429E" w:rsidRDefault="00F601AA" w:rsidP="00F601AA">
            <w:pPr>
              <w:suppressAutoHyphens w:val="0"/>
              <w:autoSpaceDN/>
              <w:spacing w:after="0" w:line="240" w:lineRule="auto"/>
              <w:rPr>
                <w:rFonts w:cs="Arial"/>
                <w:sz w:val="18"/>
                <w:szCs w:val="18"/>
              </w:rPr>
            </w:pPr>
            <w:r w:rsidRPr="00AB429E">
              <w:rPr>
                <w:rFonts w:cs="Arial"/>
                <w:sz w:val="18"/>
                <w:szCs w:val="18"/>
              </w:rPr>
              <w:t> </w:t>
            </w:r>
          </w:p>
        </w:tc>
        <w:tc>
          <w:tcPr>
            <w:tcW w:w="1420" w:type="dxa"/>
            <w:shd w:val="clear" w:color="auto" w:fill="auto"/>
            <w:noWrap/>
            <w:vAlign w:val="bottom"/>
            <w:hideMark/>
          </w:tcPr>
          <w:p w14:paraId="090C77BE"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28.354.518</w:t>
            </w:r>
          </w:p>
        </w:tc>
        <w:tc>
          <w:tcPr>
            <w:tcW w:w="1547" w:type="dxa"/>
            <w:shd w:val="clear" w:color="auto" w:fill="auto"/>
            <w:noWrap/>
            <w:vAlign w:val="bottom"/>
            <w:hideMark/>
          </w:tcPr>
          <w:p w14:paraId="3E5A6999"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 </w:t>
            </w:r>
          </w:p>
        </w:tc>
      </w:tr>
      <w:tr w:rsidR="00F601AA" w:rsidRPr="00F601AA" w14:paraId="7D93FA81" w14:textId="77777777" w:rsidTr="00C57B56">
        <w:trPr>
          <w:trHeight w:val="300"/>
          <w:jc w:val="center"/>
        </w:trPr>
        <w:tc>
          <w:tcPr>
            <w:tcW w:w="562" w:type="dxa"/>
            <w:shd w:val="clear" w:color="auto" w:fill="auto"/>
            <w:noWrap/>
            <w:vAlign w:val="bottom"/>
            <w:hideMark/>
          </w:tcPr>
          <w:p w14:paraId="516CE550"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7</w:t>
            </w:r>
          </w:p>
        </w:tc>
        <w:tc>
          <w:tcPr>
            <w:tcW w:w="1133" w:type="dxa"/>
            <w:shd w:val="clear" w:color="auto" w:fill="auto"/>
            <w:noWrap/>
            <w:vAlign w:val="bottom"/>
            <w:hideMark/>
          </w:tcPr>
          <w:p w14:paraId="59A606C7"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ESO 4.12</w:t>
            </w:r>
          </w:p>
        </w:tc>
        <w:tc>
          <w:tcPr>
            <w:tcW w:w="709" w:type="dxa"/>
            <w:shd w:val="clear" w:color="auto" w:fill="auto"/>
            <w:noWrap/>
            <w:vAlign w:val="bottom"/>
            <w:hideMark/>
          </w:tcPr>
          <w:p w14:paraId="515EDC87"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ESS+</w:t>
            </w:r>
          </w:p>
        </w:tc>
        <w:tc>
          <w:tcPr>
            <w:tcW w:w="1126" w:type="dxa"/>
            <w:shd w:val="clear" w:color="auto" w:fill="auto"/>
            <w:noWrap/>
            <w:vAlign w:val="bottom"/>
            <w:hideMark/>
          </w:tcPr>
          <w:p w14:paraId="3F3F17E3"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Vzhod</w:t>
            </w:r>
          </w:p>
        </w:tc>
        <w:tc>
          <w:tcPr>
            <w:tcW w:w="1420" w:type="dxa"/>
            <w:shd w:val="clear" w:color="auto" w:fill="auto"/>
            <w:noWrap/>
            <w:vAlign w:val="bottom"/>
            <w:hideMark/>
          </w:tcPr>
          <w:p w14:paraId="72842811"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44.329.000</w:t>
            </w:r>
          </w:p>
        </w:tc>
        <w:tc>
          <w:tcPr>
            <w:tcW w:w="1427" w:type="dxa"/>
            <w:shd w:val="clear" w:color="auto" w:fill="auto"/>
            <w:noWrap/>
            <w:vAlign w:val="bottom"/>
            <w:hideMark/>
          </w:tcPr>
          <w:p w14:paraId="530214C0" w14:textId="77777777" w:rsidR="00F601AA" w:rsidRPr="00AB429E" w:rsidRDefault="00F601AA" w:rsidP="00F601AA">
            <w:pPr>
              <w:suppressAutoHyphens w:val="0"/>
              <w:autoSpaceDN/>
              <w:spacing w:after="0" w:line="240" w:lineRule="auto"/>
              <w:rPr>
                <w:rFonts w:cs="Arial"/>
                <w:sz w:val="18"/>
                <w:szCs w:val="18"/>
              </w:rPr>
            </w:pPr>
            <w:r w:rsidRPr="00AB429E">
              <w:rPr>
                <w:rFonts w:cs="Arial"/>
                <w:sz w:val="18"/>
                <w:szCs w:val="18"/>
              </w:rPr>
              <w:t> </w:t>
            </w:r>
          </w:p>
        </w:tc>
        <w:tc>
          <w:tcPr>
            <w:tcW w:w="1420" w:type="dxa"/>
            <w:shd w:val="clear" w:color="auto" w:fill="auto"/>
            <w:noWrap/>
            <w:vAlign w:val="bottom"/>
            <w:hideMark/>
          </w:tcPr>
          <w:p w14:paraId="11E2FE44"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44.329.000</w:t>
            </w:r>
          </w:p>
        </w:tc>
        <w:tc>
          <w:tcPr>
            <w:tcW w:w="1547" w:type="dxa"/>
            <w:shd w:val="clear" w:color="auto" w:fill="auto"/>
            <w:noWrap/>
            <w:vAlign w:val="bottom"/>
            <w:hideMark/>
          </w:tcPr>
          <w:p w14:paraId="4C413B7D"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 </w:t>
            </w:r>
          </w:p>
        </w:tc>
      </w:tr>
      <w:tr w:rsidR="00F601AA" w:rsidRPr="00F601AA" w14:paraId="4B0C921F" w14:textId="77777777" w:rsidTr="00C57B56">
        <w:trPr>
          <w:trHeight w:val="300"/>
          <w:jc w:val="center"/>
        </w:trPr>
        <w:tc>
          <w:tcPr>
            <w:tcW w:w="562" w:type="dxa"/>
            <w:shd w:val="clear" w:color="auto" w:fill="auto"/>
            <w:noWrap/>
            <w:vAlign w:val="bottom"/>
            <w:hideMark/>
          </w:tcPr>
          <w:p w14:paraId="30FE2DBC"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7</w:t>
            </w:r>
          </w:p>
        </w:tc>
        <w:tc>
          <w:tcPr>
            <w:tcW w:w="1133" w:type="dxa"/>
            <w:shd w:val="clear" w:color="auto" w:fill="auto"/>
            <w:noWrap/>
            <w:vAlign w:val="bottom"/>
            <w:hideMark/>
          </w:tcPr>
          <w:p w14:paraId="222D5D57"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ESO 4.12</w:t>
            </w:r>
          </w:p>
        </w:tc>
        <w:tc>
          <w:tcPr>
            <w:tcW w:w="709" w:type="dxa"/>
            <w:shd w:val="clear" w:color="auto" w:fill="auto"/>
            <w:noWrap/>
            <w:vAlign w:val="bottom"/>
            <w:hideMark/>
          </w:tcPr>
          <w:p w14:paraId="4162967E"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ESS+</w:t>
            </w:r>
          </w:p>
        </w:tc>
        <w:tc>
          <w:tcPr>
            <w:tcW w:w="1126" w:type="dxa"/>
            <w:shd w:val="clear" w:color="auto" w:fill="auto"/>
            <w:noWrap/>
            <w:vAlign w:val="bottom"/>
            <w:hideMark/>
          </w:tcPr>
          <w:p w14:paraId="7E3428FA"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Zahod</w:t>
            </w:r>
          </w:p>
        </w:tc>
        <w:tc>
          <w:tcPr>
            <w:tcW w:w="1420" w:type="dxa"/>
            <w:shd w:val="clear" w:color="auto" w:fill="auto"/>
            <w:noWrap/>
            <w:vAlign w:val="bottom"/>
            <w:hideMark/>
          </w:tcPr>
          <w:p w14:paraId="3214EA6B"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16.559.482</w:t>
            </w:r>
          </w:p>
        </w:tc>
        <w:tc>
          <w:tcPr>
            <w:tcW w:w="1427" w:type="dxa"/>
            <w:shd w:val="clear" w:color="auto" w:fill="auto"/>
            <w:noWrap/>
            <w:vAlign w:val="bottom"/>
            <w:hideMark/>
          </w:tcPr>
          <w:p w14:paraId="6771DE6A" w14:textId="77777777" w:rsidR="00F601AA" w:rsidRPr="00AB429E" w:rsidRDefault="00F601AA" w:rsidP="00F601AA">
            <w:pPr>
              <w:suppressAutoHyphens w:val="0"/>
              <w:autoSpaceDN/>
              <w:spacing w:after="0" w:line="240" w:lineRule="auto"/>
              <w:rPr>
                <w:rFonts w:cs="Arial"/>
                <w:sz w:val="18"/>
                <w:szCs w:val="18"/>
              </w:rPr>
            </w:pPr>
            <w:r w:rsidRPr="00AB429E">
              <w:rPr>
                <w:rFonts w:cs="Arial"/>
                <w:sz w:val="18"/>
                <w:szCs w:val="18"/>
              </w:rPr>
              <w:t> </w:t>
            </w:r>
          </w:p>
        </w:tc>
        <w:tc>
          <w:tcPr>
            <w:tcW w:w="1420" w:type="dxa"/>
            <w:shd w:val="clear" w:color="auto" w:fill="auto"/>
            <w:noWrap/>
            <w:vAlign w:val="bottom"/>
            <w:hideMark/>
          </w:tcPr>
          <w:p w14:paraId="166E76A8"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16.559.482</w:t>
            </w:r>
          </w:p>
        </w:tc>
        <w:tc>
          <w:tcPr>
            <w:tcW w:w="1547" w:type="dxa"/>
            <w:shd w:val="clear" w:color="auto" w:fill="auto"/>
            <w:noWrap/>
            <w:vAlign w:val="bottom"/>
            <w:hideMark/>
          </w:tcPr>
          <w:p w14:paraId="26CABEF5"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 </w:t>
            </w:r>
          </w:p>
        </w:tc>
      </w:tr>
      <w:tr w:rsidR="00F601AA" w:rsidRPr="00F601AA" w14:paraId="2F07CA24" w14:textId="77777777" w:rsidTr="00C57B56">
        <w:trPr>
          <w:trHeight w:val="300"/>
          <w:jc w:val="center"/>
        </w:trPr>
        <w:tc>
          <w:tcPr>
            <w:tcW w:w="562" w:type="dxa"/>
            <w:shd w:val="clear" w:color="auto" w:fill="auto"/>
            <w:noWrap/>
            <w:vAlign w:val="bottom"/>
            <w:hideMark/>
          </w:tcPr>
          <w:p w14:paraId="3C4E964A"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7</w:t>
            </w:r>
          </w:p>
        </w:tc>
        <w:tc>
          <w:tcPr>
            <w:tcW w:w="1133" w:type="dxa"/>
            <w:shd w:val="clear" w:color="auto" w:fill="auto"/>
            <w:noWrap/>
            <w:vAlign w:val="bottom"/>
            <w:hideMark/>
          </w:tcPr>
          <w:p w14:paraId="2DE8655B"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ESO 4.8</w:t>
            </w:r>
          </w:p>
        </w:tc>
        <w:tc>
          <w:tcPr>
            <w:tcW w:w="709" w:type="dxa"/>
            <w:shd w:val="clear" w:color="auto" w:fill="auto"/>
            <w:noWrap/>
            <w:vAlign w:val="bottom"/>
            <w:hideMark/>
          </w:tcPr>
          <w:p w14:paraId="4785310B"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ESS+</w:t>
            </w:r>
          </w:p>
        </w:tc>
        <w:tc>
          <w:tcPr>
            <w:tcW w:w="1126" w:type="dxa"/>
            <w:shd w:val="clear" w:color="auto" w:fill="auto"/>
            <w:noWrap/>
            <w:vAlign w:val="bottom"/>
            <w:hideMark/>
          </w:tcPr>
          <w:p w14:paraId="5BB75CCB"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Vzhod</w:t>
            </w:r>
          </w:p>
        </w:tc>
        <w:tc>
          <w:tcPr>
            <w:tcW w:w="1420" w:type="dxa"/>
            <w:shd w:val="clear" w:color="auto" w:fill="auto"/>
            <w:noWrap/>
            <w:vAlign w:val="bottom"/>
            <w:hideMark/>
          </w:tcPr>
          <w:p w14:paraId="246FC3DF"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28.800.000</w:t>
            </w:r>
          </w:p>
        </w:tc>
        <w:tc>
          <w:tcPr>
            <w:tcW w:w="1427" w:type="dxa"/>
            <w:shd w:val="clear" w:color="auto" w:fill="auto"/>
            <w:noWrap/>
            <w:vAlign w:val="bottom"/>
            <w:hideMark/>
          </w:tcPr>
          <w:p w14:paraId="6EB9F99B" w14:textId="77777777" w:rsidR="00F601AA" w:rsidRPr="00AB429E" w:rsidRDefault="00F601AA" w:rsidP="00F601AA">
            <w:pPr>
              <w:suppressAutoHyphens w:val="0"/>
              <w:autoSpaceDN/>
              <w:spacing w:after="0" w:line="240" w:lineRule="auto"/>
              <w:rPr>
                <w:rFonts w:cs="Arial"/>
                <w:sz w:val="18"/>
                <w:szCs w:val="18"/>
              </w:rPr>
            </w:pPr>
            <w:r w:rsidRPr="00AB429E">
              <w:rPr>
                <w:rFonts w:cs="Arial"/>
                <w:sz w:val="18"/>
                <w:szCs w:val="18"/>
              </w:rPr>
              <w:t> </w:t>
            </w:r>
          </w:p>
        </w:tc>
        <w:tc>
          <w:tcPr>
            <w:tcW w:w="1420" w:type="dxa"/>
            <w:shd w:val="clear" w:color="auto" w:fill="auto"/>
            <w:noWrap/>
            <w:vAlign w:val="bottom"/>
            <w:hideMark/>
          </w:tcPr>
          <w:p w14:paraId="6FA9A6F7"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28.800.000</w:t>
            </w:r>
          </w:p>
        </w:tc>
        <w:tc>
          <w:tcPr>
            <w:tcW w:w="1547" w:type="dxa"/>
            <w:shd w:val="clear" w:color="auto" w:fill="auto"/>
            <w:noWrap/>
            <w:vAlign w:val="bottom"/>
            <w:hideMark/>
          </w:tcPr>
          <w:p w14:paraId="5A775514"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 </w:t>
            </w:r>
          </w:p>
        </w:tc>
      </w:tr>
      <w:tr w:rsidR="00F601AA" w:rsidRPr="00F601AA" w14:paraId="39D0937D" w14:textId="77777777" w:rsidTr="00C57B56">
        <w:trPr>
          <w:trHeight w:val="300"/>
          <w:jc w:val="center"/>
        </w:trPr>
        <w:tc>
          <w:tcPr>
            <w:tcW w:w="562" w:type="dxa"/>
            <w:shd w:val="clear" w:color="auto" w:fill="auto"/>
            <w:noWrap/>
            <w:vAlign w:val="bottom"/>
            <w:hideMark/>
          </w:tcPr>
          <w:p w14:paraId="58E293CE"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7</w:t>
            </w:r>
          </w:p>
        </w:tc>
        <w:tc>
          <w:tcPr>
            <w:tcW w:w="1133" w:type="dxa"/>
            <w:shd w:val="clear" w:color="auto" w:fill="auto"/>
            <w:noWrap/>
            <w:vAlign w:val="bottom"/>
            <w:hideMark/>
          </w:tcPr>
          <w:p w14:paraId="074D1FAE"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ESO 4.8</w:t>
            </w:r>
          </w:p>
        </w:tc>
        <w:tc>
          <w:tcPr>
            <w:tcW w:w="709" w:type="dxa"/>
            <w:shd w:val="clear" w:color="auto" w:fill="auto"/>
            <w:noWrap/>
            <w:vAlign w:val="bottom"/>
            <w:hideMark/>
          </w:tcPr>
          <w:p w14:paraId="34C50185"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ESS+</w:t>
            </w:r>
          </w:p>
        </w:tc>
        <w:tc>
          <w:tcPr>
            <w:tcW w:w="1126" w:type="dxa"/>
            <w:shd w:val="clear" w:color="auto" w:fill="auto"/>
            <w:noWrap/>
            <w:vAlign w:val="bottom"/>
            <w:hideMark/>
          </w:tcPr>
          <w:p w14:paraId="04D824B6"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Zahod</w:t>
            </w:r>
          </w:p>
        </w:tc>
        <w:tc>
          <w:tcPr>
            <w:tcW w:w="1420" w:type="dxa"/>
            <w:shd w:val="clear" w:color="auto" w:fill="auto"/>
            <w:noWrap/>
            <w:vAlign w:val="bottom"/>
            <w:hideMark/>
          </w:tcPr>
          <w:p w14:paraId="730501FA"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7.140.000</w:t>
            </w:r>
          </w:p>
        </w:tc>
        <w:tc>
          <w:tcPr>
            <w:tcW w:w="1427" w:type="dxa"/>
            <w:shd w:val="clear" w:color="auto" w:fill="auto"/>
            <w:noWrap/>
            <w:vAlign w:val="bottom"/>
            <w:hideMark/>
          </w:tcPr>
          <w:p w14:paraId="2229C5F0" w14:textId="77777777" w:rsidR="00F601AA" w:rsidRPr="00AB429E" w:rsidRDefault="00F601AA" w:rsidP="00F601AA">
            <w:pPr>
              <w:suppressAutoHyphens w:val="0"/>
              <w:autoSpaceDN/>
              <w:spacing w:after="0" w:line="240" w:lineRule="auto"/>
              <w:rPr>
                <w:rFonts w:cs="Arial"/>
                <w:sz w:val="18"/>
                <w:szCs w:val="18"/>
              </w:rPr>
            </w:pPr>
            <w:r w:rsidRPr="00AB429E">
              <w:rPr>
                <w:rFonts w:cs="Arial"/>
                <w:sz w:val="18"/>
                <w:szCs w:val="18"/>
              </w:rPr>
              <w:t> </w:t>
            </w:r>
          </w:p>
        </w:tc>
        <w:tc>
          <w:tcPr>
            <w:tcW w:w="1420" w:type="dxa"/>
            <w:shd w:val="clear" w:color="auto" w:fill="auto"/>
            <w:noWrap/>
            <w:vAlign w:val="bottom"/>
            <w:hideMark/>
          </w:tcPr>
          <w:p w14:paraId="379B543E"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7.140.000</w:t>
            </w:r>
          </w:p>
        </w:tc>
        <w:tc>
          <w:tcPr>
            <w:tcW w:w="1547" w:type="dxa"/>
            <w:shd w:val="clear" w:color="auto" w:fill="auto"/>
            <w:noWrap/>
            <w:vAlign w:val="bottom"/>
            <w:hideMark/>
          </w:tcPr>
          <w:p w14:paraId="5CFB9002"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 </w:t>
            </w:r>
          </w:p>
        </w:tc>
      </w:tr>
      <w:tr w:rsidR="00F601AA" w:rsidRPr="00F601AA" w14:paraId="0EB960BB" w14:textId="77777777" w:rsidTr="00C57B56">
        <w:trPr>
          <w:trHeight w:val="300"/>
          <w:jc w:val="center"/>
        </w:trPr>
        <w:tc>
          <w:tcPr>
            <w:tcW w:w="562" w:type="dxa"/>
            <w:shd w:val="clear" w:color="auto" w:fill="auto"/>
            <w:noWrap/>
            <w:vAlign w:val="bottom"/>
            <w:hideMark/>
          </w:tcPr>
          <w:p w14:paraId="11B6F86E"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7</w:t>
            </w:r>
          </w:p>
        </w:tc>
        <w:tc>
          <w:tcPr>
            <w:tcW w:w="1133" w:type="dxa"/>
            <w:shd w:val="clear" w:color="auto" w:fill="auto"/>
            <w:noWrap/>
            <w:vAlign w:val="bottom"/>
            <w:hideMark/>
          </w:tcPr>
          <w:p w14:paraId="33655B85"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RSO 4.3</w:t>
            </w:r>
          </w:p>
        </w:tc>
        <w:tc>
          <w:tcPr>
            <w:tcW w:w="709" w:type="dxa"/>
            <w:shd w:val="clear" w:color="auto" w:fill="auto"/>
            <w:noWrap/>
            <w:vAlign w:val="bottom"/>
            <w:hideMark/>
          </w:tcPr>
          <w:p w14:paraId="5274C2B3"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ESRR</w:t>
            </w:r>
          </w:p>
        </w:tc>
        <w:tc>
          <w:tcPr>
            <w:tcW w:w="1126" w:type="dxa"/>
            <w:shd w:val="clear" w:color="auto" w:fill="auto"/>
            <w:noWrap/>
            <w:vAlign w:val="bottom"/>
            <w:hideMark/>
          </w:tcPr>
          <w:p w14:paraId="645E2E82"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Vzhod</w:t>
            </w:r>
          </w:p>
        </w:tc>
        <w:tc>
          <w:tcPr>
            <w:tcW w:w="1420" w:type="dxa"/>
            <w:shd w:val="clear" w:color="auto" w:fill="auto"/>
            <w:noWrap/>
            <w:vAlign w:val="bottom"/>
            <w:hideMark/>
          </w:tcPr>
          <w:p w14:paraId="0C2B1722"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18.650.000</w:t>
            </w:r>
          </w:p>
        </w:tc>
        <w:tc>
          <w:tcPr>
            <w:tcW w:w="1427" w:type="dxa"/>
            <w:shd w:val="clear" w:color="auto" w:fill="auto"/>
            <w:noWrap/>
            <w:vAlign w:val="bottom"/>
            <w:hideMark/>
          </w:tcPr>
          <w:p w14:paraId="6C232806" w14:textId="77777777" w:rsidR="00F601AA" w:rsidRPr="00AB429E" w:rsidRDefault="00F601AA" w:rsidP="00F601AA">
            <w:pPr>
              <w:suppressAutoHyphens w:val="0"/>
              <w:autoSpaceDN/>
              <w:spacing w:after="0" w:line="240" w:lineRule="auto"/>
              <w:rPr>
                <w:rFonts w:cs="Arial"/>
                <w:sz w:val="18"/>
                <w:szCs w:val="18"/>
              </w:rPr>
            </w:pPr>
            <w:r w:rsidRPr="00AB429E">
              <w:rPr>
                <w:rFonts w:cs="Arial"/>
                <w:sz w:val="18"/>
                <w:szCs w:val="18"/>
              </w:rPr>
              <w:t> </w:t>
            </w:r>
          </w:p>
        </w:tc>
        <w:tc>
          <w:tcPr>
            <w:tcW w:w="1420" w:type="dxa"/>
            <w:shd w:val="clear" w:color="auto" w:fill="auto"/>
            <w:noWrap/>
            <w:vAlign w:val="bottom"/>
            <w:hideMark/>
          </w:tcPr>
          <w:p w14:paraId="1BC3629F"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18.650.000</w:t>
            </w:r>
          </w:p>
        </w:tc>
        <w:tc>
          <w:tcPr>
            <w:tcW w:w="1547" w:type="dxa"/>
            <w:shd w:val="clear" w:color="auto" w:fill="auto"/>
            <w:noWrap/>
            <w:vAlign w:val="bottom"/>
            <w:hideMark/>
          </w:tcPr>
          <w:p w14:paraId="31AB2BBB"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 </w:t>
            </w:r>
          </w:p>
        </w:tc>
      </w:tr>
      <w:tr w:rsidR="00F601AA" w:rsidRPr="00F601AA" w14:paraId="73AD80B7" w14:textId="77777777" w:rsidTr="00C57B56">
        <w:trPr>
          <w:trHeight w:val="300"/>
          <w:jc w:val="center"/>
        </w:trPr>
        <w:tc>
          <w:tcPr>
            <w:tcW w:w="562" w:type="dxa"/>
            <w:shd w:val="clear" w:color="auto" w:fill="auto"/>
            <w:noWrap/>
            <w:vAlign w:val="bottom"/>
            <w:hideMark/>
          </w:tcPr>
          <w:p w14:paraId="78C09775"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7</w:t>
            </w:r>
          </w:p>
        </w:tc>
        <w:tc>
          <w:tcPr>
            <w:tcW w:w="1133" w:type="dxa"/>
            <w:shd w:val="clear" w:color="auto" w:fill="auto"/>
            <w:noWrap/>
            <w:vAlign w:val="bottom"/>
            <w:hideMark/>
          </w:tcPr>
          <w:p w14:paraId="0F7F662F"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RSO 4.5</w:t>
            </w:r>
          </w:p>
        </w:tc>
        <w:tc>
          <w:tcPr>
            <w:tcW w:w="709" w:type="dxa"/>
            <w:shd w:val="clear" w:color="auto" w:fill="auto"/>
            <w:noWrap/>
            <w:vAlign w:val="bottom"/>
            <w:hideMark/>
          </w:tcPr>
          <w:p w14:paraId="257FC429"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ESRR</w:t>
            </w:r>
          </w:p>
        </w:tc>
        <w:tc>
          <w:tcPr>
            <w:tcW w:w="1126" w:type="dxa"/>
            <w:shd w:val="clear" w:color="auto" w:fill="auto"/>
            <w:noWrap/>
            <w:vAlign w:val="bottom"/>
            <w:hideMark/>
          </w:tcPr>
          <w:p w14:paraId="31951D61"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Vzhod</w:t>
            </w:r>
          </w:p>
        </w:tc>
        <w:tc>
          <w:tcPr>
            <w:tcW w:w="1420" w:type="dxa"/>
            <w:shd w:val="clear" w:color="auto" w:fill="auto"/>
            <w:noWrap/>
            <w:vAlign w:val="bottom"/>
            <w:hideMark/>
          </w:tcPr>
          <w:p w14:paraId="4094ECD4"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58.780.000</w:t>
            </w:r>
          </w:p>
        </w:tc>
        <w:tc>
          <w:tcPr>
            <w:tcW w:w="1427" w:type="dxa"/>
            <w:shd w:val="clear" w:color="auto" w:fill="auto"/>
            <w:noWrap/>
            <w:vAlign w:val="bottom"/>
            <w:hideMark/>
          </w:tcPr>
          <w:p w14:paraId="2C4E4BA5" w14:textId="77777777" w:rsidR="00F601AA" w:rsidRPr="00AB429E" w:rsidRDefault="00F601AA" w:rsidP="00F601AA">
            <w:pPr>
              <w:suppressAutoHyphens w:val="0"/>
              <w:autoSpaceDN/>
              <w:spacing w:after="0" w:line="240" w:lineRule="auto"/>
              <w:rPr>
                <w:rFonts w:cs="Arial"/>
                <w:sz w:val="18"/>
                <w:szCs w:val="18"/>
              </w:rPr>
            </w:pPr>
            <w:r w:rsidRPr="00AB429E">
              <w:rPr>
                <w:rFonts w:cs="Arial"/>
                <w:sz w:val="18"/>
                <w:szCs w:val="18"/>
              </w:rPr>
              <w:t> </w:t>
            </w:r>
          </w:p>
        </w:tc>
        <w:tc>
          <w:tcPr>
            <w:tcW w:w="1420" w:type="dxa"/>
            <w:shd w:val="clear" w:color="auto" w:fill="auto"/>
            <w:noWrap/>
            <w:vAlign w:val="bottom"/>
            <w:hideMark/>
          </w:tcPr>
          <w:p w14:paraId="52B8CF7C"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58.780.000</w:t>
            </w:r>
          </w:p>
        </w:tc>
        <w:tc>
          <w:tcPr>
            <w:tcW w:w="1547" w:type="dxa"/>
            <w:shd w:val="clear" w:color="auto" w:fill="auto"/>
            <w:noWrap/>
            <w:vAlign w:val="bottom"/>
            <w:hideMark/>
          </w:tcPr>
          <w:p w14:paraId="16FC9A05"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 </w:t>
            </w:r>
          </w:p>
        </w:tc>
      </w:tr>
      <w:tr w:rsidR="00F601AA" w:rsidRPr="00F601AA" w14:paraId="67A4A84C" w14:textId="77777777" w:rsidTr="00C57B56">
        <w:trPr>
          <w:trHeight w:val="300"/>
          <w:jc w:val="center"/>
        </w:trPr>
        <w:tc>
          <w:tcPr>
            <w:tcW w:w="562" w:type="dxa"/>
            <w:shd w:val="clear" w:color="auto" w:fill="auto"/>
            <w:noWrap/>
            <w:vAlign w:val="bottom"/>
            <w:hideMark/>
          </w:tcPr>
          <w:p w14:paraId="622FD095"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8</w:t>
            </w:r>
          </w:p>
        </w:tc>
        <w:tc>
          <w:tcPr>
            <w:tcW w:w="1133" w:type="dxa"/>
            <w:shd w:val="clear" w:color="auto" w:fill="auto"/>
            <w:noWrap/>
            <w:vAlign w:val="bottom"/>
            <w:hideMark/>
          </w:tcPr>
          <w:p w14:paraId="5F61D7BE"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RSO 4.6</w:t>
            </w:r>
          </w:p>
        </w:tc>
        <w:tc>
          <w:tcPr>
            <w:tcW w:w="709" w:type="dxa"/>
            <w:shd w:val="clear" w:color="auto" w:fill="auto"/>
            <w:noWrap/>
            <w:vAlign w:val="bottom"/>
            <w:hideMark/>
          </w:tcPr>
          <w:p w14:paraId="479E7847"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ESRR</w:t>
            </w:r>
          </w:p>
        </w:tc>
        <w:tc>
          <w:tcPr>
            <w:tcW w:w="1126" w:type="dxa"/>
            <w:shd w:val="clear" w:color="auto" w:fill="auto"/>
            <w:noWrap/>
            <w:vAlign w:val="bottom"/>
            <w:hideMark/>
          </w:tcPr>
          <w:p w14:paraId="257916FC"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Vzhod</w:t>
            </w:r>
          </w:p>
        </w:tc>
        <w:tc>
          <w:tcPr>
            <w:tcW w:w="1420" w:type="dxa"/>
            <w:shd w:val="clear" w:color="auto" w:fill="auto"/>
            <w:noWrap/>
            <w:vAlign w:val="bottom"/>
            <w:hideMark/>
          </w:tcPr>
          <w:p w14:paraId="31737732"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19.661.752</w:t>
            </w:r>
          </w:p>
        </w:tc>
        <w:tc>
          <w:tcPr>
            <w:tcW w:w="1427" w:type="dxa"/>
            <w:shd w:val="clear" w:color="auto" w:fill="auto"/>
            <w:noWrap/>
            <w:vAlign w:val="bottom"/>
            <w:hideMark/>
          </w:tcPr>
          <w:p w14:paraId="35B0951A" w14:textId="77777777" w:rsidR="00F601AA" w:rsidRPr="00AB429E" w:rsidRDefault="00F601AA" w:rsidP="00F601AA">
            <w:pPr>
              <w:suppressAutoHyphens w:val="0"/>
              <w:autoSpaceDN/>
              <w:spacing w:after="0" w:line="240" w:lineRule="auto"/>
              <w:rPr>
                <w:rFonts w:cs="Arial"/>
                <w:sz w:val="18"/>
                <w:szCs w:val="18"/>
              </w:rPr>
            </w:pPr>
            <w:r w:rsidRPr="00AB429E">
              <w:rPr>
                <w:rFonts w:cs="Arial"/>
                <w:sz w:val="18"/>
                <w:szCs w:val="18"/>
              </w:rPr>
              <w:t> </w:t>
            </w:r>
          </w:p>
        </w:tc>
        <w:tc>
          <w:tcPr>
            <w:tcW w:w="1420" w:type="dxa"/>
            <w:shd w:val="clear" w:color="auto" w:fill="auto"/>
            <w:noWrap/>
            <w:vAlign w:val="bottom"/>
            <w:hideMark/>
          </w:tcPr>
          <w:p w14:paraId="5254DB6A"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19.661.752</w:t>
            </w:r>
          </w:p>
        </w:tc>
        <w:tc>
          <w:tcPr>
            <w:tcW w:w="1547" w:type="dxa"/>
            <w:shd w:val="clear" w:color="auto" w:fill="auto"/>
            <w:noWrap/>
            <w:vAlign w:val="bottom"/>
            <w:hideMark/>
          </w:tcPr>
          <w:p w14:paraId="1C724A9A"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 </w:t>
            </w:r>
          </w:p>
        </w:tc>
      </w:tr>
      <w:tr w:rsidR="00F601AA" w:rsidRPr="00F601AA" w14:paraId="4D646187" w14:textId="77777777" w:rsidTr="00C57B56">
        <w:trPr>
          <w:trHeight w:val="300"/>
          <w:jc w:val="center"/>
        </w:trPr>
        <w:tc>
          <w:tcPr>
            <w:tcW w:w="562" w:type="dxa"/>
            <w:shd w:val="clear" w:color="auto" w:fill="auto"/>
            <w:noWrap/>
            <w:vAlign w:val="bottom"/>
            <w:hideMark/>
          </w:tcPr>
          <w:p w14:paraId="32D947D9"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9</w:t>
            </w:r>
          </w:p>
        </w:tc>
        <w:tc>
          <w:tcPr>
            <w:tcW w:w="1133" w:type="dxa"/>
            <w:shd w:val="clear" w:color="auto" w:fill="auto"/>
            <w:noWrap/>
            <w:vAlign w:val="bottom"/>
            <w:hideMark/>
          </w:tcPr>
          <w:p w14:paraId="54A61A4F"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RSO 5.1</w:t>
            </w:r>
          </w:p>
        </w:tc>
        <w:tc>
          <w:tcPr>
            <w:tcW w:w="709" w:type="dxa"/>
            <w:shd w:val="clear" w:color="auto" w:fill="auto"/>
            <w:noWrap/>
            <w:vAlign w:val="bottom"/>
            <w:hideMark/>
          </w:tcPr>
          <w:p w14:paraId="034C37AC"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ESRR</w:t>
            </w:r>
          </w:p>
        </w:tc>
        <w:tc>
          <w:tcPr>
            <w:tcW w:w="1126" w:type="dxa"/>
            <w:shd w:val="clear" w:color="auto" w:fill="auto"/>
            <w:noWrap/>
            <w:vAlign w:val="bottom"/>
            <w:hideMark/>
          </w:tcPr>
          <w:p w14:paraId="1E007556"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Vzhod</w:t>
            </w:r>
          </w:p>
        </w:tc>
        <w:tc>
          <w:tcPr>
            <w:tcW w:w="1420" w:type="dxa"/>
            <w:shd w:val="clear" w:color="auto" w:fill="auto"/>
            <w:noWrap/>
            <w:vAlign w:val="bottom"/>
            <w:hideMark/>
          </w:tcPr>
          <w:p w14:paraId="12A23266"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44.760.000</w:t>
            </w:r>
          </w:p>
        </w:tc>
        <w:tc>
          <w:tcPr>
            <w:tcW w:w="1427" w:type="dxa"/>
            <w:shd w:val="clear" w:color="auto" w:fill="auto"/>
            <w:noWrap/>
            <w:vAlign w:val="bottom"/>
            <w:hideMark/>
          </w:tcPr>
          <w:p w14:paraId="7374287A" w14:textId="77777777" w:rsidR="00F601AA" w:rsidRPr="00AB429E" w:rsidRDefault="00F601AA" w:rsidP="00F601AA">
            <w:pPr>
              <w:suppressAutoHyphens w:val="0"/>
              <w:autoSpaceDN/>
              <w:spacing w:after="0" w:line="240" w:lineRule="auto"/>
              <w:rPr>
                <w:rFonts w:cs="Arial"/>
                <w:sz w:val="18"/>
                <w:szCs w:val="18"/>
              </w:rPr>
            </w:pPr>
            <w:r w:rsidRPr="00AB429E">
              <w:rPr>
                <w:rFonts w:cs="Arial"/>
                <w:sz w:val="18"/>
                <w:szCs w:val="18"/>
              </w:rPr>
              <w:t> </w:t>
            </w:r>
          </w:p>
        </w:tc>
        <w:tc>
          <w:tcPr>
            <w:tcW w:w="1420" w:type="dxa"/>
            <w:shd w:val="clear" w:color="auto" w:fill="auto"/>
            <w:noWrap/>
            <w:vAlign w:val="bottom"/>
            <w:hideMark/>
          </w:tcPr>
          <w:p w14:paraId="4A41BDB7"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44.760.000</w:t>
            </w:r>
          </w:p>
        </w:tc>
        <w:tc>
          <w:tcPr>
            <w:tcW w:w="1547" w:type="dxa"/>
            <w:shd w:val="clear" w:color="auto" w:fill="auto"/>
            <w:noWrap/>
            <w:vAlign w:val="bottom"/>
            <w:hideMark/>
          </w:tcPr>
          <w:p w14:paraId="5717F6D0"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 </w:t>
            </w:r>
          </w:p>
        </w:tc>
      </w:tr>
      <w:tr w:rsidR="00F601AA" w:rsidRPr="00F601AA" w14:paraId="5460EDF4" w14:textId="77777777" w:rsidTr="00C57B56">
        <w:trPr>
          <w:trHeight w:val="300"/>
          <w:jc w:val="center"/>
        </w:trPr>
        <w:tc>
          <w:tcPr>
            <w:tcW w:w="562" w:type="dxa"/>
            <w:shd w:val="clear" w:color="auto" w:fill="auto"/>
            <w:noWrap/>
            <w:vAlign w:val="bottom"/>
            <w:hideMark/>
          </w:tcPr>
          <w:p w14:paraId="1EFE5B53"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lastRenderedPageBreak/>
              <w:t>9</w:t>
            </w:r>
          </w:p>
        </w:tc>
        <w:tc>
          <w:tcPr>
            <w:tcW w:w="1133" w:type="dxa"/>
            <w:shd w:val="clear" w:color="auto" w:fill="auto"/>
            <w:noWrap/>
            <w:vAlign w:val="bottom"/>
            <w:hideMark/>
          </w:tcPr>
          <w:p w14:paraId="1F024C7B"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RSO 5.1</w:t>
            </w:r>
          </w:p>
        </w:tc>
        <w:tc>
          <w:tcPr>
            <w:tcW w:w="709" w:type="dxa"/>
            <w:shd w:val="clear" w:color="auto" w:fill="auto"/>
            <w:noWrap/>
            <w:vAlign w:val="bottom"/>
            <w:hideMark/>
          </w:tcPr>
          <w:p w14:paraId="363CCF8B"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ESRR</w:t>
            </w:r>
          </w:p>
        </w:tc>
        <w:tc>
          <w:tcPr>
            <w:tcW w:w="1126" w:type="dxa"/>
            <w:shd w:val="clear" w:color="auto" w:fill="auto"/>
            <w:noWrap/>
            <w:vAlign w:val="bottom"/>
            <w:hideMark/>
          </w:tcPr>
          <w:p w14:paraId="55F2DE90"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Zahod</w:t>
            </w:r>
          </w:p>
        </w:tc>
        <w:tc>
          <w:tcPr>
            <w:tcW w:w="1420" w:type="dxa"/>
            <w:shd w:val="clear" w:color="auto" w:fill="auto"/>
            <w:noWrap/>
            <w:vAlign w:val="bottom"/>
            <w:hideMark/>
          </w:tcPr>
          <w:p w14:paraId="615116B3"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12.330.000</w:t>
            </w:r>
          </w:p>
        </w:tc>
        <w:tc>
          <w:tcPr>
            <w:tcW w:w="1427" w:type="dxa"/>
            <w:shd w:val="clear" w:color="auto" w:fill="auto"/>
            <w:noWrap/>
            <w:vAlign w:val="bottom"/>
            <w:hideMark/>
          </w:tcPr>
          <w:p w14:paraId="7EE0A970" w14:textId="77777777" w:rsidR="00F601AA" w:rsidRPr="00AB429E" w:rsidRDefault="00F601AA" w:rsidP="00F601AA">
            <w:pPr>
              <w:suppressAutoHyphens w:val="0"/>
              <w:autoSpaceDN/>
              <w:spacing w:after="0" w:line="240" w:lineRule="auto"/>
              <w:rPr>
                <w:rFonts w:cs="Arial"/>
                <w:sz w:val="18"/>
                <w:szCs w:val="18"/>
              </w:rPr>
            </w:pPr>
            <w:r w:rsidRPr="00AB429E">
              <w:rPr>
                <w:rFonts w:cs="Arial"/>
                <w:sz w:val="18"/>
                <w:szCs w:val="18"/>
              </w:rPr>
              <w:t> </w:t>
            </w:r>
          </w:p>
        </w:tc>
        <w:tc>
          <w:tcPr>
            <w:tcW w:w="1420" w:type="dxa"/>
            <w:shd w:val="clear" w:color="auto" w:fill="auto"/>
            <w:noWrap/>
            <w:vAlign w:val="bottom"/>
            <w:hideMark/>
          </w:tcPr>
          <w:p w14:paraId="0BD13AC8"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12.330.000</w:t>
            </w:r>
          </w:p>
        </w:tc>
        <w:tc>
          <w:tcPr>
            <w:tcW w:w="1547" w:type="dxa"/>
            <w:shd w:val="clear" w:color="auto" w:fill="auto"/>
            <w:noWrap/>
            <w:vAlign w:val="bottom"/>
            <w:hideMark/>
          </w:tcPr>
          <w:p w14:paraId="74C8BF54"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 </w:t>
            </w:r>
          </w:p>
        </w:tc>
      </w:tr>
      <w:tr w:rsidR="00F601AA" w:rsidRPr="00F601AA" w14:paraId="6DF92B74" w14:textId="77777777" w:rsidTr="00C57B56">
        <w:trPr>
          <w:trHeight w:val="300"/>
          <w:jc w:val="center"/>
        </w:trPr>
        <w:tc>
          <w:tcPr>
            <w:tcW w:w="562" w:type="dxa"/>
            <w:shd w:val="clear" w:color="auto" w:fill="auto"/>
            <w:noWrap/>
            <w:vAlign w:val="bottom"/>
            <w:hideMark/>
          </w:tcPr>
          <w:p w14:paraId="25958DF9"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9</w:t>
            </w:r>
          </w:p>
        </w:tc>
        <w:tc>
          <w:tcPr>
            <w:tcW w:w="1133" w:type="dxa"/>
            <w:shd w:val="clear" w:color="auto" w:fill="auto"/>
            <w:noWrap/>
            <w:vAlign w:val="bottom"/>
            <w:hideMark/>
          </w:tcPr>
          <w:p w14:paraId="7574453F"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RSO 5.2</w:t>
            </w:r>
          </w:p>
        </w:tc>
        <w:tc>
          <w:tcPr>
            <w:tcW w:w="709" w:type="dxa"/>
            <w:shd w:val="clear" w:color="auto" w:fill="auto"/>
            <w:noWrap/>
            <w:vAlign w:val="bottom"/>
            <w:hideMark/>
          </w:tcPr>
          <w:p w14:paraId="08918025"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ESRR</w:t>
            </w:r>
          </w:p>
        </w:tc>
        <w:tc>
          <w:tcPr>
            <w:tcW w:w="1126" w:type="dxa"/>
            <w:shd w:val="clear" w:color="auto" w:fill="auto"/>
            <w:noWrap/>
            <w:vAlign w:val="bottom"/>
            <w:hideMark/>
          </w:tcPr>
          <w:p w14:paraId="50EDC177"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Vzhod</w:t>
            </w:r>
          </w:p>
        </w:tc>
        <w:tc>
          <w:tcPr>
            <w:tcW w:w="1420" w:type="dxa"/>
            <w:shd w:val="clear" w:color="auto" w:fill="auto"/>
            <w:noWrap/>
            <w:vAlign w:val="bottom"/>
            <w:hideMark/>
          </w:tcPr>
          <w:p w14:paraId="4C23CAA5"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22.842.812</w:t>
            </w:r>
          </w:p>
        </w:tc>
        <w:tc>
          <w:tcPr>
            <w:tcW w:w="1427" w:type="dxa"/>
            <w:shd w:val="clear" w:color="auto" w:fill="auto"/>
            <w:noWrap/>
            <w:vAlign w:val="bottom"/>
            <w:hideMark/>
          </w:tcPr>
          <w:p w14:paraId="142202AC" w14:textId="77777777" w:rsidR="00F601AA" w:rsidRPr="00AB429E" w:rsidRDefault="00F601AA" w:rsidP="00F601AA">
            <w:pPr>
              <w:suppressAutoHyphens w:val="0"/>
              <w:autoSpaceDN/>
              <w:spacing w:after="0" w:line="240" w:lineRule="auto"/>
              <w:rPr>
                <w:rFonts w:cs="Arial"/>
                <w:sz w:val="18"/>
                <w:szCs w:val="18"/>
              </w:rPr>
            </w:pPr>
            <w:r w:rsidRPr="00AB429E">
              <w:rPr>
                <w:rFonts w:cs="Arial"/>
                <w:sz w:val="18"/>
                <w:szCs w:val="18"/>
              </w:rPr>
              <w:t> </w:t>
            </w:r>
          </w:p>
        </w:tc>
        <w:tc>
          <w:tcPr>
            <w:tcW w:w="1420" w:type="dxa"/>
            <w:shd w:val="clear" w:color="auto" w:fill="auto"/>
            <w:noWrap/>
            <w:vAlign w:val="bottom"/>
            <w:hideMark/>
          </w:tcPr>
          <w:p w14:paraId="77CD3515"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22.842.812</w:t>
            </w:r>
          </w:p>
        </w:tc>
        <w:tc>
          <w:tcPr>
            <w:tcW w:w="1547" w:type="dxa"/>
            <w:shd w:val="clear" w:color="auto" w:fill="auto"/>
            <w:noWrap/>
            <w:vAlign w:val="bottom"/>
            <w:hideMark/>
          </w:tcPr>
          <w:p w14:paraId="167A541A"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 </w:t>
            </w:r>
          </w:p>
        </w:tc>
      </w:tr>
      <w:tr w:rsidR="00F601AA" w:rsidRPr="00F601AA" w14:paraId="6A3E7729" w14:textId="77777777" w:rsidTr="00C57B56">
        <w:trPr>
          <w:trHeight w:val="300"/>
          <w:jc w:val="center"/>
        </w:trPr>
        <w:tc>
          <w:tcPr>
            <w:tcW w:w="562" w:type="dxa"/>
            <w:shd w:val="clear" w:color="auto" w:fill="auto"/>
            <w:noWrap/>
            <w:vAlign w:val="bottom"/>
            <w:hideMark/>
          </w:tcPr>
          <w:p w14:paraId="0B050252"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9</w:t>
            </w:r>
          </w:p>
        </w:tc>
        <w:tc>
          <w:tcPr>
            <w:tcW w:w="1133" w:type="dxa"/>
            <w:shd w:val="clear" w:color="auto" w:fill="auto"/>
            <w:noWrap/>
            <w:vAlign w:val="bottom"/>
            <w:hideMark/>
          </w:tcPr>
          <w:p w14:paraId="5A36BCF5"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RSO 5.2</w:t>
            </w:r>
          </w:p>
        </w:tc>
        <w:tc>
          <w:tcPr>
            <w:tcW w:w="709" w:type="dxa"/>
            <w:shd w:val="clear" w:color="auto" w:fill="auto"/>
            <w:noWrap/>
            <w:vAlign w:val="bottom"/>
            <w:hideMark/>
          </w:tcPr>
          <w:p w14:paraId="00FBF38D"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ESRR</w:t>
            </w:r>
          </w:p>
        </w:tc>
        <w:tc>
          <w:tcPr>
            <w:tcW w:w="1126" w:type="dxa"/>
            <w:shd w:val="clear" w:color="auto" w:fill="auto"/>
            <w:noWrap/>
            <w:vAlign w:val="bottom"/>
            <w:hideMark/>
          </w:tcPr>
          <w:p w14:paraId="5CBB14F4"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Zahod</w:t>
            </w:r>
          </w:p>
        </w:tc>
        <w:tc>
          <w:tcPr>
            <w:tcW w:w="1420" w:type="dxa"/>
            <w:shd w:val="clear" w:color="auto" w:fill="auto"/>
            <w:noWrap/>
            <w:vAlign w:val="bottom"/>
            <w:hideMark/>
          </w:tcPr>
          <w:p w14:paraId="101FBF58"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5.297.973</w:t>
            </w:r>
          </w:p>
        </w:tc>
        <w:tc>
          <w:tcPr>
            <w:tcW w:w="1427" w:type="dxa"/>
            <w:shd w:val="clear" w:color="auto" w:fill="auto"/>
            <w:noWrap/>
            <w:vAlign w:val="bottom"/>
            <w:hideMark/>
          </w:tcPr>
          <w:p w14:paraId="2CFC44B9" w14:textId="77777777" w:rsidR="00F601AA" w:rsidRPr="00AB429E" w:rsidRDefault="00F601AA" w:rsidP="00F601AA">
            <w:pPr>
              <w:suppressAutoHyphens w:val="0"/>
              <w:autoSpaceDN/>
              <w:spacing w:after="0" w:line="240" w:lineRule="auto"/>
              <w:rPr>
                <w:rFonts w:cs="Arial"/>
                <w:sz w:val="18"/>
                <w:szCs w:val="18"/>
              </w:rPr>
            </w:pPr>
            <w:r w:rsidRPr="00AB429E">
              <w:rPr>
                <w:rFonts w:cs="Arial"/>
                <w:sz w:val="18"/>
                <w:szCs w:val="18"/>
              </w:rPr>
              <w:t> </w:t>
            </w:r>
          </w:p>
        </w:tc>
        <w:tc>
          <w:tcPr>
            <w:tcW w:w="1420" w:type="dxa"/>
            <w:shd w:val="clear" w:color="auto" w:fill="auto"/>
            <w:noWrap/>
            <w:vAlign w:val="bottom"/>
            <w:hideMark/>
          </w:tcPr>
          <w:p w14:paraId="64E5380F"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5.297.973</w:t>
            </w:r>
          </w:p>
        </w:tc>
        <w:tc>
          <w:tcPr>
            <w:tcW w:w="1547" w:type="dxa"/>
            <w:shd w:val="clear" w:color="auto" w:fill="auto"/>
            <w:noWrap/>
            <w:vAlign w:val="bottom"/>
            <w:hideMark/>
          </w:tcPr>
          <w:p w14:paraId="48A482E5"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 </w:t>
            </w:r>
          </w:p>
        </w:tc>
      </w:tr>
      <w:tr w:rsidR="00F601AA" w:rsidRPr="00F601AA" w14:paraId="6E0B0378" w14:textId="77777777" w:rsidTr="00C57B56">
        <w:trPr>
          <w:trHeight w:val="300"/>
          <w:jc w:val="center"/>
        </w:trPr>
        <w:tc>
          <w:tcPr>
            <w:tcW w:w="562" w:type="dxa"/>
            <w:shd w:val="clear" w:color="auto" w:fill="auto"/>
            <w:noWrap/>
            <w:vAlign w:val="bottom"/>
            <w:hideMark/>
          </w:tcPr>
          <w:p w14:paraId="796E5647"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10</w:t>
            </w:r>
          </w:p>
        </w:tc>
        <w:tc>
          <w:tcPr>
            <w:tcW w:w="1133" w:type="dxa"/>
            <w:shd w:val="clear" w:color="auto" w:fill="auto"/>
            <w:noWrap/>
            <w:vAlign w:val="bottom"/>
            <w:hideMark/>
          </w:tcPr>
          <w:p w14:paraId="18F0E1B3"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JSO 8.1</w:t>
            </w:r>
          </w:p>
        </w:tc>
        <w:tc>
          <w:tcPr>
            <w:tcW w:w="709" w:type="dxa"/>
            <w:shd w:val="clear" w:color="auto" w:fill="auto"/>
            <w:noWrap/>
            <w:vAlign w:val="bottom"/>
            <w:hideMark/>
          </w:tcPr>
          <w:p w14:paraId="6C0F45E6"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SPP</w:t>
            </w:r>
          </w:p>
        </w:tc>
        <w:tc>
          <w:tcPr>
            <w:tcW w:w="1126" w:type="dxa"/>
            <w:shd w:val="clear" w:color="auto" w:fill="auto"/>
            <w:noWrap/>
            <w:vAlign w:val="bottom"/>
            <w:hideMark/>
          </w:tcPr>
          <w:p w14:paraId="20F97966"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Celotna SI</w:t>
            </w:r>
          </w:p>
        </w:tc>
        <w:tc>
          <w:tcPr>
            <w:tcW w:w="1420" w:type="dxa"/>
            <w:shd w:val="clear" w:color="auto" w:fill="auto"/>
            <w:noWrap/>
            <w:vAlign w:val="bottom"/>
            <w:hideMark/>
          </w:tcPr>
          <w:p w14:paraId="1DB306D0"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248.773.600</w:t>
            </w:r>
          </w:p>
        </w:tc>
        <w:tc>
          <w:tcPr>
            <w:tcW w:w="1427" w:type="dxa"/>
            <w:shd w:val="clear" w:color="auto" w:fill="auto"/>
            <w:noWrap/>
            <w:vAlign w:val="bottom"/>
            <w:hideMark/>
          </w:tcPr>
          <w:p w14:paraId="78191B59" w14:textId="77777777" w:rsidR="00F601AA" w:rsidRPr="00AB429E" w:rsidRDefault="00F601AA" w:rsidP="00F601AA">
            <w:pPr>
              <w:suppressAutoHyphens w:val="0"/>
              <w:autoSpaceDN/>
              <w:spacing w:after="0" w:line="240" w:lineRule="auto"/>
              <w:rPr>
                <w:rFonts w:cs="Arial"/>
                <w:sz w:val="18"/>
                <w:szCs w:val="18"/>
              </w:rPr>
            </w:pPr>
            <w:r w:rsidRPr="00AB429E">
              <w:rPr>
                <w:rFonts w:cs="Arial"/>
                <w:sz w:val="18"/>
                <w:szCs w:val="18"/>
              </w:rPr>
              <w:t> </w:t>
            </w:r>
          </w:p>
        </w:tc>
        <w:tc>
          <w:tcPr>
            <w:tcW w:w="1420" w:type="dxa"/>
            <w:shd w:val="clear" w:color="auto" w:fill="auto"/>
            <w:noWrap/>
            <w:vAlign w:val="bottom"/>
            <w:hideMark/>
          </w:tcPr>
          <w:p w14:paraId="763B119A" w14:textId="77777777" w:rsidR="00F601AA" w:rsidRPr="00AB429E" w:rsidRDefault="00F601AA" w:rsidP="00F601AA">
            <w:pPr>
              <w:suppressAutoHyphens w:val="0"/>
              <w:autoSpaceDN/>
              <w:spacing w:after="0" w:line="240" w:lineRule="auto"/>
              <w:jc w:val="right"/>
              <w:rPr>
                <w:rFonts w:cs="Arial"/>
                <w:sz w:val="18"/>
                <w:szCs w:val="18"/>
              </w:rPr>
            </w:pPr>
            <w:r w:rsidRPr="00AB429E">
              <w:rPr>
                <w:rFonts w:cs="Arial"/>
                <w:sz w:val="18"/>
                <w:szCs w:val="18"/>
              </w:rPr>
              <w:t>248.773.600</w:t>
            </w:r>
          </w:p>
        </w:tc>
        <w:tc>
          <w:tcPr>
            <w:tcW w:w="1547" w:type="dxa"/>
            <w:shd w:val="clear" w:color="auto" w:fill="auto"/>
            <w:noWrap/>
            <w:vAlign w:val="bottom"/>
            <w:hideMark/>
          </w:tcPr>
          <w:p w14:paraId="531F2CEB" w14:textId="77777777" w:rsidR="00F601AA" w:rsidRPr="00AB429E" w:rsidRDefault="00F601AA" w:rsidP="00F601AA">
            <w:pPr>
              <w:suppressAutoHyphens w:val="0"/>
              <w:autoSpaceDN/>
              <w:spacing w:after="0" w:line="240" w:lineRule="auto"/>
              <w:rPr>
                <w:rFonts w:cs="Arial"/>
                <w:color w:val="000000"/>
                <w:sz w:val="18"/>
                <w:szCs w:val="18"/>
              </w:rPr>
            </w:pPr>
            <w:r w:rsidRPr="00AB429E">
              <w:rPr>
                <w:rFonts w:cs="Arial"/>
                <w:color w:val="000000"/>
                <w:sz w:val="18"/>
                <w:szCs w:val="18"/>
              </w:rPr>
              <w:t> </w:t>
            </w:r>
          </w:p>
        </w:tc>
      </w:tr>
      <w:tr w:rsidR="00F601AA" w:rsidRPr="00F601AA" w14:paraId="4A279E70" w14:textId="77777777" w:rsidTr="00C57B56">
        <w:trPr>
          <w:trHeight w:val="300"/>
          <w:jc w:val="center"/>
        </w:trPr>
        <w:tc>
          <w:tcPr>
            <w:tcW w:w="3530" w:type="dxa"/>
            <w:gridSpan w:val="4"/>
            <w:shd w:val="clear" w:color="000000" w:fill="D9E1F2"/>
            <w:noWrap/>
            <w:vAlign w:val="bottom"/>
            <w:hideMark/>
          </w:tcPr>
          <w:p w14:paraId="3790F31A" w14:textId="77777777" w:rsidR="00F601AA" w:rsidRPr="00AB429E" w:rsidRDefault="00F601AA" w:rsidP="00F601AA">
            <w:pPr>
              <w:suppressAutoHyphens w:val="0"/>
              <w:autoSpaceDN/>
              <w:spacing w:after="0" w:line="240" w:lineRule="auto"/>
              <w:jc w:val="right"/>
              <w:rPr>
                <w:rFonts w:cs="Arial"/>
                <w:b/>
                <w:bCs/>
                <w:color w:val="000000"/>
                <w:sz w:val="18"/>
                <w:szCs w:val="18"/>
              </w:rPr>
            </w:pPr>
            <w:r w:rsidRPr="00AB429E">
              <w:rPr>
                <w:rFonts w:cs="Arial"/>
                <w:b/>
                <w:bCs/>
                <w:color w:val="000000"/>
                <w:sz w:val="18"/>
                <w:szCs w:val="18"/>
              </w:rPr>
              <w:t>SKUPAJ</w:t>
            </w:r>
          </w:p>
        </w:tc>
        <w:tc>
          <w:tcPr>
            <w:tcW w:w="1420" w:type="dxa"/>
            <w:shd w:val="clear" w:color="000000" w:fill="D9E1F2"/>
            <w:noWrap/>
            <w:vAlign w:val="bottom"/>
            <w:hideMark/>
          </w:tcPr>
          <w:p w14:paraId="4ECB047C" w14:textId="77777777" w:rsidR="00F601AA" w:rsidRPr="00AB429E" w:rsidRDefault="00F601AA" w:rsidP="00F601AA">
            <w:pPr>
              <w:suppressAutoHyphens w:val="0"/>
              <w:autoSpaceDN/>
              <w:spacing w:after="0" w:line="240" w:lineRule="auto"/>
              <w:jc w:val="right"/>
              <w:rPr>
                <w:rFonts w:cs="Arial"/>
                <w:b/>
                <w:bCs/>
                <w:color w:val="000000"/>
                <w:sz w:val="18"/>
                <w:szCs w:val="18"/>
              </w:rPr>
            </w:pPr>
            <w:r w:rsidRPr="00AB429E">
              <w:rPr>
                <w:rFonts w:cs="Arial"/>
                <w:b/>
                <w:bCs/>
                <w:color w:val="000000"/>
                <w:sz w:val="18"/>
                <w:szCs w:val="18"/>
              </w:rPr>
              <w:t>3.106.640.412</w:t>
            </w:r>
          </w:p>
        </w:tc>
        <w:tc>
          <w:tcPr>
            <w:tcW w:w="1427" w:type="dxa"/>
            <w:shd w:val="clear" w:color="000000" w:fill="D9E1F2"/>
            <w:noWrap/>
            <w:vAlign w:val="bottom"/>
            <w:hideMark/>
          </w:tcPr>
          <w:p w14:paraId="5D77F34B" w14:textId="77777777" w:rsidR="00F601AA" w:rsidRPr="00AB429E" w:rsidRDefault="00F601AA" w:rsidP="00F601AA">
            <w:pPr>
              <w:suppressAutoHyphens w:val="0"/>
              <w:autoSpaceDN/>
              <w:spacing w:after="0" w:line="240" w:lineRule="auto"/>
              <w:jc w:val="right"/>
              <w:rPr>
                <w:rFonts w:cs="Arial"/>
                <w:b/>
                <w:bCs/>
                <w:color w:val="000000"/>
                <w:sz w:val="18"/>
                <w:szCs w:val="18"/>
              </w:rPr>
            </w:pPr>
            <w:r w:rsidRPr="00AB429E">
              <w:rPr>
                <w:rFonts w:cs="Arial"/>
                <w:b/>
                <w:bCs/>
                <w:color w:val="000000"/>
                <w:sz w:val="18"/>
                <w:szCs w:val="18"/>
              </w:rPr>
              <w:t> </w:t>
            </w:r>
          </w:p>
        </w:tc>
        <w:tc>
          <w:tcPr>
            <w:tcW w:w="1420" w:type="dxa"/>
            <w:shd w:val="clear" w:color="000000" w:fill="D9E1F2"/>
            <w:noWrap/>
            <w:vAlign w:val="bottom"/>
            <w:hideMark/>
          </w:tcPr>
          <w:p w14:paraId="5DBD73D0" w14:textId="77777777" w:rsidR="00F601AA" w:rsidRPr="00AB429E" w:rsidRDefault="00F601AA" w:rsidP="00F601AA">
            <w:pPr>
              <w:suppressAutoHyphens w:val="0"/>
              <w:autoSpaceDN/>
              <w:spacing w:after="0" w:line="240" w:lineRule="auto"/>
              <w:jc w:val="right"/>
              <w:rPr>
                <w:rFonts w:cs="Arial"/>
                <w:b/>
                <w:bCs/>
                <w:color w:val="000000"/>
                <w:sz w:val="18"/>
                <w:szCs w:val="18"/>
              </w:rPr>
            </w:pPr>
            <w:r w:rsidRPr="00AB429E">
              <w:rPr>
                <w:rFonts w:cs="Arial"/>
                <w:b/>
                <w:bCs/>
                <w:color w:val="000000"/>
                <w:sz w:val="18"/>
                <w:szCs w:val="18"/>
              </w:rPr>
              <w:t>3.106.640.412</w:t>
            </w:r>
          </w:p>
        </w:tc>
        <w:tc>
          <w:tcPr>
            <w:tcW w:w="1547" w:type="dxa"/>
            <w:shd w:val="clear" w:color="auto" w:fill="auto"/>
            <w:noWrap/>
            <w:vAlign w:val="bottom"/>
            <w:hideMark/>
          </w:tcPr>
          <w:p w14:paraId="4810DE29" w14:textId="77777777" w:rsidR="00F601AA" w:rsidRPr="00AB429E" w:rsidRDefault="00F601AA" w:rsidP="00F601AA">
            <w:pPr>
              <w:suppressAutoHyphens w:val="0"/>
              <w:autoSpaceDN/>
              <w:spacing w:after="0" w:line="240" w:lineRule="auto"/>
              <w:jc w:val="right"/>
              <w:rPr>
                <w:rFonts w:cs="Arial"/>
                <w:b/>
                <w:bCs/>
                <w:color w:val="000000"/>
                <w:sz w:val="18"/>
                <w:szCs w:val="18"/>
              </w:rPr>
            </w:pPr>
          </w:p>
        </w:tc>
      </w:tr>
    </w:tbl>
    <w:p w14:paraId="1171742C" w14:textId="02F4F275" w:rsidR="473E32AA" w:rsidRDefault="002C6270" w:rsidP="473E32AA">
      <w:pPr>
        <w:tabs>
          <w:tab w:val="left" w:pos="1820"/>
        </w:tabs>
        <w:spacing w:after="0" w:line="276" w:lineRule="auto"/>
        <w:jc w:val="both"/>
        <w:rPr>
          <w:rFonts w:cs="Arial"/>
        </w:rPr>
      </w:pPr>
      <w:r>
        <w:rPr>
          <w:rFonts w:cs="Arial"/>
        </w:rPr>
        <w:t>Vir: Predlog spremembe PEKP 21-27 (</w:t>
      </w:r>
      <w:r w:rsidR="00E23C93">
        <w:rPr>
          <w:rFonts w:cs="Arial"/>
        </w:rPr>
        <w:t xml:space="preserve">v </w:t>
      </w:r>
      <w:r w:rsidR="00956F2E">
        <w:rPr>
          <w:rFonts w:cs="Arial"/>
        </w:rPr>
        <w:t xml:space="preserve">fazi </w:t>
      </w:r>
      <w:r w:rsidR="00E23C93">
        <w:rPr>
          <w:rFonts w:cs="Arial"/>
        </w:rPr>
        <w:t>us</w:t>
      </w:r>
      <w:r w:rsidR="00956F2E">
        <w:rPr>
          <w:rFonts w:cs="Arial"/>
        </w:rPr>
        <w:t>klajevanja</w:t>
      </w:r>
      <w:r>
        <w:rPr>
          <w:rFonts w:cs="Arial"/>
        </w:rPr>
        <w:t>)</w:t>
      </w:r>
    </w:p>
    <w:p w14:paraId="067CB866" w14:textId="77777777" w:rsidR="002C6270" w:rsidRDefault="002C6270" w:rsidP="473E32AA">
      <w:pPr>
        <w:tabs>
          <w:tab w:val="left" w:pos="1820"/>
        </w:tabs>
        <w:spacing w:after="0" w:line="276" w:lineRule="auto"/>
        <w:jc w:val="both"/>
        <w:rPr>
          <w:rFonts w:cs="Arial"/>
        </w:rPr>
      </w:pPr>
    </w:p>
    <w:p w14:paraId="7A8AEF44" w14:textId="64C3C25A" w:rsidR="4DD0A654" w:rsidRDefault="44A7D1A0" w:rsidP="000B2C28">
      <w:pPr>
        <w:pStyle w:val="Naslov2"/>
      </w:pPr>
      <w:bookmarkStart w:id="4331" w:name="_Toc192682035"/>
      <w:r>
        <w:t>9.2 PREDLOG ZA DOKONČNO DODELITEV ZNESKA PROŽNOSTI</w:t>
      </w:r>
      <w:bookmarkEnd w:id="4331"/>
    </w:p>
    <w:p w14:paraId="0E44E5C3" w14:textId="77777777" w:rsidR="473E32AA" w:rsidRDefault="473E32AA" w:rsidP="473E32AA">
      <w:pPr>
        <w:tabs>
          <w:tab w:val="left" w:pos="1820"/>
        </w:tabs>
        <w:spacing w:after="0" w:line="276" w:lineRule="auto"/>
        <w:jc w:val="both"/>
        <w:rPr>
          <w:rFonts w:cs="Arial"/>
        </w:rPr>
      </w:pPr>
    </w:p>
    <w:p w14:paraId="7E880E3B" w14:textId="4DE1836B" w:rsidR="00605EAD" w:rsidRDefault="002C6270" w:rsidP="473E32AA">
      <w:pPr>
        <w:tabs>
          <w:tab w:val="left" w:pos="1820"/>
        </w:tabs>
        <w:spacing w:after="0" w:line="276" w:lineRule="auto"/>
        <w:jc w:val="both"/>
        <w:rPr>
          <w:rFonts w:cs="Arial"/>
        </w:rPr>
      </w:pPr>
      <w:r>
        <w:rPr>
          <w:rFonts w:cs="Arial"/>
        </w:rPr>
        <w:t xml:space="preserve">Iz </w:t>
      </w:r>
      <w:r w:rsidR="00E23C93">
        <w:rPr>
          <w:rFonts w:cs="Arial"/>
        </w:rPr>
        <w:t xml:space="preserve">podatkov </w:t>
      </w:r>
      <w:r w:rsidR="00FB7275">
        <w:rPr>
          <w:rFonts w:cs="Arial"/>
        </w:rPr>
        <w:t xml:space="preserve">o </w:t>
      </w:r>
      <w:r w:rsidR="00E23C93">
        <w:rPr>
          <w:rFonts w:cs="Arial"/>
        </w:rPr>
        <w:t>s</w:t>
      </w:r>
      <w:r w:rsidR="00605EAD">
        <w:rPr>
          <w:rFonts w:cs="Arial"/>
        </w:rPr>
        <w:t>tanj</w:t>
      </w:r>
      <w:r w:rsidR="00FB7275">
        <w:rPr>
          <w:rFonts w:cs="Arial"/>
        </w:rPr>
        <w:t>u</w:t>
      </w:r>
      <w:r w:rsidR="00605EAD">
        <w:rPr>
          <w:rFonts w:cs="Arial"/>
        </w:rPr>
        <w:t xml:space="preserve"> izvajanja </w:t>
      </w:r>
      <w:r w:rsidR="00E23C93">
        <w:rPr>
          <w:rFonts w:cs="Arial"/>
        </w:rPr>
        <w:t>(tabele 11) in finančn</w:t>
      </w:r>
      <w:r w:rsidR="00FB7275">
        <w:rPr>
          <w:rFonts w:cs="Arial"/>
        </w:rPr>
        <w:t>ega</w:t>
      </w:r>
      <w:r w:rsidR="00E23C93">
        <w:rPr>
          <w:rFonts w:cs="Arial"/>
        </w:rPr>
        <w:t xml:space="preserve"> načrta PEKP 21-27 po letih (tabele 14) </w:t>
      </w:r>
      <w:r w:rsidR="00605EAD">
        <w:rPr>
          <w:rFonts w:cs="Arial"/>
        </w:rPr>
        <w:t xml:space="preserve">je razvidno, da so bile </w:t>
      </w:r>
      <w:r w:rsidR="00FB7275">
        <w:rPr>
          <w:rFonts w:cs="Arial"/>
        </w:rPr>
        <w:t xml:space="preserve">na dan 31. 12. 2024 </w:t>
      </w:r>
      <w:r w:rsidR="00605EAD">
        <w:rPr>
          <w:rFonts w:cs="Arial"/>
        </w:rPr>
        <w:t xml:space="preserve">izdane odločitve o podpori v višini 791.314.116 EUR, </w:t>
      </w:r>
      <w:r w:rsidR="00FB7275">
        <w:rPr>
          <w:rFonts w:cs="Arial"/>
        </w:rPr>
        <w:t xml:space="preserve">kar predstavlja </w:t>
      </w:r>
      <w:r w:rsidR="00605EAD">
        <w:rPr>
          <w:rFonts w:cs="Arial"/>
        </w:rPr>
        <w:t xml:space="preserve"> približno </w:t>
      </w:r>
      <w:r w:rsidR="004C52FF">
        <w:rPr>
          <w:rFonts w:cs="Arial"/>
        </w:rPr>
        <w:t>3</w:t>
      </w:r>
      <w:r w:rsidR="00605EAD">
        <w:rPr>
          <w:rFonts w:cs="Arial"/>
        </w:rPr>
        <w:t>5% od skupnih pravic porabe za obdobje 2021-202</w:t>
      </w:r>
      <w:r w:rsidR="004C52FF">
        <w:rPr>
          <w:rFonts w:cs="Arial"/>
        </w:rPr>
        <w:t>5</w:t>
      </w:r>
      <w:r w:rsidR="00CD255C">
        <w:rPr>
          <w:rFonts w:cs="Arial"/>
        </w:rPr>
        <w:t>, ki znašajo</w:t>
      </w:r>
      <w:r w:rsidR="00605EAD">
        <w:rPr>
          <w:rFonts w:cs="Arial"/>
        </w:rPr>
        <w:t xml:space="preserve"> </w:t>
      </w:r>
      <w:r w:rsidR="004C52FF" w:rsidRPr="004C52FF">
        <w:rPr>
          <w:rFonts w:cs="Arial"/>
        </w:rPr>
        <w:t>2.293.468.269</w:t>
      </w:r>
      <w:r w:rsidR="00605EAD">
        <w:rPr>
          <w:rFonts w:cs="Arial"/>
        </w:rPr>
        <w:t xml:space="preserve"> EUR.</w:t>
      </w:r>
    </w:p>
    <w:p w14:paraId="55063244" w14:textId="77777777" w:rsidR="00605EAD" w:rsidRDefault="00605EAD" w:rsidP="473E32AA">
      <w:pPr>
        <w:tabs>
          <w:tab w:val="left" w:pos="1820"/>
        </w:tabs>
        <w:spacing w:after="0" w:line="276" w:lineRule="auto"/>
        <w:jc w:val="both"/>
        <w:rPr>
          <w:rFonts w:cs="Arial"/>
        </w:rPr>
      </w:pPr>
    </w:p>
    <w:p w14:paraId="3F3646CC" w14:textId="43FE2E27" w:rsidR="002C6270" w:rsidRDefault="009A6057" w:rsidP="473E32AA">
      <w:pPr>
        <w:tabs>
          <w:tab w:val="left" w:pos="1820"/>
        </w:tabs>
        <w:spacing w:after="0" w:line="276" w:lineRule="auto"/>
        <w:jc w:val="both"/>
        <w:rPr>
          <w:rFonts w:cs="Arial"/>
        </w:rPr>
      </w:pPr>
      <w:r>
        <w:rPr>
          <w:rFonts w:cs="Arial"/>
        </w:rPr>
        <w:t>Iz navedenega sledi</w:t>
      </w:r>
      <w:r w:rsidR="00E23C93">
        <w:rPr>
          <w:rFonts w:cs="Arial"/>
        </w:rPr>
        <w:t>, da sredstva iz naslova zneska prožnosti niso bila vključena v izdanih odločitvah o podpori. S spremembo PEKP 21-27 in predvidenimi prerazporeditvami med specifičnimi cilj bo znesek prožnosti tudi dokončno dodeljen.</w:t>
      </w:r>
      <w:r w:rsidR="00605EAD">
        <w:rPr>
          <w:rFonts w:cs="Arial"/>
        </w:rPr>
        <w:t xml:space="preserve"> </w:t>
      </w:r>
      <w:r w:rsidR="002C6270">
        <w:rPr>
          <w:rFonts w:cs="Arial"/>
        </w:rPr>
        <w:t xml:space="preserve">  </w:t>
      </w:r>
    </w:p>
    <w:p w14:paraId="487A69C7" w14:textId="77777777" w:rsidR="00E23C93" w:rsidRDefault="00E23C93" w:rsidP="473E32AA">
      <w:pPr>
        <w:tabs>
          <w:tab w:val="left" w:pos="1820"/>
        </w:tabs>
        <w:spacing w:after="0" w:line="276" w:lineRule="auto"/>
        <w:jc w:val="both"/>
        <w:rPr>
          <w:rFonts w:cs="Arial"/>
        </w:rPr>
      </w:pPr>
    </w:p>
    <w:p w14:paraId="51540B3A" w14:textId="2CAAD045" w:rsidR="009A6057" w:rsidRDefault="009A6057" w:rsidP="473E32AA">
      <w:pPr>
        <w:tabs>
          <w:tab w:val="left" w:pos="1820"/>
        </w:tabs>
        <w:spacing w:after="0" w:line="276" w:lineRule="auto"/>
        <w:jc w:val="both"/>
        <w:rPr>
          <w:rFonts w:cs="Arial"/>
        </w:rPr>
      </w:pPr>
      <w:r>
        <w:rPr>
          <w:rFonts w:cs="Arial"/>
        </w:rPr>
        <w:t>V sklopu spremembe PEKP 21-27 bodo pripravljene posodobljene informacije o finančnih dodelitvah za vsako prednostno nalogo, in sicer:</w:t>
      </w:r>
    </w:p>
    <w:p w14:paraId="07356B91" w14:textId="77777777" w:rsidR="006759FE" w:rsidRDefault="006759FE" w:rsidP="006759FE">
      <w:pPr>
        <w:numPr>
          <w:ilvl w:val="0"/>
          <w:numId w:val="1"/>
        </w:numPr>
        <w:tabs>
          <w:tab w:val="left" w:pos="1820"/>
        </w:tabs>
        <w:spacing w:after="0" w:line="276" w:lineRule="auto"/>
        <w:jc w:val="both"/>
        <w:rPr>
          <w:rFonts w:cs="Arial"/>
        </w:rPr>
      </w:pPr>
      <w:r w:rsidRPr="00F7FCEE">
        <w:rPr>
          <w:rFonts w:cs="Arial"/>
        </w:rPr>
        <w:t>finančna sredstva po letih in že vključujejo zneske prilagoditve in</w:t>
      </w:r>
    </w:p>
    <w:p w14:paraId="276C5146" w14:textId="77777777" w:rsidR="006759FE" w:rsidRDefault="006759FE" w:rsidP="006759FE">
      <w:pPr>
        <w:pStyle w:val="Odstavekseznama"/>
        <w:numPr>
          <w:ilvl w:val="0"/>
          <w:numId w:val="61"/>
        </w:numPr>
        <w:tabs>
          <w:tab w:val="left" w:pos="1820"/>
        </w:tabs>
        <w:spacing w:after="0" w:line="276" w:lineRule="auto"/>
        <w:jc w:val="both"/>
        <w:rPr>
          <w:rFonts w:cs="Arial"/>
        </w:rPr>
      </w:pPr>
      <w:r w:rsidRPr="00F7FCEE">
        <w:rPr>
          <w:rFonts w:cs="Arial"/>
        </w:rPr>
        <w:t>finančne dodelitve po skladih in prednostnih nalogah ter pripadajoči nacionalni prispevek.</w:t>
      </w:r>
    </w:p>
    <w:p w14:paraId="73FFDD91" w14:textId="77777777" w:rsidR="006759FE" w:rsidRDefault="006759FE" w:rsidP="473E32AA">
      <w:pPr>
        <w:tabs>
          <w:tab w:val="left" w:pos="1820"/>
        </w:tabs>
        <w:spacing w:after="0" w:line="276" w:lineRule="auto"/>
        <w:jc w:val="both"/>
        <w:rPr>
          <w:rFonts w:cs="Arial"/>
        </w:rPr>
      </w:pPr>
    </w:p>
    <w:p w14:paraId="5FB3C0E2" w14:textId="77777777" w:rsidR="004C52FF" w:rsidRDefault="004C52FF" w:rsidP="473E32AA">
      <w:pPr>
        <w:tabs>
          <w:tab w:val="left" w:pos="1820"/>
        </w:tabs>
        <w:spacing w:after="0" w:line="276" w:lineRule="auto"/>
        <w:jc w:val="both"/>
        <w:rPr>
          <w:rFonts w:cs="Arial"/>
        </w:rPr>
      </w:pPr>
    </w:p>
    <w:p w14:paraId="307631BD" w14:textId="18F76154" w:rsidR="004C52FF" w:rsidRDefault="00E23C93" w:rsidP="473E32AA">
      <w:pPr>
        <w:tabs>
          <w:tab w:val="left" w:pos="1820"/>
        </w:tabs>
        <w:spacing w:after="0" w:line="276" w:lineRule="auto"/>
        <w:jc w:val="both"/>
        <w:rPr>
          <w:rFonts w:cs="Arial"/>
        </w:rPr>
      </w:pPr>
      <w:r w:rsidRPr="00E23C93">
        <w:rPr>
          <w:rFonts w:cs="Arial"/>
        </w:rPr>
        <w:t>Tabela 1</w:t>
      </w:r>
      <w:r>
        <w:rPr>
          <w:rFonts w:cs="Arial"/>
        </w:rPr>
        <w:t>4</w:t>
      </w:r>
      <w:r w:rsidRPr="00E23C93">
        <w:rPr>
          <w:rFonts w:cs="Arial"/>
        </w:rPr>
        <w:t xml:space="preserve">: </w:t>
      </w:r>
      <w:r>
        <w:rPr>
          <w:rFonts w:cs="Arial"/>
        </w:rPr>
        <w:t>Finančni načrt</w:t>
      </w:r>
      <w:r w:rsidRPr="00E23C93">
        <w:rPr>
          <w:rFonts w:cs="Arial"/>
        </w:rPr>
        <w:t xml:space="preserve"> PEKP 21–27</w:t>
      </w:r>
      <w:r>
        <w:rPr>
          <w:rFonts w:cs="Arial"/>
        </w:rPr>
        <w:t xml:space="preserve"> po letih</w:t>
      </w:r>
    </w:p>
    <w:p w14:paraId="178FCB45" w14:textId="77777777" w:rsidR="00E23C93" w:rsidRDefault="00E23C93" w:rsidP="473E32AA">
      <w:pPr>
        <w:tabs>
          <w:tab w:val="left" w:pos="1820"/>
        </w:tabs>
        <w:spacing w:after="0" w:line="276" w:lineRule="auto"/>
        <w:jc w:val="both"/>
        <w:rPr>
          <w:rFonts w:cs="Arial"/>
        </w:rPr>
      </w:pPr>
    </w:p>
    <w:tbl>
      <w:tblPr>
        <w:tblW w:w="5678" w:type="pct"/>
        <w:tblCellMar>
          <w:left w:w="70" w:type="dxa"/>
          <w:right w:w="70" w:type="dxa"/>
        </w:tblCellMar>
        <w:tblLook w:val="04A0" w:firstRow="1" w:lastRow="0" w:firstColumn="1" w:lastColumn="0" w:noHBand="0" w:noVBand="1"/>
      </w:tblPr>
      <w:tblGrid>
        <w:gridCol w:w="421"/>
        <w:gridCol w:w="576"/>
        <w:gridCol w:w="763"/>
        <w:gridCol w:w="452"/>
        <w:gridCol w:w="919"/>
        <w:gridCol w:w="919"/>
        <w:gridCol w:w="919"/>
        <w:gridCol w:w="919"/>
        <w:gridCol w:w="919"/>
        <w:gridCol w:w="919"/>
        <w:gridCol w:w="919"/>
        <w:gridCol w:w="919"/>
        <w:gridCol w:w="1036"/>
      </w:tblGrid>
      <w:tr w:rsidR="006759FE" w:rsidRPr="006759FE" w14:paraId="0702EF20" w14:textId="77777777" w:rsidTr="00C57B56">
        <w:trPr>
          <w:trHeight w:val="315"/>
        </w:trPr>
        <w:tc>
          <w:tcPr>
            <w:tcW w:w="397"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8D1F5E3" w14:textId="77777777" w:rsidR="004C52FF" w:rsidRPr="00C57B56" w:rsidRDefault="004C52FF" w:rsidP="004C52FF">
            <w:pPr>
              <w:widowControl w:val="0"/>
              <w:suppressAutoHyphens w:val="0"/>
              <w:autoSpaceDE w:val="0"/>
              <w:spacing w:after="0" w:line="240" w:lineRule="auto"/>
              <w:jc w:val="center"/>
              <w:rPr>
                <w:rFonts w:cs="Arial"/>
                <w:color w:val="000000"/>
                <w:sz w:val="14"/>
                <w:szCs w:val="14"/>
              </w:rPr>
            </w:pPr>
            <w:r w:rsidRPr="00C57B56">
              <w:rPr>
                <w:rFonts w:cs="Arial"/>
                <w:color w:val="000000"/>
                <w:sz w:val="14"/>
                <w:szCs w:val="14"/>
              </w:rPr>
              <w:t>Sklad</w:t>
            </w:r>
          </w:p>
        </w:tc>
        <w:tc>
          <w:tcPr>
            <w:tcW w:w="40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9D2E466" w14:textId="77777777" w:rsidR="004C52FF" w:rsidRPr="00C57B56" w:rsidRDefault="004C52FF" w:rsidP="004C52FF">
            <w:pPr>
              <w:widowControl w:val="0"/>
              <w:suppressAutoHyphens w:val="0"/>
              <w:autoSpaceDE w:val="0"/>
              <w:spacing w:after="0" w:line="240" w:lineRule="auto"/>
              <w:rPr>
                <w:rFonts w:cs="Arial"/>
                <w:color w:val="000000"/>
                <w:sz w:val="14"/>
                <w:szCs w:val="14"/>
              </w:rPr>
            </w:pPr>
            <w:r w:rsidRPr="00C57B56">
              <w:rPr>
                <w:rFonts w:cs="Arial"/>
                <w:color w:val="000000"/>
                <w:sz w:val="14"/>
                <w:szCs w:val="14"/>
              </w:rPr>
              <w:t>Kategorija regije</w:t>
            </w:r>
          </w:p>
        </w:tc>
        <w:tc>
          <w:tcPr>
            <w:tcW w:w="21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A9107AD" w14:textId="77777777" w:rsidR="004C52FF" w:rsidRPr="00C57B56" w:rsidRDefault="004C52FF" w:rsidP="004C52FF">
            <w:pPr>
              <w:widowControl w:val="0"/>
              <w:suppressAutoHyphens w:val="0"/>
              <w:autoSpaceDE w:val="0"/>
              <w:spacing w:after="0" w:line="240" w:lineRule="auto"/>
              <w:jc w:val="center"/>
              <w:rPr>
                <w:rFonts w:cs="Arial"/>
                <w:color w:val="000000"/>
                <w:sz w:val="14"/>
                <w:szCs w:val="14"/>
              </w:rPr>
            </w:pPr>
            <w:r w:rsidRPr="00C57B56">
              <w:rPr>
                <w:rFonts w:cs="Arial"/>
                <w:color w:val="000000"/>
                <w:sz w:val="14"/>
                <w:szCs w:val="14"/>
              </w:rPr>
              <w:t>2021</w:t>
            </w:r>
          </w:p>
        </w:tc>
        <w:tc>
          <w:tcPr>
            <w:tcW w:w="43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8E063E6" w14:textId="77777777" w:rsidR="004C52FF" w:rsidRPr="00C57B56" w:rsidRDefault="004C52FF" w:rsidP="004C52FF">
            <w:pPr>
              <w:widowControl w:val="0"/>
              <w:suppressAutoHyphens w:val="0"/>
              <w:autoSpaceDE w:val="0"/>
              <w:spacing w:after="0" w:line="240" w:lineRule="auto"/>
              <w:jc w:val="center"/>
              <w:rPr>
                <w:rFonts w:cs="Arial"/>
                <w:color w:val="000000"/>
                <w:sz w:val="14"/>
                <w:szCs w:val="14"/>
              </w:rPr>
            </w:pPr>
            <w:r w:rsidRPr="00C57B56">
              <w:rPr>
                <w:rFonts w:cs="Arial"/>
                <w:color w:val="000000"/>
                <w:sz w:val="14"/>
                <w:szCs w:val="14"/>
              </w:rPr>
              <w:t>2022</w:t>
            </w:r>
          </w:p>
        </w:tc>
        <w:tc>
          <w:tcPr>
            <w:tcW w:w="43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3651F2F" w14:textId="77777777" w:rsidR="004C52FF" w:rsidRPr="00C57B56" w:rsidRDefault="004C52FF" w:rsidP="004C52FF">
            <w:pPr>
              <w:widowControl w:val="0"/>
              <w:suppressAutoHyphens w:val="0"/>
              <w:autoSpaceDE w:val="0"/>
              <w:spacing w:after="0" w:line="240" w:lineRule="auto"/>
              <w:jc w:val="center"/>
              <w:rPr>
                <w:rFonts w:cs="Arial"/>
                <w:color w:val="000000"/>
                <w:sz w:val="14"/>
                <w:szCs w:val="14"/>
              </w:rPr>
            </w:pPr>
            <w:r w:rsidRPr="00C57B56">
              <w:rPr>
                <w:rFonts w:cs="Arial"/>
                <w:color w:val="000000"/>
                <w:sz w:val="14"/>
                <w:szCs w:val="14"/>
              </w:rPr>
              <w:t>2023</w:t>
            </w:r>
          </w:p>
        </w:tc>
        <w:tc>
          <w:tcPr>
            <w:tcW w:w="43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96A237D" w14:textId="77777777" w:rsidR="004C52FF" w:rsidRPr="00C57B56" w:rsidRDefault="004C52FF" w:rsidP="004C52FF">
            <w:pPr>
              <w:widowControl w:val="0"/>
              <w:suppressAutoHyphens w:val="0"/>
              <w:autoSpaceDE w:val="0"/>
              <w:spacing w:after="0" w:line="240" w:lineRule="auto"/>
              <w:jc w:val="center"/>
              <w:rPr>
                <w:rFonts w:cs="Arial"/>
                <w:color w:val="000000"/>
                <w:sz w:val="14"/>
                <w:szCs w:val="14"/>
              </w:rPr>
            </w:pPr>
            <w:r w:rsidRPr="00C57B56">
              <w:rPr>
                <w:rFonts w:cs="Arial"/>
                <w:color w:val="000000"/>
                <w:sz w:val="14"/>
                <w:szCs w:val="14"/>
              </w:rPr>
              <w:t>2024</w:t>
            </w:r>
          </w:p>
        </w:tc>
        <w:tc>
          <w:tcPr>
            <w:tcW w:w="43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7E0754F" w14:textId="77777777" w:rsidR="004C52FF" w:rsidRPr="00C57B56" w:rsidRDefault="004C52FF" w:rsidP="004C52FF">
            <w:pPr>
              <w:widowControl w:val="0"/>
              <w:suppressAutoHyphens w:val="0"/>
              <w:autoSpaceDE w:val="0"/>
              <w:spacing w:after="0" w:line="240" w:lineRule="auto"/>
              <w:jc w:val="center"/>
              <w:rPr>
                <w:rFonts w:cs="Arial"/>
                <w:color w:val="000000"/>
                <w:sz w:val="14"/>
                <w:szCs w:val="14"/>
              </w:rPr>
            </w:pPr>
            <w:r w:rsidRPr="00C57B56">
              <w:rPr>
                <w:rFonts w:cs="Arial"/>
                <w:color w:val="000000"/>
                <w:sz w:val="14"/>
                <w:szCs w:val="14"/>
              </w:rPr>
              <w:t>2025</w:t>
            </w:r>
          </w:p>
        </w:tc>
        <w:tc>
          <w:tcPr>
            <w:tcW w:w="874" w:type="pct"/>
            <w:gridSpan w:val="2"/>
            <w:tcBorders>
              <w:top w:val="single" w:sz="8" w:space="0" w:color="auto"/>
              <w:left w:val="nil"/>
              <w:bottom w:val="single" w:sz="8" w:space="0" w:color="auto"/>
              <w:right w:val="single" w:sz="8" w:space="0" w:color="000000"/>
            </w:tcBorders>
            <w:shd w:val="clear" w:color="auto" w:fill="auto"/>
            <w:vAlign w:val="center"/>
            <w:hideMark/>
          </w:tcPr>
          <w:p w14:paraId="79013E1F" w14:textId="77777777" w:rsidR="004C52FF" w:rsidRPr="00C57B56" w:rsidRDefault="004C52FF" w:rsidP="004C52FF">
            <w:pPr>
              <w:widowControl w:val="0"/>
              <w:suppressAutoHyphens w:val="0"/>
              <w:autoSpaceDE w:val="0"/>
              <w:spacing w:after="0" w:line="240" w:lineRule="auto"/>
              <w:jc w:val="center"/>
              <w:rPr>
                <w:rFonts w:cs="Arial"/>
                <w:color w:val="000000"/>
                <w:sz w:val="14"/>
                <w:szCs w:val="14"/>
              </w:rPr>
            </w:pPr>
            <w:r w:rsidRPr="00C57B56">
              <w:rPr>
                <w:rFonts w:cs="Arial"/>
                <w:color w:val="000000"/>
                <w:sz w:val="14"/>
                <w:szCs w:val="14"/>
              </w:rPr>
              <w:t>2026</w:t>
            </w:r>
          </w:p>
        </w:tc>
        <w:tc>
          <w:tcPr>
            <w:tcW w:w="875" w:type="pct"/>
            <w:gridSpan w:val="2"/>
            <w:tcBorders>
              <w:top w:val="single" w:sz="8" w:space="0" w:color="auto"/>
              <w:left w:val="nil"/>
              <w:bottom w:val="single" w:sz="8" w:space="0" w:color="auto"/>
              <w:right w:val="single" w:sz="8" w:space="0" w:color="000000"/>
            </w:tcBorders>
            <w:shd w:val="clear" w:color="auto" w:fill="auto"/>
            <w:vAlign w:val="center"/>
            <w:hideMark/>
          </w:tcPr>
          <w:p w14:paraId="3FB93727" w14:textId="77777777" w:rsidR="004C52FF" w:rsidRPr="00C57B56" w:rsidRDefault="004C52FF" w:rsidP="004C52FF">
            <w:pPr>
              <w:widowControl w:val="0"/>
              <w:suppressAutoHyphens w:val="0"/>
              <w:autoSpaceDE w:val="0"/>
              <w:spacing w:after="0" w:line="240" w:lineRule="auto"/>
              <w:jc w:val="center"/>
              <w:rPr>
                <w:rFonts w:cs="Arial"/>
                <w:color w:val="000000"/>
                <w:sz w:val="14"/>
                <w:szCs w:val="14"/>
              </w:rPr>
            </w:pPr>
            <w:r w:rsidRPr="00C57B56">
              <w:rPr>
                <w:rFonts w:cs="Arial"/>
                <w:color w:val="000000"/>
                <w:sz w:val="14"/>
                <w:szCs w:val="14"/>
              </w:rPr>
              <w:t>2027</w:t>
            </w:r>
          </w:p>
        </w:tc>
        <w:tc>
          <w:tcPr>
            <w:tcW w:w="49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F85B1CE" w14:textId="77777777" w:rsidR="004C52FF" w:rsidRPr="00C57B56" w:rsidRDefault="004C52FF" w:rsidP="004C52FF">
            <w:pPr>
              <w:widowControl w:val="0"/>
              <w:suppressAutoHyphens w:val="0"/>
              <w:autoSpaceDE w:val="0"/>
              <w:spacing w:after="0" w:line="240" w:lineRule="auto"/>
              <w:jc w:val="center"/>
              <w:rPr>
                <w:rFonts w:cs="Arial"/>
                <w:color w:val="000000"/>
                <w:sz w:val="14"/>
                <w:szCs w:val="14"/>
              </w:rPr>
            </w:pPr>
            <w:r w:rsidRPr="00C57B56">
              <w:rPr>
                <w:rFonts w:cs="Arial"/>
                <w:color w:val="000000"/>
                <w:sz w:val="14"/>
                <w:szCs w:val="14"/>
              </w:rPr>
              <w:t>Skupaj</w:t>
            </w:r>
          </w:p>
        </w:tc>
      </w:tr>
      <w:tr w:rsidR="006759FE" w:rsidRPr="006759FE" w14:paraId="360ACA18" w14:textId="77777777" w:rsidTr="00C57B56">
        <w:trPr>
          <w:trHeight w:val="916"/>
        </w:trPr>
        <w:tc>
          <w:tcPr>
            <w:tcW w:w="397" w:type="pct"/>
            <w:gridSpan w:val="2"/>
            <w:vMerge/>
            <w:tcBorders>
              <w:top w:val="single" w:sz="8" w:space="0" w:color="auto"/>
              <w:left w:val="single" w:sz="8" w:space="0" w:color="auto"/>
              <w:bottom w:val="single" w:sz="8" w:space="0" w:color="000000"/>
              <w:right w:val="single" w:sz="8" w:space="0" w:color="000000"/>
            </w:tcBorders>
            <w:vAlign w:val="center"/>
            <w:hideMark/>
          </w:tcPr>
          <w:p w14:paraId="169C5673" w14:textId="77777777" w:rsidR="004C52FF" w:rsidRPr="00C57B56" w:rsidRDefault="004C52FF" w:rsidP="004C52FF">
            <w:pPr>
              <w:widowControl w:val="0"/>
              <w:suppressAutoHyphens w:val="0"/>
              <w:autoSpaceDE w:val="0"/>
              <w:spacing w:after="0" w:line="240" w:lineRule="auto"/>
              <w:rPr>
                <w:rFonts w:cs="Arial"/>
                <w:color w:val="000000"/>
                <w:sz w:val="14"/>
                <w:szCs w:val="14"/>
              </w:rPr>
            </w:pPr>
          </w:p>
        </w:tc>
        <w:tc>
          <w:tcPr>
            <w:tcW w:w="407" w:type="pct"/>
            <w:vMerge/>
            <w:tcBorders>
              <w:top w:val="single" w:sz="8" w:space="0" w:color="auto"/>
              <w:left w:val="single" w:sz="8" w:space="0" w:color="auto"/>
              <w:bottom w:val="single" w:sz="8" w:space="0" w:color="000000"/>
              <w:right w:val="single" w:sz="8" w:space="0" w:color="auto"/>
            </w:tcBorders>
            <w:vAlign w:val="center"/>
            <w:hideMark/>
          </w:tcPr>
          <w:p w14:paraId="06AD399F" w14:textId="77777777" w:rsidR="004C52FF" w:rsidRPr="00C57B56" w:rsidRDefault="004C52FF" w:rsidP="004C52FF">
            <w:pPr>
              <w:widowControl w:val="0"/>
              <w:suppressAutoHyphens w:val="0"/>
              <w:autoSpaceDE w:val="0"/>
              <w:spacing w:after="0" w:line="240" w:lineRule="auto"/>
              <w:rPr>
                <w:rFonts w:cs="Arial"/>
                <w:color w:val="000000"/>
                <w:sz w:val="14"/>
                <w:szCs w:val="14"/>
              </w:rPr>
            </w:pPr>
          </w:p>
        </w:tc>
        <w:tc>
          <w:tcPr>
            <w:tcW w:w="213" w:type="pct"/>
            <w:vMerge/>
            <w:tcBorders>
              <w:top w:val="single" w:sz="8" w:space="0" w:color="auto"/>
              <w:left w:val="single" w:sz="8" w:space="0" w:color="auto"/>
              <w:bottom w:val="single" w:sz="8" w:space="0" w:color="000000"/>
              <w:right w:val="single" w:sz="8" w:space="0" w:color="auto"/>
            </w:tcBorders>
            <w:vAlign w:val="center"/>
            <w:hideMark/>
          </w:tcPr>
          <w:p w14:paraId="3E8832F2" w14:textId="77777777" w:rsidR="004C52FF" w:rsidRPr="00C57B56" w:rsidRDefault="004C52FF" w:rsidP="004C52FF">
            <w:pPr>
              <w:widowControl w:val="0"/>
              <w:suppressAutoHyphens w:val="0"/>
              <w:autoSpaceDE w:val="0"/>
              <w:spacing w:after="0" w:line="240" w:lineRule="auto"/>
              <w:rPr>
                <w:rFonts w:cs="Arial"/>
                <w:color w:val="000000"/>
                <w:sz w:val="14"/>
                <w:szCs w:val="14"/>
              </w:rPr>
            </w:pPr>
          </w:p>
        </w:tc>
        <w:tc>
          <w:tcPr>
            <w:tcW w:w="433" w:type="pct"/>
            <w:vMerge/>
            <w:tcBorders>
              <w:top w:val="single" w:sz="8" w:space="0" w:color="auto"/>
              <w:left w:val="single" w:sz="8" w:space="0" w:color="auto"/>
              <w:bottom w:val="single" w:sz="8" w:space="0" w:color="000000"/>
              <w:right w:val="single" w:sz="8" w:space="0" w:color="auto"/>
            </w:tcBorders>
            <w:vAlign w:val="center"/>
            <w:hideMark/>
          </w:tcPr>
          <w:p w14:paraId="0A1751DF" w14:textId="77777777" w:rsidR="004C52FF" w:rsidRPr="00C57B56" w:rsidRDefault="004C52FF" w:rsidP="004C52FF">
            <w:pPr>
              <w:widowControl w:val="0"/>
              <w:suppressAutoHyphens w:val="0"/>
              <w:autoSpaceDE w:val="0"/>
              <w:spacing w:after="0" w:line="240" w:lineRule="auto"/>
              <w:rPr>
                <w:rFonts w:cs="Arial"/>
                <w:color w:val="000000"/>
                <w:sz w:val="14"/>
                <w:szCs w:val="14"/>
              </w:rPr>
            </w:pPr>
          </w:p>
        </w:tc>
        <w:tc>
          <w:tcPr>
            <w:tcW w:w="436" w:type="pct"/>
            <w:vMerge/>
            <w:tcBorders>
              <w:top w:val="single" w:sz="8" w:space="0" w:color="auto"/>
              <w:left w:val="single" w:sz="8" w:space="0" w:color="auto"/>
              <w:bottom w:val="single" w:sz="8" w:space="0" w:color="000000"/>
              <w:right w:val="single" w:sz="8" w:space="0" w:color="auto"/>
            </w:tcBorders>
            <w:vAlign w:val="center"/>
            <w:hideMark/>
          </w:tcPr>
          <w:p w14:paraId="3BAC9754" w14:textId="77777777" w:rsidR="004C52FF" w:rsidRPr="00C57B56" w:rsidRDefault="004C52FF" w:rsidP="004C52FF">
            <w:pPr>
              <w:widowControl w:val="0"/>
              <w:suppressAutoHyphens w:val="0"/>
              <w:autoSpaceDE w:val="0"/>
              <w:spacing w:after="0" w:line="240" w:lineRule="auto"/>
              <w:rPr>
                <w:rFonts w:cs="Arial"/>
                <w:color w:val="000000"/>
                <w:sz w:val="14"/>
                <w:szCs w:val="14"/>
              </w:rPr>
            </w:pPr>
          </w:p>
        </w:tc>
        <w:tc>
          <w:tcPr>
            <w:tcW w:w="436" w:type="pct"/>
            <w:vMerge/>
            <w:tcBorders>
              <w:top w:val="single" w:sz="8" w:space="0" w:color="auto"/>
              <w:left w:val="single" w:sz="8" w:space="0" w:color="auto"/>
              <w:bottom w:val="single" w:sz="8" w:space="0" w:color="000000"/>
              <w:right w:val="single" w:sz="8" w:space="0" w:color="auto"/>
            </w:tcBorders>
            <w:vAlign w:val="center"/>
            <w:hideMark/>
          </w:tcPr>
          <w:p w14:paraId="673637A5" w14:textId="77777777" w:rsidR="004C52FF" w:rsidRPr="00C57B56" w:rsidRDefault="004C52FF" w:rsidP="004C52FF">
            <w:pPr>
              <w:widowControl w:val="0"/>
              <w:suppressAutoHyphens w:val="0"/>
              <w:autoSpaceDE w:val="0"/>
              <w:spacing w:after="0" w:line="240" w:lineRule="auto"/>
              <w:rPr>
                <w:rFonts w:cs="Arial"/>
                <w:color w:val="000000"/>
                <w:sz w:val="14"/>
                <w:szCs w:val="14"/>
              </w:rPr>
            </w:pPr>
          </w:p>
        </w:tc>
        <w:tc>
          <w:tcPr>
            <w:tcW w:w="436" w:type="pct"/>
            <w:vMerge/>
            <w:tcBorders>
              <w:top w:val="single" w:sz="8" w:space="0" w:color="auto"/>
              <w:left w:val="single" w:sz="8" w:space="0" w:color="auto"/>
              <w:bottom w:val="single" w:sz="8" w:space="0" w:color="000000"/>
              <w:right w:val="single" w:sz="8" w:space="0" w:color="auto"/>
            </w:tcBorders>
            <w:vAlign w:val="center"/>
            <w:hideMark/>
          </w:tcPr>
          <w:p w14:paraId="2601B5BF" w14:textId="77777777" w:rsidR="004C52FF" w:rsidRPr="00C57B56" w:rsidRDefault="004C52FF" w:rsidP="004C52FF">
            <w:pPr>
              <w:widowControl w:val="0"/>
              <w:suppressAutoHyphens w:val="0"/>
              <w:autoSpaceDE w:val="0"/>
              <w:spacing w:after="0" w:line="240" w:lineRule="auto"/>
              <w:rPr>
                <w:rFonts w:cs="Arial"/>
                <w:color w:val="000000"/>
                <w:sz w:val="14"/>
                <w:szCs w:val="14"/>
              </w:rPr>
            </w:pPr>
          </w:p>
        </w:tc>
        <w:tc>
          <w:tcPr>
            <w:tcW w:w="436" w:type="pct"/>
            <w:tcBorders>
              <w:top w:val="nil"/>
              <w:left w:val="nil"/>
              <w:bottom w:val="single" w:sz="8" w:space="0" w:color="auto"/>
              <w:right w:val="single" w:sz="8" w:space="0" w:color="auto"/>
            </w:tcBorders>
            <w:shd w:val="clear" w:color="auto" w:fill="auto"/>
            <w:vAlign w:val="center"/>
            <w:hideMark/>
          </w:tcPr>
          <w:p w14:paraId="2AA61D15" w14:textId="33CB2719" w:rsidR="004C52FF" w:rsidRPr="00C57B56" w:rsidRDefault="004C52FF" w:rsidP="004C52FF">
            <w:pPr>
              <w:widowControl w:val="0"/>
              <w:suppressAutoHyphens w:val="0"/>
              <w:autoSpaceDE w:val="0"/>
              <w:spacing w:after="0" w:line="240" w:lineRule="auto"/>
              <w:jc w:val="center"/>
              <w:rPr>
                <w:rFonts w:cs="Arial"/>
                <w:color w:val="000000"/>
                <w:sz w:val="14"/>
                <w:szCs w:val="14"/>
              </w:rPr>
            </w:pPr>
            <w:r w:rsidRPr="00C57B56">
              <w:rPr>
                <w:rFonts w:cs="Arial"/>
                <w:color w:val="000000"/>
                <w:sz w:val="14"/>
                <w:szCs w:val="14"/>
              </w:rPr>
              <w:t>Finančna sredstva brez zneska prožnosti</w:t>
            </w:r>
          </w:p>
        </w:tc>
        <w:tc>
          <w:tcPr>
            <w:tcW w:w="438" w:type="pct"/>
            <w:tcBorders>
              <w:top w:val="nil"/>
              <w:left w:val="nil"/>
              <w:bottom w:val="single" w:sz="8" w:space="0" w:color="auto"/>
              <w:right w:val="single" w:sz="8" w:space="0" w:color="auto"/>
            </w:tcBorders>
            <w:shd w:val="clear" w:color="auto" w:fill="auto"/>
            <w:vAlign w:val="center"/>
            <w:hideMark/>
          </w:tcPr>
          <w:p w14:paraId="41B6670D" w14:textId="394B6EEE" w:rsidR="004C52FF" w:rsidRPr="00C57B56" w:rsidRDefault="004C52FF" w:rsidP="004C52FF">
            <w:pPr>
              <w:widowControl w:val="0"/>
              <w:suppressAutoHyphens w:val="0"/>
              <w:autoSpaceDE w:val="0"/>
              <w:spacing w:after="0" w:line="240" w:lineRule="auto"/>
              <w:jc w:val="center"/>
              <w:rPr>
                <w:rFonts w:cs="Arial"/>
                <w:color w:val="000000"/>
                <w:sz w:val="14"/>
                <w:szCs w:val="14"/>
              </w:rPr>
            </w:pPr>
            <w:r w:rsidRPr="00C57B56">
              <w:rPr>
                <w:rFonts w:cs="Arial"/>
                <w:color w:val="000000"/>
                <w:sz w:val="14"/>
                <w:szCs w:val="14"/>
              </w:rPr>
              <w:t>Znesek prožnosti</w:t>
            </w:r>
          </w:p>
        </w:tc>
        <w:tc>
          <w:tcPr>
            <w:tcW w:w="436" w:type="pct"/>
            <w:tcBorders>
              <w:top w:val="nil"/>
              <w:left w:val="nil"/>
              <w:bottom w:val="single" w:sz="8" w:space="0" w:color="auto"/>
              <w:right w:val="single" w:sz="8" w:space="0" w:color="auto"/>
            </w:tcBorders>
            <w:shd w:val="clear" w:color="auto" w:fill="auto"/>
            <w:vAlign w:val="center"/>
            <w:hideMark/>
          </w:tcPr>
          <w:p w14:paraId="0D9C2EF3" w14:textId="7D2FF447" w:rsidR="004C52FF" w:rsidRPr="00C57B56" w:rsidRDefault="004C52FF" w:rsidP="004C52FF">
            <w:pPr>
              <w:widowControl w:val="0"/>
              <w:suppressAutoHyphens w:val="0"/>
              <w:autoSpaceDE w:val="0"/>
              <w:spacing w:after="0" w:line="240" w:lineRule="auto"/>
              <w:jc w:val="center"/>
              <w:rPr>
                <w:rFonts w:cs="Arial"/>
                <w:color w:val="000000"/>
                <w:sz w:val="14"/>
                <w:szCs w:val="14"/>
              </w:rPr>
            </w:pPr>
            <w:r w:rsidRPr="00C57B56">
              <w:rPr>
                <w:rFonts w:cs="Arial"/>
                <w:color w:val="000000"/>
                <w:sz w:val="14"/>
                <w:szCs w:val="14"/>
              </w:rPr>
              <w:t>Finančna sredstva brez zneska prožnosti</w:t>
            </w:r>
          </w:p>
        </w:tc>
        <w:tc>
          <w:tcPr>
            <w:tcW w:w="438" w:type="pct"/>
            <w:tcBorders>
              <w:top w:val="nil"/>
              <w:left w:val="nil"/>
              <w:bottom w:val="single" w:sz="8" w:space="0" w:color="auto"/>
              <w:right w:val="single" w:sz="8" w:space="0" w:color="auto"/>
            </w:tcBorders>
            <w:shd w:val="clear" w:color="auto" w:fill="auto"/>
            <w:vAlign w:val="center"/>
            <w:hideMark/>
          </w:tcPr>
          <w:p w14:paraId="3BC1CFDB" w14:textId="5C887783" w:rsidR="004C52FF" w:rsidRPr="00C57B56" w:rsidRDefault="004C52FF" w:rsidP="004C52FF">
            <w:pPr>
              <w:widowControl w:val="0"/>
              <w:suppressAutoHyphens w:val="0"/>
              <w:autoSpaceDE w:val="0"/>
              <w:spacing w:after="0" w:line="240" w:lineRule="auto"/>
              <w:jc w:val="center"/>
              <w:rPr>
                <w:rFonts w:cs="Arial"/>
                <w:color w:val="000000"/>
                <w:sz w:val="14"/>
                <w:szCs w:val="14"/>
              </w:rPr>
            </w:pPr>
            <w:r w:rsidRPr="00C57B56">
              <w:rPr>
                <w:rFonts w:cs="Arial"/>
                <w:color w:val="000000"/>
                <w:sz w:val="14"/>
                <w:szCs w:val="14"/>
              </w:rPr>
              <w:t>Znesek prožnosti</w:t>
            </w:r>
          </w:p>
        </w:tc>
        <w:tc>
          <w:tcPr>
            <w:tcW w:w="494" w:type="pct"/>
            <w:vMerge/>
            <w:tcBorders>
              <w:top w:val="single" w:sz="8" w:space="0" w:color="auto"/>
              <w:left w:val="single" w:sz="8" w:space="0" w:color="auto"/>
              <w:bottom w:val="single" w:sz="8" w:space="0" w:color="000000"/>
              <w:right w:val="single" w:sz="8" w:space="0" w:color="auto"/>
            </w:tcBorders>
            <w:vAlign w:val="center"/>
            <w:hideMark/>
          </w:tcPr>
          <w:p w14:paraId="154FEB83" w14:textId="77777777" w:rsidR="004C52FF" w:rsidRPr="00C57B56" w:rsidRDefault="004C52FF" w:rsidP="004C52FF">
            <w:pPr>
              <w:widowControl w:val="0"/>
              <w:suppressAutoHyphens w:val="0"/>
              <w:autoSpaceDE w:val="0"/>
              <w:spacing w:after="0" w:line="240" w:lineRule="auto"/>
              <w:rPr>
                <w:rFonts w:cs="Arial"/>
                <w:color w:val="000000"/>
                <w:sz w:val="14"/>
                <w:szCs w:val="14"/>
              </w:rPr>
            </w:pPr>
          </w:p>
        </w:tc>
      </w:tr>
      <w:tr w:rsidR="006759FE" w:rsidRPr="006759FE" w14:paraId="7BA90D80" w14:textId="77777777" w:rsidTr="00C57B56">
        <w:trPr>
          <w:trHeight w:val="315"/>
        </w:trPr>
        <w:tc>
          <w:tcPr>
            <w:tcW w:w="397" w:type="pct"/>
            <w:gridSpan w:val="2"/>
            <w:vMerge w:val="restart"/>
            <w:tcBorders>
              <w:top w:val="single" w:sz="8" w:space="0" w:color="auto"/>
              <w:left w:val="single" w:sz="8" w:space="0" w:color="auto"/>
              <w:bottom w:val="nil"/>
              <w:right w:val="single" w:sz="8" w:space="0" w:color="000000"/>
            </w:tcBorders>
            <w:shd w:val="clear" w:color="auto" w:fill="auto"/>
            <w:vAlign w:val="center"/>
            <w:hideMark/>
          </w:tcPr>
          <w:p w14:paraId="56F7DBD3" w14:textId="77777777" w:rsidR="004C52FF" w:rsidRPr="00C57B56" w:rsidRDefault="004C52FF" w:rsidP="004C52FF">
            <w:pPr>
              <w:widowControl w:val="0"/>
              <w:suppressAutoHyphens w:val="0"/>
              <w:autoSpaceDE w:val="0"/>
              <w:spacing w:after="0" w:line="240" w:lineRule="auto"/>
              <w:rPr>
                <w:rFonts w:cs="Arial"/>
                <w:color w:val="000000"/>
                <w:sz w:val="14"/>
                <w:szCs w:val="14"/>
              </w:rPr>
            </w:pPr>
            <w:r w:rsidRPr="00C57B56">
              <w:rPr>
                <w:rFonts w:cs="Arial"/>
                <w:color w:val="000000"/>
                <w:sz w:val="14"/>
                <w:szCs w:val="14"/>
              </w:rPr>
              <w:t>ESRR</w:t>
            </w:r>
          </w:p>
        </w:tc>
        <w:tc>
          <w:tcPr>
            <w:tcW w:w="407" w:type="pct"/>
            <w:tcBorders>
              <w:top w:val="nil"/>
              <w:left w:val="nil"/>
              <w:bottom w:val="single" w:sz="8" w:space="0" w:color="auto"/>
              <w:right w:val="single" w:sz="8" w:space="0" w:color="auto"/>
            </w:tcBorders>
            <w:shd w:val="clear" w:color="auto" w:fill="auto"/>
            <w:vAlign w:val="center"/>
            <w:hideMark/>
          </w:tcPr>
          <w:p w14:paraId="7DB91713" w14:textId="77777777" w:rsidR="004C52FF" w:rsidRPr="00C57B56" w:rsidRDefault="004C52FF" w:rsidP="004C52FF">
            <w:pPr>
              <w:widowControl w:val="0"/>
              <w:suppressAutoHyphens w:val="0"/>
              <w:autoSpaceDE w:val="0"/>
              <w:spacing w:after="0" w:line="240" w:lineRule="auto"/>
              <w:rPr>
                <w:rFonts w:cs="Arial"/>
                <w:color w:val="000000"/>
                <w:sz w:val="14"/>
                <w:szCs w:val="14"/>
              </w:rPr>
            </w:pPr>
            <w:r w:rsidRPr="00C57B56">
              <w:rPr>
                <w:rFonts w:cs="Arial"/>
                <w:color w:val="000000"/>
                <w:sz w:val="14"/>
                <w:szCs w:val="14"/>
              </w:rPr>
              <w:t>Bolj razvite regije</w:t>
            </w:r>
          </w:p>
        </w:tc>
        <w:tc>
          <w:tcPr>
            <w:tcW w:w="213" w:type="pct"/>
            <w:tcBorders>
              <w:top w:val="nil"/>
              <w:left w:val="nil"/>
              <w:bottom w:val="single" w:sz="8" w:space="0" w:color="auto"/>
              <w:right w:val="single" w:sz="8" w:space="0" w:color="auto"/>
            </w:tcBorders>
            <w:shd w:val="clear" w:color="auto" w:fill="auto"/>
            <w:vAlign w:val="center"/>
            <w:hideMark/>
          </w:tcPr>
          <w:p w14:paraId="40B7238C"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 0</w:t>
            </w:r>
          </w:p>
        </w:tc>
        <w:tc>
          <w:tcPr>
            <w:tcW w:w="433" w:type="pct"/>
            <w:tcBorders>
              <w:top w:val="nil"/>
              <w:left w:val="nil"/>
              <w:bottom w:val="single" w:sz="8" w:space="0" w:color="auto"/>
              <w:right w:val="single" w:sz="8" w:space="0" w:color="auto"/>
            </w:tcBorders>
            <w:shd w:val="clear" w:color="auto" w:fill="auto"/>
            <w:vAlign w:val="center"/>
            <w:hideMark/>
          </w:tcPr>
          <w:p w14:paraId="4CDB7E36"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70.408.132</w:t>
            </w:r>
          </w:p>
        </w:tc>
        <w:tc>
          <w:tcPr>
            <w:tcW w:w="436" w:type="pct"/>
            <w:tcBorders>
              <w:top w:val="nil"/>
              <w:left w:val="nil"/>
              <w:bottom w:val="single" w:sz="8" w:space="0" w:color="auto"/>
              <w:right w:val="single" w:sz="8" w:space="0" w:color="auto"/>
            </w:tcBorders>
            <w:shd w:val="clear" w:color="auto" w:fill="auto"/>
            <w:vAlign w:val="center"/>
            <w:hideMark/>
          </w:tcPr>
          <w:p w14:paraId="1B85BAFB"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71.421.682</w:t>
            </w:r>
          </w:p>
        </w:tc>
        <w:tc>
          <w:tcPr>
            <w:tcW w:w="436" w:type="pct"/>
            <w:tcBorders>
              <w:top w:val="nil"/>
              <w:left w:val="nil"/>
              <w:bottom w:val="single" w:sz="8" w:space="0" w:color="auto"/>
              <w:right w:val="single" w:sz="8" w:space="0" w:color="auto"/>
            </w:tcBorders>
            <w:shd w:val="clear" w:color="auto" w:fill="auto"/>
            <w:vAlign w:val="center"/>
            <w:hideMark/>
          </w:tcPr>
          <w:p w14:paraId="7462EF18"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65.044.910</w:t>
            </w:r>
          </w:p>
        </w:tc>
        <w:tc>
          <w:tcPr>
            <w:tcW w:w="436" w:type="pct"/>
            <w:tcBorders>
              <w:top w:val="nil"/>
              <w:left w:val="nil"/>
              <w:bottom w:val="single" w:sz="8" w:space="0" w:color="auto"/>
              <w:right w:val="single" w:sz="8" w:space="0" w:color="auto"/>
            </w:tcBorders>
            <w:shd w:val="clear" w:color="auto" w:fill="auto"/>
            <w:vAlign w:val="center"/>
            <w:hideMark/>
          </w:tcPr>
          <w:p w14:paraId="127B699A"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66.099.685</w:t>
            </w:r>
          </w:p>
        </w:tc>
        <w:tc>
          <w:tcPr>
            <w:tcW w:w="436" w:type="pct"/>
            <w:tcBorders>
              <w:top w:val="nil"/>
              <w:left w:val="nil"/>
              <w:bottom w:val="single" w:sz="8" w:space="0" w:color="auto"/>
              <w:right w:val="single" w:sz="8" w:space="0" w:color="auto"/>
            </w:tcBorders>
            <w:shd w:val="clear" w:color="auto" w:fill="auto"/>
            <w:vAlign w:val="center"/>
            <w:hideMark/>
          </w:tcPr>
          <w:p w14:paraId="238EF26B"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27.387.417</w:t>
            </w:r>
          </w:p>
        </w:tc>
        <w:tc>
          <w:tcPr>
            <w:tcW w:w="438" w:type="pct"/>
            <w:tcBorders>
              <w:top w:val="nil"/>
              <w:left w:val="nil"/>
              <w:bottom w:val="single" w:sz="8" w:space="0" w:color="auto"/>
              <w:right w:val="single" w:sz="8" w:space="0" w:color="auto"/>
            </w:tcBorders>
            <w:shd w:val="clear" w:color="auto" w:fill="auto"/>
            <w:vAlign w:val="center"/>
            <w:hideMark/>
          </w:tcPr>
          <w:p w14:paraId="3DF6B290"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27.387.417</w:t>
            </w:r>
          </w:p>
        </w:tc>
        <w:tc>
          <w:tcPr>
            <w:tcW w:w="436" w:type="pct"/>
            <w:tcBorders>
              <w:top w:val="nil"/>
              <w:left w:val="nil"/>
              <w:bottom w:val="single" w:sz="8" w:space="0" w:color="auto"/>
              <w:right w:val="single" w:sz="8" w:space="0" w:color="auto"/>
            </w:tcBorders>
            <w:shd w:val="clear" w:color="auto" w:fill="auto"/>
            <w:vAlign w:val="center"/>
            <w:hideMark/>
          </w:tcPr>
          <w:p w14:paraId="3C2D00ED"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27.936.114</w:t>
            </w:r>
          </w:p>
        </w:tc>
        <w:tc>
          <w:tcPr>
            <w:tcW w:w="438" w:type="pct"/>
            <w:tcBorders>
              <w:top w:val="nil"/>
              <w:left w:val="nil"/>
              <w:bottom w:val="single" w:sz="8" w:space="0" w:color="auto"/>
              <w:right w:val="single" w:sz="8" w:space="0" w:color="auto"/>
            </w:tcBorders>
            <w:shd w:val="clear" w:color="auto" w:fill="auto"/>
            <w:vAlign w:val="center"/>
            <w:hideMark/>
          </w:tcPr>
          <w:p w14:paraId="258949EF"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27.936.115</w:t>
            </w:r>
          </w:p>
        </w:tc>
        <w:tc>
          <w:tcPr>
            <w:tcW w:w="494" w:type="pct"/>
            <w:tcBorders>
              <w:top w:val="nil"/>
              <w:left w:val="nil"/>
              <w:bottom w:val="single" w:sz="8" w:space="0" w:color="auto"/>
              <w:right w:val="single" w:sz="8" w:space="0" w:color="auto"/>
            </w:tcBorders>
            <w:shd w:val="clear" w:color="auto" w:fill="auto"/>
            <w:vAlign w:val="center"/>
            <w:hideMark/>
          </w:tcPr>
          <w:p w14:paraId="1EE61464"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383.621.472</w:t>
            </w:r>
          </w:p>
        </w:tc>
      </w:tr>
      <w:tr w:rsidR="006759FE" w:rsidRPr="006759FE" w14:paraId="474B6DD5" w14:textId="77777777" w:rsidTr="00C57B56">
        <w:trPr>
          <w:trHeight w:val="315"/>
        </w:trPr>
        <w:tc>
          <w:tcPr>
            <w:tcW w:w="397" w:type="pct"/>
            <w:gridSpan w:val="2"/>
            <w:vMerge/>
            <w:tcBorders>
              <w:top w:val="single" w:sz="8" w:space="0" w:color="auto"/>
              <w:left w:val="single" w:sz="8" w:space="0" w:color="auto"/>
              <w:bottom w:val="nil"/>
              <w:right w:val="single" w:sz="8" w:space="0" w:color="000000"/>
            </w:tcBorders>
            <w:vAlign w:val="center"/>
            <w:hideMark/>
          </w:tcPr>
          <w:p w14:paraId="1F77EB27" w14:textId="77777777" w:rsidR="004C52FF" w:rsidRPr="00C57B56" w:rsidRDefault="004C52FF" w:rsidP="004C52FF">
            <w:pPr>
              <w:widowControl w:val="0"/>
              <w:suppressAutoHyphens w:val="0"/>
              <w:autoSpaceDE w:val="0"/>
              <w:spacing w:after="0" w:line="240" w:lineRule="auto"/>
              <w:rPr>
                <w:rFonts w:cs="Arial"/>
                <w:color w:val="000000"/>
                <w:sz w:val="14"/>
                <w:szCs w:val="14"/>
              </w:rPr>
            </w:pPr>
          </w:p>
        </w:tc>
        <w:tc>
          <w:tcPr>
            <w:tcW w:w="407" w:type="pct"/>
            <w:tcBorders>
              <w:top w:val="nil"/>
              <w:left w:val="nil"/>
              <w:bottom w:val="single" w:sz="8" w:space="0" w:color="auto"/>
              <w:right w:val="single" w:sz="8" w:space="0" w:color="auto"/>
            </w:tcBorders>
            <w:shd w:val="clear" w:color="auto" w:fill="auto"/>
            <w:vAlign w:val="center"/>
            <w:hideMark/>
          </w:tcPr>
          <w:p w14:paraId="5684F030" w14:textId="77777777" w:rsidR="004C52FF" w:rsidRPr="00C57B56" w:rsidRDefault="004C52FF" w:rsidP="004C52FF">
            <w:pPr>
              <w:widowControl w:val="0"/>
              <w:suppressAutoHyphens w:val="0"/>
              <w:autoSpaceDE w:val="0"/>
              <w:spacing w:after="0" w:line="240" w:lineRule="auto"/>
              <w:rPr>
                <w:rFonts w:cs="Arial"/>
                <w:color w:val="000000"/>
                <w:sz w:val="14"/>
                <w:szCs w:val="14"/>
              </w:rPr>
            </w:pPr>
            <w:r w:rsidRPr="00C57B56">
              <w:rPr>
                <w:rFonts w:cs="Arial"/>
                <w:color w:val="000000"/>
                <w:sz w:val="14"/>
                <w:szCs w:val="14"/>
              </w:rPr>
              <w:t>Manj razvite regije</w:t>
            </w:r>
          </w:p>
        </w:tc>
        <w:tc>
          <w:tcPr>
            <w:tcW w:w="213" w:type="pct"/>
            <w:tcBorders>
              <w:top w:val="nil"/>
              <w:left w:val="nil"/>
              <w:bottom w:val="single" w:sz="8" w:space="0" w:color="auto"/>
              <w:right w:val="single" w:sz="8" w:space="0" w:color="auto"/>
            </w:tcBorders>
            <w:shd w:val="clear" w:color="auto" w:fill="auto"/>
            <w:vAlign w:val="center"/>
            <w:hideMark/>
          </w:tcPr>
          <w:p w14:paraId="44FF440B"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 0</w:t>
            </w:r>
          </w:p>
        </w:tc>
        <w:tc>
          <w:tcPr>
            <w:tcW w:w="433" w:type="pct"/>
            <w:tcBorders>
              <w:top w:val="nil"/>
              <w:left w:val="nil"/>
              <w:bottom w:val="single" w:sz="8" w:space="0" w:color="auto"/>
              <w:right w:val="single" w:sz="8" w:space="0" w:color="auto"/>
            </w:tcBorders>
            <w:shd w:val="clear" w:color="auto" w:fill="auto"/>
            <w:vAlign w:val="center"/>
            <w:hideMark/>
          </w:tcPr>
          <w:p w14:paraId="0FE23556"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223.212.956</w:t>
            </w:r>
          </w:p>
        </w:tc>
        <w:tc>
          <w:tcPr>
            <w:tcW w:w="436" w:type="pct"/>
            <w:tcBorders>
              <w:top w:val="nil"/>
              <w:left w:val="nil"/>
              <w:bottom w:val="single" w:sz="8" w:space="0" w:color="auto"/>
              <w:right w:val="single" w:sz="8" w:space="0" w:color="auto"/>
            </w:tcBorders>
            <w:shd w:val="clear" w:color="auto" w:fill="auto"/>
            <w:vAlign w:val="center"/>
            <w:hideMark/>
          </w:tcPr>
          <w:p w14:paraId="7424E7D3"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226.426.485</w:t>
            </w:r>
          </w:p>
        </w:tc>
        <w:tc>
          <w:tcPr>
            <w:tcW w:w="436" w:type="pct"/>
            <w:tcBorders>
              <w:top w:val="nil"/>
              <w:left w:val="nil"/>
              <w:bottom w:val="single" w:sz="8" w:space="0" w:color="auto"/>
              <w:right w:val="single" w:sz="8" w:space="0" w:color="auto"/>
            </w:tcBorders>
            <w:shd w:val="clear" w:color="auto" w:fill="auto"/>
            <w:vAlign w:val="center"/>
            <w:hideMark/>
          </w:tcPr>
          <w:p w14:paraId="46DE83B6"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206.216.785</w:t>
            </w:r>
          </w:p>
        </w:tc>
        <w:tc>
          <w:tcPr>
            <w:tcW w:w="436" w:type="pct"/>
            <w:tcBorders>
              <w:top w:val="nil"/>
              <w:left w:val="nil"/>
              <w:bottom w:val="single" w:sz="8" w:space="0" w:color="auto"/>
              <w:right w:val="single" w:sz="8" w:space="0" w:color="auto"/>
            </w:tcBorders>
            <w:shd w:val="clear" w:color="auto" w:fill="auto"/>
            <w:vAlign w:val="center"/>
            <w:hideMark/>
          </w:tcPr>
          <w:p w14:paraId="616FB2E9"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209.557.165</w:t>
            </w:r>
          </w:p>
        </w:tc>
        <w:tc>
          <w:tcPr>
            <w:tcW w:w="436" w:type="pct"/>
            <w:tcBorders>
              <w:top w:val="nil"/>
              <w:left w:val="nil"/>
              <w:bottom w:val="single" w:sz="8" w:space="0" w:color="auto"/>
              <w:right w:val="single" w:sz="8" w:space="0" w:color="auto"/>
            </w:tcBorders>
            <w:shd w:val="clear" w:color="auto" w:fill="auto"/>
            <w:vAlign w:val="center"/>
            <w:hideMark/>
          </w:tcPr>
          <w:p w14:paraId="152F6DAA"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86.823.679</w:t>
            </w:r>
          </w:p>
        </w:tc>
        <w:tc>
          <w:tcPr>
            <w:tcW w:w="438" w:type="pct"/>
            <w:tcBorders>
              <w:top w:val="nil"/>
              <w:left w:val="nil"/>
              <w:bottom w:val="single" w:sz="8" w:space="0" w:color="auto"/>
              <w:right w:val="single" w:sz="8" w:space="0" w:color="auto"/>
            </w:tcBorders>
            <w:shd w:val="clear" w:color="auto" w:fill="auto"/>
            <w:vAlign w:val="center"/>
            <w:hideMark/>
          </w:tcPr>
          <w:p w14:paraId="578EBE24"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86.823.679</w:t>
            </w:r>
          </w:p>
        </w:tc>
        <w:tc>
          <w:tcPr>
            <w:tcW w:w="436" w:type="pct"/>
            <w:tcBorders>
              <w:top w:val="nil"/>
              <w:left w:val="nil"/>
              <w:bottom w:val="single" w:sz="8" w:space="0" w:color="auto"/>
              <w:right w:val="single" w:sz="8" w:space="0" w:color="auto"/>
            </w:tcBorders>
            <w:shd w:val="clear" w:color="auto" w:fill="auto"/>
            <w:vAlign w:val="center"/>
            <w:hideMark/>
          </w:tcPr>
          <w:p w14:paraId="1A214B70"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88.551.541</w:t>
            </w:r>
          </w:p>
        </w:tc>
        <w:tc>
          <w:tcPr>
            <w:tcW w:w="438" w:type="pct"/>
            <w:tcBorders>
              <w:top w:val="nil"/>
              <w:left w:val="nil"/>
              <w:bottom w:val="single" w:sz="8" w:space="0" w:color="auto"/>
              <w:right w:val="single" w:sz="8" w:space="0" w:color="auto"/>
            </w:tcBorders>
            <w:shd w:val="clear" w:color="auto" w:fill="auto"/>
            <w:vAlign w:val="center"/>
            <w:hideMark/>
          </w:tcPr>
          <w:p w14:paraId="0A57D1CC"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88.551.540</w:t>
            </w:r>
          </w:p>
        </w:tc>
        <w:tc>
          <w:tcPr>
            <w:tcW w:w="494" w:type="pct"/>
            <w:tcBorders>
              <w:top w:val="nil"/>
              <w:left w:val="nil"/>
              <w:bottom w:val="single" w:sz="8" w:space="0" w:color="auto"/>
              <w:right w:val="single" w:sz="8" w:space="0" w:color="auto"/>
            </w:tcBorders>
            <w:shd w:val="clear" w:color="auto" w:fill="auto"/>
            <w:vAlign w:val="center"/>
            <w:hideMark/>
          </w:tcPr>
          <w:p w14:paraId="661824DF"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1.216.163.830</w:t>
            </w:r>
          </w:p>
        </w:tc>
      </w:tr>
      <w:tr w:rsidR="006759FE" w:rsidRPr="006759FE" w14:paraId="4123240F" w14:textId="77777777" w:rsidTr="00C57B56">
        <w:trPr>
          <w:trHeight w:val="315"/>
        </w:trPr>
        <w:tc>
          <w:tcPr>
            <w:tcW w:w="803"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33C150A8" w14:textId="77777777" w:rsidR="004C52FF" w:rsidRPr="00C57B56" w:rsidRDefault="004C52FF" w:rsidP="004C52FF">
            <w:pPr>
              <w:widowControl w:val="0"/>
              <w:suppressAutoHyphens w:val="0"/>
              <w:autoSpaceDE w:val="0"/>
              <w:spacing w:after="0" w:line="240" w:lineRule="auto"/>
              <w:rPr>
                <w:rFonts w:cs="Arial"/>
                <w:color w:val="000000"/>
                <w:sz w:val="14"/>
                <w:szCs w:val="14"/>
              </w:rPr>
            </w:pPr>
            <w:r w:rsidRPr="00C57B56">
              <w:rPr>
                <w:rFonts w:cs="Arial"/>
                <w:color w:val="000000"/>
                <w:sz w:val="14"/>
                <w:szCs w:val="14"/>
              </w:rPr>
              <w:t>Skupaj</w:t>
            </w:r>
          </w:p>
        </w:tc>
        <w:tc>
          <w:tcPr>
            <w:tcW w:w="213" w:type="pct"/>
            <w:tcBorders>
              <w:top w:val="nil"/>
              <w:left w:val="nil"/>
              <w:bottom w:val="single" w:sz="8" w:space="0" w:color="auto"/>
              <w:right w:val="single" w:sz="8" w:space="0" w:color="auto"/>
            </w:tcBorders>
            <w:shd w:val="clear" w:color="auto" w:fill="auto"/>
            <w:noWrap/>
            <w:vAlign w:val="center"/>
            <w:hideMark/>
          </w:tcPr>
          <w:p w14:paraId="1A40136D"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 0</w:t>
            </w:r>
          </w:p>
        </w:tc>
        <w:tc>
          <w:tcPr>
            <w:tcW w:w="433" w:type="pct"/>
            <w:tcBorders>
              <w:top w:val="nil"/>
              <w:left w:val="nil"/>
              <w:bottom w:val="single" w:sz="8" w:space="0" w:color="auto"/>
              <w:right w:val="single" w:sz="8" w:space="0" w:color="auto"/>
            </w:tcBorders>
            <w:shd w:val="clear" w:color="auto" w:fill="auto"/>
            <w:noWrap/>
            <w:vAlign w:val="center"/>
            <w:hideMark/>
          </w:tcPr>
          <w:p w14:paraId="273600A2"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293.621.088</w:t>
            </w:r>
          </w:p>
        </w:tc>
        <w:tc>
          <w:tcPr>
            <w:tcW w:w="436" w:type="pct"/>
            <w:tcBorders>
              <w:top w:val="nil"/>
              <w:left w:val="nil"/>
              <w:bottom w:val="single" w:sz="8" w:space="0" w:color="auto"/>
              <w:right w:val="single" w:sz="8" w:space="0" w:color="auto"/>
            </w:tcBorders>
            <w:shd w:val="clear" w:color="auto" w:fill="auto"/>
            <w:noWrap/>
            <w:vAlign w:val="center"/>
            <w:hideMark/>
          </w:tcPr>
          <w:p w14:paraId="5DC31DFE"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297.848.167</w:t>
            </w:r>
          </w:p>
        </w:tc>
        <w:tc>
          <w:tcPr>
            <w:tcW w:w="436" w:type="pct"/>
            <w:tcBorders>
              <w:top w:val="nil"/>
              <w:left w:val="nil"/>
              <w:bottom w:val="single" w:sz="8" w:space="0" w:color="auto"/>
              <w:right w:val="single" w:sz="8" w:space="0" w:color="auto"/>
            </w:tcBorders>
            <w:shd w:val="clear" w:color="auto" w:fill="auto"/>
            <w:noWrap/>
            <w:vAlign w:val="center"/>
            <w:hideMark/>
          </w:tcPr>
          <w:p w14:paraId="21627CA1"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271.261.695</w:t>
            </w:r>
          </w:p>
        </w:tc>
        <w:tc>
          <w:tcPr>
            <w:tcW w:w="436" w:type="pct"/>
            <w:tcBorders>
              <w:top w:val="nil"/>
              <w:left w:val="nil"/>
              <w:bottom w:val="single" w:sz="8" w:space="0" w:color="auto"/>
              <w:right w:val="single" w:sz="8" w:space="0" w:color="auto"/>
            </w:tcBorders>
            <w:shd w:val="clear" w:color="auto" w:fill="auto"/>
            <w:noWrap/>
            <w:vAlign w:val="center"/>
            <w:hideMark/>
          </w:tcPr>
          <w:p w14:paraId="5A5400C8"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275.656.850</w:t>
            </w:r>
          </w:p>
        </w:tc>
        <w:tc>
          <w:tcPr>
            <w:tcW w:w="436" w:type="pct"/>
            <w:tcBorders>
              <w:top w:val="nil"/>
              <w:left w:val="nil"/>
              <w:bottom w:val="single" w:sz="8" w:space="0" w:color="auto"/>
              <w:right w:val="single" w:sz="8" w:space="0" w:color="auto"/>
            </w:tcBorders>
            <w:shd w:val="clear" w:color="auto" w:fill="auto"/>
            <w:noWrap/>
            <w:vAlign w:val="center"/>
            <w:hideMark/>
          </w:tcPr>
          <w:p w14:paraId="63AEDFC1"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114.211.096</w:t>
            </w:r>
          </w:p>
        </w:tc>
        <w:tc>
          <w:tcPr>
            <w:tcW w:w="438" w:type="pct"/>
            <w:tcBorders>
              <w:top w:val="nil"/>
              <w:left w:val="nil"/>
              <w:bottom w:val="single" w:sz="8" w:space="0" w:color="auto"/>
              <w:right w:val="single" w:sz="8" w:space="0" w:color="auto"/>
            </w:tcBorders>
            <w:shd w:val="clear" w:color="auto" w:fill="auto"/>
            <w:noWrap/>
            <w:vAlign w:val="center"/>
            <w:hideMark/>
          </w:tcPr>
          <w:p w14:paraId="46CAECEB"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114.211.096</w:t>
            </w:r>
          </w:p>
        </w:tc>
        <w:tc>
          <w:tcPr>
            <w:tcW w:w="436" w:type="pct"/>
            <w:tcBorders>
              <w:top w:val="nil"/>
              <w:left w:val="nil"/>
              <w:bottom w:val="single" w:sz="8" w:space="0" w:color="auto"/>
              <w:right w:val="single" w:sz="8" w:space="0" w:color="auto"/>
            </w:tcBorders>
            <w:shd w:val="clear" w:color="auto" w:fill="auto"/>
            <w:noWrap/>
            <w:vAlign w:val="center"/>
            <w:hideMark/>
          </w:tcPr>
          <w:p w14:paraId="71EFCC3C"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116.487.655</w:t>
            </w:r>
          </w:p>
        </w:tc>
        <w:tc>
          <w:tcPr>
            <w:tcW w:w="438" w:type="pct"/>
            <w:tcBorders>
              <w:top w:val="nil"/>
              <w:left w:val="nil"/>
              <w:bottom w:val="single" w:sz="8" w:space="0" w:color="auto"/>
              <w:right w:val="single" w:sz="8" w:space="0" w:color="auto"/>
            </w:tcBorders>
            <w:shd w:val="clear" w:color="auto" w:fill="auto"/>
            <w:noWrap/>
            <w:vAlign w:val="center"/>
            <w:hideMark/>
          </w:tcPr>
          <w:p w14:paraId="177B03F9"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116.487.655</w:t>
            </w:r>
          </w:p>
        </w:tc>
        <w:tc>
          <w:tcPr>
            <w:tcW w:w="494" w:type="pct"/>
            <w:tcBorders>
              <w:top w:val="nil"/>
              <w:left w:val="nil"/>
              <w:bottom w:val="single" w:sz="8" w:space="0" w:color="auto"/>
              <w:right w:val="single" w:sz="8" w:space="0" w:color="auto"/>
            </w:tcBorders>
            <w:shd w:val="clear" w:color="auto" w:fill="auto"/>
            <w:noWrap/>
            <w:vAlign w:val="center"/>
            <w:hideMark/>
          </w:tcPr>
          <w:p w14:paraId="655429C4"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1.599.785.302</w:t>
            </w:r>
          </w:p>
        </w:tc>
      </w:tr>
      <w:tr w:rsidR="006759FE" w:rsidRPr="006759FE" w14:paraId="4EABF841" w14:textId="77777777" w:rsidTr="00C57B56">
        <w:trPr>
          <w:trHeight w:val="315"/>
        </w:trPr>
        <w:tc>
          <w:tcPr>
            <w:tcW w:w="397" w:type="pct"/>
            <w:gridSpan w:val="2"/>
            <w:vMerge w:val="restart"/>
            <w:tcBorders>
              <w:top w:val="single" w:sz="8" w:space="0" w:color="auto"/>
              <w:left w:val="single" w:sz="8" w:space="0" w:color="auto"/>
              <w:bottom w:val="nil"/>
              <w:right w:val="single" w:sz="8" w:space="0" w:color="000000"/>
            </w:tcBorders>
            <w:shd w:val="clear" w:color="auto" w:fill="auto"/>
            <w:vAlign w:val="center"/>
            <w:hideMark/>
          </w:tcPr>
          <w:p w14:paraId="0A870BE2" w14:textId="77777777" w:rsidR="004C52FF" w:rsidRPr="00C57B56" w:rsidRDefault="004C52FF" w:rsidP="004C52FF">
            <w:pPr>
              <w:widowControl w:val="0"/>
              <w:suppressAutoHyphens w:val="0"/>
              <w:autoSpaceDE w:val="0"/>
              <w:spacing w:after="0" w:line="240" w:lineRule="auto"/>
              <w:rPr>
                <w:rFonts w:cs="Arial"/>
                <w:color w:val="000000"/>
                <w:sz w:val="14"/>
                <w:szCs w:val="14"/>
              </w:rPr>
            </w:pPr>
            <w:r w:rsidRPr="00C57B56">
              <w:rPr>
                <w:rFonts w:cs="Arial"/>
                <w:color w:val="000000"/>
                <w:sz w:val="14"/>
                <w:szCs w:val="14"/>
              </w:rPr>
              <w:t>ESS</w:t>
            </w:r>
          </w:p>
        </w:tc>
        <w:tc>
          <w:tcPr>
            <w:tcW w:w="407" w:type="pct"/>
            <w:tcBorders>
              <w:top w:val="nil"/>
              <w:left w:val="nil"/>
              <w:bottom w:val="single" w:sz="8" w:space="0" w:color="auto"/>
              <w:right w:val="single" w:sz="8" w:space="0" w:color="auto"/>
            </w:tcBorders>
            <w:shd w:val="clear" w:color="auto" w:fill="auto"/>
            <w:vAlign w:val="center"/>
            <w:hideMark/>
          </w:tcPr>
          <w:p w14:paraId="79DF826A" w14:textId="77777777" w:rsidR="004C52FF" w:rsidRPr="00C57B56" w:rsidRDefault="004C52FF" w:rsidP="004C52FF">
            <w:pPr>
              <w:widowControl w:val="0"/>
              <w:suppressAutoHyphens w:val="0"/>
              <w:autoSpaceDE w:val="0"/>
              <w:spacing w:after="0" w:line="240" w:lineRule="auto"/>
              <w:rPr>
                <w:rFonts w:cs="Arial"/>
                <w:color w:val="000000"/>
                <w:sz w:val="14"/>
                <w:szCs w:val="14"/>
              </w:rPr>
            </w:pPr>
            <w:r w:rsidRPr="00C57B56">
              <w:rPr>
                <w:rFonts w:cs="Arial"/>
                <w:color w:val="000000"/>
                <w:sz w:val="14"/>
                <w:szCs w:val="14"/>
              </w:rPr>
              <w:t>Bolj razvite regije</w:t>
            </w:r>
          </w:p>
        </w:tc>
        <w:tc>
          <w:tcPr>
            <w:tcW w:w="213" w:type="pct"/>
            <w:tcBorders>
              <w:top w:val="nil"/>
              <w:left w:val="nil"/>
              <w:bottom w:val="single" w:sz="8" w:space="0" w:color="auto"/>
              <w:right w:val="single" w:sz="8" w:space="0" w:color="auto"/>
            </w:tcBorders>
            <w:shd w:val="clear" w:color="auto" w:fill="auto"/>
            <w:vAlign w:val="center"/>
            <w:hideMark/>
          </w:tcPr>
          <w:p w14:paraId="0E9B07E2"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 0</w:t>
            </w:r>
          </w:p>
        </w:tc>
        <w:tc>
          <w:tcPr>
            <w:tcW w:w="433" w:type="pct"/>
            <w:tcBorders>
              <w:top w:val="nil"/>
              <w:left w:val="nil"/>
              <w:bottom w:val="single" w:sz="8" w:space="0" w:color="auto"/>
              <w:right w:val="single" w:sz="8" w:space="0" w:color="auto"/>
            </w:tcBorders>
            <w:shd w:val="clear" w:color="auto" w:fill="auto"/>
            <w:vAlign w:val="center"/>
            <w:hideMark/>
          </w:tcPr>
          <w:p w14:paraId="6C8A27D0"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20.415.639</w:t>
            </w:r>
          </w:p>
        </w:tc>
        <w:tc>
          <w:tcPr>
            <w:tcW w:w="436" w:type="pct"/>
            <w:tcBorders>
              <w:top w:val="nil"/>
              <w:left w:val="nil"/>
              <w:bottom w:val="single" w:sz="8" w:space="0" w:color="auto"/>
              <w:right w:val="single" w:sz="8" w:space="0" w:color="auto"/>
            </w:tcBorders>
            <w:shd w:val="clear" w:color="auto" w:fill="auto"/>
            <w:vAlign w:val="center"/>
            <w:hideMark/>
          </w:tcPr>
          <w:p w14:paraId="0B26580B"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20.894.675</w:t>
            </w:r>
          </w:p>
        </w:tc>
        <w:tc>
          <w:tcPr>
            <w:tcW w:w="436" w:type="pct"/>
            <w:tcBorders>
              <w:top w:val="nil"/>
              <w:left w:val="nil"/>
              <w:bottom w:val="single" w:sz="8" w:space="0" w:color="auto"/>
              <w:right w:val="single" w:sz="8" w:space="0" w:color="auto"/>
            </w:tcBorders>
            <w:shd w:val="clear" w:color="auto" w:fill="auto"/>
            <w:vAlign w:val="center"/>
            <w:hideMark/>
          </w:tcPr>
          <w:p w14:paraId="590C4CAD"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28.794.253</w:t>
            </w:r>
          </w:p>
        </w:tc>
        <w:tc>
          <w:tcPr>
            <w:tcW w:w="436" w:type="pct"/>
            <w:tcBorders>
              <w:top w:val="nil"/>
              <w:left w:val="nil"/>
              <w:bottom w:val="single" w:sz="8" w:space="0" w:color="auto"/>
              <w:right w:val="single" w:sz="8" w:space="0" w:color="auto"/>
            </w:tcBorders>
            <w:shd w:val="clear" w:color="auto" w:fill="auto"/>
            <w:vAlign w:val="center"/>
            <w:hideMark/>
          </w:tcPr>
          <w:p w14:paraId="47E668E8"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29.292.738</w:t>
            </w:r>
          </w:p>
        </w:tc>
        <w:tc>
          <w:tcPr>
            <w:tcW w:w="436" w:type="pct"/>
            <w:tcBorders>
              <w:top w:val="nil"/>
              <w:left w:val="nil"/>
              <w:bottom w:val="single" w:sz="8" w:space="0" w:color="auto"/>
              <w:right w:val="single" w:sz="8" w:space="0" w:color="auto"/>
            </w:tcBorders>
            <w:shd w:val="clear" w:color="auto" w:fill="auto"/>
            <w:vAlign w:val="center"/>
            <w:hideMark/>
          </w:tcPr>
          <w:p w14:paraId="6D5360DF"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11.968.911</w:t>
            </w:r>
          </w:p>
        </w:tc>
        <w:tc>
          <w:tcPr>
            <w:tcW w:w="438" w:type="pct"/>
            <w:tcBorders>
              <w:top w:val="nil"/>
              <w:left w:val="nil"/>
              <w:bottom w:val="single" w:sz="8" w:space="0" w:color="auto"/>
              <w:right w:val="single" w:sz="8" w:space="0" w:color="auto"/>
            </w:tcBorders>
            <w:shd w:val="clear" w:color="auto" w:fill="auto"/>
            <w:vAlign w:val="center"/>
            <w:hideMark/>
          </w:tcPr>
          <w:p w14:paraId="32B84DFD"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11.968.910</w:t>
            </w:r>
          </w:p>
        </w:tc>
        <w:tc>
          <w:tcPr>
            <w:tcW w:w="436" w:type="pct"/>
            <w:tcBorders>
              <w:top w:val="nil"/>
              <w:left w:val="nil"/>
              <w:bottom w:val="single" w:sz="8" w:space="0" w:color="auto"/>
              <w:right w:val="single" w:sz="8" w:space="0" w:color="auto"/>
            </w:tcBorders>
            <w:shd w:val="clear" w:color="auto" w:fill="auto"/>
            <w:vAlign w:val="center"/>
            <w:hideMark/>
          </w:tcPr>
          <w:p w14:paraId="6394A9DE"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12.228.224</w:t>
            </w:r>
          </w:p>
        </w:tc>
        <w:tc>
          <w:tcPr>
            <w:tcW w:w="438" w:type="pct"/>
            <w:tcBorders>
              <w:top w:val="nil"/>
              <w:left w:val="nil"/>
              <w:bottom w:val="single" w:sz="8" w:space="0" w:color="auto"/>
              <w:right w:val="single" w:sz="8" w:space="0" w:color="auto"/>
            </w:tcBorders>
            <w:shd w:val="clear" w:color="auto" w:fill="auto"/>
            <w:vAlign w:val="center"/>
            <w:hideMark/>
          </w:tcPr>
          <w:p w14:paraId="59458403"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12.228.224</w:t>
            </w:r>
          </w:p>
        </w:tc>
        <w:tc>
          <w:tcPr>
            <w:tcW w:w="494" w:type="pct"/>
            <w:tcBorders>
              <w:top w:val="nil"/>
              <w:left w:val="nil"/>
              <w:bottom w:val="single" w:sz="8" w:space="0" w:color="auto"/>
              <w:right w:val="single" w:sz="8" w:space="0" w:color="auto"/>
            </w:tcBorders>
            <w:shd w:val="clear" w:color="auto" w:fill="auto"/>
            <w:vAlign w:val="center"/>
            <w:hideMark/>
          </w:tcPr>
          <w:p w14:paraId="5AE6432D"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147.791.574</w:t>
            </w:r>
          </w:p>
        </w:tc>
      </w:tr>
      <w:tr w:rsidR="006759FE" w:rsidRPr="006759FE" w14:paraId="2EBEF470" w14:textId="77777777" w:rsidTr="00C57B56">
        <w:trPr>
          <w:trHeight w:val="315"/>
        </w:trPr>
        <w:tc>
          <w:tcPr>
            <w:tcW w:w="397" w:type="pct"/>
            <w:gridSpan w:val="2"/>
            <w:vMerge/>
            <w:tcBorders>
              <w:top w:val="single" w:sz="8" w:space="0" w:color="auto"/>
              <w:left w:val="single" w:sz="8" w:space="0" w:color="auto"/>
              <w:bottom w:val="nil"/>
              <w:right w:val="single" w:sz="8" w:space="0" w:color="000000"/>
            </w:tcBorders>
            <w:vAlign w:val="center"/>
            <w:hideMark/>
          </w:tcPr>
          <w:p w14:paraId="365FA676" w14:textId="77777777" w:rsidR="004C52FF" w:rsidRPr="00C57B56" w:rsidRDefault="004C52FF" w:rsidP="004C52FF">
            <w:pPr>
              <w:widowControl w:val="0"/>
              <w:suppressAutoHyphens w:val="0"/>
              <w:autoSpaceDE w:val="0"/>
              <w:spacing w:after="0" w:line="240" w:lineRule="auto"/>
              <w:rPr>
                <w:rFonts w:cs="Arial"/>
                <w:color w:val="000000"/>
                <w:sz w:val="14"/>
                <w:szCs w:val="14"/>
              </w:rPr>
            </w:pPr>
          </w:p>
        </w:tc>
        <w:tc>
          <w:tcPr>
            <w:tcW w:w="407" w:type="pct"/>
            <w:tcBorders>
              <w:top w:val="nil"/>
              <w:left w:val="nil"/>
              <w:bottom w:val="single" w:sz="8" w:space="0" w:color="auto"/>
              <w:right w:val="single" w:sz="8" w:space="0" w:color="auto"/>
            </w:tcBorders>
            <w:shd w:val="clear" w:color="auto" w:fill="auto"/>
            <w:vAlign w:val="center"/>
            <w:hideMark/>
          </w:tcPr>
          <w:p w14:paraId="0E81D656" w14:textId="77777777" w:rsidR="004C52FF" w:rsidRPr="00C57B56" w:rsidRDefault="004C52FF" w:rsidP="004C52FF">
            <w:pPr>
              <w:widowControl w:val="0"/>
              <w:suppressAutoHyphens w:val="0"/>
              <w:autoSpaceDE w:val="0"/>
              <w:spacing w:after="0" w:line="240" w:lineRule="auto"/>
              <w:rPr>
                <w:rFonts w:cs="Arial"/>
                <w:color w:val="000000"/>
                <w:sz w:val="14"/>
                <w:szCs w:val="14"/>
              </w:rPr>
            </w:pPr>
            <w:r w:rsidRPr="00C57B56">
              <w:rPr>
                <w:rFonts w:cs="Arial"/>
                <w:color w:val="000000"/>
                <w:sz w:val="14"/>
                <w:szCs w:val="14"/>
              </w:rPr>
              <w:t>Manj razvite regije</w:t>
            </w:r>
          </w:p>
        </w:tc>
        <w:tc>
          <w:tcPr>
            <w:tcW w:w="213" w:type="pct"/>
            <w:tcBorders>
              <w:top w:val="nil"/>
              <w:left w:val="nil"/>
              <w:bottom w:val="single" w:sz="8" w:space="0" w:color="auto"/>
              <w:right w:val="single" w:sz="8" w:space="0" w:color="auto"/>
            </w:tcBorders>
            <w:shd w:val="clear" w:color="auto" w:fill="auto"/>
            <w:vAlign w:val="center"/>
            <w:hideMark/>
          </w:tcPr>
          <w:p w14:paraId="26085013"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 0</w:t>
            </w:r>
          </w:p>
        </w:tc>
        <w:tc>
          <w:tcPr>
            <w:tcW w:w="433" w:type="pct"/>
            <w:tcBorders>
              <w:top w:val="nil"/>
              <w:left w:val="nil"/>
              <w:bottom w:val="single" w:sz="8" w:space="0" w:color="auto"/>
              <w:right w:val="single" w:sz="8" w:space="0" w:color="auto"/>
            </w:tcBorders>
            <w:shd w:val="clear" w:color="auto" w:fill="auto"/>
            <w:vAlign w:val="center"/>
            <w:hideMark/>
          </w:tcPr>
          <w:p w14:paraId="27F4B089"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67.995.674</w:t>
            </w:r>
          </w:p>
        </w:tc>
        <w:tc>
          <w:tcPr>
            <w:tcW w:w="436" w:type="pct"/>
            <w:tcBorders>
              <w:top w:val="nil"/>
              <w:left w:val="nil"/>
              <w:bottom w:val="single" w:sz="8" w:space="0" w:color="auto"/>
              <w:right w:val="single" w:sz="8" w:space="0" w:color="auto"/>
            </w:tcBorders>
            <w:shd w:val="clear" w:color="auto" w:fill="auto"/>
            <w:vAlign w:val="center"/>
            <w:hideMark/>
          </w:tcPr>
          <w:p w14:paraId="7125441E"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69.514.319</w:t>
            </w:r>
          </w:p>
        </w:tc>
        <w:tc>
          <w:tcPr>
            <w:tcW w:w="436" w:type="pct"/>
            <w:tcBorders>
              <w:top w:val="nil"/>
              <w:left w:val="nil"/>
              <w:bottom w:val="single" w:sz="8" w:space="0" w:color="auto"/>
              <w:right w:val="single" w:sz="8" w:space="0" w:color="auto"/>
            </w:tcBorders>
            <w:shd w:val="clear" w:color="auto" w:fill="auto"/>
            <w:vAlign w:val="center"/>
            <w:hideMark/>
          </w:tcPr>
          <w:p w14:paraId="3DB3369F"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94.557.707</w:t>
            </w:r>
          </w:p>
        </w:tc>
        <w:tc>
          <w:tcPr>
            <w:tcW w:w="436" w:type="pct"/>
            <w:tcBorders>
              <w:top w:val="nil"/>
              <w:left w:val="nil"/>
              <w:bottom w:val="single" w:sz="8" w:space="0" w:color="auto"/>
              <w:right w:val="single" w:sz="8" w:space="0" w:color="auto"/>
            </w:tcBorders>
            <w:shd w:val="clear" w:color="auto" w:fill="auto"/>
            <w:vAlign w:val="center"/>
            <w:hideMark/>
          </w:tcPr>
          <w:p w14:paraId="1F435831"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96.138.019</w:t>
            </w:r>
          </w:p>
        </w:tc>
        <w:tc>
          <w:tcPr>
            <w:tcW w:w="436" w:type="pct"/>
            <w:tcBorders>
              <w:top w:val="nil"/>
              <w:left w:val="nil"/>
              <w:bottom w:val="single" w:sz="8" w:space="0" w:color="auto"/>
              <w:right w:val="single" w:sz="8" w:space="0" w:color="auto"/>
            </w:tcBorders>
            <w:shd w:val="clear" w:color="auto" w:fill="auto"/>
            <w:vAlign w:val="center"/>
            <w:hideMark/>
          </w:tcPr>
          <w:p w14:paraId="759B0EE3"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39.580.881</w:t>
            </w:r>
          </w:p>
        </w:tc>
        <w:tc>
          <w:tcPr>
            <w:tcW w:w="438" w:type="pct"/>
            <w:tcBorders>
              <w:top w:val="nil"/>
              <w:left w:val="nil"/>
              <w:bottom w:val="single" w:sz="8" w:space="0" w:color="auto"/>
              <w:right w:val="single" w:sz="8" w:space="0" w:color="auto"/>
            </w:tcBorders>
            <w:shd w:val="clear" w:color="auto" w:fill="auto"/>
            <w:vAlign w:val="center"/>
            <w:hideMark/>
          </w:tcPr>
          <w:p w14:paraId="5897186B"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39.580.881</w:t>
            </w:r>
          </w:p>
        </w:tc>
        <w:tc>
          <w:tcPr>
            <w:tcW w:w="436" w:type="pct"/>
            <w:tcBorders>
              <w:top w:val="nil"/>
              <w:left w:val="nil"/>
              <w:bottom w:val="single" w:sz="8" w:space="0" w:color="auto"/>
              <w:right w:val="single" w:sz="8" w:space="0" w:color="auto"/>
            </w:tcBorders>
            <w:shd w:val="clear" w:color="auto" w:fill="auto"/>
            <w:vAlign w:val="center"/>
            <w:hideMark/>
          </w:tcPr>
          <w:p w14:paraId="3790A7C0"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40.402.970</w:t>
            </w:r>
          </w:p>
        </w:tc>
        <w:tc>
          <w:tcPr>
            <w:tcW w:w="438" w:type="pct"/>
            <w:tcBorders>
              <w:top w:val="nil"/>
              <w:left w:val="nil"/>
              <w:bottom w:val="single" w:sz="8" w:space="0" w:color="auto"/>
              <w:right w:val="single" w:sz="8" w:space="0" w:color="auto"/>
            </w:tcBorders>
            <w:shd w:val="clear" w:color="auto" w:fill="auto"/>
            <w:vAlign w:val="center"/>
            <w:hideMark/>
          </w:tcPr>
          <w:p w14:paraId="43803349"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40.402.970</w:t>
            </w:r>
          </w:p>
        </w:tc>
        <w:tc>
          <w:tcPr>
            <w:tcW w:w="494" w:type="pct"/>
            <w:tcBorders>
              <w:top w:val="nil"/>
              <w:left w:val="nil"/>
              <w:bottom w:val="single" w:sz="8" w:space="0" w:color="auto"/>
              <w:right w:val="single" w:sz="8" w:space="0" w:color="auto"/>
            </w:tcBorders>
            <w:shd w:val="clear" w:color="auto" w:fill="auto"/>
            <w:vAlign w:val="center"/>
            <w:hideMark/>
          </w:tcPr>
          <w:p w14:paraId="283C5CC0"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488.173.421</w:t>
            </w:r>
          </w:p>
        </w:tc>
      </w:tr>
      <w:tr w:rsidR="006759FE" w:rsidRPr="006759FE" w14:paraId="0F057F87" w14:textId="77777777" w:rsidTr="00C57B56">
        <w:trPr>
          <w:trHeight w:val="315"/>
        </w:trPr>
        <w:tc>
          <w:tcPr>
            <w:tcW w:w="803"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EB4397D" w14:textId="77777777" w:rsidR="004C52FF" w:rsidRPr="00C57B56" w:rsidRDefault="004C52FF" w:rsidP="004C52FF">
            <w:pPr>
              <w:widowControl w:val="0"/>
              <w:suppressAutoHyphens w:val="0"/>
              <w:autoSpaceDE w:val="0"/>
              <w:spacing w:after="0" w:line="240" w:lineRule="auto"/>
              <w:rPr>
                <w:rFonts w:cs="Arial"/>
                <w:color w:val="000000"/>
                <w:sz w:val="14"/>
                <w:szCs w:val="14"/>
              </w:rPr>
            </w:pPr>
            <w:r w:rsidRPr="00C57B56">
              <w:rPr>
                <w:rFonts w:cs="Arial"/>
                <w:color w:val="000000"/>
                <w:sz w:val="14"/>
                <w:szCs w:val="14"/>
              </w:rPr>
              <w:t>Skupaj</w:t>
            </w:r>
          </w:p>
        </w:tc>
        <w:tc>
          <w:tcPr>
            <w:tcW w:w="213" w:type="pct"/>
            <w:tcBorders>
              <w:top w:val="nil"/>
              <w:left w:val="nil"/>
              <w:bottom w:val="single" w:sz="8" w:space="0" w:color="auto"/>
              <w:right w:val="single" w:sz="8" w:space="0" w:color="auto"/>
            </w:tcBorders>
            <w:shd w:val="clear" w:color="auto" w:fill="auto"/>
            <w:noWrap/>
            <w:vAlign w:val="center"/>
            <w:hideMark/>
          </w:tcPr>
          <w:p w14:paraId="130E5138"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 0</w:t>
            </w:r>
          </w:p>
        </w:tc>
        <w:tc>
          <w:tcPr>
            <w:tcW w:w="433" w:type="pct"/>
            <w:tcBorders>
              <w:top w:val="nil"/>
              <w:left w:val="nil"/>
              <w:bottom w:val="single" w:sz="8" w:space="0" w:color="auto"/>
              <w:right w:val="single" w:sz="8" w:space="0" w:color="auto"/>
            </w:tcBorders>
            <w:shd w:val="clear" w:color="auto" w:fill="auto"/>
            <w:noWrap/>
            <w:vAlign w:val="center"/>
            <w:hideMark/>
          </w:tcPr>
          <w:p w14:paraId="274E9EE5"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88.411.313</w:t>
            </w:r>
          </w:p>
        </w:tc>
        <w:tc>
          <w:tcPr>
            <w:tcW w:w="436" w:type="pct"/>
            <w:tcBorders>
              <w:top w:val="nil"/>
              <w:left w:val="nil"/>
              <w:bottom w:val="single" w:sz="8" w:space="0" w:color="auto"/>
              <w:right w:val="single" w:sz="8" w:space="0" w:color="auto"/>
            </w:tcBorders>
            <w:shd w:val="clear" w:color="auto" w:fill="auto"/>
            <w:noWrap/>
            <w:vAlign w:val="center"/>
            <w:hideMark/>
          </w:tcPr>
          <w:p w14:paraId="0E3290F5"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90.408.994</w:t>
            </w:r>
          </w:p>
        </w:tc>
        <w:tc>
          <w:tcPr>
            <w:tcW w:w="436" w:type="pct"/>
            <w:tcBorders>
              <w:top w:val="nil"/>
              <w:left w:val="nil"/>
              <w:bottom w:val="single" w:sz="8" w:space="0" w:color="auto"/>
              <w:right w:val="single" w:sz="8" w:space="0" w:color="auto"/>
            </w:tcBorders>
            <w:shd w:val="clear" w:color="auto" w:fill="auto"/>
            <w:noWrap/>
            <w:vAlign w:val="center"/>
            <w:hideMark/>
          </w:tcPr>
          <w:p w14:paraId="44EFD1B5"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123.351.960</w:t>
            </w:r>
          </w:p>
        </w:tc>
        <w:tc>
          <w:tcPr>
            <w:tcW w:w="436" w:type="pct"/>
            <w:tcBorders>
              <w:top w:val="nil"/>
              <w:left w:val="nil"/>
              <w:bottom w:val="single" w:sz="8" w:space="0" w:color="auto"/>
              <w:right w:val="single" w:sz="8" w:space="0" w:color="auto"/>
            </w:tcBorders>
            <w:shd w:val="clear" w:color="auto" w:fill="auto"/>
            <w:noWrap/>
            <w:vAlign w:val="center"/>
            <w:hideMark/>
          </w:tcPr>
          <w:p w14:paraId="3F4CEA44"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125.430.757</w:t>
            </w:r>
          </w:p>
        </w:tc>
        <w:tc>
          <w:tcPr>
            <w:tcW w:w="436" w:type="pct"/>
            <w:tcBorders>
              <w:top w:val="nil"/>
              <w:left w:val="nil"/>
              <w:bottom w:val="single" w:sz="8" w:space="0" w:color="auto"/>
              <w:right w:val="single" w:sz="8" w:space="0" w:color="auto"/>
            </w:tcBorders>
            <w:shd w:val="clear" w:color="auto" w:fill="auto"/>
            <w:noWrap/>
            <w:vAlign w:val="center"/>
            <w:hideMark/>
          </w:tcPr>
          <w:p w14:paraId="04C4008F"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51.549.792</w:t>
            </w:r>
          </w:p>
        </w:tc>
        <w:tc>
          <w:tcPr>
            <w:tcW w:w="438" w:type="pct"/>
            <w:tcBorders>
              <w:top w:val="nil"/>
              <w:left w:val="nil"/>
              <w:bottom w:val="single" w:sz="8" w:space="0" w:color="auto"/>
              <w:right w:val="single" w:sz="8" w:space="0" w:color="auto"/>
            </w:tcBorders>
            <w:shd w:val="clear" w:color="auto" w:fill="auto"/>
            <w:noWrap/>
            <w:vAlign w:val="center"/>
            <w:hideMark/>
          </w:tcPr>
          <w:p w14:paraId="6E5616DC"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51.549.791</w:t>
            </w:r>
          </w:p>
        </w:tc>
        <w:tc>
          <w:tcPr>
            <w:tcW w:w="436" w:type="pct"/>
            <w:tcBorders>
              <w:top w:val="nil"/>
              <w:left w:val="nil"/>
              <w:bottom w:val="single" w:sz="8" w:space="0" w:color="auto"/>
              <w:right w:val="single" w:sz="8" w:space="0" w:color="auto"/>
            </w:tcBorders>
            <w:shd w:val="clear" w:color="auto" w:fill="auto"/>
            <w:noWrap/>
            <w:vAlign w:val="center"/>
            <w:hideMark/>
          </w:tcPr>
          <w:p w14:paraId="77B7D680"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52.631.194</w:t>
            </w:r>
          </w:p>
        </w:tc>
        <w:tc>
          <w:tcPr>
            <w:tcW w:w="438" w:type="pct"/>
            <w:tcBorders>
              <w:top w:val="nil"/>
              <w:left w:val="nil"/>
              <w:bottom w:val="single" w:sz="8" w:space="0" w:color="auto"/>
              <w:right w:val="single" w:sz="8" w:space="0" w:color="auto"/>
            </w:tcBorders>
            <w:shd w:val="clear" w:color="auto" w:fill="auto"/>
            <w:noWrap/>
            <w:vAlign w:val="center"/>
            <w:hideMark/>
          </w:tcPr>
          <w:p w14:paraId="62ACF1F2"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52.631.194</w:t>
            </w:r>
          </w:p>
        </w:tc>
        <w:tc>
          <w:tcPr>
            <w:tcW w:w="494" w:type="pct"/>
            <w:tcBorders>
              <w:top w:val="nil"/>
              <w:left w:val="nil"/>
              <w:bottom w:val="single" w:sz="8" w:space="0" w:color="auto"/>
              <w:right w:val="single" w:sz="8" w:space="0" w:color="auto"/>
            </w:tcBorders>
            <w:shd w:val="clear" w:color="auto" w:fill="auto"/>
            <w:noWrap/>
            <w:vAlign w:val="center"/>
            <w:hideMark/>
          </w:tcPr>
          <w:p w14:paraId="1FCABE16"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635.964.995</w:t>
            </w:r>
          </w:p>
        </w:tc>
      </w:tr>
      <w:tr w:rsidR="006759FE" w:rsidRPr="006759FE" w14:paraId="445164A0" w14:textId="77777777" w:rsidTr="00C57B56">
        <w:trPr>
          <w:trHeight w:val="73"/>
        </w:trPr>
        <w:tc>
          <w:tcPr>
            <w:tcW w:w="199" w:type="pct"/>
            <w:vMerge w:val="restart"/>
            <w:tcBorders>
              <w:top w:val="nil"/>
              <w:left w:val="single" w:sz="8" w:space="0" w:color="auto"/>
              <w:bottom w:val="nil"/>
              <w:right w:val="single" w:sz="8" w:space="0" w:color="auto"/>
            </w:tcBorders>
            <w:shd w:val="clear" w:color="auto" w:fill="auto"/>
            <w:noWrap/>
            <w:vAlign w:val="center"/>
            <w:hideMark/>
          </w:tcPr>
          <w:p w14:paraId="39FAD333" w14:textId="77777777" w:rsidR="004C52FF" w:rsidRPr="00C57B56" w:rsidRDefault="004C52FF" w:rsidP="004C52FF">
            <w:pPr>
              <w:widowControl w:val="0"/>
              <w:suppressAutoHyphens w:val="0"/>
              <w:autoSpaceDE w:val="0"/>
              <w:spacing w:after="0" w:line="240" w:lineRule="auto"/>
              <w:rPr>
                <w:rFonts w:cs="Arial"/>
                <w:color w:val="000000"/>
                <w:sz w:val="14"/>
                <w:szCs w:val="14"/>
              </w:rPr>
            </w:pPr>
            <w:r w:rsidRPr="00C57B56">
              <w:rPr>
                <w:rFonts w:cs="Arial"/>
                <w:color w:val="000000"/>
                <w:sz w:val="14"/>
                <w:szCs w:val="14"/>
              </w:rPr>
              <w:t>SPP</w:t>
            </w:r>
          </w:p>
        </w:tc>
        <w:tc>
          <w:tcPr>
            <w:tcW w:w="198" w:type="pct"/>
            <w:tcBorders>
              <w:top w:val="nil"/>
              <w:left w:val="nil"/>
              <w:bottom w:val="single" w:sz="8" w:space="0" w:color="auto"/>
              <w:right w:val="single" w:sz="8" w:space="0" w:color="auto"/>
            </w:tcBorders>
            <w:shd w:val="clear" w:color="auto" w:fill="auto"/>
            <w:vAlign w:val="center"/>
            <w:hideMark/>
          </w:tcPr>
          <w:p w14:paraId="66852DAE" w14:textId="77777777" w:rsidR="004C52FF" w:rsidRPr="00C57B56" w:rsidRDefault="004C52FF" w:rsidP="004C52FF">
            <w:pPr>
              <w:widowControl w:val="0"/>
              <w:suppressAutoHyphens w:val="0"/>
              <w:autoSpaceDE w:val="0"/>
              <w:spacing w:after="0" w:line="240" w:lineRule="auto"/>
              <w:rPr>
                <w:rFonts w:cs="Arial"/>
                <w:color w:val="000000"/>
                <w:sz w:val="14"/>
                <w:szCs w:val="14"/>
              </w:rPr>
            </w:pPr>
            <w:r w:rsidRPr="00C57B56">
              <w:rPr>
                <w:rFonts w:cs="Arial"/>
                <w:color w:val="000000"/>
                <w:sz w:val="14"/>
                <w:szCs w:val="14"/>
              </w:rPr>
              <w:t>Sredstva v skladu s členom 3 uredbe o SPP</w:t>
            </w:r>
          </w:p>
        </w:tc>
        <w:tc>
          <w:tcPr>
            <w:tcW w:w="407" w:type="pct"/>
            <w:vMerge w:val="restart"/>
            <w:tcBorders>
              <w:top w:val="nil"/>
              <w:left w:val="single" w:sz="8" w:space="0" w:color="auto"/>
              <w:bottom w:val="nil"/>
              <w:right w:val="single" w:sz="8" w:space="0" w:color="auto"/>
            </w:tcBorders>
            <w:shd w:val="clear" w:color="auto" w:fill="auto"/>
            <w:noWrap/>
            <w:vAlign w:val="center"/>
            <w:hideMark/>
          </w:tcPr>
          <w:p w14:paraId="1E366A78" w14:textId="77777777" w:rsidR="004C52FF" w:rsidRPr="00C57B56" w:rsidRDefault="004C52FF" w:rsidP="004C52FF">
            <w:pPr>
              <w:widowControl w:val="0"/>
              <w:suppressAutoHyphens w:val="0"/>
              <w:autoSpaceDE w:val="0"/>
              <w:spacing w:after="0" w:line="240" w:lineRule="auto"/>
              <w:rPr>
                <w:rFonts w:cs="Arial"/>
                <w:color w:val="000000"/>
                <w:sz w:val="14"/>
                <w:szCs w:val="14"/>
              </w:rPr>
            </w:pPr>
            <w:r w:rsidRPr="00C57B56">
              <w:rPr>
                <w:rFonts w:cs="Arial"/>
                <w:color w:val="000000"/>
                <w:sz w:val="14"/>
                <w:szCs w:val="14"/>
              </w:rPr>
              <w:t> </w:t>
            </w:r>
          </w:p>
        </w:tc>
        <w:tc>
          <w:tcPr>
            <w:tcW w:w="213" w:type="pct"/>
            <w:tcBorders>
              <w:top w:val="nil"/>
              <w:left w:val="nil"/>
              <w:bottom w:val="single" w:sz="8" w:space="0" w:color="auto"/>
              <w:right w:val="single" w:sz="8" w:space="0" w:color="auto"/>
            </w:tcBorders>
            <w:shd w:val="clear" w:color="auto" w:fill="auto"/>
            <w:vAlign w:val="center"/>
            <w:hideMark/>
          </w:tcPr>
          <w:p w14:paraId="289F338B"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 0</w:t>
            </w:r>
          </w:p>
        </w:tc>
        <w:tc>
          <w:tcPr>
            <w:tcW w:w="433" w:type="pct"/>
            <w:tcBorders>
              <w:top w:val="nil"/>
              <w:left w:val="nil"/>
              <w:bottom w:val="single" w:sz="8" w:space="0" w:color="auto"/>
              <w:right w:val="single" w:sz="8" w:space="0" w:color="auto"/>
            </w:tcBorders>
            <w:shd w:val="clear" w:color="auto" w:fill="auto"/>
            <w:vAlign w:val="center"/>
            <w:hideMark/>
          </w:tcPr>
          <w:p w14:paraId="7E892CF1"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19.353.124</w:t>
            </w:r>
          </w:p>
        </w:tc>
        <w:tc>
          <w:tcPr>
            <w:tcW w:w="436" w:type="pct"/>
            <w:tcBorders>
              <w:top w:val="nil"/>
              <w:left w:val="nil"/>
              <w:bottom w:val="single" w:sz="8" w:space="0" w:color="auto"/>
              <w:right w:val="single" w:sz="8" w:space="0" w:color="auto"/>
            </w:tcBorders>
            <w:shd w:val="clear" w:color="auto" w:fill="auto"/>
            <w:vAlign w:val="center"/>
            <w:hideMark/>
          </w:tcPr>
          <w:p w14:paraId="6F8E0465"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19.663.993</w:t>
            </w:r>
          </w:p>
        </w:tc>
        <w:tc>
          <w:tcPr>
            <w:tcW w:w="436" w:type="pct"/>
            <w:tcBorders>
              <w:top w:val="nil"/>
              <w:left w:val="nil"/>
              <w:bottom w:val="single" w:sz="8" w:space="0" w:color="auto"/>
              <w:right w:val="single" w:sz="8" w:space="0" w:color="auto"/>
            </w:tcBorders>
            <w:shd w:val="clear" w:color="auto" w:fill="auto"/>
            <w:vAlign w:val="center"/>
            <w:hideMark/>
          </w:tcPr>
          <w:p w14:paraId="364B97CB"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19.981.080</w:t>
            </w:r>
          </w:p>
        </w:tc>
        <w:tc>
          <w:tcPr>
            <w:tcW w:w="436" w:type="pct"/>
            <w:tcBorders>
              <w:top w:val="nil"/>
              <w:left w:val="nil"/>
              <w:bottom w:val="single" w:sz="8" w:space="0" w:color="auto"/>
              <w:right w:val="single" w:sz="8" w:space="0" w:color="auto"/>
            </w:tcBorders>
            <w:shd w:val="clear" w:color="auto" w:fill="auto"/>
            <w:vAlign w:val="center"/>
            <w:hideMark/>
          </w:tcPr>
          <w:p w14:paraId="0D0B1F64"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20.304.509</w:t>
            </w:r>
          </w:p>
        </w:tc>
        <w:tc>
          <w:tcPr>
            <w:tcW w:w="436" w:type="pct"/>
            <w:tcBorders>
              <w:top w:val="nil"/>
              <w:left w:val="nil"/>
              <w:bottom w:val="single" w:sz="8" w:space="0" w:color="auto"/>
              <w:right w:val="single" w:sz="8" w:space="0" w:color="auto"/>
            </w:tcBorders>
            <w:shd w:val="clear" w:color="auto" w:fill="auto"/>
            <w:vAlign w:val="center"/>
            <w:hideMark/>
          </w:tcPr>
          <w:p w14:paraId="7EBFEE3B"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8.412.367</w:t>
            </w:r>
          </w:p>
        </w:tc>
        <w:tc>
          <w:tcPr>
            <w:tcW w:w="438" w:type="pct"/>
            <w:tcBorders>
              <w:top w:val="nil"/>
              <w:left w:val="nil"/>
              <w:bottom w:val="single" w:sz="8" w:space="0" w:color="auto"/>
              <w:right w:val="single" w:sz="8" w:space="0" w:color="auto"/>
            </w:tcBorders>
            <w:shd w:val="clear" w:color="auto" w:fill="auto"/>
            <w:vAlign w:val="center"/>
            <w:hideMark/>
          </w:tcPr>
          <w:p w14:paraId="24234266"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8.412.368</w:t>
            </w:r>
          </w:p>
        </w:tc>
        <w:tc>
          <w:tcPr>
            <w:tcW w:w="436" w:type="pct"/>
            <w:tcBorders>
              <w:top w:val="nil"/>
              <w:left w:val="nil"/>
              <w:bottom w:val="single" w:sz="8" w:space="0" w:color="auto"/>
              <w:right w:val="single" w:sz="8" w:space="0" w:color="auto"/>
            </w:tcBorders>
            <w:shd w:val="clear" w:color="auto" w:fill="auto"/>
            <w:vAlign w:val="center"/>
            <w:hideMark/>
          </w:tcPr>
          <w:p w14:paraId="77B70B5B"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8.580.614</w:t>
            </w:r>
          </w:p>
        </w:tc>
        <w:tc>
          <w:tcPr>
            <w:tcW w:w="438" w:type="pct"/>
            <w:tcBorders>
              <w:top w:val="nil"/>
              <w:left w:val="nil"/>
              <w:bottom w:val="single" w:sz="8" w:space="0" w:color="auto"/>
              <w:right w:val="single" w:sz="8" w:space="0" w:color="auto"/>
            </w:tcBorders>
            <w:shd w:val="clear" w:color="auto" w:fill="auto"/>
            <w:vAlign w:val="center"/>
            <w:hideMark/>
          </w:tcPr>
          <w:p w14:paraId="443BAD20"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8.580.615</w:t>
            </w:r>
          </w:p>
        </w:tc>
        <w:tc>
          <w:tcPr>
            <w:tcW w:w="494" w:type="pct"/>
            <w:tcBorders>
              <w:top w:val="nil"/>
              <w:left w:val="nil"/>
              <w:bottom w:val="single" w:sz="8" w:space="0" w:color="auto"/>
              <w:right w:val="single" w:sz="8" w:space="0" w:color="auto"/>
            </w:tcBorders>
            <w:shd w:val="clear" w:color="auto" w:fill="auto"/>
            <w:vAlign w:val="center"/>
            <w:hideMark/>
          </w:tcPr>
          <w:p w14:paraId="406D8342"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113.288.670</w:t>
            </w:r>
          </w:p>
        </w:tc>
      </w:tr>
      <w:tr w:rsidR="006759FE" w:rsidRPr="006759FE" w14:paraId="37F3BF31" w14:textId="77777777" w:rsidTr="00C57B56">
        <w:trPr>
          <w:trHeight w:val="308"/>
        </w:trPr>
        <w:tc>
          <w:tcPr>
            <w:tcW w:w="199" w:type="pct"/>
            <w:vMerge/>
            <w:tcBorders>
              <w:top w:val="nil"/>
              <w:left w:val="single" w:sz="8" w:space="0" w:color="auto"/>
              <w:bottom w:val="nil"/>
              <w:right w:val="single" w:sz="8" w:space="0" w:color="auto"/>
            </w:tcBorders>
            <w:vAlign w:val="center"/>
            <w:hideMark/>
          </w:tcPr>
          <w:p w14:paraId="018E2C50" w14:textId="77777777" w:rsidR="004C52FF" w:rsidRPr="00C57B56" w:rsidRDefault="004C52FF" w:rsidP="004C52FF">
            <w:pPr>
              <w:widowControl w:val="0"/>
              <w:suppressAutoHyphens w:val="0"/>
              <w:autoSpaceDE w:val="0"/>
              <w:spacing w:after="0" w:line="240" w:lineRule="auto"/>
              <w:rPr>
                <w:rFonts w:cs="Arial"/>
                <w:color w:val="000000"/>
                <w:sz w:val="14"/>
                <w:szCs w:val="14"/>
              </w:rPr>
            </w:pPr>
          </w:p>
        </w:tc>
        <w:tc>
          <w:tcPr>
            <w:tcW w:w="198" w:type="pct"/>
            <w:tcBorders>
              <w:top w:val="nil"/>
              <w:left w:val="nil"/>
              <w:bottom w:val="single" w:sz="8" w:space="0" w:color="auto"/>
              <w:right w:val="single" w:sz="8" w:space="0" w:color="auto"/>
            </w:tcBorders>
            <w:shd w:val="clear" w:color="auto" w:fill="auto"/>
            <w:vAlign w:val="center"/>
            <w:hideMark/>
          </w:tcPr>
          <w:p w14:paraId="4646B8E7" w14:textId="77777777" w:rsidR="004C52FF" w:rsidRPr="00C57B56" w:rsidRDefault="004C52FF" w:rsidP="004C52FF">
            <w:pPr>
              <w:widowControl w:val="0"/>
              <w:suppressAutoHyphens w:val="0"/>
              <w:autoSpaceDE w:val="0"/>
              <w:spacing w:after="0" w:line="240" w:lineRule="auto"/>
              <w:rPr>
                <w:rFonts w:cs="Arial"/>
                <w:color w:val="000000"/>
                <w:sz w:val="14"/>
                <w:szCs w:val="14"/>
              </w:rPr>
            </w:pPr>
            <w:r w:rsidRPr="00C57B56">
              <w:rPr>
                <w:rFonts w:cs="Arial"/>
                <w:color w:val="000000"/>
                <w:sz w:val="14"/>
                <w:szCs w:val="14"/>
              </w:rPr>
              <w:t>Sredstva v skladu s členom 4 uredbe o SPP</w:t>
            </w:r>
          </w:p>
        </w:tc>
        <w:tc>
          <w:tcPr>
            <w:tcW w:w="407" w:type="pct"/>
            <w:vMerge/>
            <w:tcBorders>
              <w:top w:val="nil"/>
              <w:left w:val="single" w:sz="8" w:space="0" w:color="auto"/>
              <w:bottom w:val="nil"/>
              <w:right w:val="single" w:sz="8" w:space="0" w:color="auto"/>
            </w:tcBorders>
            <w:vAlign w:val="center"/>
            <w:hideMark/>
          </w:tcPr>
          <w:p w14:paraId="22304678" w14:textId="77777777" w:rsidR="004C52FF" w:rsidRPr="00C57B56" w:rsidRDefault="004C52FF" w:rsidP="004C52FF">
            <w:pPr>
              <w:widowControl w:val="0"/>
              <w:suppressAutoHyphens w:val="0"/>
              <w:autoSpaceDE w:val="0"/>
              <w:spacing w:after="0" w:line="240" w:lineRule="auto"/>
              <w:rPr>
                <w:rFonts w:cs="Arial"/>
                <w:color w:val="000000"/>
                <w:sz w:val="14"/>
                <w:szCs w:val="14"/>
              </w:rPr>
            </w:pPr>
          </w:p>
        </w:tc>
        <w:tc>
          <w:tcPr>
            <w:tcW w:w="213" w:type="pct"/>
            <w:tcBorders>
              <w:top w:val="nil"/>
              <w:left w:val="nil"/>
              <w:bottom w:val="single" w:sz="8" w:space="0" w:color="auto"/>
              <w:right w:val="single" w:sz="8" w:space="0" w:color="auto"/>
            </w:tcBorders>
            <w:shd w:val="clear" w:color="auto" w:fill="auto"/>
            <w:vAlign w:val="center"/>
            <w:hideMark/>
          </w:tcPr>
          <w:p w14:paraId="310C32A6"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 0</w:t>
            </w:r>
          </w:p>
        </w:tc>
        <w:tc>
          <w:tcPr>
            <w:tcW w:w="433" w:type="pct"/>
            <w:tcBorders>
              <w:top w:val="nil"/>
              <w:left w:val="nil"/>
              <w:bottom w:val="single" w:sz="8" w:space="0" w:color="auto"/>
              <w:right w:val="single" w:sz="8" w:space="0" w:color="auto"/>
            </w:tcBorders>
            <w:shd w:val="clear" w:color="auto" w:fill="auto"/>
            <w:vAlign w:val="center"/>
            <w:hideMark/>
          </w:tcPr>
          <w:p w14:paraId="3BFFE7F7"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72.138.556</w:t>
            </w:r>
          </w:p>
        </w:tc>
        <w:tc>
          <w:tcPr>
            <w:tcW w:w="436" w:type="pct"/>
            <w:tcBorders>
              <w:top w:val="nil"/>
              <w:left w:val="nil"/>
              <w:bottom w:val="single" w:sz="8" w:space="0" w:color="auto"/>
              <w:right w:val="single" w:sz="8" w:space="0" w:color="auto"/>
            </w:tcBorders>
            <w:shd w:val="clear" w:color="auto" w:fill="auto"/>
            <w:vAlign w:val="center"/>
            <w:hideMark/>
          </w:tcPr>
          <w:p w14:paraId="6372CA84"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73.297.317</w:t>
            </w:r>
          </w:p>
        </w:tc>
        <w:tc>
          <w:tcPr>
            <w:tcW w:w="436" w:type="pct"/>
            <w:tcBorders>
              <w:top w:val="nil"/>
              <w:left w:val="nil"/>
              <w:bottom w:val="single" w:sz="8" w:space="0" w:color="auto"/>
              <w:right w:val="single" w:sz="8" w:space="0" w:color="auto"/>
            </w:tcBorders>
            <w:shd w:val="clear" w:color="auto" w:fill="auto"/>
            <w:vAlign w:val="center"/>
            <w:hideMark/>
          </w:tcPr>
          <w:p w14:paraId="45D01759"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0 </w:t>
            </w:r>
          </w:p>
        </w:tc>
        <w:tc>
          <w:tcPr>
            <w:tcW w:w="436" w:type="pct"/>
            <w:tcBorders>
              <w:top w:val="nil"/>
              <w:left w:val="nil"/>
              <w:bottom w:val="single" w:sz="8" w:space="0" w:color="auto"/>
              <w:right w:val="single" w:sz="8" w:space="0" w:color="auto"/>
            </w:tcBorders>
            <w:shd w:val="clear" w:color="auto" w:fill="auto"/>
            <w:vAlign w:val="center"/>
            <w:hideMark/>
          </w:tcPr>
          <w:p w14:paraId="5B1C92AA"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0 </w:t>
            </w:r>
          </w:p>
        </w:tc>
        <w:tc>
          <w:tcPr>
            <w:tcW w:w="436" w:type="pct"/>
            <w:tcBorders>
              <w:top w:val="nil"/>
              <w:left w:val="nil"/>
              <w:bottom w:val="single" w:sz="8" w:space="0" w:color="auto"/>
              <w:right w:val="single" w:sz="8" w:space="0" w:color="auto"/>
            </w:tcBorders>
            <w:shd w:val="clear" w:color="auto" w:fill="auto"/>
            <w:vAlign w:val="center"/>
            <w:hideMark/>
          </w:tcPr>
          <w:p w14:paraId="72335BB9"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0 </w:t>
            </w:r>
          </w:p>
        </w:tc>
        <w:tc>
          <w:tcPr>
            <w:tcW w:w="438" w:type="pct"/>
            <w:tcBorders>
              <w:top w:val="nil"/>
              <w:left w:val="nil"/>
              <w:bottom w:val="single" w:sz="8" w:space="0" w:color="auto"/>
              <w:right w:val="single" w:sz="8" w:space="0" w:color="auto"/>
            </w:tcBorders>
            <w:shd w:val="clear" w:color="auto" w:fill="auto"/>
            <w:vAlign w:val="center"/>
            <w:hideMark/>
          </w:tcPr>
          <w:p w14:paraId="3752AB7D"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0 </w:t>
            </w:r>
          </w:p>
        </w:tc>
        <w:tc>
          <w:tcPr>
            <w:tcW w:w="436" w:type="pct"/>
            <w:tcBorders>
              <w:top w:val="nil"/>
              <w:left w:val="nil"/>
              <w:bottom w:val="single" w:sz="8" w:space="0" w:color="auto"/>
              <w:right w:val="single" w:sz="8" w:space="0" w:color="auto"/>
            </w:tcBorders>
            <w:shd w:val="clear" w:color="auto" w:fill="auto"/>
            <w:vAlign w:val="center"/>
            <w:hideMark/>
          </w:tcPr>
          <w:p w14:paraId="7989A7CF"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0 </w:t>
            </w:r>
          </w:p>
        </w:tc>
        <w:tc>
          <w:tcPr>
            <w:tcW w:w="438" w:type="pct"/>
            <w:tcBorders>
              <w:top w:val="nil"/>
              <w:left w:val="nil"/>
              <w:bottom w:val="single" w:sz="8" w:space="0" w:color="auto"/>
              <w:right w:val="single" w:sz="8" w:space="0" w:color="auto"/>
            </w:tcBorders>
            <w:shd w:val="clear" w:color="auto" w:fill="auto"/>
            <w:vAlign w:val="center"/>
            <w:hideMark/>
          </w:tcPr>
          <w:p w14:paraId="30F7A264"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0 </w:t>
            </w:r>
          </w:p>
        </w:tc>
        <w:tc>
          <w:tcPr>
            <w:tcW w:w="494" w:type="pct"/>
            <w:tcBorders>
              <w:top w:val="nil"/>
              <w:left w:val="nil"/>
              <w:bottom w:val="single" w:sz="8" w:space="0" w:color="auto"/>
              <w:right w:val="single" w:sz="8" w:space="0" w:color="auto"/>
            </w:tcBorders>
            <w:shd w:val="clear" w:color="auto" w:fill="auto"/>
            <w:vAlign w:val="center"/>
            <w:hideMark/>
          </w:tcPr>
          <w:p w14:paraId="271DA947"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145.435.873</w:t>
            </w:r>
          </w:p>
        </w:tc>
      </w:tr>
      <w:tr w:rsidR="006759FE" w:rsidRPr="006759FE" w14:paraId="62145E12" w14:textId="77777777" w:rsidTr="00C57B56">
        <w:trPr>
          <w:trHeight w:val="315"/>
        </w:trPr>
        <w:tc>
          <w:tcPr>
            <w:tcW w:w="803"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CFA8FB2" w14:textId="77777777" w:rsidR="004C52FF" w:rsidRPr="00C57B56" w:rsidRDefault="004C52FF" w:rsidP="004C52FF">
            <w:pPr>
              <w:widowControl w:val="0"/>
              <w:suppressAutoHyphens w:val="0"/>
              <w:autoSpaceDE w:val="0"/>
              <w:spacing w:after="0" w:line="240" w:lineRule="auto"/>
              <w:rPr>
                <w:rFonts w:cs="Arial"/>
                <w:color w:val="000000"/>
                <w:sz w:val="14"/>
                <w:szCs w:val="14"/>
              </w:rPr>
            </w:pPr>
            <w:r w:rsidRPr="00C57B56">
              <w:rPr>
                <w:rFonts w:cs="Arial"/>
                <w:color w:val="000000"/>
                <w:sz w:val="14"/>
                <w:szCs w:val="14"/>
              </w:rPr>
              <w:t>Skupaj</w:t>
            </w:r>
          </w:p>
        </w:tc>
        <w:tc>
          <w:tcPr>
            <w:tcW w:w="213" w:type="pct"/>
            <w:tcBorders>
              <w:top w:val="nil"/>
              <w:left w:val="nil"/>
              <w:bottom w:val="single" w:sz="8" w:space="0" w:color="auto"/>
              <w:right w:val="single" w:sz="8" w:space="0" w:color="auto"/>
            </w:tcBorders>
            <w:shd w:val="clear" w:color="auto" w:fill="auto"/>
            <w:noWrap/>
            <w:vAlign w:val="center"/>
            <w:hideMark/>
          </w:tcPr>
          <w:p w14:paraId="536771C9"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 0</w:t>
            </w:r>
          </w:p>
        </w:tc>
        <w:tc>
          <w:tcPr>
            <w:tcW w:w="433" w:type="pct"/>
            <w:tcBorders>
              <w:top w:val="nil"/>
              <w:left w:val="nil"/>
              <w:bottom w:val="single" w:sz="8" w:space="0" w:color="auto"/>
              <w:right w:val="single" w:sz="8" w:space="0" w:color="auto"/>
            </w:tcBorders>
            <w:shd w:val="clear" w:color="auto" w:fill="auto"/>
            <w:noWrap/>
            <w:vAlign w:val="center"/>
            <w:hideMark/>
          </w:tcPr>
          <w:p w14:paraId="428508DB"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91.491.680</w:t>
            </w:r>
          </w:p>
        </w:tc>
        <w:tc>
          <w:tcPr>
            <w:tcW w:w="436" w:type="pct"/>
            <w:tcBorders>
              <w:top w:val="nil"/>
              <w:left w:val="nil"/>
              <w:bottom w:val="single" w:sz="8" w:space="0" w:color="auto"/>
              <w:right w:val="single" w:sz="8" w:space="0" w:color="auto"/>
            </w:tcBorders>
            <w:shd w:val="clear" w:color="auto" w:fill="auto"/>
            <w:noWrap/>
            <w:vAlign w:val="center"/>
            <w:hideMark/>
          </w:tcPr>
          <w:p w14:paraId="04B1956D"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92.961.310</w:t>
            </w:r>
          </w:p>
        </w:tc>
        <w:tc>
          <w:tcPr>
            <w:tcW w:w="436" w:type="pct"/>
            <w:tcBorders>
              <w:top w:val="nil"/>
              <w:left w:val="nil"/>
              <w:bottom w:val="single" w:sz="8" w:space="0" w:color="auto"/>
              <w:right w:val="single" w:sz="8" w:space="0" w:color="auto"/>
            </w:tcBorders>
            <w:shd w:val="clear" w:color="auto" w:fill="auto"/>
            <w:noWrap/>
            <w:vAlign w:val="center"/>
            <w:hideMark/>
          </w:tcPr>
          <w:p w14:paraId="2BBE1E3C"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19.981.080</w:t>
            </w:r>
          </w:p>
        </w:tc>
        <w:tc>
          <w:tcPr>
            <w:tcW w:w="436" w:type="pct"/>
            <w:tcBorders>
              <w:top w:val="nil"/>
              <w:left w:val="nil"/>
              <w:bottom w:val="single" w:sz="8" w:space="0" w:color="auto"/>
              <w:right w:val="single" w:sz="8" w:space="0" w:color="auto"/>
            </w:tcBorders>
            <w:shd w:val="clear" w:color="auto" w:fill="auto"/>
            <w:noWrap/>
            <w:vAlign w:val="center"/>
            <w:hideMark/>
          </w:tcPr>
          <w:p w14:paraId="379AC102"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20.304.509</w:t>
            </w:r>
          </w:p>
        </w:tc>
        <w:tc>
          <w:tcPr>
            <w:tcW w:w="436" w:type="pct"/>
            <w:tcBorders>
              <w:top w:val="nil"/>
              <w:left w:val="nil"/>
              <w:bottom w:val="single" w:sz="8" w:space="0" w:color="auto"/>
              <w:right w:val="single" w:sz="8" w:space="0" w:color="auto"/>
            </w:tcBorders>
            <w:shd w:val="clear" w:color="auto" w:fill="auto"/>
            <w:noWrap/>
            <w:vAlign w:val="center"/>
            <w:hideMark/>
          </w:tcPr>
          <w:p w14:paraId="46EB4211"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8.412.367</w:t>
            </w:r>
          </w:p>
        </w:tc>
        <w:tc>
          <w:tcPr>
            <w:tcW w:w="438" w:type="pct"/>
            <w:tcBorders>
              <w:top w:val="nil"/>
              <w:left w:val="nil"/>
              <w:bottom w:val="single" w:sz="8" w:space="0" w:color="auto"/>
              <w:right w:val="single" w:sz="8" w:space="0" w:color="auto"/>
            </w:tcBorders>
            <w:shd w:val="clear" w:color="auto" w:fill="auto"/>
            <w:noWrap/>
            <w:vAlign w:val="center"/>
            <w:hideMark/>
          </w:tcPr>
          <w:p w14:paraId="4A5265EF"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8.412.368</w:t>
            </w:r>
          </w:p>
        </w:tc>
        <w:tc>
          <w:tcPr>
            <w:tcW w:w="436" w:type="pct"/>
            <w:tcBorders>
              <w:top w:val="nil"/>
              <w:left w:val="nil"/>
              <w:bottom w:val="single" w:sz="8" w:space="0" w:color="auto"/>
              <w:right w:val="single" w:sz="8" w:space="0" w:color="auto"/>
            </w:tcBorders>
            <w:shd w:val="clear" w:color="auto" w:fill="auto"/>
            <w:noWrap/>
            <w:vAlign w:val="center"/>
            <w:hideMark/>
          </w:tcPr>
          <w:p w14:paraId="561D60E8"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8.580.614</w:t>
            </w:r>
          </w:p>
        </w:tc>
        <w:tc>
          <w:tcPr>
            <w:tcW w:w="438" w:type="pct"/>
            <w:tcBorders>
              <w:top w:val="nil"/>
              <w:left w:val="nil"/>
              <w:bottom w:val="single" w:sz="8" w:space="0" w:color="auto"/>
              <w:right w:val="single" w:sz="8" w:space="0" w:color="auto"/>
            </w:tcBorders>
            <w:shd w:val="clear" w:color="auto" w:fill="auto"/>
            <w:noWrap/>
            <w:vAlign w:val="center"/>
            <w:hideMark/>
          </w:tcPr>
          <w:p w14:paraId="401B9161"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8.580.615</w:t>
            </w:r>
          </w:p>
        </w:tc>
        <w:tc>
          <w:tcPr>
            <w:tcW w:w="494" w:type="pct"/>
            <w:tcBorders>
              <w:top w:val="nil"/>
              <w:left w:val="nil"/>
              <w:bottom w:val="single" w:sz="8" w:space="0" w:color="auto"/>
              <w:right w:val="single" w:sz="8" w:space="0" w:color="auto"/>
            </w:tcBorders>
            <w:shd w:val="clear" w:color="auto" w:fill="auto"/>
            <w:noWrap/>
            <w:vAlign w:val="center"/>
            <w:hideMark/>
          </w:tcPr>
          <w:p w14:paraId="7CA4FBB2"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258.724.543</w:t>
            </w:r>
          </w:p>
        </w:tc>
      </w:tr>
      <w:tr w:rsidR="006759FE" w:rsidRPr="006759FE" w14:paraId="6C5865A0" w14:textId="77777777" w:rsidTr="00C57B56">
        <w:trPr>
          <w:trHeight w:val="315"/>
        </w:trPr>
        <w:tc>
          <w:tcPr>
            <w:tcW w:w="397"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8686E77" w14:textId="77777777" w:rsidR="004C52FF" w:rsidRPr="00C57B56" w:rsidRDefault="004C52FF" w:rsidP="004C52FF">
            <w:pPr>
              <w:widowControl w:val="0"/>
              <w:suppressAutoHyphens w:val="0"/>
              <w:autoSpaceDE w:val="0"/>
              <w:spacing w:after="0" w:line="240" w:lineRule="auto"/>
              <w:rPr>
                <w:rFonts w:cs="Arial"/>
                <w:color w:val="000000"/>
                <w:sz w:val="14"/>
                <w:szCs w:val="14"/>
              </w:rPr>
            </w:pPr>
            <w:r w:rsidRPr="00C57B56">
              <w:rPr>
                <w:rFonts w:cs="Arial"/>
                <w:color w:val="000000"/>
                <w:sz w:val="14"/>
                <w:szCs w:val="14"/>
              </w:rPr>
              <w:t>Kohezijski sklad</w:t>
            </w:r>
          </w:p>
        </w:tc>
        <w:tc>
          <w:tcPr>
            <w:tcW w:w="407" w:type="pct"/>
            <w:tcBorders>
              <w:top w:val="nil"/>
              <w:left w:val="nil"/>
              <w:bottom w:val="single" w:sz="8" w:space="0" w:color="auto"/>
              <w:right w:val="single" w:sz="8" w:space="0" w:color="auto"/>
            </w:tcBorders>
            <w:shd w:val="clear" w:color="auto" w:fill="auto"/>
            <w:vAlign w:val="center"/>
            <w:hideMark/>
          </w:tcPr>
          <w:p w14:paraId="6962B494" w14:textId="77777777" w:rsidR="004C52FF" w:rsidRPr="00C57B56" w:rsidRDefault="004C52FF" w:rsidP="004C52FF">
            <w:pPr>
              <w:widowControl w:val="0"/>
              <w:suppressAutoHyphens w:val="0"/>
              <w:autoSpaceDE w:val="0"/>
              <w:spacing w:after="0" w:line="240" w:lineRule="auto"/>
              <w:rPr>
                <w:rFonts w:cs="Arial"/>
                <w:color w:val="000000"/>
                <w:sz w:val="14"/>
                <w:szCs w:val="14"/>
              </w:rPr>
            </w:pPr>
            <w:r w:rsidRPr="00C57B56">
              <w:rPr>
                <w:rFonts w:cs="Arial"/>
                <w:color w:val="000000"/>
                <w:sz w:val="14"/>
                <w:szCs w:val="14"/>
              </w:rPr>
              <w:t>Ni relevantno</w:t>
            </w:r>
          </w:p>
        </w:tc>
        <w:tc>
          <w:tcPr>
            <w:tcW w:w="213" w:type="pct"/>
            <w:tcBorders>
              <w:top w:val="nil"/>
              <w:left w:val="nil"/>
              <w:bottom w:val="single" w:sz="8" w:space="0" w:color="auto"/>
              <w:right w:val="single" w:sz="8" w:space="0" w:color="auto"/>
            </w:tcBorders>
            <w:shd w:val="clear" w:color="auto" w:fill="auto"/>
            <w:vAlign w:val="center"/>
            <w:hideMark/>
          </w:tcPr>
          <w:p w14:paraId="0AB67A72"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 0</w:t>
            </w:r>
          </w:p>
        </w:tc>
        <w:tc>
          <w:tcPr>
            <w:tcW w:w="433" w:type="pct"/>
            <w:tcBorders>
              <w:top w:val="nil"/>
              <w:left w:val="nil"/>
              <w:bottom w:val="single" w:sz="8" w:space="0" w:color="auto"/>
              <w:right w:val="single" w:sz="8" w:space="0" w:color="auto"/>
            </w:tcBorders>
            <w:shd w:val="clear" w:color="auto" w:fill="auto"/>
            <w:vAlign w:val="center"/>
            <w:hideMark/>
          </w:tcPr>
          <w:p w14:paraId="15841160"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122.688.976</w:t>
            </w:r>
          </w:p>
        </w:tc>
        <w:tc>
          <w:tcPr>
            <w:tcW w:w="436" w:type="pct"/>
            <w:tcBorders>
              <w:top w:val="nil"/>
              <w:left w:val="nil"/>
              <w:bottom w:val="single" w:sz="8" w:space="0" w:color="auto"/>
              <w:right w:val="single" w:sz="8" w:space="0" w:color="auto"/>
            </w:tcBorders>
            <w:shd w:val="clear" w:color="auto" w:fill="auto"/>
            <w:vAlign w:val="center"/>
            <w:hideMark/>
          </w:tcPr>
          <w:p w14:paraId="069B5EEE"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124.659.728</w:t>
            </w:r>
          </w:p>
        </w:tc>
        <w:tc>
          <w:tcPr>
            <w:tcW w:w="436" w:type="pct"/>
            <w:tcBorders>
              <w:top w:val="nil"/>
              <w:left w:val="nil"/>
              <w:bottom w:val="single" w:sz="8" w:space="0" w:color="auto"/>
              <w:right w:val="single" w:sz="8" w:space="0" w:color="auto"/>
            </w:tcBorders>
            <w:shd w:val="clear" w:color="auto" w:fill="auto"/>
            <w:vAlign w:val="center"/>
            <w:hideMark/>
          </w:tcPr>
          <w:p w14:paraId="119575C7"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126.669.895</w:t>
            </w:r>
          </w:p>
        </w:tc>
        <w:tc>
          <w:tcPr>
            <w:tcW w:w="436" w:type="pct"/>
            <w:tcBorders>
              <w:top w:val="nil"/>
              <w:left w:val="nil"/>
              <w:bottom w:val="single" w:sz="8" w:space="0" w:color="auto"/>
              <w:right w:val="single" w:sz="8" w:space="0" w:color="auto"/>
            </w:tcBorders>
            <w:shd w:val="clear" w:color="auto" w:fill="auto"/>
            <w:vAlign w:val="center"/>
            <w:hideMark/>
          </w:tcPr>
          <w:p w14:paraId="2DD4184E"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128.720.267</w:t>
            </w:r>
          </w:p>
        </w:tc>
        <w:tc>
          <w:tcPr>
            <w:tcW w:w="436" w:type="pct"/>
            <w:tcBorders>
              <w:top w:val="nil"/>
              <w:left w:val="nil"/>
              <w:bottom w:val="single" w:sz="8" w:space="0" w:color="auto"/>
              <w:right w:val="single" w:sz="8" w:space="0" w:color="auto"/>
            </w:tcBorders>
            <w:shd w:val="clear" w:color="auto" w:fill="auto"/>
            <w:vAlign w:val="center"/>
            <w:hideMark/>
          </w:tcPr>
          <w:p w14:paraId="3CB526FA"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53.330.135</w:t>
            </w:r>
          </w:p>
        </w:tc>
        <w:tc>
          <w:tcPr>
            <w:tcW w:w="438" w:type="pct"/>
            <w:tcBorders>
              <w:top w:val="nil"/>
              <w:left w:val="nil"/>
              <w:bottom w:val="single" w:sz="8" w:space="0" w:color="auto"/>
              <w:right w:val="single" w:sz="8" w:space="0" w:color="auto"/>
            </w:tcBorders>
            <w:shd w:val="clear" w:color="auto" w:fill="auto"/>
            <w:vAlign w:val="center"/>
            <w:hideMark/>
          </w:tcPr>
          <w:p w14:paraId="0CA518F8"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53.330.136</w:t>
            </w:r>
          </w:p>
        </w:tc>
        <w:tc>
          <w:tcPr>
            <w:tcW w:w="436" w:type="pct"/>
            <w:tcBorders>
              <w:top w:val="nil"/>
              <w:left w:val="nil"/>
              <w:bottom w:val="single" w:sz="8" w:space="0" w:color="auto"/>
              <w:right w:val="single" w:sz="8" w:space="0" w:color="auto"/>
            </w:tcBorders>
            <w:shd w:val="clear" w:color="auto" w:fill="auto"/>
            <w:vAlign w:val="center"/>
            <w:hideMark/>
          </w:tcPr>
          <w:p w14:paraId="34BB94E5"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54.396.738</w:t>
            </w:r>
          </w:p>
        </w:tc>
        <w:tc>
          <w:tcPr>
            <w:tcW w:w="438" w:type="pct"/>
            <w:tcBorders>
              <w:top w:val="nil"/>
              <w:left w:val="nil"/>
              <w:bottom w:val="single" w:sz="8" w:space="0" w:color="auto"/>
              <w:right w:val="single" w:sz="8" w:space="0" w:color="auto"/>
            </w:tcBorders>
            <w:shd w:val="clear" w:color="auto" w:fill="auto"/>
            <w:vAlign w:val="center"/>
            <w:hideMark/>
          </w:tcPr>
          <w:p w14:paraId="1B4BF4E1"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54.396.738</w:t>
            </w:r>
          </w:p>
        </w:tc>
        <w:tc>
          <w:tcPr>
            <w:tcW w:w="494" w:type="pct"/>
            <w:tcBorders>
              <w:top w:val="nil"/>
              <w:left w:val="nil"/>
              <w:bottom w:val="single" w:sz="8" w:space="0" w:color="auto"/>
              <w:right w:val="single" w:sz="8" w:space="0" w:color="auto"/>
            </w:tcBorders>
            <w:shd w:val="clear" w:color="auto" w:fill="auto"/>
            <w:vAlign w:val="center"/>
            <w:hideMark/>
          </w:tcPr>
          <w:p w14:paraId="4BFE0D7E"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718.192.613</w:t>
            </w:r>
          </w:p>
        </w:tc>
      </w:tr>
      <w:tr w:rsidR="006759FE" w:rsidRPr="006759FE" w14:paraId="0141CB29" w14:textId="77777777" w:rsidTr="00C57B56">
        <w:trPr>
          <w:trHeight w:val="315"/>
        </w:trPr>
        <w:tc>
          <w:tcPr>
            <w:tcW w:w="803"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63F9693" w14:textId="77777777" w:rsidR="004C52FF" w:rsidRPr="00C57B56" w:rsidRDefault="004C52FF" w:rsidP="004C52FF">
            <w:pPr>
              <w:widowControl w:val="0"/>
              <w:suppressAutoHyphens w:val="0"/>
              <w:autoSpaceDE w:val="0"/>
              <w:spacing w:after="0" w:line="240" w:lineRule="auto"/>
              <w:rPr>
                <w:rFonts w:cs="Arial"/>
                <w:color w:val="000000"/>
                <w:sz w:val="14"/>
                <w:szCs w:val="14"/>
              </w:rPr>
            </w:pPr>
            <w:r w:rsidRPr="00C57B56">
              <w:rPr>
                <w:rFonts w:cs="Arial"/>
                <w:color w:val="000000"/>
                <w:sz w:val="14"/>
                <w:szCs w:val="14"/>
              </w:rPr>
              <w:t>Skupaj</w:t>
            </w:r>
          </w:p>
        </w:tc>
        <w:tc>
          <w:tcPr>
            <w:tcW w:w="213" w:type="pct"/>
            <w:tcBorders>
              <w:top w:val="nil"/>
              <w:left w:val="nil"/>
              <w:bottom w:val="single" w:sz="8" w:space="0" w:color="auto"/>
              <w:right w:val="single" w:sz="8" w:space="0" w:color="auto"/>
            </w:tcBorders>
            <w:shd w:val="clear" w:color="auto" w:fill="auto"/>
            <w:noWrap/>
            <w:vAlign w:val="center"/>
            <w:hideMark/>
          </w:tcPr>
          <w:p w14:paraId="20804B2A"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 0</w:t>
            </w:r>
          </w:p>
        </w:tc>
        <w:tc>
          <w:tcPr>
            <w:tcW w:w="433" w:type="pct"/>
            <w:tcBorders>
              <w:top w:val="nil"/>
              <w:left w:val="nil"/>
              <w:bottom w:val="single" w:sz="8" w:space="0" w:color="auto"/>
              <w:right w:val="single" w:sz="8" w:space="0" w:color="auto"/>
            </w:tcBorders>
            <w:shd w:val="clear" w:color="auto" w:fill="auto"/>
            <w:noWrap/>
            <w:vAlign w:val="center"/>
            <w:hideMark/>
          </w:tcPr>
          <w:p w14:paraId="74D041DA"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596.213.057</w:t>
            </w:r>
          </w:p>
        </w:tc>
        <w:tc>
          <w:tcPr>
            <w:tcW w:w="436" w:type="pct"/>
            <w:tcBorders>
              <w:top w:val="nil"/>
              <w:left w:val="nil"/>
              <w:bottom w:val="single" w:sz="8" w:space="0" w:color="auto"/>
              <w:right w:val="single" w:sz="8" w:space="0" w:color="auto"/>
            </w:tcBorders>
            <w:shd w:val="clear" w:color="auto" w:fill="auto"/>
            <w:noWrap/>
            <w:vAlign w:val="center"/>
            <w:hideMark/>
          </w:tcPr>
          <w:p w14:paraId="747B3FDA"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605.878.199</w:t>
            </w:r>
          </w:p>
        </w:tc>
        <w:tc>
          <w:tcPr>
            <w:tcW w:w="436" w:type="pct"/>
            <w:tcBorders>
              <w:top w:val="nil"/>
              <w:left w:val="nil"/>
              <w:bottom w:val="single" w:sz="8" w:space="0" w:color="auto"/>
              <w:right w:val="single" w:sz="8" w:space="0" w:color="auto"/>
            </w:tcBorders>
            <w:shd w:val="clear" w:color="auto" w:fill="auto"/>
            <w:noWrap/>
            <w:vAlign w:val="center"/>
            <w:hideMark/>
          </w:tcPr>
          <w:p w14:paraId="374D918C"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541.264.630</w:t>
            </w:r>
          </w:p>
        </w:tc>
        <w:tc>
          <w:tcPr>
            <w:tcW w:w="436" w:type="pct"/>
            <w:tcBorders>
              <w:top w:val="nil"/>
              <w:left w:val="nil"/>
              <w:bottom w:val="single" w:sz="8" w:space="0" w:color="auto"/>
              <w:right w:val="single" w:sz="8" w:space="0" w:color="auto"/>
            </w:tcBorders>
            <w:shd w:val="clear" w:color="auto" w:fill="auto"/>
            <w:noWrap/>
            <w:vAlign w:val="center"/>
            <w:hideMark/>
          </w:tcPr>
          <w:p w14:paraId="35D56B5F"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550.112.383</w:t>
            </w:r>
          </w:p>
        </w:tc>
        <w:tc>
          <w:tcPr>
            <w:tcW w:w="436" w:type="pct"/>
            <w:tcBorders>
              <w:top w:val="nil"/>
              <w:left w:val="nil"/>
              <w:bottom w:val="single" w:sz="8" w:space="0" w:color="auto"/>
              <w:right w:val="single" w:sz="8" w:space="0" w:color="auto"/>
            </w:tcBorders>
            <w:shd w:val="clear" w:color="auto" w:fill="auto"/>
            <w:noWrap/>
            <w:vAlign w:val="center"/>
            <w:hideMark/>
          </w:tcPr>
          <w:p w14:paraId="5784E83D"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227.503.390</w:t>
            </w:r>
          </w:p>
        </w:tc>
        <w:tc>
          <w:tcPr>
            <w:tcW w:w="438" w:type="pct"/>
            <w:tcBorders>
              <w:top w:val="nil"/>
              <w:left w:val="nil"/>
              <w:bottom w:val="single" w:sz="8" w:space="0" w:color="auto"/>
              <w:right w:val="single" w:sz="8" w:space="0" w:color="auto"/>
            </w:tcBorders>
            <w:shd w:val="clear" w:color="auto" w:fill="auto"/>
            <w:noWrap/>
            <w:vAlign w:val="center"/>
            <w:hideMark/>
          </w:tcPr>
          <w:p w14:paraId="20CE4600"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227.503.391</w:t>
            </w:r>
          </w:p>
        </w:tc>
        <w:tc>
          <w:tcPr>
            <w:tcW w:w="436" w:type="pct"/>
            <w:tcBorders>
              <w:top w:val="nil"/>
              <w:left w:val="nil"/>
              <w:bottom w:val="single" w:sz="8" w:space="0" w:color="auto"/>
              <w:right w:val="single" w:sz="8" w:space="0" w:color="auto"/>
            </w:tcBorders>
            <w:shd w:val="clear" w:color="auto" w:fill="auto"/>
            <w:noWrap/>
            <w:vAlign w:val="center"/>
            <w:hideMark/>
          </w:tcPr>
          <w:p w14:paraId="24603FAD"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232.096.201</w:t>
            </w:r>
          </w:p>
        </w:tc>
        <w:tc>
          <w:tcPr>
            <w:tcW w:w="438" w:type="pct"/>
            <w:tcBorders>
              <w:top w:val="nil"/>
              <w:left w:val="nil"/>
              <w:bottom w:val="single" w:sz="8" w:space="0" w:color="auto"/>
              <w:right w:val="single" w:sz="8" w:space="0" w:color="auto"/>
            </w:tcBorders>
            <w:shd w:val="clear" w:color="auto" w:fill="auto"/>
            <w:noWrap/>
            <w:vAlign w:val="center"/>
            <w:hideMark/>
          </w:tcPr>
          <w:p w14:paraId="1B7782E0"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232.096.202</w:t>
            </w:r>
          </w:p>
        </w:tc>
        <w:tc>
          <w:tcPr>
            <w:tcW w:w="494" w:type="pct"/>
            <w:tcBorders>
              <w:top w:val="nil"/>
              <w:left w:val="nil"/>
              <w:bottom w:val="single" w:sz="8" w:space="0" w:color="auto"/>
              <w:right w:val="single" w:sz="8" w:space="0" w:color="auto"/>
            </w:tcBorders>
            <w:shd w:val="clear" w:color="auto" w:fill="auto"/>
            <w:noWrap/>
            <w:vAlign w:val="center"/>
            <w:hideMark/>
          </w:tcPr>
          <w:p w14:paraId="52E49999" w14:textId="77777777" w:rsidR="004C52FF" w:rsidRPr="00C57B56" w:rsidRDefault="004C52FF" w:rsidP="004C52FF">
            <w:pPr>
              <w:widowControl w:val="0"/>
              <w:suppressAutoHyphens w:val="0"/>
              <w:autoSpaceDE w:val="0"/>
              <w:spacing w:after="0" w:line="240" w:lineRule="auto"/>
              <w:jc w:val="right"/>
              <w:rPr>
                <w:rFonts w:cs="Arial"/>
                <w:color w:val="000000"/>
                <w:sz w:val="14"/>
                <w:szCs w:val="14"/>
              </w:rPr>
            </w:pPr>
            <w:r w:rsidRPr="00C57B56">
              <w:rPr>
                <w:rFonts w:cs="Arial"/>
                <w:color w:val="000000"/>
                <w:sz w:val="14"/>
                <w:szCs w:val="14"/>
              </w:rPr>
              <w:t>3.212.667.453</w:t>
            </w:r>
          </w:p>
        </w:tc>
      </w:tr>
    </w:tbl>
    <w:p w14:paraId="535F4B92" w14:textId="159F03CF" w:rsidR="004C52FF" w:rsidRDefault="00E23C93" w:rsidP="473E32AA">
      <w:pPr>
        <w:tabs>
          <w:tab w:val="left" w:pos="1820"/>
        </w:tabs>
        <w:spacing w:after="0" w:line="276" w:lineRule="auto"/>
        <w:jc w:val="both"/>
        <w:rPr>
          <w:rFonts w:cs="Arial"/>
        </w:rPr>
      </w:pPr>
      <w:r w:rsidRPr="00C57B56">
        <w:rPr>
          <w:rFonts w:cs="Arial"/>
          <w:sz w:val="14"/>
          <w:szCs w:val="14"/>
        </w:rPr>
        <w:t>V</w:t>
      </w:r>
      <w:r>
        <w:rPr>
          <w:rFonts w:cs="Arial"/>
        </w:rPr>
        <w:t>ir: PEKP 21-27 (2021)</w:t>
      </w:r>
    </w:p>
    <w:p w14:paraId="4780D41C" w14:textId="77777777" w:rsidR="002C6270" w:rsidRDefault="002C6270" w:rsidP="473E32AA">
      <w:pPr>
        <w:tabs>
          <w:tab w:val="left" w:pos="1820"/>
        </w:tabs>
        <w:spacing w:after="0" w:line="276" w:lineRule="auto"/>
        <w:jc w:val="both"/>
        <w:rPr>
          <w:rFonts w:cs="Arial"/>
        </w:rPr>
      </w:pPr>
    </w:p>
    <w:p w14:paraId="62187BF3" w14:textId="22A31110" w:rsidR="0C43467E" w:rsidRDefault="72667313" w:rsidP="000B2C28">
      <w:pPr>
        <w:pStyle w:val="Naslov2"/>
      </w:pPr>
      <w:bookmarkStart w:id="4332" w:name="_Toc192682036"/>
      <w:r>
        <w:lastRenderedPageBreak/>
        <w:t xml:space="preserve">9.3 </w:t>
      </w:r>
      <w:r w:rsidR="40135CD4">
        <w:t>OCENA</w:t>
      </w:r>
      <w:r w:rsidR="454A2F0C">
        <w:t xml:space="preserve"> DOSEGANJ</w:t>
      </w:r>
      <w:r w:rsidR="6B3B04B6">
        <w:t>A PODNEBNIH CILJEV IN DRUGIH CILJEV PROGRAMA</w:t>
      </w:r>
      <w:bookmarkEnd w:id="4332"/>
      <w:r w:rsidR="454A2F0C">
        <w:t xml:space="preserve"> </w:t>
      </w:r>
    </w:p>
    <w:p w14:paraId="50AAAD8E" w14:textId="77777777" w:rsidR="473E32AA" w:rsidRDefault="473E32AA" w:rsidP="473E32AA">
      <w:pPr>
        <w:tabs>
          <w:tab w:val="left" w:pos="1820"/>
        </w:tabs>
        <w:spacing w:after="0" w:line="276" w:lineRule="auto"/>
        <w:jc w:val="both"/>
        <w:rPr>
          <w:rFonts w:cs="Arial"/>
        </w:rPr>
      </w:pPr>
    </w:p>
    <w:p w14:paraId="0D0EAB95" w14:textId="0DABA717" w:rsidR="0095622F" w:rsidRDefault="76AAA02C" w:rsidP="473E32AA">
      <w:pPr>
        <w:tabs>
          <w:tab w:val="left" w:pos="1820"/>
        </w:tabs>
        <w:spacing w:after="0" w:line="276" w:lineRule="auto"/>
        <w:jc w:val="both"/>
        <w:rPr>
          <w:rFonts w:cs="Arial"/>
        </w:rPr>
      </w:pPr>
      <w:r w:rsidRPr="00F7FCEE">
        <w:rPr>
          <w:rFonts w:cs="Arial"/>
        </w:rPr>
        <w:t xml:space="preserve">V skladu z določbami Uredbe (EU) </w:t>
      </w:r>
      <w:r w:rsidR="440BB86B" w:rsidRPr="00F7FCEE">
        <w:rPr>
          <w:rFonts w:cs="Arial"/>
        </w:rPr>
        <w:t>2021/1058 o Evropskem skladu za regionalni razvoj in Kohezijskem skladu morajo operacije v okviru ESRR prispevat</w:t>
      </w:r>
      <w:r w:rsidR="18E9BB7D" w:rsidRPr="00F7FCEE">
        <w:rPr>
          <w:rFonts w:cs="Arial"/>
        </w:rPr>
        <w:t>i</w:t>
      </w:r>
      <w:r w:rsidR="440BB86B" w:rsidRPr="00F7FCEE">
        <w:rPr>
          <w:rFonts w:cs="Arial"/>
        </w:rPr>
        <w:t xml:space="preserve"> 30 % skupnih finančnih sredstev ESRR za podnebne cilje. Operacije v okviru Kohezijskega sklada </w:t>
      </w:r>
      <w:r w:rsidR="7843E3C8" w:rsidRPr="00F7FCEE">
        <w:rPr>
          <w:rFonts w:cs="Arial"/>
        </w:rPr>
        <w:t xml:space="preserve">pa morajo </w:t>
      </w:r>
      <w:r w:rsidR="440BB86B" w:rsidRPr="00F7FCEE">
        <w:rPr>
          <w:rFonts w:cs="Arial"/>
        </w:rPr>
        <w:t>prispeva</w:t>
      </w:r>
      <w:r w:rsidR="33EA286A" w:rsidRPr="00F7FCEE">
        <w:rPr>
          <w:rFonts w:cs="Arial"/>
        </w:rPr>
        <w:t>ti</w:t>
      </w:r>
      <w:r w:rsidR="440BB86B" w:rsidRPr="00F7FCEE">
        <w:rPr>
          <w:rFonts w:cs="Arial"/>
        </w:rPr>
        <w:t xml:space="preserve"> 37 % skupnih finančnih sredstev Kohezijskega sklada za podnebne cilje</w:t>
      </w:r>
      <w:r w:rsidR="55C44D95" w:rsidRPr="00F7FCEE">
        <w:rPr>
          <w:rFonts w:cs="Arial"/>
        </w:rPr>
        <w:t>.</w:t>
      </w:r>
    </w:p>
    <w:p w14:paraId="5F2F2107" w14:textId="01C014AD" w:rsidR="473E32AA" w:rsidRDefault="473E32AA" w:rsidP="473E32AA">
      <w:pPr>
        <w:tabs>
          <w:tab w:val="left" w:pos="1820"/>
        </w:tabs>
        <w:spacing w:after="0" w:line="276" w:lineRule="auto"/>
        <w:jc w:val="both"/>
        <w:rPr>
          <w:rFonts w:cs="Arial"/>
        </w:rPr>
      </w:pPr>
    </w:p>
    <w:p w14:paraId="7038F7BF" w14:textId="5A9F90FF" w:rsidR="480BC33C" w:rsidRPr="00A11EF1" w:rsidRDefault="55C44D95" w:rsidP="00F7FCEE">
      <w:pPr>
        <w:tabs>
          <w:tab w:val="left" w:pos="1820"/>
        </w:tabs>
        <w:spacing w:after="0" w:line="276" w:lineRule="auto"/>
        <w:jc w:val="both"/>
        <w:rPr>
          <w:rFonts w:cs="Arial"/>
        </w:rPr>
      </w:pPr>
      <w:r w:rsidRPr="00F7FCEE">
        <w:rPr>
          <w:rFonts w:cs="Arial"/>
        </w:rPr>
        <w:t xml:space="preserve">Pregled prispevka k podnebnim ciljem </w:t>
      </w:r>
      <w:r w:rsidR="5A444889" w:rsidRPr="00F7FCEE">
        <w:rPr>
          <w:rFonts w:cs="Arial"/>
        </w:rPr>
        <w:t xml:space="preserve">po dokončno dodelitvi zneska prožnosti </w:t>
      </w:r>
      <w:r w:rsidR="4ADA4FF1" w:rsidRPr="00F7FCEE">
        <w:rPr>
          <w:rFonts w:cs="Arial"/>
        </w:rPr>
        <w:t>bo pripravljen na osnovi končne prerazporeditve sredstev med speci</w:t>
      </w:r>
      <w:r w:rsidR="1D3ED125" w:rsidRPr="00F7FCEE">
        <w:rPr>
          <w:rFonts w:cs="Arial"/>
        </w:rPr>
        <w:t xml:space="preserve">fičnimi cilji, ki mora biti izdelana na način, </w:t>
      </w:r>
      <w:r w:rsidR="6CBAC385" w:rsidRPr="00F7FCEE">
        <w:rPr>
          <w:rFonts w:cs="Arial"/>
        </w:rPr>
        <w:t xml:space="preserve">da sprememba programa ne bo </w:t>
      </w:r>
      <w:r w:rsidR="4A4A1F00" w:rsidRPr="00F7FCEE">
        <w:rPr>
          <w:rFonts w:cs="Arial"/>
        </w:rPr>
        <w:t>vplival</w:t>
      </w:r>
      <w:r w:rsidR="6924A8E2" w:rsidRPr="00F7FCEE">
        <w:rPr>
          <w:rFonts w:cs="Arial"/>
        </w:rPr>
        <w:t>a</w:t>
      </w:r>
      <w:r w:rsidR="4A4A1F00" w:rsidRPr="00F7FCEE">
        <w:rPr>
          <w:rFonts w:cs="Arial"/>
        </w:rPr>
        <w:t xml:space="preserve"> na doseganje podnebnih ciljev.</w:t>
      </w:r>
    </w:p>
    <w:p w14:paraId="21628AA4" w14:textId="17173985" w:rsidR="473E32AA" w:rsidRDefault="473E32AA" w:rsidP="473E32AA">
      <w:pPr>
        <w:tabs>
          <w:tab w:val="left" w:pos="1820"/>
        </w:tabs>
        <w:spacing w:after="0" w:line="276" w:lineRule="auto"/>
        <w:jc w:val="both"/>
        <w:rPr>
          <w:rFonts w:cs="Arial"/>
        </w:rPr>
      </w:pPr>
    </w:p>
    <w:p w14:paraId="10F5E055" w14:textId="285D6F1C" w:rsidR="7DDDC96F" w:rsidRDefault="4A4A1F00" w:rsidP="473E32AA">
      <w:pPr>
        <w:tabs>
          <w:tab w:val="left" w:pos="1820"/>
        </w:tabs>
        <w:spacing w:after="0" w:line="276" w:lineRule="auto"/>
        <w:jc w:val="both"/>
        <w:rPr>
          <w:rFonts w:cs="Arial"/>
        </w:rPr>
      </w:pPr>
      <w:r w:rsidRPr="00F7FCEE">
        <w:rPr>
          <w:rFonts w:cs="Arial"/>
        </w:rPr>
        <w:t>Glede na to, da vmesno poročilo ne pr</w:t>
      </w:r>
      <w:r w:rsidR="477401BA" w:rsidRPr="00F7FCEE">
        <w:rPr>
          <w:rFonts w:cs="Arial"/>
        </w:rPr>
        <w:t>edvideva sprememb na ravni specifičnih ciljev</w:t>
      </w:r>
      <w:r w:rsidR="2EDA0C82" w:rsidRPr="00F7FCEE">
        <w:rPr>
          <w:rFonts w:cs="Arial"/>
        </w:rPr>
        <w:t>, ocenjujemo, da</w:t>
      </w:r>
      <w:r w:rsidR="1237192A" w:rsidRPr="00F7FCEE">
        <w:rPr>
          <w:rFonts w:cs="Arial"/>
        </w:rPr>
        <w:t xml:space="preserve"> strateški cilji programa niso ogroženi.</w:t>
      </w:r>
      <w:r w:rsidRPr="00F7FCEE">
        <w:rPr>
          <w:rFonts w:cs="Arial"/>
        </w:rPr>
        <w:t xml:space="preserve"> </w:t>
      </w:r>
    </w:p>
    <w:p w14:paraId="03F891ED" w14:textId="77777777" w:rsidR="000E7A5A" w:rsidRPr="00F425EA" w:rsidRDefault="000E7A5A" w:rsidP="00E247FF">
      <w:pPr>
        <w:tabs>
          <w:tab w:val="left" w:pos="1820"/>
        </w:tabs>
        <w:spacing w:after="0" w:line="276" w:lineRule="auto"/>
        <w:jc w:val="both"/>
        <w:rPr>
          <w:rFonts w:cs="Arial"/>
        </w:rPr>
      </w:pPr>
    </w:p>
    <w:p w14:paraId="7202E159" w14:textId="09092474" w:rsidR="000E7A5A" w:rsidRPr="00F425EA" w:rsidRDefault="0EE92F69" w:rsidP="000B2C28">
      <w:pPr>
        <w:pStyle w:val="Naslov2"/>
      </w:pPr>
      <w:bookmarkStart w:id="4333" w:name="_Toc192682037"/>
      <w:r>
        <w:t>9.</w:t>
      </w:r>
      <w:r w:rsidR="7083E72D">
        <w:t>4</w:t>
      </w:r>
      <w:r>
        <w:t xml:space="preserve"> </w:t>
      </w:r>
      <w:r w:rsidR="1264AABC">
        <w:t>IZHODIŠČA ZA SPREMEMBO PEKP 21</w:t>
      </w:r>
      <w:r w:rsidR="1264AABC" w:rsidRPr="00F7FCEE">
        <w:rPr>
          <w:sz w:val="22"/>
          <w:szCs w:val="22"/>
        </w:rPr>
        <w:t>–</w:t>
      </w:r>
      <w:r w:rsidR="1264AABC">
        <w:t>27</w:t>
      </w:r>
      <w:bookmarkEnd w:id="4333"/>
      <w:r w:rsidR="1264AABC">
        <w:t xml:space="preserve"> </w:t>
      </w:r>
    </w:p>
    <w:p w14:paraId="738C12A2" w14:textId="77777777" w:rsidR="000E7A5A" w:rsidRPr="00F425EA" w:rsidRDefault="000E7A5A" w:rsidP="00E247FF">
      <w:pPr>
        <w:tabs>
          <w:tab w:val="left" w:pos="1820"/>
        </w:tabs>
        <w:spacing w:after="0" w:line="276" w:lineRule="auto"/>
        <w:jc w:val="both"/>
        <w:rPr>
          <w:rFonts w:cs="Arial"/>
        </w:rPr>
      </w:pPr>
    </w:p>
    <w:p w14:paraId="5B0FD750" w14:textId="4677F27D" w:rsidR="006D3EA7" w:rsidRPr="006D3EA7" w:rsidRDefault="006D3EA7" w:rsidP="006D3EA7">
      <w:pPr>
        <w:tabs>
          <w:tab w:val="left" w:pos="1820"/>
        </w:tabs>
        <w:spacing w:after="0"/>
        <w:jc w:val="both"/>
        <w:rPr>
          <w:szCs w:val="20"/>
        </w:rPr>
      </w:pPr>
      <w:r w:rsidRPr="006D3EA7">
        <w:rPr>
          <w:rFonts w:cs="Arial"/>
          <w:szCs w:val="20"/>
        </w:rPr>
        <w:t>Ob upoštevanju zgoraj navedenega ocenjujemo, da bi bilo smiselno oblikovati predlog spremembe PEKP 21–27 ob upoštevanju naslednjih izhodišč:</w:t>
      </w:r>
    </w:p>
    <w:p w14:paraId="33404051" w14:textId="77777777" w:rsidR="006D3EA7" w:rsidRPr="006D3EA7" w:rsidRDefault="006D3EA7" w:rsidP="006D3EA7">
      <w:pPr>
        <w:numPr>
          <w:ilvl w:val="0"/>
          <w:numId w:val="66"/>
        </w:numPr>
        <w:tabs>
          <w:tab w:val="left" w:pos="1820"/>
        </w:tabs>
        <w:suppressAutoHyphens w:val="0"/>
        <w:autoSpaceDN/>
        <w:spacing w:after="0" w:line="259" w:lineRule="auto"/>
        <w:ind w:left="540" w:hanging="450"/>
        <w:contextualSpacing/>
        <w:jc w:val="both"/>
        <w:rPr>
          <w:szCs w:val="20"/>
        </w:rPr>
      </w:pPr>
      <w:r w:rsidRPr="006D3EA7">
        <w:rPr>
          <w:rFonts w:cs="Arial"/>
          <w:szCs w:val="20"/>
        </w:rPr>
        <w:t xml:space="preserve">Identifikacija in vključevanje ukrepov, ki ustrezajo ciljem in pogojem platforme STEP v izvajanje PEKP 21–27;  </w:t>
      </w:r>
    </w:p>
    <w:p w14:paraId="42F02E94" w14:textId="413EE40F" w:rsidR="006D3EA7" w:rsidRPr="006D3EA7" w:rsidRDefault="006D3EA7" w:rsidP="006D3EA7">
      <w:pPr>
        <w:numPr>
          <w:ilvl w:val="0"/>
          <w:numId w:val="66"/>
        </w:numPr>
        <w:tabs>
          <w:tab w:val="left" w:pos="1820"/>
        </w:tabs>
        <w:suppressAutoHyphens w:val="0"/>
        <w:autoSpaceDN/>
        <w:spacing w:after="0" w:line="259" w:lineRule="auto"/>
        <w:ind w:left="540" w:hanging="450"/>
        <w:contextualSpacing/>
        <w:jc w:val="both"/>
        <w:rPr>
          <w:szCs w:val="20"/>
        </w:rPr>
      </w:pPr>
      <w:r w:rsidRPr="006D3EA7">
        <w:rPr>
          <w:rFonts w:cs="Arial"/>
          <w:szCs w:val="20"/>
        </w:rPr>
        <w:t xml:space="preserve">identifikacija ukrepov, ki so tvegani z vidika pravočasnosti izvedbe in porabe EU sredstev in lahko bistveno vplivajo na učinkovitost izvajanja PEKP 21–27; </w:t>
      </w:r>
    </w:p>
    <w:p w14:paraId="1337C4BA" w14:textId="77777777" w:rsidR="006D3EA7" w:rsidRPr="006D3EA7" w:rsidRDefault="006D3EA7" w:rsidP="006D3EA7">
      <w:pPr>
        <w:numPr>
          <w:ilvl w:val="0"/>
          <w:numId w:val="66"/>
        </w:numPr>
        <w:tabs>
          <w:tab w:val="left" w:pos="1820"/>
        </w:tabs>
        <w:suppressAutoHyphens w:val="0"/>
        <w:autoSpaceDN/>
        <w:spacing w:after="0" w:line="259" w:lineRule="auto"/>
        <w:ind w:left="540" w:hanging="450"/>
        <w:contextualSpacing/>
        <w:jc w:val="both"/>
        <w:rPr>
          <w:szCs w:val="20"/>
        </w:rPr>
      </w:pPr>
      <w:r w:rsidRPr="006D3EA7">
        <w:rPr>
          <w:rFonts w:cs="Arial"/>
          <w:szCs w:val="20"/>
        </w:rPr>
        <w:t xml:space="preserve">identifikacija ukrepov, ki izkazujejo visoko stopnjo pripravljenosti oziroma kjer obstaja visok absorpcijski potencial in lahko pospešijo porabo EU sredstev v letih 2025 in 2026 in prispevajo k doseganju pravila N+3, med njimi sodijo tudi nekateri ukrepi Načrta za okrevanje in odpornost; </w:t>
      </w:r>
    </w:p>
    <w:p w14:paraId="5D82C8B1" w14:textId="77777777" w:rsidR="006D3EA7" w:rsidRPr="006D3EA7" w:rsidRDefault="006D3EA7" w:rsidP="006D3EA7">
      <w:pPr>
        <w:numPr>
          <w:ilvl w:val="0"/>
          <w:numId w:val="66"/>
        </w:numPr>
        <w:tabs>
          <w:tab w:val="left" w:pos="1820"/>
        </w:tabs>
        <w:suppressAutoHyphens w:val="0"/>
        <w:autoSpaceDN/>
        <w:spacing w:after="0" w:line="259" w:lineRule="auto"/>
        <w:ind w:left="540" w:hanging="450"/>
        <w:contextualSpacing/>
        <w:jc w:val="both"/>
        <w:rPr>
          <w:szCs w:val="20"/>
        </w:rPr>
      </w:pPr>
      <w:r w:rsidRPr="006D3EA7">
        <w:rPr>
          <w:rFonts w:cs="Arial"/>
          <w:szCs w:val="20"/>
        </w:rPr>
        <w:t xml:space="preserve">Identifikacija ukrepov za dodatno krepitev administrativne usposobljenosti pri izvajanju PEKP 21–27, zlasti pri izpolnjevanju novih regulatornih zahtev in pravil za izvajanje kohezijske politike. </w:t>
      </w:r>
    </w:p>
    <w:p w14:paraId="7D5A262F" w14:textId="77777777" w:rsidR="006D3EA7" w:rsidRPr="006D3EA7" w:rsidRDefault="006D3EA7" w:rsidP="006D3EA7">
      <w:pPr>
        <w:tabs>
          <w:tab w:val="left" w:pos="1820"/>
        </w:tabs>
        <w:spacing w:after="0"/>
        <w:jc w:val="both"/>
        <w:rPr>
          <w:szCs w:val="20"/>
        </w:rPr>
      </w:pPr>
    </w:p>
    <w:p w14:paraId="0677CAE5" w14:textId="77777777" w:rsidR="006D3EA7" w:rsidRDefault="006D3EA7" w:rsidP="006D3EA7">
      <w:pPr>
        <w:tabs>
          <w:tab w:val="left" w:pos="1820"/>
        </w:tabs>
        <w:spacing w:after="0"/>
        <w:jc w:val="both"/>
        <w:rPr>
          <w:rFonts w:cs="Arial"/>
          <w:szCs w:val="20"/>
        </w:rPr>
      </w:pPr>
      <w:r w:rsidRPr="006D3EA7">
        <w:rPr>
          <w:rFonts w:cs="Arial"/>
          <w:b/>
          <w:bCs/>
          <w:szCs w:val="20"/>
        </w:rPr>
        <w:t>Poročilo o državi - Slovenija 2024</w:t>
      </w:r>
      <w:r w:rsidRPr="006D3EA7">
        <w:rPr>
          <w:rFonts w:cs="Arial"/>
          <w:szCs w:val="20"/>
        </w:rPr>
        <w:t xml:space="preserve"> Sloveniji med drugim priporoča koriščenje priložnosti, ki jih ponuja platforma za strateške tehnologije za Evropo (STEP), da bi spodbudila naložbe v razvoj in proizvodnjo čistih in z viri gospodarnih tehnologij. Hkrati ugotavlja, da je za dolgoročno konkurenčnost in vzdržnost slovenskih podjetij ključno reševanje problematike pomanjkanja spretnosti in delovne sile. </w:t>
      </w:r>
    </w:p>
    <w:p w14:paraId="472061F6" w14:textId="77777777" w:rsidR="00DF1BF5" w:rsidRPr="006D3EA7" w:rsidRDefault="00DF1BF5" w:rsidP="006D3EA7">
      <w:pPr>
        <w:tabs>
          <w:tab w:val="left" w:pos="1820"/>
        </w:tabs>
        <w:spacing w:after="0"/>
        <w:jc w:val="both"/>
        <w:rPr>
          <w:rFonts w:cs="Arial"/>
          <w:szCs w:val="20"/>
        </w:rPr>
      </w:pPr>
    </w:p>
    <w:p w14:paraId="3CAF635F" w14:textId="3D9886C5" w:rsidR="006D3EA7" w:rsidRDefault="1F2E846F" w:rsidP="00F7FCEE">
      <w:pPr>
        <w:tabs>
          <w:tab w:val="left" w:pos="1820"/>
        </w:tabs>
        <w:spacing w:after="0"/>
        <w:jc w:val="both"/>
        <w:rPr>
          <w:rFonts w:cs="Arial"/>
        </w:rPr>
      </w:pPr>
      <w:r w:rsidRPr="00F7FCEE">
        <w:rPr>
          <w:rFonts w:cs="Arial"/>
        </w:rPr>
        <w:t>Kljub dejstvu, da zaposlenost ostaja na visoki ravni, brezposelnost pa je dosegla doslej najnižjo raven, pomanjkanje</w:t>
      </w:r>
      <w:r w:rsidR="45DA5092" w:rsidRPr="00F7FCEE">
        <w:rPr>
          <w:rFonts w:cs="Arial"/>
        </w:rPr>
        <w:t xml:space="preserve"> znanj</w:t>
      </w:r>
      <w:r w:rsidRPr="00F7FCEE">
        <w:rPr>
          <w:rFonts w:cs="Arial"/>
        </w:rPr>
        <w:t xml:space="preserve"> in spretnosti zavira gospodarsko rast. Naslavljanje te vrzeli je ključnega pomena za zagotavljanje dolgoročne rasti in izboljšanje konkurenčnosti. </w:t>
      </w:r>
    </w:p>
    <w:p w14:paraId="42386E72" w14:textId="77777777" w:rsidR="00DF1BF5" w:rsidRPr="006D3EA7" w:rsidRDefault="00DF1BF5" w:rsidP="006D3EA7">
      <w:pPr>
        <w:tabs>
          <w:tab w:val="left" w:pos="1820"/>
        </w:tabs>
        <w:spacing w:after="0"/>
        <w:jc w:val="both"/>
        <w:rPr>
          <w:rFonts w:cs="Arial"/>
          <w:szCs w:val="20"/>
        </w:rPr>
      </w:pPr>
    </w:p>
    <w:p w14:paraId="2F84057C" w14:textId="63BBFFFC" w:rsidR="006D3EA7" w:rsidRDefault="1F2E846F" w:rsidP="00F7FCEE">
      <w:pPr>
        <w:tabs>
          <w:tab w:val="left" w:pos="1820"/>
        </w:tabs>
        <w:spacing w:after="0"/>
        <w:jc w:val="both"/>
        <w:rPr>
          <w:rFonts w:cs="Arial"/>
        </w:rPr>
      </w:pPr>
      <w:r w:rsidRPr="00F7FCEE">
        <w:rPr>
          <w:rFonts w:cs="Arial"/>
        </w:rPr>
        <w:t>Navedeno pomeni, da je smiselno del sredstev PEKP 21</w:t>
      </w:r>
      <w:r w:rsidR="1C480F6F" w:rsidRPr="00F7FCEE">
        <w:rPr>
          <w:rFonts w:cs="Arial"/>
        </w:rPr>
        <w:t>–</w:t>
      </w:r>
      <w:r w:rsidRPr="00F7FCEE">
        <w:rPr>
          <w:rFonts w:cs="Arial"/>
        </w:rPr>
        <w:t>27 iz trenutnih spodbud za zaposlitev preusmeriti v odpravo pomanjkanja razpoložljivosti delovne sile</w:t>
      </w:r>
      <w:r w:rsidR="4E375C2D" w:rsidRPr="00F7FCEE">
        <w:rPr>
          <w:rFonts w:cs="Arial"/>
        </w:rPr>
        <w:t>, znanj in spretnosti</w:t>
      </w:r>
      <w:r w:rsidRPr="00F7FCEE">
        <w:rPr>
          <w:rFonts w:cs="Arial"/>
        </w:rPr>
        <w:t xml:space="preserve"> za prehajanje v produktivnejše sektorje. </w:t>
      </w:r>
    </w:p>
    <w:p w14:paraId="7BC4CD85" w14:textId="77777777" w:rsidR="00DF1BF5" w:rsidRPr="006D3EA7" w:rsidRDefault="00DF1BF5" w:rsidP="006D3EA7">
      <w:pPr>
        <w:tabs>
          <w:tab w:val="left" w:pos="1820"/>
        </w:tabs>
        <w:spacing w:after="0"/>
        <w:jc w:val="both"/>
        <w:rPr>
          <w:rFonts w:cs="Arial"/>
          <w:szCs w:val="20"/>
        </w:rPr>
      </w:pPr>
    </w:p>
    <w:p w14:paraId="76D334F1" w14:textId="45FC4D2C" w:rsidR="006D3EA7" w:rsidRDefault="006D3EA7" w:rsidP="006D3EA7">
      <w:pPr>
        <w:tabs>
          <w:tab w:val="left" w:pos="1820"/>
        </w:tabs>
        <w:spacing w:after="0"/>
        <w:jc w:val="both"/>
        <w:rPr>
          <w:rFonts w:cs="Arial"/>
          <w:szCs w:val="20"/>
        </w:rPr>
      </w:pPr>
      <w:r w:rsidRPr="006D3EA7">
        <w:rPr>
          <w:rFonts w:cs="Arial"/>
          <w:szCs w:val="20"/>
        </w:rPr>
        <w:t xml:space="preserve">Zato je še pomembnejše, da se za namen podpore projektom za razvoj znanj in spretnosti, predvidijo dodatne vsebinske in finančne okrepitve programov izobraževanja, usposabljanja in prekvalifikacij, s končnim ciljem povečanja udeležbe odraslih v izobraževanju in usposabljanju. </w:t>
      </w:r>
      <w:r w:rsidR="00E836DB">
        <w:rPr>
          <w:rFonts w:cs="Arial"/>
          <w:szCs w:val="20"/>
        </w:rPr>
        <w:t>Podrobnejša vsebina in način izvajanja ukrepov se predvidi v okviru spremembe PEKP 21-27.</w:t>
      </w:r>
    </w:p>
    <w:p w14:paraId="3CE3C674" w14:textId="77777777" w:rsidR="00E836DB" w:rsidRPr="006D3EA7" w:rsidRDefault="00E836DB" w:rsidP="006D3EA7">
      <w:pPr>
        <w:tabs>
          <w:tab w:val="left" w:pos="1820"/>
        </w:tabs>
        <w:spacing w:after="0"/>
        <w:jc w:val="both"/>
        <w:rPr>
          <w:rFonts w:cs="Arial"/>
          <w:szCs w:val="20"/>
        </w:rPr>
      </w:pPr>
    </w:p>
    <w:p w14:paraId="4D10E911" w14:textId="5A4B8D5C" w:rsidR="006D3EA7" w:rsidRPr="006D3EA7" w:rsidRDefault="006D3EA7" w:rsidP="006D3EA7">
      <w:pPr>
        <w:tabs>
          <w:tab w:val="left" w:pos="1820"/>
        </w:tabs>
        <w:spacing w:after="0"/>
        <w:jc w:val="both"/>
        <w:rPr>
          <w:szCs w:val="20"/>
        </w:rPr>
      </w:pPr>
      <w:r w:rsidRPr="006D3EA7">
        <w:rPr>
          <w:rFonts w:cs="Arial"/>
          <w:szCs w:val="20"/>
        </w:rPr>
        <w:t>Z vključevanjem ukrepov platforme v izvajanje PEKP 21</w:t>
      </w:r>
      <w:r w:rsidR="00DF1BF5" w:rsidRPr="006D3EA7">
        <w:rPr>
          <w:rFonts w:cs="Arial"/>
          <w:szCs w:val="20"/>
        </w:rPr>
        <w:t>–</w:t>
      </w:r>
      <w:r w:rsidRPr="006D3EA7">
        <w:rPr>
          <w:rFonts w:cs="Arial"/>
          <w:szCs w:val="20"/>
        </w:rPr>
        <w:t>27 bo s sredstvi evropske kohezijske politike za obdobje 2021–2027 možno zasledovati ključna cilja Uredbe STEP, in sicer:</w:t>
      </w:r>
    </w:p>
    <w:p w14:paraId="1CCA156F" w14:textId="77777777" w:rsidR="006D3EA7" w:rsidRPr="006D3EA7" w:rsidRDefault="006D3EA7" w:rsidP="006D3EA7">
      <w:pPr>
        <w:numPr>
          <w:ilvl w:val="0"/>
          <w:numId w:val="67"/>
        </w:numPr>
        <w:tabs>
          <w:tab w:val="left" w:pos="1820"/>
        </w:tabs>
        <w:suppressAutoHyphens w:val="0"/>
        <w:autoSpaceDN/>
        <w:spacing w:after="0" w:line="259" w:lineRule="auto"/>
        <w:contextualSpacing/>
        <w:jc w:val="both"/>
        <w:rPr>
          <w:rFonts w:cs="Arial"/>
          <w:szCs w:val="20"/>
        </w:rPr>
      </w:pPr>
      <w:r w:rsidRPr="006D3EA7">
        <w:rPr>
          <w:rFonts w:cs="Arial"/>
          <w:szCs w:val="20"/>
        </w:rPr>
        <w:t>podporo razvoja in proizvodnji kritičnih tehnologij, z varovanjem in krepitvijo njihovih vrednostnih verig in</w:t>
      </w:r>
    </w:p>
    <w:p w14:paraId="0FA4F827" w14:textId="77777777" w:rsidR="006D3EA7" w:rsidRPr="006D3EA7" w:rsidRDefault="006D3EA7" w:rsidP="006D3EA7">
      <w:pPr>
        <w:numPr>
          <w:ilvl w:val="0"/>
          <w:numId w:val="67"/>
        </w:numPr>
        <w:tabs>
          <w:tab w:val="left" w:pos="1820"/>
        </w:tabs>
        <w:suppressAutoHyphens w:val="0"/>
        <w:autoSpaceDN/>
        <w:spacing w:after="0" w:line="259" w:lineRule="auto"/>
        <w:contextualSpacing/>
        <w:jc w:val="both"/>
        <w:rPr>
          <w:rFonts w:cs="Arial"/>
          <w:szCs w:val="20"/>
        </w:rPr>
      </w:pPr>
      <w:r w:rsidRPr="006D3EA7">
        <w:rPr>
          <w:rFonts w:cs="Arial"/>
          <w:szCs w:val="20"/>
        </w:rPr>
        <w:t>reševanje pomanjkanja delovne sile in spretnosti, ki je ključnega pomena za vse vrste kakovostnih delovnih mest.</w:t>
      </w:r>
    </w:p>
    <w:p w14:paraId="46D0A5D1" w14:textId="77777777" w:rsidR="006D3EA7" w:rsidRPr="006D3EA7" w:rsidRDefault="006D3EA7" w:rsidP="006D3EA7">
      <w:pPr>
        <w:tabs>
          <w:tab w:val="left" w:pos="1820"/>
        </w:tabs>
        <w:spacing w:after="0"/>
        <w:jc w:val="both"/>
        <w:rPr>
          <w:rFonts w:cs="Arial"/>
          <w:szCs w:val="20"/>
        </w:rPr>
      </w:pPr>
    </w:p>
    <w:p w14:paraId="4D761EDD" w14:textId="3B452397" w:rsidR="006D3EA7" w:rsidRPr="006D3EA7" w:rsidRDefault="006D3EA7" w:rsidP="006D3EA7">
      <w:pPr>
        <w:tabs>
          <w:tab w:val="left" w:pos="1820"/>
        </w:tabs>
        <w:spacing w:after="0"/>
        <w:jc w:val="both"/>
        <w:rPr>
          <w:sz w:val="21"/>
        </w:rPr>
      </w:pPr>
      <w:r w:rsidRPr="006D3EA7">
        <w:rPr>
          <w:rFonts w:cs="Arial"/>
          <w:szCs w:val="20"/>
        </w:rPr>
        <w:t xml:space="preserve">Skladno z usmeritvami Evropske komisije za področje izvajanja platforme se ukrepi načrtujejo v okviru posebnega specifičnega cilja, ki bo naslovil ključni cilj podpore razvoju in proizvodnji kritičnih tehnologij. </w:t>
      </w:r>
      <w:r w:rsidRPr="006D3EA7">
        <w:rPr>
          <w:rFonts w:cs="Arial"/>
          <w:szCs w:val="20"/>
        </w:rPr>
        <w:lastRenderedPageBreak/>
        <w:t>Naslavljanje pomanjkanja spretnosti in delovne sile nasploh bo obravnavala sprememba programa v okviru Cilja politike 4, ob upoštevanju potreb razvoja ključnih tehnologij. V ta namen ocenjujemo, da bodo ob spremembi PEKP 21–27 potrebne prerazporeditve sredstev najmanj v okviru Cilja politike 1 in Cilja politike 4.</w:t>
      </w:r>
    </w:p>
    <w:p w14:paraId="00F83CC4" w14:textId="77777777" w:rsidR="000E7A5A" w:rsidRPr="00F425EA" w:rsidRDefault="000E7A5A" w:rsidP="00623803">
      <w:pPr>
        <w:tabs>
          <w:tab w:val="left" w:pos="1820"/>
        </w:tabs>
        <w:spacing w:after="0" w:line="276" w:lineRule="auto"/>
        <w:jc w:val="both"/>
        <w:rPr>
          <w:rFonts w:cs="Arial"/>
        </w:rPr>
      </w:pPr>
    </w:p>
    <w:p w14:paraId="0137E2F1" w14:textId="27C8566C" w:rsidR="000E7A5A" w:rsidRPr="00F425EA" w:rsidRDefault="00306071" w:rsidP="00E247FF">
      <w:pPr>
        <w:tabs>
          <w:tab w:val="left" w:pos="1820"/>
        </w:tabs>
        <w:spacing w:after="0" w:line="276" w:lineRule="auto"/>
        <w:jc w:val="both"/>
        <w:rPr>
          <w:rFonts w:cs="Arial"/>
        </w:rPr>
      </w:pPr>
      <w:r w:rsidRPr="00F425EA">
        <w:rPr>
          <w:rFonts w:cs="Arial"/>
        </w:rPr>
        <w:t>Vključevanje ukrepov platforme STEP v PEKP 21</w:t>
      </w:r>
      <w:r w:rsidRPr="00F425EA">
        <w:rPr>
          <w:rFonts w:cs="Arial"/>
          <w:sz w:val="22"/>
          <w:szCs w:val="22"/>
        </w:rPr>
        <w:t>–</w:t>
      </w:r>
      <w:r w:rsidRPr="00F425EA">
        <w:rPr>
          <w:rFonts w:cs="Arial"/>
        </w:rPr>
        <w:t xml:space="preserve">27 bo prav tako prispevalo k zmanjšanju izgube dodeljenih pravic porabe oziroma prevzetih obveznosti Evropske komisije in doseganju pravila N+3 v letu 2025, saj bo s tem omogočeno 30 </w:t>
      </w:r>
      <w:r w:rsidR="00776359">
        <w:rPr>
          <w:rFonts w:cs="Arial"/>
        </w:rPr>
        <w:t>%</w:t>
      </w:r>
      <w:r w:rsidR="00776359" w:rsidRPr="00F425EA">
        <w:rPr>
          <w:rFonts w:cs="Arial"/>
        </w:rPr>
        <w:t xml:space="preserve"> </w:t>
      </w:r>
      <w:proofErr w:type="spellStart"/>
      <w:r w:rsidRPr="00F425EA">
        <w:rPr>
          <w:rFonts w:cs="Arial"/>
        </w:rPr>
        <w:t>predfinanciranje</w:t>
      </w:r>
      <w:proofErr w:type="spellEnd"/>
      <w:r w:rsidRPr="00F425EA">
        <w:rPr>
          <w:rFonts w:cs="Arial"/>
        </w:rPr>
        <w:t xml:space="preserve"> sredstev novega specifičnega cilja. </w:t>
      </w:r>
    </w:p>
    <w:p w14:paraId="1DA06F47" w14:textId="77777777" w:rsidR="007B7844" w:rsidRDefault="007B7844" w:rsidP="00E247FF">
      <w:pPr>
        <w:tabs>
          <w:tab w:val="left" w:pos="1820"/>
        </w:tabs>
        <w:spacing w:after="0" w:line="276" w:lineRule="auto"/>
        <w:jc w:val="both"/>
        <w:rPr>
          <w:rFonts w:cs="Arial"/>
        </w:rPr>
      </w:pPr>
    </w:p>
    <w:p w14:paraId="5809F54A" w14:textId="21CF0285" w:rsidR="000E7A5A" w:rsidRPr="00F425EA" w:rsidRDefault="00306071" w:rsidP="00E247FF">
      <w:pPr>
        <w:tabs>
          <w:tab w:val="left" w:pos="1820"/>
        </w:tabs>
        <w:spacing w:after="0" w:line="276" w:lineRule="auto"/>
        <w:jc w:val="both"/>
        <w:rPr>
          <w:rFonts w:cs="Arial"/>
        </w:rPr>
      </w:pPr>
      <w:r w:rsidRPr="00F425EA">
        <w:rPr>
          <w:rFonts w:cs="Arial"/>
        </w:rPr>
        <w:t>Z namenom povečanja porabe sredstev PEKP 21</w:t>
      </w:r>
      <w:r w:rsidRPr="00F425EA">
        <w:rPr>
          <w:rFonts w:cs="Arial"/>
          <w:sz w:val="22"/>
          <w:szCs w:val="22"/>
        </w:rPr>
        <w:t>–</w:t>
      </w:r>
      <w:r w:rsidRPr="00F425EA">
        <w:rPr>
          <w:rFonts w:cs="Arial"/>
        </w:rPr>
        <w:t xml:space="preserve">27 in doseganja pravila N+3 bi bilo prav tako smiselno preveriti možnosti prenosa nekaterih ukrepov NOO, ki zasledujejo cilje programa, njihova izvedba pa bila enostavnejša in učinkovitejša pod pravili izvajanja evropske kohezijske politike. Gre predvsem za ukrepe na področju spodbujanja prilagajanja podnebnim spremembam in preprečevanja tveganja nesreč ter odpornosti ter razvoja in krepitve trajnostne, pametne in </w:t>
      </w:r>
      <w:proofErr w:type="spellStart"/>
      <w:r w:rsidRPr="00F425EA">
        <w:rPr>
          <w:rFonts w:cs="Arial"/>
        </w:rPr>
        <w:t>intermodalne</w:t>
      </w:r>
      <w:proofErr w:type="spellEnd"/>
      <w:r w:rsidRPr="00F425EA">
        <w:rPr>
          <w:rFonts w:cs="Arial"/>
        </w:rPr>
        <w:t xml:space="preserve"> nacionalne, regionalne in lokalne mobilnosti, odporne proti podnebnim spremembam. </w:t>
      </w:r>
    </w:p>
    <w:p w14:paraId="11140B80" w14:textId="3771F6FE" w:rsidR="000E7A5A" w:rsidRPr="00F425EA" w:rsidRDefault="000E7A5A" w:rsidP="00E247FF">
      <w:pPr>
        <w:tabs>
          <w:tab w:val="left" w:pos="1820"/>
        </w:tabs>
        <w:spacing w:after="0" w:line="276" w:lineRule="auto"/>
        <w:jc w:val="both"/>
        <w:rPr>
          <w:rFonts w:cs="Arial"/>
        </w:rPr>
      </w:pPr>
    </w:p>
    <w:p w14:paraId="4909F6DB" w14:textId="1624836C" w:rsidR="000E7A5A" w:rsidRDefault="00306071" w:rsidP="00E247FF">
      <w:pPr>
        <w:tabs>
          <w:tab w:val="left" w:pos="1820"/>
        </w:tabs>
        <w:spacing w:after="0" w:line="276" w:lineRule="auto"/>
        <w:jc w:val="both"/>
        <w:rPr>
          <w:rFonts w:cs="Arial"/>
        </w:rPr>
      </w:pPr>
      <w:r w:rsidRPr="00F425EA">
        <w:rPr>
          <w:rFonts w:cs="Arial"/>
        </w:rPr>
        <w:t>Morebitni prenos ukrepov NOO v PEKP 21</w:t>
      </w:r>
      <w:r w:rsidRPr="00F425EA">
        <w:rPr>
          <w:rFonts w:cs="Arial"/>
          <w:sz w:val="22"/>
          <w:szCs w:val="22"/>
        </w:rPr>
        <w:t>–</w:t>
      </w:r>
      <w:r w:rsidRPr="00F425EA">
        <w:rPr>
          <w:rFonts w:cs="Arial"/>
        </w:rPr>
        <w:t>27 je treba načrtovati ob upoštevanju meril za izbor operacij v okviru PEKP 21</w:t>
      </w:r>
      <w:r w:rsidRPr="00F425EA">
        <w:rPr>
          <w:rFonts w:cs="Arial"/>
          <w:sz w:val="22"/>
          <w:szCs w:val="22"/>
        </w:rPr>
        <w:t>–</w:t>
      </w:r>
      <w:r w:rsidRPr="00F425EA">
        <w:rPr>
          <w:rFonts w:cs="Arial"/>
        </w:rPr>
        <w:t>27 in drugih pogojev za izbor operacij iz 73. člena Uredbe (EU) 2021/1060. Posebej izpostavljamo horizontalna načela, kot so določena v 9. členu Uredbe (EU) 2021/1060, zahteve glede zagotovitve odpornost infrastrukturnih naložb na podnebne spremembe s pričakovano življenjsko dobo najmanj pet let iz 73. člena, kot tudi zahteve iz Direktive 2011/92/EU Evropskega parlamenta in Sveta z dne 13. decembra 2011 o presoji vplivov nekaterih javnih in zasebnih projektov na okolje.</w:t>
      </w:r>
    </w:p>
    <w:p w14:paraId="303E2DB3" w14:textId="77777777" w:rsidR="00F425EA" w:rsidRPr="00F425EA" w:rsidRDefault="00F425EA" w:rsidP="00E247FF">
      <w:pPr>
        <w:tabs>
          <w:tab w:val="left" w:pos="1820"/>
        </w:tabs>
        <w:spacing w:after="0" w:line="276" w:lineRule="auto"/>
        <w:jc w:val="both"/>
        <w:rPr>
          <w:rFonts w:cs="Arial"/>
        </w:rPr>
      </w:pPr>
    </w:p>
    <w:p w14:paraId="1E5002BB" w14:textId="77777777" w:rsidR="000E7A5A" w:rsidRPr="00F425EA" w:rsidRDefault="00306071" w:rsidP="00E247FF">
      <w:pPr>
        <w:tabs>
          <w:tab w:val="left" w:pos="1820"/>
        </w:tabs>
        <w:spacing w:after="0" w:line="276" w:lineRule="auto"/>
        <w:jc w:val="both"/>
        <w:rPr>
          <w:rFonts w:cs="Arial"/>
        </w:rPr>
      </w:pPr>
      <w:r w:rsidRPr="00F425EA">
        <w:rPr>
          <w:rFonts w:cs="Arial"/>
        </w:rPr>
        <w:t>V smislu pospešitve koriščenja sredstev kohezijske politike ocenjujemo, da bo za posamezni ukrep potrebno vzpostaviti postopke za čim hitrejšo izdajo odločitve o podpori in izvajanje potrjene operacije.</w:t>
      </w:r>
    </w:p>
    <w:p w14:paraId="7E858B3C" w14:textId="77777777" w:rsidR="000E7A5A" w:rsidRPr="00F425EA" w:rsidRDefault="000E7A5A" w:rsidP="00E247FF">
      <w:pPr>
        <w:tabs>
          <w:tab w:val="left" w:pos="1820"/>
        </w:tabs>
        <w:spacing w:after="0" w:line="276" w:lineRule="auto"/>
        <w:jc w:val="both"/>
        <w:rPr>
          <w:rFonts w:cs="Arial"/>
        </w:rPr>
      </w:pPr>
    </w:p>
    <w:p w14:paraId="643B6BB0" w14:textId="1F4E675F" w:rsidR="000E7A5A" w:rsidRPr="00F425EA" w:rsidRDefault="00306071" w:rsidP="00E247FF">
      <w:pPr>
        <w:tabs>
          <w:tab w:val="left" w:pos="1820"/>
        </w:tabs>
        <w:spacing w:after="0" w:line="276" w:lineRule="auto"/>
        <w:jc w:val="both"/>
        <w:rPr>
          <w:rFonts w:cs="Arial"/>
        </w:rPr>
      </w:pPr>
      <w:r w:rsidRPr="00F425EA">
        <w:rPr>
          <w:rFonts w:cs="Arial"/>
        </w:rPr>
        <w:t>Za ukrepe, ki izkazujejo pomembne zamude v izvedbi in so tvegani z vidika pravočasne porabe EU sredstev predlagamo podrobnejšo analizo okoliščin in razlogov za zamudo, ob upoštevanju razlogov, navedenih v poglavju “Doseganje mejnikov in ciljev”, in opredelitev ukrepov v smislu zmanjšanja obsega sofinanciranja iz EU sredstev in iskanja drugih virov financiranja projektov, kjer je smiselno.</w:t>
      </w:r>
    </w:p>
    <w:p w14:paraId="569F388C" w14:textId="77777777" w:rsidR="000E7A5A" w:rsidRPr="00F425EA" w:rsidRDefault="000E7A5A" w:rsidP="00E247FF">
      <w:pPr>
        <w:tabs>
          <w:tab w:val="left" w:pos="1820"/>
        </w:tabs>
        <w:spacing w:after="0" w:line="276" w:lineRule="auto"/>
        <w:jc w:val="both"/>
        <w:rPr>
          <w:rFonts w:cs="Arial"/>
        </w:rPr>
      </w:pPr>
    </w:p>
    <w:p w14:paraId="35492522" w14:textId="2BFB04D9" w:rsidR="000E7A5A" w:rsidRPr="00F425EA" w:rsidRDefault="00306071" w:rsidP="00E247FF">
      <w:pPr>
        <w:tabs>
          <w:tab w:val="left" w:pos="1820"/>
        </w:tabs>
        <w:spacing w:after="0" w:line="276" w:lineRule="auto"/>
        <w:jc w:val="both"/>
        <w:rPr>
          <w:rFonts w:cs="Arial"/>
        </w:rPr>
      </w:pPr>
      <w:r w:rsidRPr="00F425EA">
        <w:rPr>
          <w:rFonts w:cs="Arial"/>
        </w:rPr>
        <w:t xml:space="preserve">Pri oblikovanju ukrepov za povečanje porabe sredstev evropske kohezijske politike, še posebej v letih 2025 in 2026, ocenjujemo, da bi bilo smiselno, da se v okviru spremembe programa preverijo možnosti zmanjšanja obsega financiranja in prerazporeditve sredstev iz tveganih projektov v projekte, ki izkazujejo visok potencial </w:t>
      </w:r>
      <w:r w:rsidR="0059022B">
        <w:rPr>
          <w:rFonts w:cs="Arial"/>
        </w:rPr>
        <w:t>koriščenja</w:t>
      </w:r>
      <w:r w:rsidRPr="00F425EA">
        <w:rPr>
          <w:rFonts w:cs="Arial"/>
        </w:rPr>
        <w:t xml:space="preserve"> v naslednjem obdobju izvajanja PEKP 21</w:t>
      </w:r>
      <w:r w:rsidRPr="00F425EA">
        <w:rPr>
          <w:rFonts w:cs="Arial"/>
          <w:sz w:val="22"/>
          <w:szCs w:val="22"/>
        </w:rPr>
        <w:t>–</w:t>
      </w:r>
      <w:r w:rsidRPr="00F425EA">
        <w:rPr>
          <w:rFonts w:cs="Arial"/>
        </w:rPr>
        <w:t>27. Ta proces bi lahko rezultiral v prilagoditev ali ukinitev projektov, ki izkazujejo visoko stopnjo tveganja.</w:t>
      </w:r>
    </w:p>
    <w:p w14:paraId="52224DC3" w14:textId="77777777" w:rsidR="000E7A5A" w:rsidRPr="00F425EA" w:rsidRDefault="000E7A5A" w:rsidP="00E247FF">
      <w:pPr>
        <w:tabs>
          <w:tab w:val="left" w:pos="1820"/>
        </w:tabs>
        <w:spacing w:after="0" w:line="276" w:lineRule="auto"/>
        <w:jc w:val="both"/>
        <w:rPr>
          <w:rFonts w:cs="Arial"/>
        </w:rPr>
      </w:pPr>
    </w:p>
    <w:p w14:paraId="090E0577" w14:textId="0DA497B6" w:rsidR="000E7A5A" w:rsidRPr="00F425EA" w:rsidRDefault="00306071" w:rsidP="00E247FF">
      <w:pPr>
        <w:tabs>
          <w:tab w:val="left" w:pos="1820"/>
        </w:tabs>
        <w:spacing w:after="0" w:line="276" w:lineRule="auto"/>
        <w:jc w:val="both"/>
        <w:rPr>
          <w:rFonts w:cs="Arial"/>
        </w:rPr>
      </w:pPr>
      <w:r w:rsidRPr="00F425EA">
        <w:rPr>
          <w:rFonts w:cs="Arial"/>
        </w:rPr>
        <w:t>Ukrepi za krepitev administrativne usposobljenosti deležnikov, vključenih v izvajanje PEKP 21</w:t>
      </w:r>
      <w:r w:rsidRPr="00F425EA">
        <w:rPr>
          <w:rFonts w:cs="Arial"/>
          <w:sz w:val="22"/>
          <w:szCs w:val="22"/>
        </w:rPr>
        <w:t>–</w:t>
      </w:r>
      <w:r w:rsidRPr="00F425EA">
        <w:rPr>
          <w:rFonts w:cs="Arial"/>
        </w:rPr>
        <w:t>27, lahko bistveno prispevajo k pospešitvi procesov načrtovanja in izvajanja nekaterih projektov. To velja predvsem za krepitev usposobljenosti pripravljavcev in ocenjevalcev projektov v zvezi z izpolnjevanjem zahtev in pravil izvajanja evropske kohezijske politike v obdobju 2021</w:t>
      </w:r>
      <w:r w:rsidR="00D97301" w:rsidRPr="00D97301">
        <w:rPr>
          <w:rFonts w:cs="Arial"/>
        </w:rPr>
        <w:t>–</w:t>
      </w:r>
      <w:r w:rsidRPr="00F425EA">
        <w:rPr>
          <w:rFonts w:cs="Arial"/>
        </w:rPr>
        <w:t>2027.</w:t>
      </w:r>
    </w:p>
    <w:p w14:paraId="79F44E9D" w14:textId="77777777" w:rsidR="000E7A5A" w:rsidRPr="00F425EA" w:rsidRDefault="000E7A5A" w:rsidP="00E247FF">
      <w:pPr>
        <w:tabs>
          <w:tab w:val="left" w:pos="1820"/>
        </w:tabs>
        <w:spacing w:after="0" w:line="276" w:lineRule="auto"/>
        <w:jc w:val="both"/>
        <w:rPr>
          <w:rFonts w:cs="Arial"/>
        </w:rPr>
      </w:pPr>
    </w:p>
    <w:p w14:paraId="2C78D991" w14:textId="10B79584" w:rsidR="000E7A5A" w:rsidRPr="00F425EA" w:rsidRDefault="1ECD1B8B" w:rsidP="00E247FF">
      <w:pPr>
        <w:tabs>
          <w:tab w:val="left" w:pos="1820"/>
        </w:tabs>
        <w:spacing w:after="0" w:line="276" w:lineRule="auto"/>
        <w:jc w:val="both"/>
        <w:rPr>
          <w:rFonts w:cs="Arial"/>
        </w:rPr>
      </w:pPr>
      <w:r w:rsidRPr="00F7FCEE">
        <w:rPr>
          <w:rFonts w:cs="Arial"/>
        </w:rPr>
        <w:t>Glede na predviden okvir sprememb in prilagoditev PEKP 21</w:t>
      </w:r>
      <w:r w:rsidR="66242C2A" w:rsidRPr="00F7FCEE">
        <w:rPr>
          <w:rFonts w:cs="Arial"/>
        </w:rPr>
        <w:t>–</w:t>
      </w:r>
      <w:r w:rsidRPr="00F7FCEE">
        <w:rPr>
          <w:rFonts w:cs="Arial"/>
        </w:rPr>
        <w:t>27, kjer se ključni cilji ne spreminjajo, hkrati se ohranjajo osnovna načela izvajanja programa ocenjujemo, da sprememba sporazuma o partnerstvu med Republiko Slovenijo in Evropsko komisijo iz leta 2021 v tej fazi ni potrebna.</w:t>
      </w:r>
    </w:p>
    <w:p w14:paraId="0F891389" w14:textId="036A2F7C" w:rsidR="00F7FCEE" w:rsidRDefault="00F7FCEE">
      <w:r>
        <w:br w:type="page"/>
      </w:r>
    </w:p>
    <w:p w14:paraId="561454F6" w14:textId="126FC555" w:rsidR="001E5EE2" w:rsidRDefault="46322CE5" w:rsidP="00DD69E9">
      <w:pPr>
        <w:pStyle w:val="Naslov10"/>
        <w:numPr>
          <w:ilvl w:val="0"/>
          <w:numId w:val="69"/>
        </w:numPr>
        <w:tabs>
          <w:tab w:val="left" w:pos="1820"/>
        </w:tabs>
        <w:spacing w:after="0" w:line="276" w:lineRule="auto"/>
        <w:rPr>
          <w:rFonts w:cs="Arial"/>
        </w:rPr>
      </w:pPr>
      <w:bookmarkStart w:id="4334" w:name="_Toc483200699"/>
      <w:bookmarkStart w:id="4335" w:name="_Toc992327526"/>
      <w:bookmarkStart w:id="4336" w:name="_Toc558666468"/>
      <w:bookmarkStart w:id="4337" w:name="_Toc1129379649"/>
      <w:bookmarkStart w:id="4338" w:name="_Toc1917210782"/>
      <w:bookmarkStart w:id="4339" w:name="_Toc1402291676"/>
      <w:bookmarkStart w:id="4340" w:name="_Toc2075459666"/>
      <w:bookmarkStart w:id="4341" w:name="_Toc629547759"/>
      <w:bookmarkStart w:id="4342" w:name="_Toc1674433546"/>
      <w:bookmarkStart w:id="4343" w:name="_Toc1092262572"/>
      <w:bookmarkStart w:id="4344" w:name="_Toc67568015"/>
      <w:bookmarkStart w:id="4345" w:name="_Toc1166196741"/>
      <w:bookmarkStart w:id="4346" w:name="_Toc1446911897"/>
      <w:bookmarkStart w:id="4347" w:name="_Toc1081217534"/>
      <w:bookmarkStart w:id="4348" w:name="_Toc2020697827"/>
      <w:bookmarkStart w:id="4349" w:name="_Toc213429122"/>
      <w:bookmarkStart w:id="4350" w:name="_Toc1163159985"/>
      <w:bookmarkStart w:id="4351" w:name="_Toc1867797674"/>
      <w:bookmarkStart w:id="4352" w:name="_Toc1414718130"/>
      <w:bookmarkStart w:id="4353" w:name="_Toc532177894"/>
      <w:bookmarkStart w:id="4354" w:name="_Toc1803886811"/>
      <w:bookmarkStart w:id="4355" w:name="_Toc1588926618"/>
      <w:bookmarkStart w:id="4356" w:name="_Toc1616674518"/>
      <w:bookmarkStart w:id="4357" w:name="_Toc1859139338"/>
      <w:bookmarkStart w:id="4358" w:name="_Toc1435764630"/>
      <w:bookmarkStart w:id="4359" w:name="_Toc656789022"/>
      <w:bookmarkStart w:id="4360" w:name="_Toc1220185664"/>
      <w:bookmarkStart w:id="4361" w:name="_Toc1176405093"/>
      <w:bookmarkStart w:id="4362" w:name="_Toc1962756901"/>
      <w:bookmarkStart w:id="4363" w:name="_Toc226417246"/>
      <w:bookmarkStart w:id="4364" w:name="_Toc936226626"/>
      <w:bookmarkStart w:id="4365" w:name="_Toc1879879910"/>
      <w:bookmarkStart w:id="4366" w:name="_Toc426286846"/>
      <w:bookmarkStart w:id="4367" w:name="_Toc889371534"/>
      <w:bookmarkStart w:id="4368" w:name="_Toc1356227399"/>
      <w:bookmarkStart w:id="4369" w:name="_Toc1660990863"/>
      <w:bookmarkStart w:id="4370" w:name="_Toc1912396357"/>
      <w:bookmarkStart w:id="4371" w:name="_Toc1170976111"/>
      <w:bookmarkStart w:id="4372" w:name="_Toc1634498363"/>
      <w:bookmarkStart w:id="4373" w:name="_Toc581575054"/>
      <w:bookmarkStart w:id="4374" w:name="_Toc917823700"/>
      <w:bookmarkStart w:id="4375" w:name="_Toc159265385"/>
      <w:bookmarkStart w:id="4376" w:name="_Toc861069936"/>
      <w:bookmarkStart w:id="4377" w:name="_Toc2011400607"/>
      <w:bookmarkStart w:id="4378" w:name="_Toc1942347147"/>
      <w:bookmarkStart w:id="4379" w:name="_Toc1406762450"/>
      <w:bookmarkStart w:id="4380" w:name="_Toc1140379280"/>
      <w:bookmarkStart w:id="4381" w:name="_Toc1639870379"/>
      <w:bookmarkStart w:id="4382" w:name="_Toc1597809771"/>
      <w:bookmarkStart w:id="4383" w:name="_Toc1685716958"/>
      <w:bookmarkStart w:id="4384" w:name="_Toc196511884"/>
      <w:bookmarkStart w:id="4385" w:name="_Toc1936694494"/>
      <w:bookmarkStart w:id="4386" w:name="_Toc1574146662"/>
      <w:bookmarkStart w:id="4387" w:name="_Toc1129831446"/>
      <w:bookmarkStart w:id="4388" w:name="_Toc1741894510"/>
      <w:bookmarkStart w:id="4389" w:name="_Toc377732785"/>
      <w:bookmarkStart w:id="4390" w:name="_Toc2041876144"/>
      <w:bookmarkStart w:id="4391" w:name="_Toc1513357487"/>
      <w:bookmarkStart w:id="4392" w:name="_Toc1619591610"/>
      <w:bookmarkStart w:id="4393" w:name="_Toc987773308"/>
      <w:bookmarkStart w:id="4394" w:name="_Toc1112454248"/>
      <w:bookmarkStart w:id="4395" w:name="_Toc1812173805"/>
      <w:bookmarkStart w:id="4396" w:name="_Toc2077046464"/>
      <w:bookmarkStart w:id="4397" w:name="_Toc810108022"/>
      <w:bookmarkStart w:id="4398" w:name="_Toc2020546367"/>
      <w:bookmarkStart w:id="4399" w:name="_Toc1940276474"/>
      <w:bookmarkStart w:id="4400" w:name="_Toc1868861024"/>
      <w:bookmarkStart w:id="4401" w:name="_Toc489616350"/>
      <w:bookmarkStart w:id="4402" w:name="_Toc551942452"/>
      <w:bookmarkStart w:id="4403" w:name="_Toc223948813"/>
      <w:bookmarkStart w:id="4404" w:name="_Toc456246805"/>
      <w:bookmarkStart w:id="4405" w:name="_Toc2007998336"/>
      <w:bookmarkStart w:id="4406" w:name="_Toc500956488"/>
      <w:bookmarkStart w:id="4407" w:name="_Toc1057856267"/>
      <w:bookmarkStart w:id="4408" w:name="_Toc142653681"/>
      <w:bookmarkStart w:id="4409" w:name="_Toc1723989828"/>
      <w:bookmarkStart w:id="4410" w:name="_Toc42908209"/>
      <w:bookmarkStart w:id="4411" w:name="_Toc707922051"/>
      <w:bookmarkStart w:id="4412" w:name="_Toc195359091"/>
      <w:bookmarkStart w:id="4413" w:name="_Toc179269874"/>
      <w:bookmarkStart w:id="4414" w:name="_Toc1226508027"/>
      <w:bookmarkStart w:id="4415" w:name="_Toc1978316846"/>
      <w:bookmarkStart w:id="4416" w:name="_Toc1754665238"/>
      <w:bookmarkStart w:id="4417" w:name="_Toc1561367098"/>
      <w:bookmarkStart w:id="4418" w:name="_Toc187739373"/>
      <w:bookmarkStart w:id="4419" w:name="_Toc187740120"/>
      <w:bookmarkStart w:id="4420" w:name="_Toc192682038"/>
      <w:bookmarkEnd w:id="4240"/>
      <w:r w:rsidRPr="00F7FCEE">
        <w:rPr>
          <w:rFonts w:cs="Arial"/>
        </w:rPr>
        <w:lastRenderedPageBreak/>
        <w:t>VIRI IN LITERATURA</w:t>
      </w:r>
      <w:bookmarkEnd w:id="4420"/>
    </w:p>
    <w:p w14:paraId="5DF46CCE" w14:textId="77777777" w:rsidR="001E5EE2" w:rsidRDefault="001E5EE2" w:rsidP="001E5EE2"/>
    <w:p w14:paraId="6C555CED" w14:textId="2D1E0ECA" w:rsidR="00954873" w:rsidRPr="00954873" w:rsidRDefault="00954873" w:rsidP="002068B9">
      <w:pPr>
        <w:pStyle w:val="Odstavekseznama"/>
        <w:numPr>
          <w:ilvl w:val="0"/>
          <w:numId w:val="68"/>
        </w:numPr>
        <w:jc w:val="both"/>
        <w:rPr>
          <w:rFonts w:cs="Arial"/>
        </w:rPr>
      </w:pPr>
      <w:r w:rsidRPr="00954873">
        <w:rPr>
          <w:rStyle w:val="Krepko"/>
          <w:rFonts w:cs="Arial"/>
          <w:b w:val="0"/>
          <w:bCs w:val="0"/>
        </w:rPr>
        <w:t>Dodatek za presojo sprejemljivosti vplivov na varovana območja- za načrt zmanjševanja poplavne ogroženosti. (2016).</w:t>
      </w:r>
      <w:r w:rsidRPr="00954873">
        <w:rPr>
          <w:rFonts w:cs="Arial"/>
        </w:rPr>
        <w:t xml:space="preserve"> Ministrstvo za okolje in prostor: Ljubljana. URL: </w:t>
      </w:r>
      <w:hyperlink r:id="rId52" w:history="1">
        <w:r w:rsidR="002068B9" w:rsidRPr="00F024FF">
          <w:rPr>
            <w:rStyle w:val="Hiperpovezava"/>
            <w:rFonts w:cs="Arial"/>
          </w:rPr>
          <w:t>https://www.gov.si/assets/ministrstva/MOP/Dokumenti/Voda/NZPO/OP_-dodatek_za_varovana_obmocja-_za_NZPO_1_39.pdf</w:t>
        </w:r>
      </w:hyperlink>
      <w:r w:rsidRPr="00954873">
        <w:rPr>
          <w:rFonts w:cs="Arial"/>
        </w:rPr>
        <w:t>, 15. 1. 2025.</w:t>
      </w:r>
    </w:p>
    <w:p w14:paraId="21DAE0A4" w14:textId="40B6ACBA" w:rsidR="00954873" w:rsidRPr="00954873" w:rsidRDefault="00954873" w:rsidP="00954873">
      <w:pPr>
        <w:pStyle w:val="Odstavekseznama"/>
        <w:numPr>
          <w:ilvl w:val="0"/>
          <w:numId w:val="68"/>
        </w:numPr>
        <w:jc w:val="both"/>
        <w:rPr>
          <w:rFonts w:cs="Arial"/>
        </w:rPr>
      </w:pPr>
      <w:r w:rsidRPr="00954873">
        <w:rPr>
          <w:rStyle w:val="Krepko"/>
          <w:rFonts w:cs="Arial"/>
          <w:b w:val="0"/>
          <w:bCs w:val="0"/>
        </w:rPr>
        <w:t>Direktiva 2003/87/ES evropskega parlamenta in Sveta z dne 13. oktobra 2003</w:t>
      </w:r>
      <w:r w:rsidRPr="00954873">
        <w:rPr>
          <w:rFonts w:cs="Arial"/>
        </w:rPr>
        <w:t xml:space="preserve"> o vzpostavitvi sistema za trgovanje s pravicami do emisije toplogrednih plinov v Skupnosti in o spremembi Direktive Sveta 96/61/ES (Besedilo velja za EGP).</w:t>
      </w:r>
    </w:p>
    <w:p w14:paraId="64E8C6D2" w14:textId="61949192" w:rsidR="00954873" w:rsidRPr="00954873" w:rsidRDefault="00954873" w:rsidP="00954873">
      <w:pPr>
        <w:pStyle w:val="Odstavekseznama"/>
        <w:numPr>
          <w:ilvl w:val="0"/>
          <w:numId w:val="68"/>
        </w:numPr>
        <w:jc w:val="both"/>
        <w:rPr>
          <w:rFonts w:cs="Arial"/>
        </w:rPr>
      </w:pPr>
      <w:r w:rsidRPr="00954873">
        <w:rPr>
          <w:rStyle w:val="Krepko"/>
          <w:rFonts w:cs="Arial"/>
          <w:b w:val="0"/>
          <w:bCs w:val="0"/>
        </w:rPr>
        <w:t>Dražumerič, A. in Operčkal, K. (2024).</w:t>
      </w:r>
      <w:r w:rsidRPr="00954873">
        <w:rPr>
          <w:rFonts w:cs="Arial"/>
        </w:rPr>
        <w:t xml:space="preserve"> Evropska kohezijska politika v Sloveniji v obdobju 2014-2020. Ljubljana: Ministrstvo za kohezijo in regionalni razvoj.</w:t>
      </w:r>
    </w:p>
    <w:p w14:paraId="51205EEC" w14:textId="6BB325BD" w:rsidR="00954873" w:rsidRPr="00954873" w:rsidRDefault="00954873" w:rsidP="00954873">
      <w:pPr>
        <w:pStyle w:val="Odstavekseznama"/>
        <w:numPr>
          <w:ilvl w:val="0"/>
          <w:numId w:val="68"/>
        </w:numPr>
        <w:jc w:val="both"/>
        <w:rPr>
          <w:rFonts w:cs="Arial"/>
        </w:rPr>
      </w:pPr>
      <w:r w:rsidRPr="00954873">
        <w:rPr>
          <w:rStyle w:val="Krepko"/>
          <w:rFonts w:cs="Arial"/>
          <w:b w:val="0"/>
          <w:bCs w:val="0"/>
        </w:rPr>
        <w:t>Državna ocena zmožnosti obvladovanja tveganj za nesreče. (2018).</w:t>
      </w:r>
      <w:r w:rsidRPr="00954873">
        <w:rPr>
          <w:rFonts w:cs="Arial"/>
        </w:rPr>
        <w:t xml:space="preserve"> Vlada RS. URL: </w:t>
      </w:r>
      <w:hyperlink r:id="rId53" w:tgtFrame="_new" w:history="1">
        <w:r w:rsidRPr="00954873">
          <w:rPr>
            <w:rStyle w:val="Hiperpovezava"/>
            <w:rFonts w:cs="Arial"/>
            <w:color w:val="auto"/>
          </w:rPr>
          <w:t>https://nijz.si/wp-content/uploads/2022/11/drzavna_ocena_zmoznosti.pdf</w:t>
        </w:r>
      </w:hyperlink>
      <w:r w:rsidRPr="00954873">
        <w:rPr>
          <w:rFonts w:cs="Arial"/>
        </w:rPr>
        <w:t>, 15. 1. 2025.</w:t>
      </w:r>
    </w:p>
    <w:p w14:paraId="61E66E81" w14:textId="332F1638" w:rsidR="00954873" w:rsidRPr="00954873" w:rsidRDefault="00954873" w:rsidP="00954873">
      <w:pPr>
        <w:pStyle w:val="Odstavekseznama"/>
        <w:numPr>
          <w:ilvl w:val="0"/>
          <w:numId w:val="68"/>
        </w:numPr>
        <w:jc w:val="both"/>
        <w:rPr>
          <w:rFonts w:cs="Arial"/>
        </w:rPr>
      </w:pPr>
      <w:r w:rsidRPr="00954873">
        <w:rPr>
          <w:rStyle w:val="Krepko"/>
          <w:rFonts w:cs="Arial"/>
          <w:b w:val="0"/>
          <w:bCs w:val="0"/>
        </w:rPr>
        <w:t>E-novice Vizija kohezije.</w:t>
      </w:r>
      <w:r w:rsidRPr="00954873">
        <w:rPr>
          <w:rFonts w:cs="Arial"/>
        </w:rPr>
        <w:t xml:space="preserve"> Ministrstvo za kohezijo in regionalni razvoj. URL: </w:t>
      </w:r>
      <w:hyperlink r:id="rId54" w:tgtFrame="_new" w:history="1">
        <w:r w:rsidRPr="00954873">
          <w:rPr>
            <w:rStyle w:val="Hiperpovezava"/>
            <w:rFonts w:cs="Arial"/>
            <w:color w:val="auto"/>
          </w:rPr>
          <w:t>https://evropskasredstva.si/e-novice-vizija-kohezija/</w:t>
        </w:r>
      </w:hyperlink>
      <w:r w:rsidRPr="00954873">
        <w:rPr>
          <w:rFonts w:cs="Arial"/>
        </w:rPr>
        <w:t>, 15. 1. 2025.</w:t>
      </w:r>
    </w:p>
    <w:p w14:paraId="602A44D8" w14:textId="6C485B94" w:rsidR="00954873" w:rsidRPr="00954873" w:rsidRDefault="00954873" w:rsidP="00954873">
      <w:pPr>
        <w:pStyle w:val="Odstavekseznama"/>
        <w:numPr>
          <w:ilvl w:val="0"/>
          <w:numId w:val="68"/>
        </w:numPr>
        <w:jc w:val="both"/>
        <w:rPr>
          <w:rFonts w:cs="Arial"/>
        </w:rPr>
      </w:pPr>
      <w:r w:rsidRPr="00954873">
        <w:rPr>
          <w:rStyle w:val="Krepko"/>
          <w:rFonts w:cs="Arial"/>
          <w:b w:val="0"/>
          <w:bCs w:val="0"/>
        </w:rPr>
        <w:t>Energetski kazalniki, Slovenija, letno.</w:t>
      </w:r>
      <w:r w:rsidRPr="00954873">
        <w:rPr>
          <w:rFonts w:cs="Arial"/>
        </w:rPr>
        <w:t xml:space="preserve"> SURS, URL: Energetski kazalniki po: KAZALNIK, LETO. </w:t>
      </w:r>
      <w:proofErr w:type="spellStart"/>
      <w:r w:rsidRPr="00954873">
        <w:rPr>
          <w:rFonts w:cs="Arial"/>
        </w:rPr>
        <w:t>PxWeb</w:t>
      </w:r>
      <w:proofErr w:type="spellEnd"/>
      <w:r w:rsidRPr="00954873">
        <w:rPr>
          <w:rFonts w:cs="Arial"/>
        </w:rPr>
        <w:t>, 15. 1. 2025.</w:t>
      </w:r>
    </w:p>
    <w:p w14:paraId="50A00795" w14:textId="35B0865F" w:rsidR="00954873" w:rsidRPr="00954873" w:rsidRDefault="00954873" w:rsidP="00954873">
      <w:pPr>
        <w:pStyle w:val="Odstavekseznama"/>
        <w:numPr>
          <w:ilvl w:val="0"/>
          <w:numId w:val="68"/>
        </w:numPr>
        <w:jc w:val="both"/>
        <w:rPr>
          <w:rFonts w:cs="Arial"/>
        </w:rPr>
      </w:pPr>
      <w:r w:rsidRPr="00954873">
        <w:rPr>
          <w:rStyle w:val="Krepko"/>
          <w:rFonts w:cs="Arial"/>
          <w:b w:val="0"/>
          <w:bCs w:val="0"/>
        </w:rPr>
        <w:t>EU projekt, moj projekt 2024</w:t>
      </w:r>
      <w:r w:rsidRPr="00954873">
        <w:rPr>
          <w:rFonts w:cs="Arial"/>
        </w:rPr>
        <w:t xml:space="preserve"> - Ob 20. obletnici vstopa Slovenije v EU predstavljamo TOP 20 projektov za leto 2024. Ministrstvo za kohezijo in regionalni razvoj. URL: </w:t>
      </w:r>
      <w:hyperlink r:id="rId55" w:tgtFrame="_new" w:history="1">
        <w:r w:rsidRPr="00954873">
          <w:rPr>
            <w:rStyle w:val="Hiperpovezava"/>
            <w:rFonts w:cs="Arial"/>
            <w:color w:val="auto"/>
          </w:rPr>
          <w:t>https://evropskasredstva.si/eu-projekt-moj-projekt-2024/</w:t>
        </w:r>
      </w:hyperlink>
      <w:r w:rsidRPr="00954873">
        <w:rPr>
          <w:rFonts w:cs="Arial"/>
        </w:rPr>
        <w:t>, 15. 1. 2025.</w:t>
      </w:r>
    </w:p>
    <w:p w14:paraId="264FB54C" w14:textId="07DFFB09" w:rsidR="00954873" w:rsidRPr="00954873" w:rsidRDefault="00954873" w:rsidP="00954873">
      <w:pPr>
        <w:pStyle w:val="Odstavekseznama"/>
        <w:numPr>
          <w:ilvl w:val="0"/>
          <w:numId w:val="68"/>
        </w:numPr>
        <w:jc w:val="both"/>
        <w:rPr>
          <w:rFonts w:cs="Arial"/>
        </w:rPr>
      </w:pPr>
      <w:r w:rsidRPr="00954873">
        <w:rPr>
          <w:rStyle w:val="Krepko"/>
          <w:rFonts w:cs="Arial"/>
          <w:b w:val="0"/>
          <w:bCs w:val="0"/>
        </w:rPr>
        <w:t>Načrt zmanjševanja poplavne ogroženosti 2017-2021 (NZPO SI). (2017).</w:t>
      </w:r>
      <w:r w:rsidRPr="00954873">
        <w:rPr>
          <w:rFonts w:cs="Arial"/>
        </w:rPr>
        <w:t xml:space="preserve"> Vlada RS: Ljubljana. URL: </w:t>
      </w:r>
      <w:hyperlink r:id="rId56" w:tgtFrame="_new" w:history="1">
        <w:r w:rsidRPr="00954873">
          <w:rPr>
            <w:rStyle w:val="Hiperpovezava"/>
            <w:rFonts w:cs="Arial"/>
            <w:color w:val="auto"/>
          </w:rPr>
          <w:t>https://www.gov.si/assets/ministrstva/MOP/Dokumenti/Voda/NZPO/606504549e/nzpo_2017_2021.pdf</w:t>
        </w:r>
      </w:hyperlink>
      <w:r w:rsidRPr="00954873">
        <w:rPr>
          <w:rFonts w:cs="Arial"/>
        </w:rPr>
        <w:t>, 15. 1. 2025.</w:t>
      </w:r>
    </w:p>
    <w:p w14:paraId="5AEAFA1A" w14:textId="5C7F6D2F" w:rsidR="00954873" w:rsidRPr="00954873" w:rsidRDefault="00954873" w:rsidP="00954873">
      <w:pPr>
        <w:pStyle w:val="Odstavekseznama"/>
        <w:numPr>
          <w:ilvl w:val="0"/>
          <w:numId w:val="68"/>
        </w:numPr>
        <w:jc w:val="both"/>
        <w:rPr>
          <w:rFonts w:cs="Arial"/>
        </w:rPr>
      </w:pPr>
      <w:r w:rsidRPr="00954873">
        <w:rPr>
          <w:rStyle w:val="Krepko"/>
          <w:rFonts w:cs="Arial"/>
          <w:b w:val="0"/>
          <w:bCs w:val="0"/>
        </w:rPr>
        <w:t>Načrt zmanjševanja poplavne ogroženosti 2023-2027 (NZPO SI II). (2023).</w:t>
      </w:r>
      <w:r w:rsidRPr="00954873">
        <w:rPr>
          <w:rFonts w:cs="Arial"/>
        </w:rPr>
        <w:t xml:space="preserve"> Vlada RS: Ljubljana. URL: </w:t>
      </w:r>
      <w:hyperlink r:id="rId57" w:tgtFrame="_new" w:history="1">
        <w:r w:rsidRPr="00954873">
          <w:rPr>
            <w:rStyle w:val="Hiperpovezava"/>
            <w:rFonts w:cs="Arial"/>
            <w:color w:val="auto"/>
          </w:rPr>
          <w:t>https://www.gov.si/assets/ministrstva/MNVP/Dokumenti/Voda/NZPO/NZPO_II_2023.docx</w:t>
        </w:r>
      </w:hyperlink>
      <w:r w:rsidRPr="00954873">
        <w:rPr>
          <w:rFonts w:cs="Arial"/>
        </w:rPr>
        <w:t>, 15. 1. 2025.</w:t>
      </w:r>
    </w:p>
    <w:p w14:paraId="03899AF4" w14:textId="5751D447" w:rsidR="00954873" w:rsidRPr="00954873" w:rsidRDefault="00954873" w:rsidP="00954873">
      <w:pPr>
        <w:pStyle w:val="Odstavekseznama"/>
        <w:numPr>
          <w:ilvl w:val="0"/>
          <w:numId w:val="68"/>
        </w:numPr>
        <w:jc w:val="both"/>
        <w:rPr>
          <w:rFonts w:cs="Arial"/>
        </w:rPr>
      </w:pPr>
      <w:r w:rsidRPr="00954873">
        <w:rPr>
          <w:rStyle w:val="Krepko"/>
          <w:rFonts w:cs="Arial"/>
          <w:b w:val="0"/>
          <w:bCs w:val="0"/>
        </w:rPr>
        <w:t>Ocena tveganja za poplave. (2023).</w:t>
      </w:r>
      <w:r w:rsidRPr="00954873">
        <w:rPr>
          <w:rFonts w:cs="Arial"/>
        </w:rPr>
        <w:t xml:space="preserve"> Ministrstvo za naravne vire in prostor: Ljubljana. URL: </w:t>
      </w:r>
      <w:hyperlink r:id="rId58" w:tgtFrame="_new" w:history="1">
        <w:r w:rsidRPr="00954873">
          <w:rPr>
            <w:rStyle w:val="Hiperpovezava"/>
            <w:rFonts w:cs="Arial"/>
            <w:color w:val="auto"/>
          </w:rPr>
          <w:t>https://www.gov.si/assets/ministrstva/MNVP/Dokumenti/Voda/NZPO/ocena_tveganj_poplave_2023.pdf</w:t>
        </w:r>
      </w:hyperlink>
      <w:r w:rsidRPr="00954873">
        <w:rPr>
          <w:rFonts w:cs="Arial"/>
        </w:rPr>
        <w:t>, 15. 1. 2025.</w:t>
      </w:r>
    </w:p>
    <w:p w14:paraId="510A3E82" w14:textId="63D5558B" w:rsidR="00954873" w:rsidRPr="00954873" w:rsidRDefault="00954873" w:rsidP="00954873">
      <w:pPr>
        <w:pStyle w:val="Odstavekseznama"/>
        <w:numPr>
          <w:ilvl w:val="0"/>
          <w:numId w:val="68"/>
        </w:numPr>
        <w:jc w:val="both"/>
        <w:rPr>
          <w:rFonts w:cs="Arial"/>
        </w:rPr>
      </w:pPr>
      <w:r w:rsidRPr="00954873">
        <w:rPr>
          <w:rStyle w:val="Krepko"/>
          <w:rFonts w:cs="Arial"/>
          <w:b w:val="0"/>
          <w:bCs w:val="0"/>
        </w:rPr>
        <w:t>Osnutek predloga posodobitve (2024): Celoviti nacionalni energetski in podnebni načrt Republike Slovenije. (2024).</w:t>
      </w:r>
      <w:r w:rsidRPr="00954873">
        <w:rPr>
          <w:rFonts w:cs="Arial"/>
        </w:rPr>
        <w:t xml:space="preserve"> Ljubljana: Ministrstvo za okolje, podnebje in energijo, str. 340-344.</w:t>
      </w:r>
    </w:p>
    <w:p w14:paraId="110CE017" w14:textId="01590F93" w:rsidR="00954873" w:rsidRPr="00954873" w:rsidRDefault="00954873" w:rsidP="00954873">
      <w:pPr>
        <w:pStyle w:val="Odstavekseznama"/>
        <w:numPr>
          <w:ilvl w:val="0"/>
          <w:numId w:val="68"/>
        </w:numPr>
        <w:jc w:val="both"/>
        <w:rPr>
          <w:rFonts w:cs="Arial"/>
        </w:rPr>
      </w:pPr>
      <w:r w:rsidRPr="00954873">
        <w:rPr>
          <w:rStyle w:val="Krepko"/>
          <w:rFonts w:cs="Arial"/>
          <w:b w:val="0"/>
          <w:bCs w:val="0"/>
        </w:rPr>
        <w:t>Petan, M. in Mesec, P. (2021).</w:t>
      </w:r>
      <w:r w:rsidRPr="00954873">
        <w:rPr>
          <w:rFonts w:cs="Arial"/>
        </w:rPr>
        <w:t xml:space="preserve"> Skupne evropske smernice za prehod iz institucionalne v skupnostno oskrbo. Ljubljana: Inštitut Republike Slovenije za socialno varstvo.</w:t>
      </w:r>
    </w:p>
    <w:p w14:paraId="35FD842F" w14:textId="2FE600D0" w:rsidR="00954873" w:rsidRPr="00954873" w:rsidRDefault="00954873" w:rsidP="00954873">
      <w:pPr>
        <w:pStyle w:val="Odstavekseznama"/>
        <w:numPr>
          <w:ilvl w:val="0"/>
          <w:numId w:val="68"/>
        </w:numPr>
        <w:jc w:val="both"/>
        <w:rPr>
          <w:rFonts w:cs="Arial"/>
        </w:rPr>
      </w:pPr>
      <w:r w:rsidRPr="00954873">
        <w:rPr>
          <w:rStyle w:val="Krepko"/>
          <w:rFonts w:cs="Arial"/>
          <w:b w:val="0"/>
          <w:bCs w:val="0"/>
        </w:rPr>
        <w:t>Popravek – podatke o Energetski statistiki, 2023 ponovno objavljamo.</w:t>
      </w:r>
      <w:r w:rsidRPr="00954873">
        <w:rPr>
          <w:rFonts w:cs="Arial"/>
        </w:rPr>
        <w:t xml:space="preserve"> SURS, 5. 11. 2024. URL: </w:t>
      </w:r>
      <w:hyperlink r:id="rId59" w:tgtFrame="_new" w:history="1">
        <w:r w:rsidRPr="00954873">
          <w:rPr>
            <w:rStyle w:val="Hiperpovezava"/>
            <w:rFonts w:cs="Arial"/>
            <w:color w:val="auto"/>
          </w:rPr>
          <w:t>https://www.stat.si/StatWeb/News/Index/13209</w:t>
        </w:r>
      </w:hyperlink>
      <w:r w:rsidRPr="00954873">
        <w:rPr>
          <w:rFonts w:cs="Arial"/>
        </w:rPr>
        <w:t>, 15. 1. 2025.</w:t>
      </w:r>
    </w:p>
    <w:p w14:paraId="59C4D0E5" w14:textId="0D29D376" w:rsidR="00954873" w:rsidRPr="00954873" w:rsidRDefault="00954873" w:rsidP="00954873">
      <w:pPr>
        <w:pStyle w:val="Odstavekseznama"/>
        <w:numPr>
          <w:ilvl w:val="0"/>
          <w:numId w:val="68"/>
        </w:numPr>
        <w:jc w:val="both"/>
        <w:rPr>
          <w:rFonts w:cs="Arial"/>
        </w:rPr>
      </w:pPr>
      <w:r w:rsidRPr="00954873">
        <w:rPr>
          <w:rStyle w:val="Krepko"/>
          <w:rFonts w:cs="Arial"/>
          <w:b w:val="0"/>
          <w:bCs w:val="0"/>
        </w:rPr>
        <w:t>Predhodna ocena poplavne ogroženosti Republike Slovenije (2019).</w:t>
      </w:r>
      <w:r w:rsidRPr="00954873">
        <w:rPr>
          <w:rFonts w:cs="Arial"/>
        </w:rPr>
        <w:t xml:space="preserve"> Ministrstvo za okolje in prostor: Ljubljana. URL: </w:t>
      </w:r>
      <w:hyperlink r:id="rId60" w:tgtFrame="_new" w:history="1">
        <w:r w:rsidRPr="00954873">
          <w:rPr>
            <w:rStyle w:val="Hiperpovezava"/>
            <w:rFonts w:cs="Arial"/>
            <w:color w:val="auto"/>
          </w:rPr>
          <w:t>https://www.gov.si/assets/ministrstva/MOP/Dokumenti/Voda/NZPO/e56d7a6180/predhodna_ocena_poplavne_ogrozenosti_2019.pdf</w:t>
        </w:r>
      </w:hyperlink>
    </w:p>
    <w:p w14:paraId="6E8EC884" w14:textId="68D64284" w:rsidR="00954873" w:rsidRPr="00954873" w:rsidRDefault="00954873" w:rsidP="00954873">
      <w:pPr>
        <w:pStyle w:val="Odstavekseznama"/>
        <w:numPr>
          <w:ilvl w:val="0"/>
          <w:numId w:val="68"/>
        </w:numPr>
        <w:jc w:val="both"/>
        <w:rPr>
          <w:rFonts w:cs="Arial"/>
        </w:rPr>
      </w:pPr>
      <w:r w:rsidRPr="00954873">
        <w:rPr>
          <w:rStyle w:val="Krepko"/>
          <w:rFonts w:cs="Arial"/>
          <w:b w:val="0"/>
          <w:bCs w:val="0"/>
        </w:rPr>
        <w:t>Predhodne ocene poplavne ogroženosti Republike Slovenije 2024. (2024).</w:t>
      </w:r>
      <w:r w:rsidRPr="00954873">
        <w:rPr>
          <w:rFonts w:cs="Arial"/>
        </w:rPr>
        <w:t xml:space="preserve"> Ministrstvo za naravne vire in prostor. URL: </w:t>
      </w:r>
      <w:hyperlink r:id="rId61" w:tgtFrame="_new" w:history="1">
        <w:r w:rsidRPr="00954873">
          <w:rPr>
            <w:rStyle w:val="Hiperpovezava"/>
            <w:rFonts w:cs="Arial"/>
            <w:color w:val="auto"/>
          </w:rPr>
          <w:t>https://www.gov.si/assets/ministrstva/MNVP/Dokumenti/Voda/NZPO/Predhodna_ocena_2024/Predhodna_ocena_poplavne_ogrozenosti_2024.pdf</w:t>
        </w:r>
      </w:hyperlink>
      <w:r w:rsidRPr="00954873">
        <w:rPr>
          <w:rFonts w:cs="Arial"/>
        </w:rPr>
        <w:t>, 15. 1. 2025.</w:t>
      </w:r>
    </w:p>
    <w:p w14:paraId="76AF5C4C" w14:textId="0B9CA71B" w:rsidR="00954873" w:rsidRPr="00954873" w:rsidRDefault="00954873" w:rsidP="00954873">
      <w:pPr>
        <w:pStyle w:val="Odstavekseznama"/>
        <w:numPr>
          <w:ilvl w:val="0"/>
          <w:numId w:val="68"/>
        </w:numPr>
        <w:jc w:val="both"/>
        <w:rPr>
          <w:rFonts w:cs="Arial"/>
        </w:rPr>
      </w:pPr>
      <w:r w:rsidRPr="00954873">
        <w:rPr>
          <w:rStyle w:val="Krepko"/>
          <w:rFonts w:cs="Arial"/>
          <w:b w:val="0"/>
          <w:bCs w:val="0"/>
        </w:rPr>
        <w:t>Program upravljanja. Živi z naturo 2000.</w:t>
      </w:r>
      <w:r w:rsidRPr="00954873">
        <w:rPr>
          <w:rFonts w:cs="Arial"/>
        </w:rPr>
        <w:t xml:space="preserve"> URL: </w:t>
      </w:r>
      <w:hyperlink r:id="rId62" w:tgtFrame="_new" w:history="1">
        <w:r w:rsidRPr="00954873">
          <w:rPr>
            <w:rStyle w:val="Hiperpovezava"/>
            <w:rFonts w:cs="Arial"/>
            <w:color w:val="auto"/>
          </w:rPr>
          <w:t>https://natura2000.gov.si/natura-2000/natura-2000-v-sloveniji/program-upravljanja/</w:t>
        </w:r>
      </w:hyperlink>
      <w:r w:rsidRPr="00954873">
        <w:rPr>
          <w:rFonts w:cs="Arial"/>
        </w:rPr>
        <w:t>, 15. 1. 2025.</w:t>
      </w:r>
    </w:p>
    <w:p w14:paraId="4074C2A0" w14:textId="2F6E7B3F" w:rsidR="00954873" w:rsidRPr="00954873" w:rsidRDefault="00954873" w:rsidP="00954873">
      <w:pPr>
        <w:pStyle w:val="Odstavekseznama"/>
        <w:numPr>
          <w:ilvl w:val="0"/>
          <w:numId w:val="68"/>
        </w:numPr>
        <w:jc w:val="both"/>
        <w:rPr>
          <w:rFonts w:cs="Arial"/>
        </w:rPr>
      </w:pPr>
      <w:r w:rsidRPr="00954873">
        <w:rPr>
          <w:rStyle w:val="Krepko"/>
          <w:rFonts w:cs="Arial"/>
          <w:b w:val="0"/>
          <w:bCs w:val="0"/>
        </w:rPr>
        <w:t>Resolucija o nacionalnem programu varstva pred naravnimi in drugimi nesrečami v letih od 2024 do 2030 (ReNPVNDN24–30).</w:t>
      </w:r>
      <w:r w:rsidRPr="00954873">
        <w:rPr>
          <w:rFonts w:cs="Arial"/>
        </w:rPr>
        <w:t xml:space="preserve"> Uradni list RS, št. 94/24.</w:t>
      </w:r>
    </w:p>
    <w:p w14:paraId="5A5B4712" w14:textId="616C3318" w:rsidR="00954873" w:rsidRPr="00954873" w:rsidRDefault="00954873" w:rsidP="00954873">
      <w:pPr>
        <w:pStyle w:val="Odstavekseznama"/>
        <w:numPr>
          <w:ilvl w:val="0"/>
          <w:numId w:val="68"/>
        </w:numPr>
        <w:jc w:val="both"/>
        <w:rPr>
          <w:rFonts w:cs="Arial"/>
        </w:rPr>
      </w:pPr>
      <w:r w:rsidRPr="00954873">
        <w:rPr>
          <w:rStyle w:val="Krepko"/>
          <w:rFonts w:cs="Arial"/>
          <w:b w:val="0"/>
          <w:bCs w:val="0"/>
        </w:rPr>
        <w:t>Slovenija dosegla ciljni delež energije iz obnovljivih virov.</w:t>
      </w:r>
      <w:r w:rsidRPr="00954873">
        <w:rPr>
          <w:rFonts w:cs="Arial"/>
        </w:rPr>
        <w:t xml:space="preserve"> SURS, 5. 11. 2024. URL: Obnovljivi viri v bruto končni rabi energije, 2023, 15. 1. 2025.</w:t>
      </w:r>
    </w:p>
    <w:p w14:paraId="7AC25A4C" w14:textId="5F77CA0F" w:rsidR="00954873" w:rsidRPr="00954873" w:rsidRDefault="00954873" w:rsidP="00954873">
      <w:pPr>
        <w:pStyle w:val="Odstavekseznama"/>
        <w:numPr>
          <w:ilvl w:val="0"/>
          <w:numId w:val="68"/>
        </w:numPr>
        <w:jc w:val="both"/>
        <w:rPr>
          <w:rFonts w:cs="Arial"/>
        </w:rPr>
      </w:pPr>
      <w:r w:rsidRPr="00954873">
        <w:rPr>
          <w:rStyle w:val="Krepko"/>
          <w:rFonts w:cs="Arial"/>
          <w:b w:val="0"/>
          <w:bCs w:val="0"/>
        </w:rPr>
        <w:t>Šola kohezije.</w:t>
      </w:r>
      <w:r w:rsidRPr="00954873">
        <w:rPr>
          <w:rFonts w:cs="Arial"/>
        </w:rPr>
        <w:t xml:space="preserve"> Ministrstvo za kohezijo in regionalni razvoj. URL: </w:t>
      </w:r>
      <w:hyperlink r:id="rId63" w:tgtFrame="_new" w:history="1">
        <w:r w:rsidRPr="00954873">
          <w:rPr>
            <w:rStyle w:val="Hiperpovezava"/>
            <w:rFonts w:cs="Arial"/>
            <w:color w:val="auto"/>
          </w:rPr>
          <w:t>https://evropskasredstva.si/asoc/</w:t>
        </w:r>
      </w:hyperlink>
      <w:r w:rsidRPr="00954873">
        <w:rPr>
          <w:rFonts w:cs="Arial"/>
        </w:rPr>
        <w:t>, 15. 1. 2025.</w:t>
      </w:r>
    </w:p>
    <w:p w14:paraId="0D0F10DF" w14:textId="13455B63" w:rsidR="00954873" w:rsidRPr="00954873" w:rsidRDefault="00954873" w:rsidP="00954873">
      <w:pPr>
        <w:pStyle w:val="Odstavekseznama"/>
        <w:numPr>
          <w:ilvl w:val="0"/>
          <w:numId w:val="68"/>
        </w:numPr>
        <w:jc w:val="both"/>
        <w:rPr>
          <w:rFonts w:cs="Arial"/>
        </w:rPr>
      </w:pPr>
      <w:r w:rsidRPr="00954873">
        <w:rPr>
          <w:rStyle w:val="Krepko"/>
          <w:rFonts w:cs="Arial"/>
          <w:b w:val="0"/>
          <w:bCs w:val="0"/>
        </w:rPr>
        <w:t>Uredba (EU) 2021/1056 Evropskega parlamenta in Sveta z dne 24. junija 2021</w:t>
      </w:r>
      <w:r w:rsidRPr="00954873">
        <w:rPr>
          <w:rFonts w:cs="Arial"/>
        </w:rPr>
        <w:t xml:space="preserve"> o vzpostavitvi Sklada za pravični prehod.</w:t>
      </w:r>
    </w:p>
    <w:p w14:paraId="1606E6D9" w14:textId="0F90D09F" w:rsidR="00954873" w:rsidRPr="00954873" w:rsidRDefault="00954873" w:rsidP="00954873">
      <w:pPr>
        <w:pStyle w:val="Odstavekseznama"/>
        <w:numPr>
          <w:ilvl w:val="0"/>
          <w:numId w:val="68"/>
        </w:numPr>
        <w:jc w:val="both"/>
        <w:rPr>
          <w:rFonts w:cs="Arial"/>
        </w:rPr>
      </w:pPr>
      <w:r w:rsidRPr="00954873">
        <w:rPr>
          <w:rStyle w:val="Krepko"/>
          <w:rFonts w:cs="Arial"/>
          <w:b w:val="0"/>
          <w:bCs w:val="0"/>
        </w:rPr>
        <w:t>Uredba (EU) 2021/1057 Evropskega parlamenta in Sveta z dne 24. junija 2021</w:t>
      </w:r>
      <w:r w:rsidRPr="00954873">
        <w:rPr>
          <w:rFonts w:cs="Arial"/>
        </w:rPr>
        <w:t xml:space="preserve"> o vzpostavitvi Evropskega socialnega sklada plus (ESS+) in razveljavitvi Uredbe (EU) št. 1296/2013.</w:t>
      </w:r>
    </w:p>
    <w:p w14:paraId="21D2D047" w14:textId="55867B64" w:rsidR="00954873" w:rsidRPr="00954873" w:rsidRDefault="00954873" w:rsidP="00954873">
      <w:pPr>
        <w:pStyle w:val="Odstavekseznama"/>
        <w:numPr>
          <w:ilvl w:val="0"/>
          <w:numId w:val="68"/>
        </w:numPr>
        <w:jc w:val="both"/>
        <w:rPr>
          <w:rFonts w:cs="Arial"/>
        </w:rPr>
      </w:pPr>
      <w:r w:rsidRPr="00954873">
        <w:rPr>
          <w:rStyle w:val="Krepko"/>
          <w:rFonts w:cs="Arial"/>
          <w:b w:val="0"/>
          <w:bCs w:val="0"/>
        </w:rPr>
        <w:lastRenderedPageBreak/>
        <w:t>Uredba (EU) 2021/1058 Evropskega parlamenta in Sveta z dne 24. junija 2021</w:t>
      </w:r>
      <w:r w:rsidRPr="00954873">
        <w:rPr>
          <w:rFonts w:cs="Arial"/>
        </w:rPr>
        <w:t xml:space="preserve"> o Evropskem skladu za regionalni razvoj in Kohezijskem skladu.</w:t>
      </w:r>
    </w:p>
    <w:p w14:paraId="2F8CE52C" w14:textId="56C4F2C7" w:rsidR="00954873" w:rsidRPr="00954873" w:rsidRDefault="00954873" w:rsidP="00954873">
      <w:pPr>
        <w:pStyle w:val="Odstavekseznama"/>
        <w:numPr>
          <w:ilvl w:val="0"/>
          <w:numId w:val="68"/>
        </w:numPr>
        <w:jc w:val="both"/>
        <w:rPr>
          <w:rFonts w:cs="Arial"/>
        </w:rPr>
      </w:pPr>
      <w:r w:rsidRPr="00954873">
        <w:rPr>
          <w:rStyle w:val="Krepko"/>
          <w:rFonts w:cs="Arial"/>
          <w:b w:val="0"/>
          <w:bCs w:val="0"/>
        </w:rPr>
        <w:t>Uredba (EU) 2021/1060 Evropskega parlamenta in Sveta z dne 24. junija 2021</w:t>
      </w:r>
      <w:r w:rsidRPr="00954873">
        <w:rPr>
          <w:rFonts w:cs="Arial"/>
        </w:rPr>
        <w:t xml:space="preserve">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w:t>
      </w:r>
    </w:p>
    <w:p w14:paraId="4B40975C" w14:textId="74CE6A94" w:rsidR="00954873" w:rsidRPr="00954873" w:rsidRDefault="00954873" w:rsidP="00954873">
      <w:pPr>
        <w:pStyle w:val="Odstavekseznama"/>
        <w:numPr>
          <w:ilvl w:val="0"/>
          <w:numId w:val="68"/>
        </w:numPr>
        <w:jc w:val="both"/>
        <w:rPr>
          <w:rFonts w:cs="Arial"/>
        </w:rPr>
      </w:pPr>
      <w:r w:rsidRPr="00954873">
        <w:rPr>
          <w:rStyle w:val="Krepko"/>
          <w:rFonts w:cs="Arial"/>
          <w:b w:val="0"/>
          <w:bCs w:val="0"/>
        </w:rPr>
        <w:t>Uredba (EU) 2021/241 Evropskega parlamenta in Sveta z dne 12. februarja 2021</w:t>
      </w:r>
      <w:r w:rsidRPr="00954873">
        <w:rPr>
          <w:rFonts w:cs="Arial"/>
        </w:rPr>
        <w:t xml:space="preserve"> o vzpostavitvi Mehanizma za okrevanje in odpornost.</w:t>
      </w:r>
    </w:p>
    <w:p w14:paraId="07FB7E1D" w14:textId="5B485157" w:rsidR="00954873" w:rsidRPr="00954873" w:rsidRDefault="00954873" w:rsidP="00954873">
      <w:pPr>
        <w:pStyle w:val="Odstavekseznama"/>
        <w:numPr>
          <w:ilvl w:val="0"/>
          <w:numId w:val="68"/>
        </w:numPr>
        <w:jc w:val="both"/>
        <w:rPr>
          <w:rFonts w:cs="Arial"/>
        </w:rPr>
      </w:pPr>
      <w:r w:rsidRPr="00954873">
        <w:rPr>
          <w:rStyle w:val="Krepko"/>
          <w:rFonts w:cs="Arial"/>
          <w:b w:val="0"/>
          <w:bCs w:val="0"/>
        </w:rPr>
        <w:t>Uredba (EU) 2021/523 Evropskega parlamenta in Sveta z dne 24. marca 2021</w:t>
      </w:r>
      <w:r w:rsidRPr="00954873">
        <w:rPr>
          <w:rFonts w:cs="Arial"/>
        </w:rPr>
        <w:t xml:space="preserve"> o vzpostavitvi Programa </w:t>
      </w:r>
      <w:proofErr w:type="spellStart"/>
      <w:r w:rsidRPr="00954873">
        <w:rPr>
          <w:rFonts w:cs="Arial"/>
        </w:rPr>
        <w:t>InvestEU</w:t>
      </w:r>
      <w:proofErr w:type="spellEnd"/>
      <w:r w:rsidRPr="00954873">
        <w:rPr>
          <w:rFonts w:cs="Arial"/>
        </w:rPr>
        <w:t xml:space="preserve"> in spremembi Uredbe (EU) 2015/1017.</w:t>
      </w:r>
    </w:p>
    <w:p w14:paraId="5621E245" w14:textId="301831BE" w:rsidR="00954873" w:rsidRPr="00954873" w:rsidRDefault="00954873" w:rsidP="00954873">
      <w:pPr>
        <w:pStyle w:val="Odstavekseznama"/>
        <w:numPr>
          <w:ilvl w:val="0"/>
          <w:numId w:val="68"/>
        </w:numPr>
        <w:jc w:val="both"/>
        <w:rPr>
          <w:rFonts w:cs="Arial"/>
        </w:rPr>
      </w:pPr>
      <w:r w:rsidRPr="00954873">
        <w:rPr>
          <w:rStyle w:val="Krepko"/>
          <w:rFonts w:cs="Arial"/>
          <w:b w:val="0"/>
          <w:bCs w:val="0"/>
        </w:rPr>
        <w:t>Uredba (EU) 2021/695 Evropskega parlamenta in Sveta z dne 28. aprila 2021</w:t>
      </w:r>
      <w:r w:rsidRPr="00954873">
        <w:rPr>
          <w:rFonts w:cs="Arial"/>
        </w:rPr>
        <w:t xml:space="preserve"> o vzpostavitvi okvirnega programa za raziskave in inovacije Obzorje Evropa, določitvi pravil za sodelovanje in razširjanje rezultatov ter razveljavitvi uredb (EU) št. 1290/2013 in (EU) št. 1291/2013 (Besedilo velja za EGP).</w:t>
      </w:r>
    </w:p>
    <w:p w14:paraId="6CF252B2" w14:textId="42507F10" w:rsidR="00954873" w:rsidRPr="00954873" w:rsidRDefault="00954873" w:rsidP="00954873">
      <w:pPr>
        <w:pStyle w:val="Odstavekseznama"/>
        <w:numPr>
          <w:ilvl w:val="0"/>
          <w:numId w:val="68"/>
        </w:numPr>
        <w:jc w:val="both"/>
        <w:rPr>
          <w:rFonts w:cs="Arial"/>
        </w:rPr>
      </w:pPr>
      <w:r w:rsidRPr="00954873">
        <w:rPr>
          <w:rStyle w:val="Krepko"/>
          <w:rFonts w:cs="Arial"/>
          <w:b w:val="0"/>
          <w:bCs w:val="0"/>
        </w:rPr>
        <w:t>Uredba (EU) 2021/697 Evropskega parlamenta in Sveta z dne 29. aprila 2021</w:t>
      </w:r>
      <w:r w:rsidRPr="00954873">
        <w:rPr>
          <w:rFonts w:cs="Arial"/>
        </w:rPr>
        <w:t xml:space="preserve"> o vzpostavitvi Evropskega obrambnega sklada ter razveljavitvi Uredbe (EU) 2018/1092 (Besedilo velja za EGP).</w:t>
      </w:r>
    </w:p>
    <w:p w14:paraId="275B6A81" w14:textId="597CCF4F" w:rsidR="00954873" w:rsidRPr="00954873" w:rsidRDefault="00954873" w:rsidP="00954873">
      <w:pPr>
        <w:pStyle w:val="Odstavekseznama"/>
        <w:numPr>
          <w:ilvl w:val="0"/>
          <w:numId w:val="68"/>
        </w:numPr>
        <w:jc w:val="both"/>
        <w:rPr>
          <w:rFonts w:cs="Arial"/>
        </w:rPr>
      </w:pPr>
      <w:r w:rsidRPr="00954873">
        <w:rPr>
          <w:rStyle w:val="Krepko"/>
          <w:rFonts w:cs="Arial"/>
          <w:b w:val="0"/>
          <w:bCs w:val="0"/>
        </w:rPr>
        <w:t>Uredba (EU) št. 1303/2013 Evropskega parlamenta in Sveta z dne 17. decembra 2013</w:t>
      </w:r>
      <w:r w:rsidRPr="00954873">
        <w:rPr>
          <w:rFonts w:cs="Arial"/>
        </w:rPr>
        <w:t xml:space="preserve">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ter o razveljavitvi Uredbe Sveta (ES) št. 1083/2006.</w:t>
      </w:r>
    </w:p>
    <w:p w14:paraId="7911A9CE" w14:textId="46D2EEA3" w:rsidR="00954873" w:rsidRPr="00954873" w:rsidRDefault="00954873" w:rsidP="00954873">
      <w:pPr>
        <w:pStyle w:val="Odstavekseznama"/>
        <w:numPr>
          <w:ilvl w:val="0"/>
          <w:numId w:val="68"/>
        </w:numPr>
        <w:jc w:val="both"/>
        <w:rPr>
          <w:rFonts w:cs="Arial"/>
        </w:rPr>
      </w:pPr>
      <w:r w:rsidRPr="00954873">
        <w:rPr>
          <w:rStyle w:val="Krepko"/>
          <w:rFonts w:cs="Arial"/>
          <w:b w:val="0"/>
          <w:bCs w:val="0"/>
        </w:rPr>
        <w:t>Uredba (EU) št. 223/2014 Evropskega parlamenta in Sveta z dne 11. marca 2014</w:t>
      </w:r>
      <w:r w:rsidRPr="00954873">
        <w:rPr>
          <w:rFonts w:cs="Arial"/>
        </w:rPr>
        <w:t xml:space="preserve"> o Skladu za evropsko pomoč najbolj ogroženim.</w:t>
      </w:r>
    </w:p>
    <w:p w14:paraId="798D353D" w14:textId="35A711BD" w:rsidR="00AF2995" w:rsidRPr="00954873" w:rsidRDefault="00954873" w:rsidP="00954873">
      <w:pPr>
        <w:pStyle w:val="Odstavekseznama"/>
        <w:numPr>
          <w:ilvl w:val="0"/>
          <w:numId w:val="68"/>
        </w:numPr>
        <w:jc w:val="both"/>
        <w:rPr>
          <w:rFonts w:cs="Arial"/>
        </w:rPr>
        <w:sectPr w:rsidR="00AF2995" w:rsidRPr="00954873">
          <w:headerReference w:type="even" r:id="rId64"/>
          <w:headerReference w:type="default" r:id="rId65"/>
          <w:footerReference w:type="default" r:id="rId66"/>
          <w:headerReference w:type="first" r:id="rId67"/>
          <w:pgSz w:w="11906" w:h="16838"/>
          <w:pgMar w:top="1418" w:right="1418" w:bottom="851" w:left="1134" w:header="708" w:footer="708" w:gutter="0"/>
          <w:cols w:space="708"/>
        </w:sectPr>
      </w:pPr>
      <w:r w:rsidRPr="00954873">
        <w:rPr>
          <w:rStyle w:val="Krepko"/>
          <w:rFonts w:cs="Arial"/>
          <w:b w:val="0"/>
          <w:bCs w:val="0"/>
        </w:rPr>
        <w:t>Video: Evropska sredstva (2024).</w:t>
      </w:r>
      <w:r w:rsidRPr="00954873">
        <w:rPr>
          <w:rFonts w:cs="Arial"/>
        </w:rPr>
        <w:t xml:space="preserve"> Dosežki evropske kohezijske politike 2014–2020. URL: </w:t>
      </w:r>
      <w:hyperlink r:id="rId68" w:tgtFrame="_new" w:history="1">
        <w:r w:rsidRPr="00954873">
          <w:rPr>
            <w:rStyle w:val="Hiperpovezava"/>
            <w:rFonts w:cs="Arial"/>
            <w:color w:val="auto"/>
          </w:rPr>
          <w:t>https://www.youtube.com/watch?v=dF4O6dwC1G4</w:t>
        </w:r>
      </w:hyperlink>
      <w:r w:rsidRPr="00954873">
        <w:rPr>
          <w:rFonts w:cs="Arial"/>
        </w:rPr>
        <w:t>, 15. 1. 2025.</w:t>
      </w:r>
    </w:p>
    <w:p w14:paraId="01F265A3" w14:textId="6A68159B" w:rsidR="000E7A5A" w:rsidRPr="001E5EE2" w:rsidRDefault="005A12CC" w:rsidP="00DD69E9">
      <w:pPr>
        <w:pStyle w:val="Naslov10"/>
        <w:numPr>
          <w:ilvl w:val="0"/>
          <w:numId w:val="69"/>
        </w:numPr>
      </w:pPr>
      <w:bookmarkStart w:id="4421" w:name="_Toc192682039"/>
      <w:r w:rsidRPr="001E5EE2">
        <w:lastRenderedPageBreak/>
        <w:t>PRILOGE</w:t>
      </w:r>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1"/>
    </w:p>
    <w:p w14:paraId="4B31E12A" w14:textId="77777777" w:rsidR="000E7A5A" w:rsidRPr="00F425EA" w:rsidRDefault="000E7A5A" w:rsidP="00E247FF">
      <w:pPr>
        <w:spacing w:after="0" w:line="276" w:lineRule="auto"/>
        <w:jc w:val="both"/>
        <w:rPr>
          <w:rFonts w:cs="Arial"/>
        </w:rPr>
      </w:pPr>
    </w:p>
    <w:p w14:paraId="5397DA45" w14:textId="77777777" w:rsidR="000E7A5A" w:rsidRPr="00F425EA" w:rsidRDefault="00306071" w:rsidP="00E247FF">
      <w:pPr>
        <w:spacing w:after="0" w:line="276" w:lineRule="auto"/>
        <w:jc w:val="both"/>
        <w:rPr>
          <w:rFonts w:cs="Arial"/>
        </w:rPr>
      </w:pPr>
      <w:r w:rsidRPr="00F425EA">
        <w:rPr>
          <w:rFonts w:cs="Arial"/>
        </w:rPr>
        <w:t>Priloga 1: Finančna sredstva po letih, vključno z zneskom prilagoditve.</w:t>
      </w:r>
    </w:p>
    <w:p w14:paraId="039D5F3D" w14:textId="77777777" w:rsidR="000E7A5A" w:rsidRPr="00F425EA" w:rsidRDefault="000E7A5A" w:rsidP="00E247FF">
      <w:pPr>
        <w:spacing w:after="0" w:line="276" w:lineRule="auto"/>
        <w:jc w:val="both"/>
        <w:rPr>
          <w:rFonts w:cs="Arial"/>
        </w:rPr>
      </w:pPr>
    </w:p>
    <w:p w14:paraId="475B564A" w14:textId="77777777" w:rsidR="000E7A5A" w:rsidRPr="00F425EA" w:rsidRDefault="00306071" w:rsidP="007C1098">
      <w:pPr>
        <w:spacing w:after="0" w:line="276" w:lineRule="auto"/>
        <w:jc w:val="both"/>
        <w:rPr>
          <w:rFonts w:cs="Arial"/>
        </w:rPr>
      </w:pPr>
      <w:r w:rsidRPr="00F425EA">
        <w:rPr>
          <w:rFonts w:cs="Arial"/>
        </w:rPr>
        <w:t>Priloga 2: Skupne finančne dodelitve po skladih in prednostnih nalogah, vključno z nacionalnim prispevkom.</w:t>
      </w:r>
    </w:p>
    <w:p w14:paraId="160A3864" w14:textId="77777777" w:rsidR="000E7A5A" w:rsidRPr="00F425EA" w:rsidRDefault="000E7A5A" w:rsidP="00E247FF">
      <w:pPr>
        <w:spacing w:after="0" w:line="276" w:lineRule="auto"/>
        <w:jc w:val="both"/>
        <w:rPr>
          <w:rFonts w:cs="Arial"/>
        </w:rPr>
      </w:pPr>
    </w:p>
    <w:p w14:paraId="21221033" w14:textId="77777777" w:rsidR="000E7A5A" w:rsidRPr="00F425EA" w:rsidRDefault="00306071" w:rsidP="00E247FF">
      <w:pPr>
        <w:spacing w:after="0" w:line="276" w:lineRule="auto"/>
        <w:jc w:val="both"/>
        <w:rPr>
          <w:rFonts w:cs="Arial"/>
        </w:rPr>
      </w:pPr>
      <w:r w:rsidRPr="00F425EA">
        <w:rPr>
          <w:rFonts w:cs="Arial"/>
        </w:rPr>
        <w:t xml:space="preserve">Priloga 3: Stanje pri izpolnjevanju tematskih </w:t>
      </w:r>
      <w:proofErr w:type="spellStart"/>
      <w:r w:rsidRPr="00F425EA">
        <w:rPr>
          <w:rFonts w:cs="Arial"/>
        </w:rPr>
        <w:t>omogočitvenih</w:t>
      </w:r>
      <w:proofErr w:type="spellEnd"/>
      <w:r w:rsidRPr="00F425EA">
        <w:rPr>
          <w:rFonts w:cs="Arial"/>
        </w:rPr>
        <w:t xml:space="preserve"> pogojev v obdobju 2021 – 2027 na dan 31. 12. 2024.</w:t>
      </w:r>
    </w:p>
    <w:p w14:paraId="32D42D06" w14:textId="77777777" w:rsidR="000E7A5A" w:rsidRPr="00F425EA" w:rsidRDefault="000E7A5A" w:rsidP="00E247FF">
      <w:pPr>
        <w:spacing w:after="0" w:line="276" w:lineRule="auto"/>
        <w:jc w:val="both"/>
        <w:rPr>
          <w:rFonts w:cs="Arial"/>
        </w:rPr>
      </w:pPr>
    </w:p>
    <w:p w14:paraId="4D1DD5ED" w14:textId="446DBFF0" w:rsidR="00304115" w:rsidRDefault="00304115" w:rsidP="00304115">
      <w:pPr>
        <w:pStyle w:val="Napis"/>
        <w:keepNext/>
        <w:spacing w:after="0"/>
        <w:rPr>
          <w:rFonts w:cs="Arial"/>
          <w:b w:val="0"/>
          <w:bCs w:val="0"/>
          <w:sz w:val="18"/>
          <w:szCs w:val="18"/>
        </w:rPr>
      </w:pPr>
      <w:bookmarkStart w:id="4422" w:name="_Toc191379202"/>
      <w:r w:rsidRPr="00304115">
        <w:rPr>
          <w:rFonts w:cs="Arial"/>
          <w:b w:val="0"/>
          <w:bCs w:val="0"/>
          <w:sz w:val="18"/>
          <w:szCs w:val="18"/>
        </w:rPr>
        <w:t xml:space="preserve">Tabela </w:t>
      </w:r>
      <w:r w:rsidRPr="00304115">
        <w:rPr>
          <w:rFonts w:cs="Arial"/>
          <w:b w:val="0"/>
          <w:bCs w:val="0"/>
          <w:sz w:val="18"/>
          <w:szCs w:val="18"/>
        </w:rPr>
        <w:fldChar w:fldCharType="begin"/>
      </w:r>
      <w:r w:rsidRPr="00304115">
        <w:rPr>
          <w:rFonts w:cs="Arial"/>
          <w:b w:val="0"/>
          <w:bCs w:val="0"/>
          <w:sz w:val="18"/>
          <w:szCs w:val="18"/>
        </w:rPr>
        <w:instrText xml:space="preserve"> SEQ Tabela \* ARABIC </w:instrText>
      </w:r>
      <w:r w:rsidRPr="00304115">
        <w:rPr>
          <w:rFonts w:cs="Arial"/>
          <w:b w:val="0"/>
          <w:bCs w:val="0"/>
          <w:sz w:val="18"/>
          <w:szCs w:val="18"/>
        </w:rPr>
        <w:fldChar w:fldCharType="separate"/>
      </w:r>
      <w:r w:rsidR="00064E01">
        <w:rPr>
          <w:rFonts w:cs="Arial"/>
          <w:b w:val="0"/>
          <w:bCs w:val="0"/>
          <w:noProof/>
          <w:sz w:val="18"/>
          <w:szCs w:val="18"/>
        </w:rPr>
        <w:t>13</w:t>
      </w:r>
      <w:r w:rsidRPr="00304115">
        <w:rPr>
          <w:rFonts w:cs="Arial"/>
          <w:b w:val="0"/>
          <w:bCs w:val="0"/>
          <w:sz w:val="18"/>
          <w:szCs w:val="18"/>
        </w:rPr>
        <w:fldChar w:fldCharType="end"/>
      </w:r>
      <w:r w:rsidRPr="00304115">
        <w:rPr>
          <w:rFonts w:cs="Arial"/>
          <w:b w:val="0"/>
          <w:bCs w:val="0"/>
          <w:sz w:val="18"/>
          <w:szCs w:val="18"/>
        </w:rPr>
        <w:t>:</w:t>
      </w:r>
      <w:bookmarkEnd w:id="4422"/>
    </w:p>
    <w:p w14:paraId="221432FB" w14:textId="77777777" w:rsidR="00DD42C3" w:rsidRPr="00DD42C3" w:rsidRDefault="00DD42C3" w:rsidP="00DD42C3">
      <w:pPr>
        <w:spacing w:after="0"/>
      </w:pPr>
    </w:p>
    <w:tbl>
      <w:tblPr>
        <w:tblW w:w="9345" w:type="dxa"/>
        <w:tblInd w:w="105" w:type="dxa"/>
        <w:tblLayout w:type="fixed"/>
        <w:tblCellMar>
          <w:left w:w="10" w:type="dxa"/>
          <w:right w:w="10" w:type="dxa"/>
        </w:tblCellMar>
        <w:tblLook w:val="04A0" w:firstRow="1" w:lastRow="0" w:firstColumn="1" w:lastColumn="0" w:noHBand="0" w:noVBand="1"/>
      </w:tblPr>
      <w:tblGrid>
        <w:gridCol w:w="2876"/>
        <w:gridCol w:w="1133"/>
        <w:gridCol w:w="2954"/>
        <w:gridCol w:w="1198"/>
        <w:gridCol w:w="1184"/>
      </w:tblGrid>
      <w:tr w:rsidR="000E7A5A" w:rsidRPr="00F425EA" w14:paraId="4E04CA6F" w14:textId="77777777">
        <w:trPr>
          <w:trHeight w:val="300"/>
        </w:trPr>
        <w:tc>
          <w:tcPr>
            <w:tcW w:w="2876" w:type="dxa"/>
            <w:tcBorders>
              <w:top w:val="single" w:sz="8" w:space="0" w:color="000000"/>
              <w:left w:val="single" w:sz="8" w:space="0" w:color="000000"/>
              <w:bottom w:val="single" w:sz="8" w:space="0" w:color="000000"/>
              <w:right w:val="single" w:sz="8" w:space="0" w:color="000000"/>
            </w:tcBorders>
            <w:shd w:val="clear" w:color="auto" w:fill="B4C6E7"/>
            <w:tcMar>
              <w:top w:w="0" w:type="dxa"/>
              <w:left w:w="108" w:type="dxa"/>
              <w:bottom w:w="0" w:type="dxa"/>
              <w:right w:w="108" w:type="dxa"/>
            </w:tcMar>
          </w:tcPr>
          <w:p w14:paraId="10D01760" w14:textId="77777777" w:rsidR="000E7A5A" w:rsidRPr="00F425EA" w:rsidRDefault="00306071" w:rsidP="00E247FF">
            <w:pPr>
              <w:spacing w:after="0" w:line="276" w:lineRule="auto"/>
              <w:rPr>
                <w:rFonts w:eastAsia="Calibri" w:cs="Arial"/>
                <w:b/>
                <w:bCs/>
                <w:color w:val="000000"/>
                <w:sz w:val="16"/>
                <w:szCs w:val="16"/>
              </w:rPr>
            </w:pPr>
            <w:r w:rsidRPr="00F425EA">
              <w:rPr>
                <w:rFonts w:eastAsia="Calibri" w:cs="Arial"/>
                <w:b/>
                <w:bCs/>
                <w:color w:val="000000"/>
                <w:sz w:val="16"/>
                <w:szCs w:val="16"/>
              </w:rPr>
              <w:t>OMOGOČITVENI POGOJ</w:t>
            </w:r>
          </w:p>
        </w:tc>
        <w:tc>
          <w:tcPr>
            <w:tcW w:w="1133" w:type="dxa"/>
            <w:tcBorders>
              <w:top w:val="single" w:sz="8" w:space="0" w:color="000000"/>
              <w:left w:val="single" w:sz="8" w:space="0" w:color="000000"/>
              <w:bottom w:val="single" w:sz="8" w:space="0" w:color="000000"/>
              <w:right w:val="single" w:sz="8" w:space="0" w:color="000000"/>
            </w:tcBorders>
            <w:shd w:val="clear" w:color="auto" w:fill="B4C6E7"/>
            <w:tcMar>
              <w:top w:w="0" w:type="dxa"/>
              <w:left w:w="108" w:type="dxa"/>
              <w:bottom w:w="0" w:type="dxa"/>
              <w:right w:w="108" w:type="dxa"/>
            </w:tcMar>
          </w:tcPr>
          <w:p w14:paraId="1A1D6956" w14:textId="77777777" w:rsidR="000E7A5A" w:rsidRPr="00F425EA" w:rsidRDefault="00306071" w:rsidP="00E247FF">
            <w:pPr>
              <w:spacing w:after="0" w:line="276" w:lineRule="auto"/>
              <w:rPr>
                <w:rFonts w:eastAsia="Calibri" w:cs="Arial"/>
                <w:b/>
                <w:bCs/>
                <w:color w:val="000000"/>
                <w:sz w:val="16"/>
                <w:szCs w:val="16"/>
              </w:rPr>
            </w:pPr>
            <w:r w:rsidRPr="00F425EA">
              <w:rPr>
                <w:rFonts w:eastAsia="Calibri" w:cs="Arial"/>
                <w:b/>
                <w:bCs/>
                <w:color w:val="000000"/>
                <w:sz w:val="16"/>
                <w:szCs w:val="16"/>
              </w:rPr>
              <w:t>IZPOLNITEV OMOGOČITVENEGA POGOJA (OCENA NOSILCA)</w:t>
            </w:r>
          </w:p>
        </w:tc>
        <w:tc>
          <w:tcPr>
            <w:tcW w:w="2954" w:type="dxa"/>
            <w:tcBorders>
              <w:top w:val="single" w:sz="8" w:space="0" w:color="000000"/>
              <w:left w:val="single" w:sz="8" w:space="0" w:color="000000"/>
              <w:bottom w:val="single" w:sz="8" w:space="0" w:color="000000"/>
              <w:right w:val="single" w:sz="8" w:space="0" w:color="000000"/>
            </w:tcBorders>
            <w:shd w:val="clear" w:color="auto" w:fill="B4C6E7"/>
            <w:tcMar>
              <w:top w:w="0" w:type="dxa"/>
              <w:left w:w="108" w:type="dxa"/>
              <w:bottom w:w="0" w:type="dxa"/>
              <w:right w:w="108" w:type="dxa"/>
            </w:tcMar>
          </w:tcPr>
          <w:p w14:paraId="755EC934" w14:textId="77777777" w:rsidR="000E7A5A" w:rsidRPr="00F425EA" w:rsidRDefault="00306071" w:rsidP="00E247FF">
            <w:pPr>
              <w:spacing w:after="0" w:line="276" w:lineRule="auto"/>
              <w:rPr>
                <w:rFonts w:eastAsia="Calibri" w:cs="Arial"/>
                <w:b/>
                <w:bCs/>
                <w:color w:val="000000"/>
                <w:sz w:val="16"/>
                <w:szCs w:val="16"/>
              </w:rPr>
            </w:pPr>
            <w:r w:rsidRPr="00F425EA">
              <w:rPr>
                <w:rFonts w:eastAsia="Calibri" w:cs="Arial"/>
                <w:b/>
                <w:bCs/>
                <w:color w:val="000000"/>
                <w:sz w:val="16"/>
                <w:szCs w:val="16"/>
              </w:rPr>
              <w:t>DOKUMENT/OPIS POTREBEN ZA IZPOLNITEV</w:t>
            </w:r>
          </w:p>
        </w:tc>
        <w:tc>
          <w:tcPr>
            <w:tcW w:w="1198" w:type="dxa"/>
            <w:tcBorders>
              <w:top w:val="single" w:sz="8" w:space="0" w:color="000000"/>
              <w:left w:val="single" w:sz="8" w:space="0" w:color="000000"/>
              <w:bottom w:val="single" w:sz="8" w:space="0" w:color="000000"/>
              <w:right w:val="single" w:sz="8" w:space="0" w:color="000000"/>
            </w:tcBorders>
            <w:shd w:val="clear" w:color="auto" w:fill="B4C6E7"/>
            <w:tcMar>
              <w:top w:w="0" w:type="dxa"/>
              <w:left w:w="108" w:type="dxa"/>
              <w:bottom w:w="0" w:type="dxa"/>
              <w:right w:w="108" w:type="dxa"/>
            </w:tcMar>
          </w:tcPr>
          <w:p w14:paraId="5059BC3C" w14:textId="77777777" w:rsidR="000E7A5A" w:rsidRPr="00F425EA" w:rsidRDefault="00306071" w:rsidP="00E247FF">
            <w:pPr>
              <w:spacing w:after="0" w:line="276" w:lineRule="auto"/>
              <w:rPr>
                <w:rFonts w:eastAsia="Calibri" w:cs="Arial"/>
                <w:b/>
                <w:bCs/>
                <w:color w:val="000000"/>
                <w:sz w:val="16"/>
                <w:szCs w:val="16"/>
              </w:rPr>
            </w:pPr>
            <w:r w:rsidRPr="00F425EA">
              <w:rPr>
                <w:rFonts w:eastAsia="Calibri" w:cs="Arial"/>
                <w:b/>
                <w:bCs/>
                <w:color w:val="000000"/>
                <w:sz w:val="16"/>
                <w:szCs w:val="16"/>
              </w:rPr>
              <w:t>NIVO SPREJEMA</w:t>
            </w:r>
          </w:p>
        </w:tc>
        <w:tc>
          <w:tcPr>
            <w:tcW w:w="1184" w:type="dxa"/>
            <w:tcBorders>
              <w:top w:val="single" w:sz="8" w:space="0" w:color="000000"/>
              <w:left w:val="single" w:sz="8" w:space="0" w:color="000000"/>
              <w:bottom w:val="single" w:sz="8" w:space="0" w:color="000000"/>
              <w:right w:val="single" w:sz="8" w:space="0" w:color="000000"/>
            </w:tcBorders>
            <w:shd w:val="clear" w:color="auto" w:fill="B4C6E7"/>
            <w:tcMar>
              <w:top w:w="0" w:type="dxa"/>
              <w:left w:w="108" w:type="dxa"/>
              <w:bottom w:w="0" w:type="dxa"/>
              <w:right w:w="108" w:type="dxa"/>
            </w:tcMar>
          </w:tcPr>
          <w:p w14:paraId="1D973CD0" w14:textId="77777777" w:rsidR="000E7A5A" w:rsidRPr="00F425EA" w:rsidRDefault="00306071" w:rsidP="00E247FF">
            <w:pPr>
              <w:spacing w:after="0" w:line="276" w:lineRule="auto"/>
              <w:rPr>
                <w:rFonts w:eastAsia="Calibri" w:cs="Arial"/>
                <w:b/>
                <w:bCs/>
                <w:color w:val="000000"/>
                <w:sz w:val="16"/>
                <w:szCs w:val="16"/>
              </w:rPr>
            </w:pPr>
            <w:r w:rsidRPr="00F425EA">
              <w:rPr>
                <w:rFonts w:eastAsia="Calibri" w:cs="Arial"/>
                <w:b/>
                <w:bCs/>
                <w:color w:val="000000"/>
                <w:sz w:val="16"/>
                <w:szCs w:val="16"/>
              </w:rPr>
              <w:t>PRAVNA PODLAGA</w:t>
            </w:r>
          </w:p>
        </w:tc>
      </w:tr>
      <w:tr w:rsidR="000E7A5A" w:rsidRPr="00F425EA" w14:paraId="5C685CF0" w14:textId="77777777">
        <w:trPr>
          <w:trHeight w:val="300"/>
        </w:trPr>
        <w:tc>
          <w:tcPr>
            <w:tcW w:w="287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8D6DA1E" w14:textId="77777777" w:rsidR="000E7A5A" w:rsidRPr="00F425EA" w:rsidRDefault="00306071" w:rsidP="00843DFA">
            <w:pPr>
              <w:spacing w:after="0" w:line="276" w:lineRule="auto"/>
              <w:jc w:val="both"/>
              <w:rPr>
                <w:rFonts w:eastAsia="Calibri" w:cs="Arial"/>
                <w:sz w:val="16"/>
                <w:szCs w:val="16"/>
              </w:rPr>
            </w:pPr>
            <w:r w:rsidRPr="00F425EA">
              <w:rPr>
                <w:rFonts w:eastAsia="Calibri" w:cs="Arial"/>
                <w:sz w:val="16"/>
                <w:szCs w:val="16"/>
              </w:rPr>
              <w:t>Učinkoviti mehanizmi spremljanja trga javnih naročil</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57A89EA" w14:textId="77777777" w:rsidR="000E7A5A" w:rsidRPr="00F425EA" w:rsidRDefault="00306071" w:rsidP="00E247FF">
            <w:pPr>
              <w:spacing w:after="0" w:line="276" w:lineRule="auto"/>
              <w:rPr>
                <w:rFonts w:eastAsia="Calibri" w:cs="Arial"/>
                <w:sz w:val="16"/>
                <w:szCs w:val="16"/>
              </w:rPr>
            </w:pPr>
            <w:r w:rsidRPr="00F425EA">
              <w:rPr>
                <w:rFonts w:eastAsia="Calibri" w:cs="Arial"/>
                <w:sz w:val="16"/>
                <w:szCs w:val="16"/>
              </w:rPr>
              <w:t>DA</w:t>
            </w:r>
          </w:p>
        </w:tc>
        <w:tc>
          <w:tcPr>
            <w:tcW w:w="295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909A7C1" w14:textId="77777777" w:rsidR="000E7A5A" w:rsidRPr="00F425EA" w:rsidRDefault="00306071" w:rsidP="00843DFA">
            <w:pPr>
              <w:spacing w:after="0" w:line="276" w:lineRule="auto"/>
              <w:jc w:val="both"/>
              <w:rPr>
                <w:rFonts w:cs="Arial"/>
              </w:rPr>
            </w:pPr>
            <w:r w:rsidRPr="00F425EA">
              <w:rPr>
                <w:rFonts w:eastAsia="Calibri" w:cs="Arial"/>
                <w:sz w:val="16"/>
                <w:szCs w:val="16"/>
              </w:rPr>
              <w:t xml:space="preserve">Členi 106.-108. in 114. Zakona o javnem naročanju (Uradni list RS, št. </w:t>
            </w:r>
            <w:hyperlink r:id="rId69" w:history="1">
              <w:r w:rsidRPr="00F425EA">
                <w:rPr>
                  <w:rStyle w:val="Hiperpovezava"/>
                  <w:rFonts w:eastAsia="Calibri" w:cs="Arial"/>
                  <w:sz w:val="16"/>
                  <w:szCs w:val="16"/>
                </w:rPr>
                <w:t>91/15</w:t>
              </w:r>
            </w:hyperlink>
            <w:r w:rsidRPr="00F425EA">
              <w:rPr>
                <w:rFonts w:eastAsia="Calibri" w:cs="Arial"/>
                <w:sz w:val="16"/>
                <w:szCs w:val="16"/>
              </w:rPr>
              <w:t xml:space="preserve"> in </w:t>
            </w:r>
            <w:hyperlink r:id="rId70" w:history="1">
              <w:r w:rsidRPr="00F425EA">
                <w:rPr>
                  <w:rStyle w:val="Hiperpovezava"/>
                  <w:rFonts w:eastAsia="Calibri" w:cs="Arial"/>
                  <w:sz w:val="16"/>
                  <w:szCs w:val="16"/>
                </w:rPr>
                <w:t>14/18</w:t>
              </w:r>
            </w:hyperlink>
            <w:r w:rsidRPr="00F425EA">
              <w:rPr>
                <w:rFonts w:eastAsia="Calibri" w:cs="Arial"/>
                <w:sz w:val="16"/>
                <w:szCs w:val="16"/>
              </w:rPr>
              <w:t>)</w:t>
            </w:r>
          </w:p>
        </w:tc>
        <w:tc>
          <w:tcPr>
            <w:tcW w:w="119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2757778" w14:textId="34D06D7D" w:rsidR="000E7A5A" w:rsidRPr="00F425EA" w:rsidRDefault="00DD42C3" w:rsidP="00E247FF">
            <w:pPr>
              <w:spacing w:after="0" w:line="276" w:lineRule="auto"/>
              <w:rPr>
                <w:rFonts w:eastAsia="Calibri" w:cs="Arial"/>
                <w:sz w:val="16"/>
                <w:szCs w:val="16"/>
              </w:rPr>
            </w:pPr>
            <w:r>
              <w:rPr>
                <w:rFonts w:eastAsia="Calibri" w:cs="Arial"/>
                <w:sz w:val="16"/>
                <w:szCs w:val="16"/>
              </w:rPr>
              <w:t>V</w:t>
            </w:r>
            <w:r w:rsidR="00306071" w:rsidRPr="00F425EA">
              <w:rPr>
                <w:rFonts w:eastAsia="Calibri" w:cs="Arial"/>
                <w:sz w:val="16"/>
                <w:szCs w:val="16"/>
              </w:rPr>
              <w:t>lada</w:t>
            </w:r>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F75270F" w14:textId="77777777" w:rsidR="000E7A5A" w:rsidRPr="00F425EA" w:rsidRDefault="00306071" w:rsidP="00E247FF">
            <w:pPr>
              <w:spacing w:after="0" w:line="276" w:lineRule="auto"/>
              <w:rPr>
                <w:rFonts w:eastAsia="Calibri" w:cs="Arial"/>
                <w:sz w:val="16"/>
                <w:szCs w:val="16"/>
              </w:rPr>
            </w:pPr>
            <w:r w:rsidRPr="00F425EA">
              <w:rPr>
                <w:rFonts w:eastAsia="Calibri" w:cs="Arial"/>
                <w:sz w:val="16"/>
                <w:szCs w:val="16"/>
              </w:rPr>
              <w:t>Priloga III Uredbe EU 2021/1060</w:t>
            </w:r>
          </w:p>
        </w:tc>
      </w:tr>
      <w:tr w:rsidR="000E7A5A" w:rsidRPr="00F425EA" w14:paraId="77E1302D" w14:textId="77777777">
        <w:trPr>
          <w:trHeight w:val="300"/>
        </w:trPr>
        <w:tc>
          <w:tcPr>
            <w:tcW w:w="287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AC25202" w14:textId="77777777" w:rsidR="000E7A5A" w:rsidRPr="00F425EA" w:rsidRDefault="00306071" w:rsidP="00843DFA">
            <w:pPr>
              <w:spacing w:after="0" w:line="276" w:lineRule="auto"/>
              <w:jc w:val="both"/>
              <w:rPr>
                <w:rFonts w:eastAsia="Calibri" w:cs="Arial"/>
                <w:sz w:val="16"/>
                <w:szCs w:val="16"/>
              </w:rPr>
            </w:pPr>
            <w:r w:rsidRPr="00F425EA">
              <w:rPr>
                <w:rFonts w:eastAsia="Calibri" w:cs="Arial"/>
                <w:sz w:val="16"/>
                <w:szCs w:val="16"/>
              </w:rPr>
              <w:t>Orodja in zmogljivosti za učinkovito uporabo pravil o državni pomoči</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BD0E300" w14:textId="77777777" w:rsidR="000E7A5A" w:rsidRPr="00F425EA" w:rsidRDefault="00306071" w:rsidP="00E247FF">
            <w:pPr>
              <w:spacing w:after="0" w:line="276" w:lineRule="auto"/>
              <w:rPr>
                <w:rFonts w:eastAsia="Calibri" w:cs="Arial"/>
                <w:sz w:val="16"/>
                <w:szCs w:val="16"/>
              </w:rPr>
            </w:pPr>
            <w:r w:rsidRPr="00F425EA">
              <w:rPr>
                <w:rFonts w:eastAsia="Calibri" w:cs="Arial"/>
                <w:sz w:val="16"/>
                <w:szCs w:val="16"/>
              </w:rPr>
              <w:t>DA</w:t>
            </w:r>
          </w:p>
        </w:tc>
        <w:tc>
          <w:tcPr>
            <w:tcW w:w="295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7A173C2" w14:textId="77777777" w:rsidR="000E7A5A" w:rsidRPr="00F425EA" w:rsidRDefault="00306071" w:rsidP="00843DFA">
            <w:pPr>
              <w:spacing w:after="0" w:line="276" w:lineRule="auto"/>
              <w:jc w:val="both"/>
              <w:rPr>
                <w:rFonts w:eastAsia="Calibri" w:cs="Arial"/>
                <w:sz w:val="16"/>
                <w:szCs w:val="16"/>
              </w:rPr>
            </w:pPr>
            <w:r w:rsidRPr="00F425EA">
              <w:rPr>
                <w:rFonts w:eastAsia="Calibri" w:cs="Arial"/>
                <w:sz w:val="16"/>
                <w:szCs w:val="16"/>
              </w:rPr>
              <w:t>Zakon o spremljanju državnih pomoči, vodenje evidence poslovnih subjektov s strani AJPES</w:t>
            </w:r>
          </w:p>
        </w:tc>
        <w:tc>
          <w:tcPr>
            <w:tcW w:w="119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7E29D97" w14:textId="496A5B06" w:rsidR="000E7A5A" w:rsidRPr="00F425EA" w:rsidRDefault="00DD42C3" w:rsidP="00E247FF">
            <w:pPr>
              <w:spacing w:after="0" w:line="276" w:lineRule="auto"/>
              <w:rPr>
                <w:rFonts w:eastAsia="Calibri" w:cs="Arial"/>
                <w:sz w:val="16"/>
                <w:szCs w:val="16"/>
              </w:rPr>
            </w:pPr>
            <w:r>
              <w:rPr>
                <w:rFonts w:eastAsia="Calibri" w:cs="Arial"/>
                <w:sz w:val="16"/>
                <w:szCs w:val="16"/>
              </w:rPr>
              <w:t>V</w:t>
            </w:r>
            <w:r w:rsidRPr="00F425EA">
              <w:rPr>
                <w:rFonts w:eastAsia="Calibri" w:cs="Arial"/>
                <w:sz w:val="16"/>
                <w:szCs w:val="16"/>
              </w:rPr>
              <w:t>lada</w:t>
            </w:r>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BC4619A" w14:textId="77777777" w:rsidR="000E7A5A" w:rsidRPr="00F425EA" w:rsidRDefault="00306071" w:rsidP="00E247FF">
            <w:pPr>
              <w:spacing w:after="0" w:line="276" w:lineRule="auto"/>
              <w:rPr>
                <w:rFonts w:eastAsia="Calibri" w:cs="Arial"/>
                <w:sz w:val="16"/>
                <w:szCs w:val="16"/>
              </w:rPr>
            </w:pPr>
            <w:r w:rsidRPr="00F425EA">
              <w:rPr>
                <w:rFonts w:eastAsia="Calibri" w:cs="Arial"/>
                <w:sz w:val="16"/>
                <w:szCs w:val="16"/>
              </w:rPr>
              <w:t>Priloga III Uredbe EU 2021/1060</w:t>
            </w:r>
          </w:p>
        </w:tc>
      </w:tr>
      <w:tr w:rsidR="000E7A5A" w:rsidRPr="00F425EA" w14:paraId="6E51DF2B" w14:textId="77777777">
        <w:trPr>
          <w:trHeight w:val="300"/>
        </w:trPr>
        <w:tc>
          <w:tcPr>
            <w:tcW w:w="287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5022962" w14:textId="77777777" w:rsidR="000E7A5A" w:rsidRPr="00F425EA" w:rsidRDefault="00306071" w:rsidP="00843DFA">
            <w:pPr>
              <w:spacing w:after="0" w:line="276" w:lineRule="auto"/>
              <w:jc w:val="both"/>
              <w:rPr>
                <w:rFonts w:eastAsia="Calibri" w:cs="Arial"/>
                <w:sz w:val="16"/>
                <w:szCs w:val="16"/>
              </w:rPr>
            </w:pPr>
            <w:r w:rsidRPr="00F425EA">
              <w:rPr>
                <w:rFonts w:eastAsia="Calibri" w:cs="Arial"/>
                <w:sz w:val="16"/>
                <w:szCs w:val="16"/>
              </w:rPr>
              <w:t>Dejanska uporaba in izvajanje Listine o temeljnih pravicah</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EFA51F9" w14:textId="77777777" w:rsidR="000E7A5A" w:rsidRPr="00F425EA" w:rsidRDefault="00306071" w:rsidP="00E247FF">
            <w:pPr>
              <w:spacing w:after="0" w:line="276" w:lineRule="auto"/>
              <w:rPr>
                <w:rFonts w:eastAsia="Calibri" w:cs="Arial"/>
                <w:sz w:val="16"/>
                <w:szCs w:val="16"/>
              </w:rPr>
            </w:pPr>
            <w:r w:rsidRPr="00F425EA">
              <w:rPr>
                <w:rFonts w:eastAsia="Calibri" w:cs="Arial"/>
                <w:sz w:val="16"/>
                <w:szCs w:val="16"/>
              </w:rPr>
              <w:t>DA</w:t>
            </w:r>
          </w:p>
        </w:tc>
        <w:tc>
          <w:tcPr>
            <w:tcW w:w="295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42767DE" w14:textId="77777777" w:rsidR="000E7A5A" w:rsidRPr="00F425EA" w:rsidRDefault="00306071" w:rsidP="00843DFA">
            <w:pPr>
              <w:spacing w:after="0" w:line="276" w:lineRule="auto"/>
              <w:jc w:val="both"/>
              <w:rPr>
                <w:rFonts w:eastAsia="Calibri" w:cs="Arial"/>
                <w:sz w:val="16"/>
                <w:szCs w:val="16"/>
              </w:rPr>
            </w:pPr>
            <w:r w:rsidRPr="00F425EA">
              <w:rPr>
                <w:rFonts w:eastAsia="Calibri" w:cs="Arial"/>
                <w:sz w:val="16"/>
                <w:szCs w:val="16"/>
              </w:rPr>
              <w:t xml:space="preserve">Vzpostavitev mehanizmov za zagotavljanje skladnosti programov z Listino EU v programskih dokumentih in poročanje odboru za spremljanje (vključitev v uredbo, priprava Postopkovnika za zagotovitev izpolnitve horizontalnih </w:t>
            </w:r>
            <w:proofErr w:type="spellStart"/>
            <w:r w:rsidRPr="00F425EA">
              <w:rPr>
                <w:rFonts w:eastAsia="Calibri" w:cs="Arial"/>
                <w:sz w:val="16"/>
                <w:szCs w:val="16"/>
              </w:rPr>
              <w:t>omogočitvenih</w:t>
            </w:r>
            <w:proofErr w:type="spellEnd"/>
            <w:r w:rsidRPr="00F425EA">
              <w:rPr>
                <w:rFonts w:eastAsia="Calibri" w:cs="Arial"/>
                <w:sz w:val="16"/>
                <w:szCs w:val="16"/>
              </w:rPr>
              <w:t xml:space="preserve"> pogojev »Dejanska uporaba in izvajanje Listine Evropske unije o temeljnih pravicah« in »Izvajanje in uporaba Konvencije Združenih narodov o pravicah invalidov v skladu s Sklepom Sveta 2010/48/ES« idr.)</w:t>
            </w:r>
          </w:p>
        </w:tc>
        <w:tc>
          <w:tcPr>
            <w:tcW w:w="119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6C88224" w14:textId="77777777" w:rsidR="000E7A5A" w:rsidRPr="00F425EA" w:rsidRDefault="00306071" w:rsidP="00E247FF">
            <w:pPr>
              <w:spacing w:after="0" w:line="276" w:lineRule="auto"/>
              <w:rPr>
                <w:rFonts w:eastAsia="Calibri" w:cs="Arial"/>
                <w:sz w:val="16"/>
                <w:szCs w:val="16"/>
              </w:rPr>
            </w:pPr>
            <w:r w:rsidRPr="00F425EA">
              <w:rPr>
                <w:rFonts w:eastAsia="Calibri" w:cs="Arial"/>
                <w:sz w:val="16"/>
                <w:szCs w:val="16"/>
              </w:rPr>
              <w:t>MKRR</w:t>
            </w:r>
          </w:p>
          <w:p w14:paraId="35359EC2" w14:textId="77777777" w:rsidR="000E7A5A" w:rsidRPr="00F425EA" w:rsidRDefault="00306071" w:rsidP="00E247FF">
            <w:pPr>
              <w:spacing w:after="0" w:line="276" w:lineRule="auto"/>
              <w:rPr>
                <w:rFonts w:eastAsia="Calibri" w:cs="Arial"/>
                <w:sz w:val="16"/>
                <w:szCs w:val="16"/>
              </w:rPr>
            </w:pPr>
            <w:r w:rsidRPr="00F425EA">
              <w:rPr>
                <w:rFonts w:eastAsia="Calibri" w:cs="Arial"/>
                <w:sz w:val="16"/>
                <w:szCs w:val="16"/>
              </w:rPr>
              <w:t xml:space="preserve"> </w:t>
            </w:r>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5183FBB" w14:textId="77777777" w:rsidR="000E7A5A" w:rsidRPr="00F425EA" w:rsidRDefault="00306071" w:rsidP="00E247FF">
            <w:pPr>
              <w:spacing w:after="0" w:line="276" w:lineRule="auto"/>
              <w:rPr>
                <w:rFonts w:eastAsia="Calibri" w:cs="Arial"/>
                <w:sz w:val="16"/>
                <w:szCs w:val="16"/>
              </w:rPr>
            </w:pPr>
            <w:r w:rsidRPr="00F425EA">
              <w:rPr>
                <w:rFonts w:eastAsia="Calibri" w:cs="Arial"/>
                <w:sz w:val="16"/>
                <w:szCs w:val="16"/>
              </w:rPr>
              <w:t>Priloga III Uredbe EU 2021/1060</w:t>
            </w:r>
          </w:p>
        </w:tc>
      </w:tr>
      <w:tr w:rsidR="000E7A5A" w:rsidRPr="00F425EA" w14:paraId="0940487C" w14:textId="77777777">
        <w:trPr>
          <w:trHeight w:val="300"/>
        </w:trPr>
        <w:tc>
          <w:tcPr>
            <w:tcW w:w="287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5EB6696" w14:textId="77777777" w:rsidR="000E7A5A" w:rsidRPr="00F425EA" w:rsidRDefault="00306071" w:rsidP="00843DFA">
            <w:pPr>
              <w:spacing w:after="0" w:line="276" w:lineRule="auto"/>
              <w:jc w:val="both"/>
              <w:rPr>
                <w:rFonts w:eastAsia="Calibri" w:cs="Arial"/>
                <w:sz w:val="16"/>
                <w:szCs w:val="16"/>
              </w:rPr>
            </w:pPr>
            <w:r w:rsidRPr="00F425EA">
              <w:rPr>
                <w:rFonts w:eastAsia="Calibri" w:cs="Arial"/>
                <w:sz w:val="16"/>
                <w:szCs w:val="16"/>
              </w:rPr>
              <w:t>Izvajanje in uporaba Konvencije Združenih narodov o pravicah invalidov v skladu s Sklepom Sveta 2010/48/ES</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2CB6CF9" w14:textId="77777777" w:rsidR="000E7A5A" w:rsidRPr="00F425EA" w:rsidRDefault="00306071" w:rsidP="00E247FF">
            <w:pPr>
              <w:spacing w:after="0" w:line="276" w:lineRule="auto"/>
              <w:rPr>
                <w:rFonts w:eastAsia="Calibri" w:cs="Arial"/>
                <w:sz w:val="16"/>
                <w:szCs w:val="16"/>
              </w:rPr>
            </w:pPr>
            <w:r w:rsidRPr="00F425EA">
              <w:rPr>
                <w:rFonts w:eastAsia="Calibri" w:cs="Arial"/>
                <w:sz w:val="16"/>
                <w:szCs w:val="16"/>
              </w:rPr>
              <w:t>DA</w:t>
            </w:r>
          </w:p>
        </w:tc>
        <w:tc>
          <w:tcPr>
            <w:tcW w:w="295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0973F17" w14:textId="56A94061" w:rsidR="000E7A5A" w:rsidRPr="00F425EA" w:rsidRDefault="00306071" w:rsidP="00DD42C3">
            <w:pPr>
              <w:spacing w:after="0" w:line="276" w:lineRule="auto"/>
              <w:jc w:val="both"/>
              <w:rPr>
                <w:rFonts w:eastAsia="Calibri" w:cs="Arial"/>
                <w:sz w:val="16"/>
                <w:szCs w:val="16"/>
              </w:rPr>
            </w:pPr>
            <w:r w:rsidRPr="00F425EA">
              <w:rPr>
                <w:rFonts w:eastAsia="Calibri" w:cs="Arial"/>
                <w:sz w:val="16"/>
                <w:szCs w:val="16"/>
              </w:rPr>
              <w:t>Akcijski program za invalide 2022–2030</w:t>
            </w:r>
            <w:r w:rsidR="00DD42C3">
              <w:rPr>
                <w:rFonts w:eastAsia="Calibri" w:cs="Arial"/>
                <w:sz w:val="16"/>
                <w:szCs w:val="16"/>
              </w:rPr>
              <w:t xml:space="preserve">, </w:t>
            </w:r>
            <w:r w:rsidRPr="00F425EA">
              <w:rPr>
                <w:rFonts w:eastAsia="Calibri" w:cs="Arial"/>
                <w:sz w:val="16"/>
                <w:szCs w:val="16"/>
              </w:rPr>
              <w:t xml:space="preserve">Postopkovnik za zagotovitev izpolnitve horizontalnih </w:t>
            </w:r>
            <w:proofErr w:type="spellStart"/>
            <w:r w:rsidRPr="00F425EA">
              <w:rPr>
                <w:rFonts w:eastAsia="Calibri" w:cs="Arial"/>
                <w:sz w:val="16"/>
                <w:szCs w:val="16"/>
              </w:rPr>
              <w:t>omogočitvenih</w:t>
            </w:r>
            <w:proofErr w:type="spellEnd"/>
            <w:r w:rsidRPr="00F425EA">
              <w:rPr>
                <w:rFonts w:eastAsia="Calibri" w:cs="Arial"/>
                <w:sz w:val="16"/>
                <w:szCs w:val="16"/>
              </w:rPr>
              <w:t xml:space="preserve"> pogojev »Dejanska uporaba in izvajanje Listine Evropske unije o temeljnih pravicah« in »Izvajanje in uporaba Konvencije Združenih narodov o pravicah invalidov v skladu s Sklepom Sveta 2010/48/ES«</w:t>
            </w:r>
          </w:p>
        </w:tc>
        <w:tc>
          <w:tcPr>
            <w:tcW w:w="119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55C0C0D" w14:textId="77777777" w:rsidR="000E7A5A" w:rsidRPr="00F425EA" w:rsidRDefault="00306071" w:rsidP="00E247FF">
            <w:pPr>
              <w:spacing w:after="0" w:line="276" w:lineRule="auto"/>
              <w:rPr>
                <w:rFonts w:eastAsia="Calibri" w:cs="Arial"/>
                <w:sz w:val="16"/>
                <w:szCs w:val="16"/>
              </w:rPr>
            </w:pPr>
            <w:r w:rsidRPr="00F425EA">
              <w:rPr>
                <w:rFonts w:eastAsia="Calibri" w:cs="Arial"/>
                <w:sz w:val="16"/>
                <w:szCs w:val="16"/>
              </w:rPr>
              <w:t>Vlada</w:t>
            </w:r>
          </w:p>
          <w:p w14:paraId="17473F7E" w14:textId="77777777" w:rsidR="000E7A5A" w:rsidRPr="00F425EA" w:rsidRDefault="00306071" w:rsidP="00E247FF">
            <w:pPr>
              <w:spacing w:after="0" w:line="276" w:lineRule="auto"/>
              <w:rPr>
                <w:rFonts w:eastAsia="Calibri" w:cs="Arial"/>
                <w:sz w:val="16"/>
                <w:szCs w:val="16"/>
              </w:rPr>
            </w:pPr>
            <w:r w:rsidRPr="00F425EA">
              <w:rPr>
                <w:rFonts w:eastAsia="Calibri" w:cs="Arial"/>
                <w:sz w:val="16"/>
                <w:szCs w:val="16"/>
              </w:rPr>
              <w:t>MKRR</w:t>
            </w:r>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35B866A" w14:textId="77777777" w:rsidR="000E7A5A" w:rsidRPr="00F425EA" w:rsidRDefault="00306071" w:rsidP="00E247FF">
            <w:pPr>
              <w:spacing w:after="0" w:line="276" w:lineRule="auto"/>
              <w:rPr>
                <w:rFonts w:eastAsia="Calibri" w:cs="Arial"/>
                <w:sz w:val="16"/>
                <w:szCs w:val="16"/>
              </w:rPr>
            </w:pPr>
            <w:r w:rsidRPr="00F425EA">
              <w:rPr>
                <w:rFonts w:eastAsia="Calibri" w:cs="Arial"/>
                <w:sz w:val="16"/>
                <w:szCs w:val="16"/>
              </w:rPr>
              <w:t>Priloga III Uredbe EU 2021/1060</w:t>
            </w:r>
          </w:p>
        </w:tc>
      </w:tr>
      <w:tr w:rsidR="000E7A5A" w:rsidRPr="00F425EA" w14:paraId="5D9D48FA" w14:textId="77777777">
        <w:trPr>
          <w:trHeight w:val="300"/>
        </w:trPr>
        <w:tc>
          <w:tcPr>
            <w:tcW w:w="287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2296477" w14:textId="77777777" w:rsidR="000E7A5A" w:rsidRPr="00F425EA" w:rsidRDefault="00306071" w:rsidP="00843DFA">
            <w:pPr>
              <w:spacing w:after="0" w:line="276" w:lineRule="auto"/>
              <w:jc w:val="both"/>
              <w:rPr>
                <w:rFonts w:eastAsia="Calibri" w:cs="Arial"/>
                <w:sz w:val="16"/>
                <w:szCs w:val="16"/>
              </w:rPr>
            </w:pPr>
            <w:r w:rsidRPr="00F425EA">
              <w:rPr>
                <w:rFonts w:eastAsia="Calibri" w:cs="Arial"/>
                <w:sz w:val="16"/>
                <w:szCs w:val="16"/>
              </w:rPr>
              <w:t>1.1 Dobro upravljanje nacionalne ali regionalne strategije pametne specializacije</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8FFCB2D" w14:textId="77777777" w:rsidR="000E7A5A" w:rsidRPr="00F425EA" w:rsidRDefault="00306071" w:rsidP="00E247FF">
            <w:pPr>
              <w:spacing w:after="0" w:line="276" w:lineRule="auto"/>
              <w:rPr>
                <w:rFonts w:eastAsia="Calibri" w:cs="Arial"/>
                <w:sz w:val="16"/>
                <w:szCs w:val="16"/>
              </w:rPr>
            </w:pPr>
            <w:r w:rsidRPr="00F425EA">
              <w:rPr>
                <w:rFonts w:eastAsia="Calibri" w:cs="Arial"/>
                <w:sz w:val="16"/>
                <w:szCs w:val="16"/>
              </w:rPr>
              <w:t>DA</w:t>
            </w:r>
          </w:p>
        </w:tc>
        <w:tc>
          <w:tcPr>
            <w:tcW w:w="295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8223BB0" w14:textId="77777777" w:rsidR="000E7A5A" w:rsidRPr="00F425EA" w:rsidRDefault="00306071" w:rsidP="00843DFA">
            <w:pPr>
              <w:spacing w:after="0" w:line="276" w:lineRule="auto"/>
              <w:jc w:val="both"/>
              <w:rPr>
                <w:rFonts w:eastAsia="Calibri" w:cs="Arial"/>
                <w:sz w:val="16"/>
                <w:szCs w:val="16"/>
              </w:rPr>
            </w:pPr>
            <w:r w:rsidRPr="00F425EA">
              <w:rPr>
                <w:rFonts w:eastAsia="Calibri" w:cs="Arial"/>
                <w:sz w:val="16"/>
                <w:szCs w:val="16"/>
              </w:rPr>
              <w:t xml:space="preserve">Strategija pametne specializacije </w:t>
            </w:r>
          </w:p>
        </w:tc>
        <w:tc>
          <w:tcPr>
            <w:tcW w:w="119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C79BFF9" w14:textId="563D8F83" w:rsidR="000E7A5A" w:rsidRPr="00F425EA" w:rsidRDefault="00306071" w:rsidP="00E247FF">
            <w:pPr>
              <w:spacing w:after="0" w:line="276" w:lineRule="auto"/>
              <w:rPr>
                <w:rFonts w:eastAsia="Calibri" w:cs="Arial"/>
                <w:sz w:val="16"/>
                <w:szCs w:val="16"/>
              </w:rPr>
            </w:pPr>
            <w:r w:rsidRPr="00F425EA">
              <w:rPr>
                <w:rFonts w:eastAsia="Calibri" w:cs="Arial"/>
                <w:sz w:val="16"/>
                <w:szCs w:val="16"/>
              </w:rPr>
              <w:t>ožja skupina državnih sekretarjev pristojnih za kohezijsko politiko, znanost, inovacije, gospodarstvo in digitalno preobrazbo</w:t>
            </w:r>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5C6905D" w14:textId="77777777" w:rsidR="000E7A5A" w:rsidRPr="00F425EA" w:rsidRDefault="00306071" w:rsidP="00E247FF">
            <w:pPr>
              <w:spacing w:after="0" w:line="276" w:lineRule="auto"/>
              <w:rPr>
                <w:rFonts w:eastAsia="Calibri" w:cs="Arial"/>
                <w:sz w:val="16"/>
                <w:szCs w:val="16"/>
              </w:rPr>
            </w:pPr>
            <w:r w:rsidRPr="00F425EA">
              <w:rPr>
                <w:rFonts w:eastAsia="Calibri" w:cs="Arial"/>
                <w:sz w:val="16"/>
                <w:szCs w:val="16"/>
              </w:rPr>
              <w:t>Priloga IV Uredbe EU 2021/1060</w:t>
            </w:r>
          </w:p>
        </w:tc>
      </w:tr>
      <w:tr w:rsidR="000E7A5A" w:rsidRPr="00F425EA" w14:paraId="49C4FDD3" w14:textId="77777777">
        <w:trPr>
          <w:trHeight w:val="300"/>
        </w:trPr>
        <w:tc>
          <w:tcPr>
            <w:tcW w:w="287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6058F23" w14:textId="77777777" w:rsidR="000E7A5A" w:rsidRPr="00F425EA" w:rsidRDefault="00306071" w:rsidP="00843DFA">
            <w:pPr>
              <w:spacing w:after="0" w:line="276" w:lineRule="auto"/>
              <w:jc w:val="both"/>
              <w:rPr>
                <w:rFonts w:eastAsia="Calibri" w:cs="Arial"/>
                <w:sz w:val="16"/>
                <w:szCs w:val="16"/>
              </w:rPr>
            </w:pPr>
            <w:r w:rsidRPr="00F425EA">
              <w:rPr>
                <w:rFonts w:eastAsia="Calibri" w:cs="Arial"/>
                <w:sz w:val="16"/>
                <w:szCs w:val="16"/>
              </w:rPr>
              <w:t>1.2 Nacionalni ali regionalni načrt za širokopasovna omrežja</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E511645" w14:textId="77777777" w:rsidR="000E7A5A" w:rsidRPr="00F425EA" w:rsidRDefault="00306071" w:rsidP="00E247FF">
            <w:pPr>
              <w:spacing w:after="0" w:line="276" w:lineRule="auto"/>
              <w:rPr>
                <w:rFonts w:eastAsia="Calibri" w:cs="Arial"/>
                <w:sz w:val="16"/>
                <w:szCs w:val="16"/>
              </w:rPr>
            </w:pPr>
            <w:r w:rsidRPr="00F425EA">
              <w:rPr>
                <w:rFonts w:eastAsia="Calibri" w:cs="Arial"/>
                <w:sz w:val="16"/>
                <w:szCs w:val="16"/>
              </w:rPr>
              <w:t>DA</w:t>
            </w:r>
          </w:p>
        </w:tc>
        <w:tc>
          <w:tcPr>
            <w:tcW w:w="295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7D025EB" w14:textId="77777777" w:rsidR="000E7A5A" w:rsidRPr="00F425EA" w:rsidRDefault="00306071" w:rsidP="00843DFA">
            <w:pPr>
              <w:spacing w:after="0" w:line="276" w:lineRule="auto"/>
              <w:jc w:val="both"/>
              <w:rPr>
                <w:rFonts w:eastAsia="Calibri" w:cs="Arial"/>
                <w:sz w:val="16"/>
                <w:szCs w:val="16"/>
              </w:rPr>
            </w:pPr>
            <w:r w:rsidRPr="00F425EA">
              <w:rPr>
                <w:rFonts w:eastAsia="Calibri" w:cs="Arial"/>
                <w:sz w:val="16"/>
                <w:szCs w:val="16"/>
              </w:rPr>
              <w:t xml:space="preserve">Načrt razvoja </w:t>
            </w:r>
            <w:proofErr w:type="spellStart"/>
            <w:r w:rsidRPr="00F425EA">
              <w:rPr>
                <w:rFonts w:eastAsia="Calibri" w:cs="Arial"/>
                <w:sz w:val="16"/>
                <w:szCs w:val="16"/>
              </w:rPr>
              <w:t>gigabitne</w:t>
            </w:r>
            <w:proofErr w:type="spellEnd"/>
            <w:r w:rsidRPr="00F425EA">
              <w:rPr>
                <w:rFonts w:eastAsia="Calibri" w:cs="Arial"/>
                <w:sz w:val="16"/>
                <w:szCs w:val="16"/>
              </w:rPr>
              <w:t xml:space="preserve"> infrastrukture do leta 2030</w:t>
            </w:r>
          </w:p>
        </w:tc>
        <w:tc>
          <w:tcPr>
            <w:tcW w:w="119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1010627" w14:textId="300D12EB" w:rsidR="000E7A5A" w:rsidRPr="00F425EA" w:rsidRDefault="00DD42C3" w:rsidP="00E247FF">
            <w:pPr>
              <w:spacing w:after="0" w:line="276" w:lineRule="auto"/>
              <w:rPr>
                <w:rFonts w:eastAsia="Calibri" w:cs="Arial"/>
                <w:sz w:val="16"/>
                <w:szCs w:val="16"/>
              </w:rPr>
            </w:pPr>
            <w:r>
              <w:rPr>
                <w:rFonts w:eastAsia="Calibri" w:cs="Arial"/>
                <w:sz w:val="16"/>
                <w:szCs w:val="16"/>
              </w:rPr>
              <w:t>V</w:t>
            </w:r>
            <w:r w:rsidRPr="00F425EA">
              <w:rPr>
                <w:rFonts w:eastAsia="Calibri" w:cs="Arial"/>
                <w:sz w:val="16"/>
                <w:szCs w:val="16"/>
              </w:rPr>
              <w:t>lada</w:t>
            </w:r>
            <w:r w:rsidR="00306071" w:rsidRPr="00F425EA">
              <w:rPr>
                <w:rFonts w:eastAsia="Calibri" w:cs="Arial"/>
                <w:sz w:val="16"/>
                <w:szCs w:val="16"/>
              </w:rPr>
              <w:t xml:space="preserve"> </w:t>
            </w:r>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F55CDCC" w14:textId="77777777" w:rsidR="000E7A5A" w:rsidRPr="00F425EA" w:rsidRDefault="00306071" w:rsidP="00E247FF">
            <w:pPr>
              <w:spacing w:after="0" w:line="276" w:lineRule="auto"/>
              <w:rPr>
                <w:rFonts w:eastAsia="Calibri" w:cs="Arial"/>
                <w:sz w:val="16"/>
                <w:szCs w:val="16"/>
              </w:rPr>
            </w:pPr>
            <w:r w:rsidRPr="00F425EA">
              <w:rPr>
                <w:rFonts w:eastAsia="Calibri" w:cs="Arial"/>
                <w:sz w:val="16"/>
                <w:szCs w:val="16"/>
              </w:rPr>
              <w:t>Priloga IV Uredbe EU 2021/1060</w:t>
            </w:r>
          </w:p>
        </w:tc>
      </w:tr>
      <w:tr w:rsidR="000E7A5A" w:rsidRPr="00F425EA" w14:paraId="61A6F51D" w14:textId="77777777">
        <w:trPr>
          <w:trHeight w:val="300"/>
        </w:trPr>
        <w:tc>
          <w:tcPr>
            <w:tcW w:w="287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214EA3D" w14:textId="043926EA" w:rsidR="000E7A5A" w:rsidRPr="00F425EA" w:rsidRDefault="00306071" w:rsidP="00DD42C3">
            <w:pPr>
              <w:spacing w:after="0" w:line="276" w:lineRule="auto"/>
              <w:jc w:val="both"/>
              <w:rPr>
                <w:rFonts w:eastAsia="Calibri" w:cs="Arial"/>
                <w:sz w:val="16"/>
                <w:szCs w:val="16"/>
              </w:rPr>
            </w:pPr>
            <w:r w:rsidRPr="00F425EA">
              <w:rPr>
                <w:rFonts w:eastAsia="Calibri" w:cs="Arial"/>
                <w:sz w:val="16"/>
                <w:szCs w:val="16"/>
              </w:rPr>
              <w:lastRenderedPageBreak/>
              <w:t>2.1 Strateški okvir politike za podporo prenove za večjo</w:t>
            </w:r>
            <w:r w:rsidR="00DD42C3">
              <w:rPr>
                <w:rFonts w:eastAsia="Calibri" w:cs="Arial"/>
                <w:sz w:val="16"/>
                <w:szCs w:val="16"/>
              </w:rPr>
              <w:t xml:space="preserve"> </w:t>
            </w:r>
            <w:r w:rsidRPr="00F425EA">
              <w:rPr>
                <w:rFonts w:eastAsia="Calibri" w:cs="Arial"/>
                <w:sz w:val="16"/>
                <w:szCs w:val="16"/>
              </w:rPr>
              <w:t xml:space="preserve">energetsko učinkovitost stanovanjskih in </w:t>
            </w:r>
            <w:proofErr w:type="spellStart"/>
            <w:r w:rsidRPr="00F425EA">
              <w:rPr>
                <w:rFonts w:eastAsia="Calibri" w:cs="Arial"/>
                <w:sz w:val="16"/>
                <w:szCs w:val="16"/>
              </w:rPr>
              <w:t>nestanovanjskih</w:t>
            </w:r>
            <w:proofErr w:type="spellEnd"/>
            <w:r w:rsidRPr="00F425EA">
              <w:rPr>
                <w:rFonts w:eastAsia="Calibri" w:cs="Arial"/>
                <w:sz w:val="16"/>
                <w:szCs w:val="16"/>
              </w:rPr>
              <w:t xml:space="preserve"> stavb</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76AF98E" w14:textId="77777777" w:rsidR="000E7A5A" w:rsidRPr="00F425EA" w:rsidRDefault="00306071" w:rsidP="00E247FF">
            <w:pPr>
              <w:spacing w:after="0" w:line="276" w:lineRule="auto"/>
              <w:rPr>
                <w:rFonts w:eastAsia="Calibri" w:cs="Arial"/>
                <w:sz w:val="16"/>
                <w:szCs w:val="16"/>
              </w:rPr>
            </w:pPr>
            <w:r w:rsidRPr="00F425EA">
              <w:rPr>
                <w:rFonts w:eastAsia="Calibri" w:cs="Arial"/>
                <w:sz w:val="16"/>
                <w:szCs w:val="16"/>
              </w:rPr>
              <w:t>DA</w:t>
            </w:r>
          </w:p>
        </w:tc>
        <w:tc>
          <w:tcPr>
            <w:tcW w:w="295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DF49CCC" w14:textId="77777777" w:rsidR="000E7A5A" w:rsidRPr="00F425EA" w:rsidRDefault="00306071" w:rsidP="00843DFA">
            <w:pPr>
              <w:spacing w:after="0" w:line="276" w:lineRule="auto"/>
              <w:jc w:val="both"/>
              <w:rPr>
                <w:rFonts w:eastAsia="Calibri" w:cs="Arial"/>
                <w:sz w:val="16"/>
                <w:szCs w:val="16"/>
              </w:rPr>
            </w:pPr>
            <w:r w:rsidRPr="00F425EA">
              <w:rPr>
                <w:rFonts w:eastAsia="Calibri" w:cs="Arial"/>
                <w:sz w:val="16"/>
                <w:szCs w:val="16"/>
              </w:rPr>
              <w:t>Dolgoročna strategija energetske prenove stavb do leta 2050</w:t>
            </w:r>
          </w:p>
        </w:tc>
        <w:tc>
          <w:tcPr>
            <w:tcW w:w="119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C2FFA46" w14:textId="6FE8C92A" w:rsidR="000E7A5A" w:rsidRPr="00F425EA" w:rsidRDefault="00DD42C3" w:rsidP="00E247FF">
            <w:pPr>
              <w:spacing w:after="0" w:line="276" w:lineRule="auto"/>
              <w:rPr>
                <w:rFonts w:eastAsia="Calibri" w:cs="Arial"/>
                <w:sz w:val="16"/>
                <w:szCs w:val="16"/>
              </w:rPr>
            </w:pPr>
            <w:r>
              <w:rPr>
                <w:rFonts w:eastAsia="Calibri" w:cs="Arial"/>
                <w:sz w:val="16"/>
                <w:szCs w:val="16"/>
              </w:rPr>
              <w:t>V</w:t>
            </w:r>
            <w:r w:rsidRPr="00F425EA">
              <w:rPr>
                <w:rFonts w:eastAsia="Calibri" w:cs="Arial"/>
                <w:sz w:val="16"/>
                <w:szCs w:val="16"/>
              </w:rPr>
              <w:t>lada</w:t>
            </w:r>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7A14A29" w14:textId="77777777" w:rsidR="000E7A5A" w:rsidRPr="00F425EA" w:rsidRDefault="00306071" w:rsidP="00E247FF">
            <w:pPr>
              <w:spacing w:after="0" w:line="276" w:lineRule="auto"/>
              <w:rPr>
                <w:rFonts w:eastAsia="Calibri" w:cs="Arial"/>
                <w:sz w:val="16"/>
                <w:szCs w:val="16"/>
              </w:rPr>
            </w:pPr>
            <w:r w:rsidRPr="00F425EA">
              <w:rPr>
                <w:rFonts w:eastAsia="Calibri" w:cs="Arial"/>
                <w:sz w:val="16"/>
                <w:szCs w:val="16"/>
              </w:rPr>
              <w:t>Priloga IV Uredbe EU 2021/1060</w:t>
            </w:r>
          </w:p>
        </w:tc>
      </w:tr>
      <w:tr w:rsidR="000E7A5A" w:rsidRPr="00F425EA" w14:paraId="236FE49F" w14:textId="77777777">
        <w:trPr>
          <w:trHeight w:val="300"/>
        </w:trPr>
        <w:tc>
          <w:tcPr>
            <w:tcW w:w="287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D163ACA" w14:textId="77777777" w:rsidR="000E7A5A" w:rsidRPr="00F425EA" w:rsidRDefault="00306071" w:rsidP="00843DFA">
            <w:pPr>
              <w:spacing w:after="0" w:line="276" w:lineRule="auto"/>
              <w:jc w:val="both"/>
              <w:rPr>
                <w:rFonts w:eastAsia="Calibri" w:cs="Arial"/>
                <w:sz w:val="16"/>
                <w:szCs w:val="16"/>
              </w:rPr>
            </w:pPr>
            <w:r w:rsidRPr="00F425EA">
              <w:rPr>
                <w:rFonts w:eastAsia="Calibri" w:cs="Arial"/>
                <w:sz w:val="16"/>
                <w:szCs w:val="16"/>
              </w:rPr>
              <w:t>2.2 Upravljanje Energetskega sektorja</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8DA4EBF" w14:textId="77777777" w:rsidR="000E7A5A" w:rsidRPr="00F425EA" w:rsidRDefault="00306071" w:rsidP="00E247FF">
            <w:pPr>
              <w:spacing w:after="0" w:line="276" w:lineRule="auto"/>
              <w:rPr>
                <w:rFonts w:eastAsia="Calibri" w:cs="Arial"/>
                <w:sz w:val="16"/>
                <w:szCs w:val="16"/>
              </w:rPr>
            </w:pPr>
            <w:r w:rsidRPr="00F425EA">
              <w:rPr>
                <w:rFonts w:eastAsia="Calibri" w:cs="Arial"/>
                <w:sz w:val="16"/>
                <w:szCs w:val="16"/>
              </w:rPr>
              <w:t>DA</w:t>
            </w:r>
          </w:p>
        </w:tc>
        <w:tc>
          <w:tcPr>
            <w:tcW w:w="295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A0BB66D" w14:textId="77777777" w:rsidR="000E7A5A" w:rsidRPr="00F425EA" w:rsidRDefault="00306071" w:rsidP="00843DFA">
            <w:pPr>
              <w:spacing w:after="0" w:line="276" w:lineRule="auto"/>
              <w:jc w:val="both"/>
              <w:rPr>
                <w:rFonts w:eastAsia="Calibri" w:cs="Arial"/>
                <w:sz w:val="16"/>
                <w:szCs w:val="16"/>
              </w:rPr>
            </w:pPr>
            <w:r w:rsidRPr="00F425EA">
              <w:rPr>
                <w:rFonts w:eastAsia="Calibri" w:cs="Arial"/>
                <w:sz w:val="16"/>
                <w:szCs w:val="16"/>
              </w:rPr>
              <w:t>Celovit nacionalni energetski in podnebni načrt</w:t>
            </w:r>
          </w:p>
        </w:tc>
        <w:tc>
          <w:tcPr>
            <w:tcW w:w="119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E62408D" w14:textId="027DDA2B" w:rsidR="000E7A5A" w:rsidRPr="00F425EA" w:rsidRDefault="00DD42C3" w:rsidP="00E247FF">
            <w:pPr>
              <w:spacing w:after="0" w:line="276" w:lineRule="auto"/>
              <w:rPr>
                <w:rFonts w:eastAsia="Calibri" w:cs="Arial"/>
                <w:sz w:val="16"/>
                <w:szCs w:val="16"/>
              </w:rPr>
            </w:pPr>
            <w:r>
              <w:rPr>
                <w:rFonts w:eastAsia="Calibri" w:cs="Arial"/>
                <w:sz w:val="16"/>
                <w:szCs w:val="16"/>
              </w:rPr>
              <w:t>V</w:t>
            </w:r>
            <w:r w:rsidRPr="00F425EA">
              <w:rPr>
                <w:rFonts w:eastAsia="Calibri" w:cs="Arial"/>
                <w:sz w:val="16"/>
                <w:szCs w:val="16"/>
              </w:rPr>
              <w:t>lada</w:t>
            </w:r>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A53299B" w14:textId="77777777" w:rsidR="000E7A5A" w:rsidRPr="00F425EA" w:rsidRDefault="00306071" w:rsidP="00E247FF">
            <w:pPr>
              <w:spacing w:after="0" w:line="276" w:lineRule="auto"/>
              <w:rPr>
                <w:rFonts w:eastAsia="Calibri" w:cs="Arial"/>
                <w:sz w:val="16"/>
                <w:szCs w:val="16"/>
              </w:rPr>
            </w:pPr>
            <w:r w:rsidRPr="00F425EA">
              <w:rPr>
                <w:rFonts w:eastAsia="Calibri" w:cs="Arial"/>
                <w:sz w:val="16"/>
                <w:szCs w:val="16"/>
              </w:rPr>
              <w:t>Priloga IV Uredbe EU 2021/1060</w:t>
            </w:r>
          </w:p>
        </w:tc>
      </w:tr>
      <w:tr w:rsidR="000E7A5A" w:rsidRPr="00F425EA" w14:paraId="7546666A" w14:textId="77777777">
        <w:trPr>
          <w:trHeight w:val="300"/>
        </w:trPr>
        <w:tc>
          <w:tcPr>
            <w:tcW w:w="287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6A25BEA" w14:textId="77777777" w:rsidR="000E7A5A" w:rsidRPr="00F425EA" w:rsidRDefault="00306071" w:rsidP="00843DFA">
            <w:pPr>
              <w:spacing w:after="0" w:line="276" w:lineRule="auto"/>
              <w:jc w:val="both"/>
              <w:rPr>
                <w:rFonts w:eastAsia="Calibri" w:cs="Arial"/>
                <w:sz w:val="16"/>
                <w:szCs w:val="16"/>
              </w:rPr>
            </w:pPr>
            <w:r w:rsidRPr="00F425EA">
              <w:rPr>
                <w:rFonts w:eastAsia="Calibri" w:cs="Arial"/>
                <w:sz w:val="16"/>
                <w:szCs w:val="16"/>
              </w:rPr>
              <w:t>2.3 Učinkovito spodbujanje uporabe energije iz obnovljivih virov v vseh sektorjih in v vsej Uniji</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DACE3AA" w14:textId="77777777" w:rsidR="000E7A5A" w:rsidRPr="00F425EA" w:rsidRDefault="00306071" w:rsidP="00E247FF">
            <w:pPr>
              <w:spacing w:after="0" w:line="276" w:lineRule="auto"/>
              <w:rPr>
                <w:rFonts w:eastAsia="Calibri" w:cs="Arial"/>
                <w:sz w:val="16"/>
                <w:szCs w:val="16"/>
              </w:rPr>
            </w:pPr>
            <w:r w:rsidRPr="00F425EA">
              <w:rPr>
                <w:rFonts w:eastAsia="Calibri" w:cs="Arial"/>
                <w:sz w:val="16"/>
                <w:szCs w:val="16"/>
              </w:rPr>
              <w:t>DA</w:t>
            </w:r>
          </w:p>
        </w:tc>
        <w:tc>
          <w:tcPr>
            <w:tcW w:w="295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CA6F1C9" w14:textId="77777777" w:rsidR="000E7A5A" w:rsidRPr="00F425EA" w:rsidRDefault="00306071" w:rsidP="00843DFA">
            <w:pPr>
              <w:spacing w:after="0" w:line="276" w:lineRule="auto"/>
              <w:jc w:val="both"/>
              <w:rPr>
                <w:rFonts w:eastAsia="Calibri" w:cs="Arial"/>
                <w:sz w:val="16"/>
                <w:szCs w:val="16"/>
              </w:rPr>
            </w:pPr>
            <w:r w:rsidRPr="00F425EA">
              <w:rPr>
                <w:rFonts w:eastAsia="Calibri" w:cs="Arial"/>
                <w:sz w:val="16"/>
                <w:szCs w:val="16"/>
              </w:rPr>
              <w:t>Merila upoštevana pri pripravi Celovitega nacionalnega energetskega in podnebnega načrta</w:t>
            </w:r>
          </w:p>
        </w:tc>
        <w:tc>
          <w:tcPr>
            <w:tcW w:w="119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B967DC4" w14:textId="26C5C268" w:rsidR="000E7A5A" w:rsidRPr="00F425EA" w:rsidRDefault="00DD42C3" w:rsidP="00E247FF">
            <w:pPr>
              <w:spacing w:after="0" w:line="276" w:lineRule="auto"/>
              <w:rPr>
                <w:rFonts w:eastAsia="Calibri" w:cs="Arial"/>
                <w:sz w:val="16"/>
                <w:szCs w:val="16"/>
              </w:rPr>
            </w:pPr>
            <w:r>
              <w:rPr>
                <w:rFonts w:eastAsia="Calibri" w:cs="Arial"/>
                <w:sz w:val="16"/>
                <w:szCs w:val="16"/>
              </w:rPr>
              <w:t>V</w:t>
            </w:r>
            <w:r w:rsidRPr="00F425EA">
              <w:rPr>
                <w:rFonts w:eastAsia="Calibri" w:cs="Arial"/>
                <w:sz w:val="16"/>
                <w:szCs w:val="16"/>
              </w:rPr>
              <w:t>lada</w:t>
            </w:r>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763A88F" w14:textId="77777777" w:rsidR="000E7A5A" w:rsidRPr="00F425EA" w:rsidRDefault="00306071" w:rsidP="00E247FF">
            <w:pPr>
              <w:spacing w:after="0" w:line="276" w:lineRule="auto"/>
              <w:rPr>
                <w:rFonts w:eastAsia="Calibri" w:cs="Arial"/>
                <w:sz w:val="16"/>
                <w:szCs w:val="16"/>
              </w:rPr>
            </w:pPr>
            <w:r w:rsidRPr="00F425EA">
              <w:rPr>
                <w:rFonts w:eastAsia="Calibri" w:cs="Arial"/>
                <w:sz w:val="16"/>
                <w:szCs w:val="16"/>
              </w:rPr>
              <w:t>Priloga IV Uredbe EU 2021/1060</w:t>
            </w:r>
          </w:p>
        </w:tc>
      </w:tr>
      <w:tr w:rsidR="000E7A5A" w:rsidRPr="00F425EA" w14:paraId="5EF1A19E" w14:textId="77777777">
        <w:trPr>
          <w:trHeight w:val="300"/>
        </w:trPr>
        <w:tc>
          <w:tcPr>
            <w:tcW w:w="287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8D3E300" w14:textId="77777777" w:rsidR="000E7A5A" w:rsidRPr="00F425EA" w:rsidRDefault="00306071" w:rsidP="00843DFA">
            <w:pPr>
              <w:spacing w:after="0" w:line="276" w:lineRule="auto"/>
              <w:jc w:val="both"/>
              <w:rPr>
                <w:rFonts w:eastAsia="Calibri" w:cs="Arial"/>
                <w:sz w:val="16"/>
                <w:szCs w:val="16"/>
              </w:rPr>
            </w:pPr>
            <w:r w:rsidRPr="00F425EA">
              <w:rPr>
                <w:rFonts w:eastAsia="Calibri" w:cs="Arial"/>
                <w:sz w:val="16"/>
                <w:szCs w:val="16"/>
              </w:rPr>
              <w:t>2.4 Učinkovit okvir za obvladovanje tveganja nesreč</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3B83F74" w14:textId="77777777" w:rsidR="000E7A5A" w:rsidRPr="00F425EA" w:rsidRDefault="00306071" w:rsidP="00E247FF">
            <w:pPr>
              <w:spacing w:after="0" w:line="276" w:lineRule="auto"/>
              <w:rPr>
                <w:rFonts w:eastAsia="Calibri" w:cs="Arial"/>
                <w:sz w:val="16"/>
                <w:szCs w:val="16"/>
              </w:rPr>
            </w:pPr>
            <w:r w:rsidRPr="00F425EA">
              <w:rPr>
                <w:rFonts w:eastAsia="Calibri" w:cs="Arial"/>
                <w:sz w:val="16"/>
                <w:szCs w:val="16"/>
              </w:rPr>
              <w:t>DA</w:t>
            </w:r>
          </w:p>
        </w:tc>
        <w:tc>
          <w:tcPr>
            <w:tcW w:w="295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E6737C8" w14:textId="77777777" w:rsidR="000E7A5A" w:rsidRPr="00F425EA" w:rsidRDefault="00306071" w:rsidP="00843DFA">
            <w:pPr>
              <w:spacing w:after="0" w:line="276" w:lineRule="auto"/>
              <w:jc w:val="both"/>
              <w:rPr>
                <w:rFonts w:eastAsia="Calibri" w:cs="Arial"/>
                <w:sz w:val="16"/>
                <w:szCs w:val="16"/>
              </w:rPr>
            </w:pPr>
            <w:r w:rsidRPr="00F425EA">
              <w:rPr>
                <w:rFonts w:eastAsia="Calibri" w:cs="Arial"/>
                <w:sz w:val="16"/>
                <w:szCs w:val="16"/>
              </w:rPr>
              <w:t>Resolucija o nacionalnem programu varstva pred naravnimi in drugimi nesrečami 2016–2022, sledila bo 2022–2028/2030, Državna ocena tveganj</w:t>
            </w:r>
          </w:p>
        </w:tc>
        <w:tc>
          <w:tcPr>
            <w:tcW w:w="119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8D3CA0C" w14:textId="7B9A307C" w:rsidR="000E7A5A" w:rsidRPr="00F425EA" w:rsidRDefault="00DD42C3" w:rsidP="00E247FF">
            <w:pPr>
              <w:spacing w:after="0" w:line="276" w:lineRule="auto"/>
              <w:rPr>
                <w:rFonts w:eastAsia="Calibri" w:cs="Arial"/>
                <w:sz w:val="16"/>
                <w:szCs w:val="16"/>
              </w:rPr>
            </w:pPr>
            <w:r>
              <w:rPr>
                <w:rFonts w:eastAsia="Calibri" w:cs="Arial"/>
                <w:sz w:val="16"/>
                <w:szCs w:val="16"/>
              </w:rPr>
              <w:t>V</w:t>
            </w:r>
            <w:r w:rsidRPr="00F425EA">
              <w:rPr>
                <w:rFonts w:eastAsia="Calibri" w:cs="Arial"/>
                <w:sz w:val="16"/>
                <w:szCs w:val="16"/>
              </w:rPr>
              <w:t>lada</w:t>
            </w:r>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FFB18C1" w14:textId="77777777" w:rsidR="000E7A5A" w:rsidRPr="00F425EA" w:rsidRDefault="00306071" w:rsidP="00E247FF">
            <w:pPr>
              <w:spacing w:after="0" w:line="276" w:lineRule="auto"/>
              <w:rPr>
                <w:rFonts w:eastAsia="Calibri" w:cs="Arial"/>
                <w:sz w:val="16"/>
                <w:szCs w:val="16"/>
              </w:rPr>
            </w:pPr>
            <w:r w:rsidRPr="00F425EA">
              <w:rPr>
                <w:rFonts w:eastAsia="Calibri" w:cs="Arial"/>
                <w:sz w:val="16"/>
                <w:szCs w:val="16"/>
              </w:rPr>
              <w:t>Priloga IV Uredbe EU 2021/1060</w:t>
            </w:r>
          </w:p>
        </w:tc>
      </w:tr>
      <w:tr w:rsidR="000E7A5A" w:rsidRPr="00F425EA" w14:paraId="1F5D2BCD" w14:textId="77777777">
        <w:trPr>
          <w:trHeight w:val="540"/>
        </w:trPr>
        <w:tc>
          <w:tcPr>
            <w:tcW w:w="287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6D20DD3" w14:textId="77777777" w:rsidR="000E7A5A" w:rsidRPr="00F425EA" w:rsidRDefault="00306071" w:rsidP="00843DFA">
            <w:pPr>
              <w:spacing w:after="0" w:line="276" w:lineRule="auto"/>
              <w:jc w:val="both"/>
              <w:rPr>
                <w:rFonts w:eastAsia="Calibri" w:cs="Arial"/>
                <w:sz w:val="16"/>
                <w:szCs w:val="16"/>
              </w:rPr>
            </w:pPr>
            <w:r w:rsidRPr="00F425EA">
              <w:rPr>
                <w:rFonts w:eastAsia="Calibri" w:cs="Arial"/>
                <w:sz w:val="16"/>
                <w:szCs w:val="16"/>
              </w:rPr>
              <w:t>2.5 Posodobljeno načrtovanje potrebnih naložb v vodnem sektorju in sektorju odpadne vode</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3695947" w14:textId="77777777" w:rsidR="000E7A5A" w:rsidRPr="00F425EA" w:rsidRDefault="00306071" w:rsidP="00E247FF">
            <w:pPr>
              <w:spacing w:after="0" w:line="276" w:lineRule="auto"/>
              <w:rPr>
                <w:rFonts w:eastAsia="Calibri" w:cs="Arial"/>
                <w:sz w:val="16"/>
                <w:szCs w:val="16"/>
              </w:rPr>
            </w:pPr>
            <w:r w:rsidRPr="00F425EA">
              <w:rPr>
                <w:rFonts w:eastAsia="Calibri" w:cs="Arial"/>
                <w:sz w:val="16"/>
                <w:szCs w:val="16"/>
              </w:rPr>
              <w:t>NE</w:t>
            </w:r>
          </w:p>
        </w:tc>
        <w:tc>
          <w:tcPr>
            <w:tcW w:w="295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B92DBED" w14:textId="77777777" w:rsidR="000E7A5A" w:rsidRPr="00F425EA" w:rsidRDefault="00306071" w:rsidP="00843DFA">
            <w:pPr>
              <w:spacing w:after="0" w:line="276" w:lineRule="auto"/>
              <w:jc w:val="both"/>
              <w:rPr>
                <w:rFonts w:eastAsia="Calibri" w:cs="Arial"/>
                <w:sz w:val="16"/>
                <w:szCs w:val="16"/>
              </w:rPr>
            </w:pPr>
            <w:r w:rsidRPr="00F425EA">
              <w:rPr>
                <w:rFonts w:eastAsia="Calibri" w:cs="Arial"/>
                <w:sz w:val="16"/>
                <w:szCs w:val="16"/>
              </w:rPr>
              <w:t>Prenos direktive št. 2020/2184 v nacionalni pravni red. Rok za prenos je bil 13. 1. 2023</w:t>
            </w:r>
          </w:p>
        </w:tc>
        <w:tc>
          <w:tcPr>
            <w:tcW w:w="119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C0BD290" w14:textId="6EBC6DFA" w:rsidR="000E7A5A" w:rsidRPr="00F425EA" w:rsidRDefault="00DD42C3" w:rsidP="00E247FF">
            <w:pPr>
              <w:spacing w:after="0" w:line="276" w:lineRule="auto"/>
              <w:rPr>
                <w:rFonts w:eastAsia="Calibri" w:cs="Arial"/>
                <w:sz w:val="16"/>
                <w:szCs w:val="16"/>
              </w:rPr>
            </w:pPr>
            <w:r>
              <w:rPr>
                <w:rFonts w:eastAsia="Calibri" w:cs="Arial"/>
                <w:sz w:val="16"/>
                <w:szCs w:val="16"/>
              </w:rPr>
              <w:t>V</w:t>
            </w:r>
            <w:r w:rsidRPr="00F425EA">
              <w:rPr>
                <w:rFonts w:eastAsia="Calibri" w:cs="Arial"/>
                <w:sz w:val="16"/>
                <w:szCs w:val="16"/>
              </w:rPr>
              <w:t>lada</w:t>
            </w:r>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C99B262" w14:textId="77777777" w:rsidR="000E7A5A" w:rsidRPr="00F425EA" w:rsidRDefault="00306071" w:rsidP="00E247FF">
            <w:pPr>
              <w:spacing w:after="0" w:line="276" w:lineRule="auto"/>
              <w:rPr>
                <w:rFonts w:eastAsia="Calibri" w:cs="Arial"/>
                <w:sz w:val="16"/>
                <w:szCs w:val="16"/>
              </w:rPr>
            </w:pPr>
            <w:r w:rsidRPr="00F425EA">
              <w:rPr>
                <w:rFonts w:eastAsia="Calibri" w:cs="Arial"/>
                <w:sz w:val="16"/>
                <w:szCs w:val="16"/>
              </w:rPr>
              <w:t>Priloga IV Uredbe EU 2021/1060</w:t>
            </w:r>
          </w:p>
        </w:tc>
      </w:tr>
      <w:tr w:rsidR="000E7A5A" w:rsidRPr="00F425EA" w14:paraId="1F4EFEED" w14:textId="77777777">
        <w:trPr>
          <w:trHeight w:val="300"/>
        </w:trPr>
        <w:tc>
          <w:tcPr>
            <w:tcW w:w="287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46614EA" w14:textId="77777777" w:rsidR="000E7A5A" w:rsidRPr="00F425EA" w:rsidRDefault="00306071" w:rsidP="00843DFA">
            <w:pPr>
              <w:spacing w:after="0" w:line="276" w:lineRule="auto"/>
              <w:jc w:val="both"/>
              <w:rPr>
                <w:rFonts w:eastAsia="Calibri" w:cs="Arial"/>
                <w:sz w:val="16"/>
                <w:szCs w:val="16"/>
              </w:rPr>
            </w:pPr>
            <w:r w:rsidRPr="00F425EA">
              <w:rPr>
                <w:rFonts w:eastAsia="Calibri" w:cs="Arial"/>
                <w:sz w:val="16"/>
                <w:szCs w:val="16"/>
              </w:rPr>
              <w:t>2.6 Posodobljeno načrtovanje ravnanja z odpadki</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B3D2CBF" w14:textId="77777777" w:rsidR="000E7A5A" w:rsidRPr="00F425EA" w:rsidRDefault="00306071" w:rsidP="00E247FF">
            <w:pPr>
              <w:spacing w:after="0" w:line="276" w:lineRule="auto"/>
              <w:rPr>
                <w:rFonts w:eastAsia="Calibri" w:cs="Arial"/>
                <w:sz w:val="16"/>
                <w:szCs w:val="16"/>
              </w:rPr>
            </w:pPr>
            <w:r w:rsidRPr="00F425EA">
              <w:rPr>
                <w:rFonts w:eastAsia="Calibri" w:cs="Arial"/>
                <w:sz w:val="16"/>
                <w:szCs w:val="16"/>
              </w:rPr>
              <w:t>DA</w:t>
            </w:r>
          </w:p>
        </w:tc>
        <w:tc>
          <w:tcPr>
            <w:tcW w:w="295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4EA9021" w14:textId="77777777" w:rsidR="000E7A5A" w:rsidRPr="00F425EA" w:rsidRDefault="00306071" w:rsidP="00843DFA">
            <w:pPr>
              <w:spacing w:after="0" w:line="276" w:lineRule="auto"/>
              <w:jc w:val="both"/>
              <w:rPr>
                <w:rFonts w:eastAsia="Calibri" w:cs="Arial"/>
                <w:sz w:val="16"/>
                <w:szCs w:val="16"/>
              </w:rPr>
            </w:pPr>
            <w:r w:rsidRPr="00F425EA">
              <w:rPr>
                <w:rFonts w:eastAsia="Calibri" w:cs="Arial"/>
                <w:sz w:val="16"/>
                <w:szCs w:val="16"/>
              </w:rPr>
              <w:t>Program ravnanja z odpadki in program preprečevanja odpadkov Republike Slovenije (2022)</w:t>
            </w:r>
          </w:p>
        </w:tc>
        <w:tc>
          <w:tcPr>
            <w:tcW w:w="119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780A7E7" w14:textId="369362CE" w:rsidR="000E7A5A" w:rsidRPr="00F425EA" w:rsidRDefault="00DD42C3" w:rsidP="00E247FF">
            <w:pPr>
              <w:spacing w:after="0" w:line="276" w:lineRule="auto"/>
              <w:rPr>
                <w:rFonts w:eastAsia="Calibri" w:cs="Arial"/>
                <w:sz w:val="16"/>
                <w:szCs w:val="16"/>
              </w:rPr>
            </w:pPr>
            <w:r>
              <w:rPr>
                <w:rFonts w:eastAsia="Calibri" w:cs="Arial"/>
                <w:sz w:val="16"/>
                <w:szCs w:val="16"/>
              </w:rPr>
              <w:t>V</w:t>
            </w:r>
            <w:r w:rsidRPr="00F425EA">
              <w:rPr>
                <w:rFonts w:eastAsia="Calibri" w:cs="Arial"/>
                <w:sz w:val="16"/>
                <w:szCs w:val="16"/>
              </w:rPr>
              <w:t>lada</w:t>
            </w:r>
            <w:r w:rsidR="00306071" w:rsidRPr="00F425EA">
              <w:rPr>
                <w:rFonts w:eastAsia="Calibri" w:cs="Arial"/>
                <w:sz w:val="16"/>
                <w:szCs w:val="16"/>
              </w:rPr>
              <w:t xml:space="preserve"> </w:t>
            </w:r>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DB62250" w14:textId="77777777" w:rsidR="000E7A5A" w:rsidRPr="00F425EA" w:rsidRDefault="00306071" w:rsidP="00E247FF">
            <w:pPr>
              <w:spacing w:after="0" w:line="276" w:lineRule="auto"/>
              <w:rPr>
                <w:rFonts w:eastAsia="Calibri" w:cs="Arial"/>
                <w:sz w:val="16"/>
                <w:szCs w:val="16"/>
              </w:rPr>
            </w:pPr>
            <w:r w:rsidRPr="00F425EA">
              <w:rPr>
                <w:rFonts w:eastAsia="Calibri" w:cs="Arial"/>
                <w:sz w:val="16"/>
                <w:szCs w:val="16"/>
              </w:rPr>
              <w:t>Priloga IV Uredbe EU 2021/1060</w:t>
            </w:r>
          </w:p>
        </w:tc>
      </w:tr>
      <w:tr w:rsidR="000E7A5A" w:rsidRPr="00F425EA" w14:paraId="3C31CD84" w14:textId="77777777">
        <w:trPr>
          <w:trHeight w:val="300"/>
        </w:trPr>
        <w:tc>
          <w:tcPr>
            <w:tcW w:w="287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49695DA" w14:textId="77777777" w:rsidR="000E7A5A" w:rsidRPr="00F425EA" w:rsidRDefault="00306071" w:rsidP="00843DFA">
            <w:pPr>
              <w:spacing w:after="0" w:line="276" w:lineRule="auto"/>
              <w:jc w:val="both"/>
              <w:rPr>
                <w:rFonts w:eastAsia="Calibri" w:cs="Arial"/>
                <w:sz w:val="16"/>
                <w:szCs w:val="16"/>
              </w:rPr>
            </w:pPr>
            <w:r w:rsidRPr="00F425EA">
              <w:rPr>
                <w:rFonts w:eastAsia="Calibri" w:cs="Arial"/>
                <w:sz w:val="16"/>
                <w:szCs w:val="16"/>
              </w:rPr>
              <w:t>2.7 Prednostni okvir ukrepanja za potrebne ohranitvene ukrepe, ki vključujejo sofinanciranje Unije</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FFF982D" w14:textId="77777777" w:rsidR="000E7A5A" w:rsidRPr="00F425EA" w:rsidRDefault="00306071" w:rsidP="00E247FF">
            <w:pPr>
              <w:spacing w:after="0" w:line="276" w:lineRule="auto"/>
              <w:rPr>
                <w:rFonts w:eastAsia="Calibri" w:cs="Arial"/>
                <w:sz w:val="16"/>
                <w:szCs w:val="16"/>
              </w:rPr>
            </w:pPr>
            <w:r w:rsidRPr="00F425EA">
              <w:rPr>
                <w:rFonts w:eastAsia="Calibri" w:cs="Arial"/>
                <w:sz w:val="16"/>
                <w:szCs w:val="16"/>
              </w:rPr>
              <w:t>DA</w:t>
            </w:r>
          </w:p>
        </w:tc>
        <w:tc>
          <w:tcPr>
            <w:tcW w:w="295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B7DB0DE" w14:textId="77777777" w:rsidR="000E7A5A" w:rsidRPr="00F425EA" w:rsidRDefault="00306071" w:rsidP="00843DFA">
            <w:pPr>
              <w:spacing w:after="0" w:line="276" w:lineRule="auto"/>
              <w:jc w:val="both"/>
              <w:rPr>
                <w:rFonts w:eastAsia="Calibri" w:cs="Arial"/>
                <w:sz w:val="16"/>
                <w:szCs w:val="16"/>
              </w:rPr>
            </w:pPr>
            <w:r w:rsidRPr="00F425EA">
              <w:rPr>
                <w:rFonts w:eastAsia="Calibri" w:cs="Arial"/>
                <w:sz w:val="16"/>
                <w:szCs w:val="16"/>
              </w:rPr>
              <w:t>Prednostni okvir ukrepanja za Slovenijo je bil poslan Evropski komisiji</w:t>
            </w:r>
          </w:p>
        </w:tc>
        <w:tc>
          <w:tcPr>
            <w:tcW w:w="119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3278C44" w14:textId="0C6ABF07" w:rsidR="000E7A5A" w:rsidRPr="00F425EA" w:rsidRDefault="00DD42C3" w:rsidP="00E247FF">
            <w:pPr>
              <w:spacing w:after="0" w:line="276" w:lineRule="auto"/>
              <w:rPr>
                <w:rFonts w:eastAsia="Calibri" w:cs="Arial"/>
                <w:sz w:val="16"/>
                <w:szCs w:val="16"/>
              </w:rPr>
            </w:pPr>
            <w:r>
              <w:rPr>
                <w:rFonts w:eastAsia="Calibri" w:cs="Arial"/>
                <w:sz w:val="16"/>
                <w:szCs w:val="16"/>
              </w:rPr>
              <w:t>V</w:t>
            </w:r>
            <w:r w:rsidRPr="00F425EA">
              <w:rPr>
                <w:rFonts w:eastAsia="Calibri" w:cs="Arial"/>
                <w:sz w:val="16"/>
                <w:szCs w:val="16"/>
              </w:rPr>
              <w:t>lada</w:t>
            </w:r>
            <w:r w:rsidR="00306071" w:rsidRPr="00F425EA">
              <w:rPr>
                <w:rFonts w:eastAsia="Calibri" w:cs="Arial"/>
                <w:sz w:val="16"/>
                <w:szCs w:val="16"/>
              </w:rPr>
              <w:t xml:space="preserve"> </w:t>
            </w:r>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F3CD7DB" w14:textId="77777777" w:rsidR="000E7A5A" w:rsidRPr="00F425EA" w:rsidRDefault="00306071" w:rsidP="00E247FF">
            <w:pPr>
              <w:spacing w:after="0" w:line="276" w:lineRule="auto"/>
              <w:rPr>
                <w:rFonts w:eastAsia="Calibri" w:cs="Arial"/>
                <w:sz w:val="16"/>
                <w:szCs w:val="16"/>
              </w:rPr>
            </w:pPr>
            <w:r w:rsidRPr="00F425EA">
              <w:rPr>
                <w:rFonts w:eastAsia="Calibri" w:cs="Arial"/>
                <w:sz w:val="16"/>
                <w:szCs w:val="16"/>
              </w:rPr>
              <w:t>Priloga IV Uredbe EU 2021/1060</w:t>
            </w:r>
          </w:p>
        </w:tc>
      </w:tr>
      <w:tr w:rsidR="000E7A5A" w:rsidRPr="00F425EA" w14:paraId="059956A0" w14:textId="77777777">
        <w:trPr>
          <w:trHeight w:val="300"/>
        </w:trPr>
        <w:tc>
          <w:tcPr>
            <w:tcW w:w="287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DA61C70" w14:textId="77777777" w:rsidR="000E7A5A" w:rsidRPr="00F425EA" w:rsidRDefault="00306071" w:rsidP="00843DFA">
            <w:pPr>
              <w:spacing w:after="0" w:line="276" w:lineRule="auto"/>
              <w:jc w:val="both"/>
              <w:rPr>
                <w:rFonts w:eastAsia="Calibri" w:cs="Arial"/>
                <w:sz w:val="16"/>
                <w:szCs w:val="16"/>
              </w:rPr>
            </w:pPr>
            <w:r w:rsidRPr="00F425EA">
              <w:rPr>
                <w:rFonts w:eastAsia="Calibri" w:cs="Arial"/>
                <w:sz w:val="16"/>
                <w:szCs w:val="16"/>
              </w:rPr>
              <w:t>3.1 Celovito načrtovanje prometa na ustrezni ravni</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89DEC93" w14:textId="77777777" w:rsidR="000E7A5A" w:rsidRPr="00F425EA" w:rsidRDefault="00306071" w:rsidP="00E247FF">
            <w:pPr>
              <w:spacing w:after="0" w:line="276" w:lineRule="auto"/>
              <w:rPr>
                <w:rFonts w:eastAsia="Calibri" w:cs="Arial"/>
                <w:sz w:val="16"/>
                <w:szCs w:val="16"/>
              </w:rPr>
            </w:pPr>
            <w:r w:rsidRPr="00F425EA">
              <w:rPr>
                <w:rFonts w:eastAsia="Calibri" w:cs="Arial"/>
                <w:sz w:val="16"/>
                <w:szCs w:val="16"/>
              </w:rPr>
              <w:t>DA</w:t>
            </w:r>
          </w:p>
        </w:tc>
        <w:tc>
          <w:tcPr>
            <w:tcW w:w="295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D898EDA" w14:textId="77777777" w:rsidR="000E7A5A" w:rsidRPr="00F425EA" w:rsidRDefault="00306071" w:rsidP="00843DFA">
            <w:pPr>
              <w:spacing w:after="0" w:line="276" w:lineRule="auto"/>
              <w:jc w:val="both"/>
              <w:rPr>
                <w:rFonts w:eastAsia="Calibri" w:cs="Arial"/>
                <w:sz w:val="16"/>
                <w:szCs w:val="16"/>
              </w:rPr>
            </w:pPr>
            <w:r w:rsidRPr="00F425EA">
              <w:rPr>
                <w:rFonts w:eastAsia="Calibri" w:cs="Arial"/>
                <w:sz w:val="16"/>
                <w:szCs w:val="16"/>
              </w:rPr>
              <w:t>Strategija razvoja prometa v RS do leta 2030</w:t>
            </w:r>
          </w:p>
        </w:tc>
        <w:tc>
          <w:tcPr>
            <w:tcW w:w="119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13A3E06" w14:textId="75B5420D" w:rsidR="000E7A5A" w:rsidRPr="00F425EA" w:rsidRDefault="00DD42C3" w:rsidP="00E247FF">
            <w:pPr>
              <w:spacing w:after="0" w:line="276" w:lineRule="auto"/>
              <w:rPr>
                <w:rFonts w:eastAsia="Calibri" w:cs="Arial"/>
                <w:sz w:val="16"/>
                <w:szCs w:val="16"/>
              </w:rPr>
            </w:pPr>
            <w:r>
              <w:rPr>
                <w:rFonts w:eastAsia="Calibri" w:cs="Arial"/>
                <w:sz w:val="16"/>
                <w:szCs w:val="16"/>
              </w:rPr>
              <w:t>V</w:t>
            </w:r>
            <w:r w:rsidRPr="00F425EA">
              <w:rPr>
                <w:rFonts w:eastAsia="Calibri" w:cs="Arial"/>
                <w:sz w:val="16"/>
                <w:szCs w:val="16"/>
              </w:rPr>
              <w:t>lada</w:t>
            </w:r>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26A5DB2" w14:textId="77777777" w:rsidR="000E7A5A" w:rsidRPr="00F425EA" w:rsidRDefault="00306071" w:rsidP="00E247FF">
            <w:pPr>
              <w:spacing w:after="0" w:line="276" w:lineRule="auto"/>
              <w:rPr>
                <w:rFonts w:eastAsia="Calibri" w:cs="Arial"/>
                <w:sz w:val="16"/>
                <w:szCs w:val="16"/>
              </w:rPr>
            </w:pPr>
            <w:r w:rsidRPr="00F425EA">
              <w:rPr>
                <w:rFonts w:eastAsia="Calibri" w:cs="Arial"/>
                <w:sz w:val="16"/>
                <w:szCs w:val="16"/>
              </w:rPr>
              <w:t>Priloga IV Uredbe EU 2021/1060</w:t>
            </w:r>
          </w:p>
        </w:tc>
      </w:tr>
      <w:tr w:rsidR="000E7A5A" w:rsidRPr="00F425EA" w14:paraId="0F1CEA85" w14:textId="77777777">
        <w:trPr>
          <w:trHeight w:val="300"/>
        </w:trPr>
        <w:tc>
          <w:tcPr>
            <w:tcW w:w="287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69CED3F" w14:textId="77777777" w:rsidR="000E7A5A" w:rsidRPr="00F425EA" w:rsidRDefault="00306071" w:rsidP="00843DFA">
            <w:pPr>
              <w:spacing w:after="0" w:line="276" w:lineRule="auto"/>
              <w:jc w:val="both"/>
              <w:rPr>
                <w:rFonts w:eastAsia="Calibri" w:cs="Arial"/>
                <w:sz w:val="16"/>
                <w:szCs w:val="16"/>
              </w:rPr>
            </w:pPr>
            <w:r w:rsidRPr="00F425EA">
              <w:rPr>
                <w:rFonts w:eastAsia="Calibri" w:cs="Arial"/>
                <w:sz w:val="16"/>
                <w:szCs w:val="16"/>
              </w:rPr>
              <w:t>4.1 Strateški okvir politike za aktivne politike trga dela</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D4681C6" w14:textId="77777777" w:rsidR="000E7A5A" w:rsidRPr="00F425EA" w:rsidRDefault="00306071" w:rsidP="00E247FF">
            <w:pPr>
              <w:spacing w:after="0" w:line="276" w:lineRule="auto"/>
              <w:rPr>
                <w:rFonts w:eastAsia="Calibri" w:cs="Arial"/>
                <w:sz w:val="16"/>
                <w:szCs w:val="16"/>
              </w:rPr>
            </w:pPr>
            <w:r w:rsidRPr="00F425EA">
              <w:rPr>
                <w:rFonts w:eastAsia="Calibri" w:cs="Arial"/>
                <w:sz w:val="16"/>
                <w:szCs w:val="16"/>
              </w:rPr>
              <w:t>DA</w:t>
            </w:r>
          </w:p>
        </w:tc>
        <w:tc>
          <w:tcPr>
            <w:tcW w:w="295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4ED5463" w14:textId="77777777" w:rsidR="000E7A5A" w:rsidRPr="00F425EA" w:rsidRDefault="00306071" w:rsidP="00E247FF">
            <w:pPr>
              <w:spacing w:after="0" w:line="276" w:lineRule="auto"/>
              <w:rPr>
                <w:rFonts w:eastAsia="Calibri" w:cs="Arial"/>
                <w:sz w:val="16"/>
                <w:szCs w:val="16"/>
              </w:rPr>
            </w:pPr>
            <w:r w:rsidRPr="00F425EA">
              <w:rPr>
                <w:rFonts w:eastAsia="Calibri" w:cs="Arial"/>
                <w:sz w:val="16"/>
                <w:szCs w:val="16"/>
              </w:rPr>
              <w:t>Smernice za izvajanje ukrepov aktivne politike zaposlovanja 2021-2025</w:t>
            </w:r>
          </w:p>
        </w:tc>
        <w:tc>
          <w:tcPr>
            <w:tcW w:w="119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FCB0A12" w14:textId="28FBD570" w:rsidR="000E7A5A" w:rsidRPr="00F425EA" w:rsidRDefault="00DD42C3" w:rsidP="00E247FF">
            <w:pPr>
              <w:spacing w:after="0" w:line="276" w:lineRule="auto"/>
              <w:rPr>
                <w:rFonts w:eastAsia="Calibri" w:cs="Arial"/>
                <w:sz w:val="16"/>
                <w:szCs w:val="16"/>
              </w:rPr>
            </w:pPr>
            <w:r>
              <w:rPr>
                <w:rFonts w:eastAsia="Calibri" w:cs="Arial"/>
                <w:sz w:val="16"/>
                <w:szCs w:val="16"/>
              </w:rPr>
              <w:t>V</w:t>
            </w:r>
            <w:r w:rsidRPr="00F425EA">
              <w:rPr>
                <w:rFonts w:eastAsia="Calibri" w:cs="Arial"/>
                <w:sz w:val="16"/>
                <w:szCs w:val="16"/>
              </w:rPr>
              <w:t>lada</w:t>
            </w:r>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B4E1F8B" w14:textId="77777777" w:rsidR="000E7A5A" w:rsidRPr="00F425EA" w:rsidRDefault="00306071" w:rsidP="00E247FF">
            <w:pPr>
              <w:spacing w:after="0" w:line="276" w:lineRule="auto"/>
              <w:rPr>
                <w:rFonts w:eastAsia="Calibri" w:cs="Arial"/>
                <w:sz w:val="16"/>
                <w:szCs w:val="16"/>
              </w:rPr>
            </w:pPr>
            <w:r w:rsidRPr="00F425EA">
              <w:rPr>
                <w:rFonts w:eastAsia="Calibri" w:cs="Arial"/>
                <w:sz w:val="16"/>
                <w:szCs w:val="16"/>
              </w:rPr>
              <w:t>Priloga IV Uredbe EU 2021/1060</w:t>
            </w:r>
          </w:p>
        </w:tc>
      </w:tr>
      <w:tr w:rsidR="000E7A5A" w:rsidRPr="00F425EA" w14:paraId="30B70D3E" w14:textId="77777777">
        <w:trPr>
          <w:trHeight w:val="300"/>
        </w:trPr>
        <w:tc>
          <w:tcPr>
            <w:tcW w:w="287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35DADAE" w14:textId="77777777" w:rsidR="000E7A5A" w:rsidRPr="00F425EA" w:rsidRDefault="00306071" w:rsidP="00843DFA">
            <w:pPr>
              <w:spacing w:after="0" w:line="276" w:lineRule="auto"/>
              <w:jc w:val="both"/>
              <w:rPr>
                <w:rFonts w:eastAsia="Calibri" w:cs="Arial"/>
                <w:sz w:val="16"/>
                <w:szCs w:val="16"/>
              </w:rPr>
            </w:pPr>
            <w:r w:rsidRPr="00F425EA">
              <w:rPr>
                <w:rFonts w:eastAsia="Calibri" w:cs="Arial"/>
                <w:sz w:val="16"/>
                <w:szCs w:val="16"/>
              </w:rPr>
              <w:t>4.3 Strateški okvir politike za sistem izobraževanja in usposabljanja na vseh ravneh</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BDCE359" w14:textId="77777777" w:rsidR="000E7A5A" w:rsidRPr="00F425EA" w:rsidRDefault="00306071" w:rsidP="00E247FF">
            <w:pPr>
              <w:spacing w:after="0" w:line="276" w:lineRule="auto"/>
              <w:rPr>
                <w:rFonts w:eastAsia="Calibri" w:cs="Arial"/>
                <w:sz w:val="16"/>
                <w:szCs w:val="16"/>
              </w:rPr>
            </w:pPr>
            <w:r w:rsidRPr="00F425EA">
              <w:rPr>
                <w:rFonts w:eastAsia="Calibri" w:cs="Arial"/>
                <w:sz w:val="16"/>
                <w:szCs w:val="16"/>
              </w:rPr>
              <w:t>DA</w:t>
            </w:r>
          </w:p>
        </w:tc>
        <w:tc>
          <w:tcPr>
            <w:tcW w:w="295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F211D11" w14:textId="61BE2DD3" w:rsidR="000E7A5A" w:rsidRPr="00F425EA" w:rsidRDefault="00306071" w:rsidP="00DD42C3">
            <w:pPr>
              <w:spacing w:after="0" w:line="276" w:lineRule="auto"/>
              <w:jc w:val="both"/>
              <w:rPr>
                <w:rFonts w:eastAsia="Calibri" w:cs="Arial"/>
                <w:sz w:val="16"/>
                <w:szCs w:val="16"/>
              </w:rPr>
            </w:pPr>
            <w:r w:rsidRPr="00F425EA">
              <w:rPr>
                <w:rFonts w:eastAsia="Calibri" w:cs="Arial"/>
                <w:sz w:val="16"/>
                <w:szCs w:val="16"/>
              </w:rPr>
              <w:t>Strategija Zavoda RS za zaposlovanje do 2025</w:t>
            </w:r>
            <w:r w:rsidR="00DD42C3">
              <w:rPr>
                <w:rFonts w:eastAsia="Calibri" w:cs="Arial"/>
                <w:sz w:val="16"/>
                <w:szCs w:val="16"/>
              </w:rPr>
              <w:t xml:space="preserve">, </w:t>
            </w:r>
            <w:r w:rsidRPr="00F425EA">
              <w:rPr>
                <w:rFonts w:eastAsia="Calibri" w:cs="Arial"/>
                <w:sz w:val="16"/>
                <w:szCs w:val="16"/>
              </w:rPr>
              <w:t>Zakon o organizaciji in financiranju vzgoje in izobraževanja</w:t>
            </w:r>
            <w:r w:rsidR="00DD42C3">
              <w:rPr>
                <w:rFonts w:eastAsia="Calibri" w:cs="Arial"/>
                <w:sz w:val="16"/>
                <w:szCs w:val="16"/>
              </w:rPr>
              <w:t xml:space="preserve">, </w:t>
            </w:r>
            <w:r w:rsidRPr="00F425EA">
              <w:rPr>
                <w:rFonts w:eastAsia="Calibri" w:cs="Arial"/>
                <w:sz w:val="16"/>
                <w:szCs w:val="16"/>
              </w:rPr>
              <w:t>Sklep o ustanovitvi Centra RS za mobilnost in evropske programe izobraževanja in usposabljanja (CMEPIUS)</w:t>
            </w:r>
            <w:r w:rsidR="00DD42C3">
              <w:rPr>
                <w:rFonts w:eastAsia="Calibri" w:cs="Arial"/>
                <w:sz w:val="16"/>
                <w:szCs w:val="16"/>
              </w:rPr>
              <w:t xml:space="preserve">, </w:t>
            </w:r>
            <w:r w:rsidRPr="00F425EA">
              <w:rPr>
                <w:rFonts w:eastAsia="Calibri" w:cs="Arial"/>
                <w:sz w:val="16"/>
                <w:szCs w:val="16"/>
              </w:rPr>
              <w:t>Zakon o višjem strokovnem izobraževanju</w:t>
            </w:r>
            <w:r w:rsidR="00DD42C3">
              <w:rPr>
                <w:rFonts w:eastAsia="Calibri" w:cs="Arial"/>
                <w:sz w:val="16"/>
                <w:szCs w:val="16"/>
              </w:rPr>
              <w:t xml:space="preserve">, </w:t>
            </w:r>
            <w:r w:rsidRPr="00F425EA">
              <w:rPr>
                <w:rFonts w:eastAsia="Calibri" w:cs="Arial"/>
                <w:sz w:val="16"/>
                <w:szCs w:val="16"/>
              </w:rPr>
              <w:t>Strategija višjega strokovnega izobraževanja 20–30</w:t>
            </w:r>
            <w:r w:rsidR="00DD42C3">
              <w:rPr>
                <w:rFonts w:eastAsia="Calibri" w:cs="Arial"/>
                <w:sz w:val="16"/>
                <w:szCs w:val="16"/>
              </w:rPr>
              <w:t xml:space="preserve">, </w:t>
            </w:r>
            <w:r w:rsidRPr="00F425EA">
              <w:rPr>
                <w:rFonts w:eastAsia="Calibri" w:cs="Arial"/>
                <w:sz w:val="16"/>
                <w:szCs w:val="16"/>
              </w:rPr>
              <w:t>Zakon o visokem šolstvu</w:t>
            </w:r>
            <w:r w:rsidR="00DD42C3">
              <w:rPr>
                <w:rFonts w:eastAsia="Calibri" w:cs="Arial"/>
                <w:sz w:val="16"/>
                <w:szCs w:val="16"/>
              </w:rPr>
              <w:t xml:space="preserve">, </w:t>
            </w:r>
            <w:r w:rsidRPr="00F425EA">
              <w:rPr>
                <w:rFonts w:eastAsia="Calibri" w:cs="Arial"/>
                <w:sz w:val="16"/>
                <w:szCs w:val="16"/>
              </w:rPr>
              <w:t>Resolucija o nacionalnem programu visokega šolstva do 2030</w:t>
            </w:r>
            <w:r w:rsidR="00DD42C3">
              <w:rPr>
                <w:rFonts w:eastAsia="Calibri" w:cs="Arial"/>
                <w:sz w:val="16"/>
                <w:szCs w:val="16"/>
              </w:rPr>
              <w:t>,</w:t>
            </w:r>
            <w:r w:rsidRPr="00F425EA">
              <w:rPr>
                <w:rFonts w:eastAsia="Calibri" w:cs="Arial"/>
                <w:sz w:val="16"/>
                <w:szCs w:val="16"/>
              </w:rPr>
              <w:t xml:space="preserve"> Zakon o izobraževanju odraslih</w:t>
            </w:r>
            <w:r w:rsidR="00DD42C3">
              <w:rPr>
                <w:rFonts w:eastAsia="Calibri" w:cs="Arial"/>
                <w:sz w:val="16"/>
                <w:szCs w:val="16"/>
              </w:rPr>
              <w:t xml:space="preserve">, </w:t>
            </w:r>
            <w:r w:rsidRPr="00F425EA">
              <w:rPr>
                <w:rFonts w:eastAsia="Calibri" w:cs="Arial"/>
                <w:sz w:val="16"/>
                <w:szCs w:val="16"/>
              </w:rPr>
              <w:t>Resolucija o nacionalnem programu izobraževanja odraslih v Republiki Sloveniji za obdobje 2022–2030</w:t>
            </w:r>
            <w:r w:rsidR="00DD42C3">
              <w:rPr>
                <w:rFonts w:eastAsia="Calibri" w:cs="Arial"/>
                <w:sz w:val="16"/>
                <w:szCs w:val="16"/>
              </w:rPr>
              <w:t xml:space="preserve">, </w:t>
            </w:r>
            <w:r w:rsidRPr="00F425EA">
              <w:rPr>
                <w:rFonts w:eastAsia="Calibri" w:cs="Arial"/>
                <w:sz w:val="16"/>
                <w:szCs w:val="16"/>
              </w:rPr>
              <w:t>Zakon o vrednotenju in priznavanju izobraževanja</w:t>
            </w:r>
            <w:r w:rsidR="00DD42C3">
              <w:rPr>
                <w:rFonts w:eastAsia="Calibri" w:cs="Arial"/>
                <w:sz w:val="16"/>
                <w:szCs w:val="16"/>
              </w:rPr>
              <w:t xml:space="preserve">, </w:t>
            </w:r>
            <w:r w:rsidRPr="00F425EA">
              <w:rPr>
                <w:rFonts w:eastAsia="Calibri" w:cs="Arial"/>
                <w:sz w:val="16"/>
                <w:szCs w:val="16"/>
              </w:rPr>
              <w:t>Zakon o slovenskem ogrodju kvalifikacij</w:t>
            </w:r>
            <w:r w:rsidR="00DD42C3">
              <w:rPr>
                <w:rFonts w:eastAsia="Calibri" w:cs="Arial"/>
                <w:sz w:val="16"/>
                <w:szCs w:val="16"/>
              </w:rPr>
              <w:t xml:space="preserve">, </w:t>
            </w:r>
            <w:r w:rsidRPr="00F425EA">
              <w:rPr>
                <w:rFonts w:eastAsia="Calibri" w:cs="Arial"/>
                <w:sz w:val="16"/>
                <w:szCs w:val="16"/>
              </w:rPr>
              <w:t>Zakon o postopku priznavanja poklicnih kvalifikacij za opravljanje reguliranih poklicev</w:t>
            </w:r>
          </w:p>
        </w:tc>
        <w:tc>
          <w:tcPr>
            <w:tcW w:w="119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F8E39FC" w14:textId="2F1D6E5B" w:rsidR="000E7A5A" w:rsidRPr="00F425EA" w:rsidRDefault="00DD42C3" w:rsidP="00E247FF">
            <w:pPr>
              <w:spacing w:after="0" w:line="276" w:lineRule="auto"/>
              <w:rPr>
                <w:rFonts w:eastAsia="Calibri" w:cs="Arial"/>
                <w:sz w:val="16"/>
                <w:szCs w:val="16"/>
              </w:rPr>
            </w:pPr>
            <w:r>
              <w:rPr>
                <w:rFonts w:eastAsia="Calibri" w:cs="Arial"/>
                <w:sz w:val="16"/>
                <w:szCs w:val="16"/>
              </w:rPr>
              <w:t>V</w:t>
            </w:r>
            <w:r w:rsidRPr="00F425EA">
              <w:rPr>
                <w:rFonts w:eastAsia="Calibri" w:cs="Arial"/>
                <w:sz w:val="16"/>
                <w:szCs w:val="16"/>
              </w:rPr>
              <w:t>lada</w:t>
            </w:r>
            <w:r w:rsidR="00306071" w:rsidRPr="00F425EA">
              <w:rPr>
                <w:rFonts w:eastAsia="Calibri" w:cs="Arial"/>
                <w:sz w:val="16"/>
                <w:szCs w:val="16"/>
              </w:rPr>
              <w:t xml:space="preserve"> </w:t>
            </w:r>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E536785" w14:textId="77777777" w:rsidR="000E7A5A" w:rsidRPr="00F425EA" w:rsidRDefault="00306071" w:rsidP="00E247FF">
            <w:pPr>
              <w:spacing w:after="0" w:line="276" w:lineRule="auto"/>
              <w:rPr>
                <w:rFonts w:eastAsia="Calibri" w:cs="Arial"/>
                <w:sz w:val="16"/>
                <w:szCs w:val="16"/>
              </w:rPr>
            </w:pPr>
            <w:r w:rsidRPr="00F425EA">
              <w:rPr>
                <w:rFonts w:eastAsia="Calibri" w:cs="Arial"/>
                <w:sz w:val="16"/>
                <w:szCs w:val="16"/>
              </w:rPr>
              <w:t>Priloga IV Uredbe EU 2021/1060</w:t>
            </w:r>
          </w:p>
        </w:tc>
      </w:tr>
      <w:tr w:rsidR="000E7A5A" w:rsidRPr="00F425EA" w14:paraId="6CB45E44" w14:textId="77777777">
        <w:trPr>
          <w:trHeight w:val="300"/>
        </w:trPr>
        <w:tc>
          <w:tcPr>
            <w:tcW w:w="287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983D8A4" w14:textId="77777777" w:rsidR="000E7A5A" w:rsidRPr="00F425EA" w:rsidRDefault="00306071" w:rsidP="00843DFA">
            <w:pPr>
              <w:spacing w:after="0" w:line="276" w:lineRule="auto"/>
              <w:jc w:val="both"/>
              <w:rPr>
                <w:rFonts w:eastAsia="Calibri" w:cs="Arial"/>
                <w:sz w:val="16"/>
                <w:szCs w:val="16"/>
              </w:rPr>
            </w:pPr>
            <w:r w:rsidRPr="00F425EA">
              <w:rPr>
                <w:rFonts w:eastAsia="Calibri" w:cs="Arial"/>
                <w:sz w:val="16"/>
                <w:szCs w:val="16"/>
              </w:rPr>
              <w:t>4.4 Nacionalni strateški okvir politike za socialno vključenost in</w:t>
            </w:r>
          </w:p>
          <w:p w14:paraId="521AF29B" w14:textId="77777777" w:rsidR="000E7A5A" w:rsidRPr="00F425EA" w:rsidRDefault="00306071" w:rsidP="00843DFA">
            <w:pPr>
              <w:spacing w:after="0" w:line="276" w:lineRule="auto"/>
              <w:jc w:val="both"/>
              <w:rPr>
                <w:rFonts w:eastAsia="Calibri" w:cs="Arial"/>
                <w:sz w:val="16"/>
                <w:szCs w:val="16"/>
              </w:rPr>
            </w:pPr>
            <w:r w:rsidRPr="00F425EA">
              <w:rPr>
                <w:rFonts w:eastAsia="Calibri" w:cs="Arial"/>
                <w:sz w:val="16"/>
                <w:szCs w:val="16"/>
              </w:rPr>
              <w:t>Zmanjševanje revščine</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ED9F4DB" w14:textId="77777777" w:rsidR="000E7A5A" w:rsidRPr="00F425EA" w:rsidRDefault="00306071" w:rsidP="00E247FF">
            <w:pPr>
              <w:spacing w:after="0" w:line="276" w:lineRule="auto"/>
              <w:rPr>
                <w:rFonts w:eastAsia="Calibri" w:cs="Arial"/>
                <w:sz w:val="16"/>
                <w:szCs w:val="16"/>
              </w:rPr>
            </w:pPr>
            <w:r w:rsidRPr="00F425EA">
              <w:rPr>
                <w:rFonts w:eastAsia="Calibri" w:cs="Arial"/>
                <w:sz w:val="16"/>
                <w:szCs w:val="16"/>
              </w:rPr>
              <w:t>DA</w:t>
            </w:r>
          </w:p>
        </w:tc>
        <w:tc>
          <w:tcPr>
            <w:tcW w:w="295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1DDDC6B" w14:textId="035CBAEA" w:rsidR="000E7A5A" w:rsidRPr="00F425EA" w:rsidRDefault="00306071" w:rsidP="00DD42C3">
            <w:pPr>
              <w:spacing w:after="0" w:line="276" w:lineRule="auto"/>
              <w:jc w:val="both"/>
              <w:rPr>
                <w:rFonts w:eastAsia="Calibri" w:cs="Arial"/>
                <w:sz w:val="16"/>
                <w:szCs w:val="16"/>
              </w:rPr>
            </w:pPr>
            <w:r w:rsidRPr="00F425EA">
              <w:rPr>
                <w:rFonts w:eastAsia="Calibri" w:cs="Arial"/>
                <w:sz w:val="16"/>
                <w:szCs w:val="16"/>
              </w:rPr>
              <w:t>Resolucija o nacionalnem programu socialnega varstva za obdobje 2021 do 2030 (ReNPSV21</w:t>
            </w:r>
            <w:r w:rsidR="00D97301" w:rsidRPr="00D97301">
              <w:rPr>
                <w:rFonts w:eastAsia="Calibri" w:cs="Arial"/>
                <w:sz w:val="16"/>
                <w:szCs w:val="16"/>
              </w:rPr>
              <w:t>–</w:t>
            </w:r>
            <w:r w:rsidRPr="00F425EA">
              <w:rPr>
                <w:rFonts w:eastAsia="Calibri" w:cs="Arial"/>
                <w:sz w:val="16"/>
                <w:szCs w:val="16"/>
              </w:rPr>
              <w:t>30)</w:t>
            </w:r>
            <w:r w:rsidR="00DD42C3">
              <w:rPr>
                <w:rFonts w:eastAsia="Calibri" w:cs="Arial"/>
                <w:sz w:val="16"/>
                <w:szCs w:val="16"/>
              </w:rPr>
              <w:t xml:space="preserve">, </w:t>
            </w:r>
            <w:r w:rsidRPr="00F425EA">
              <w:rPr>
                <w:rFonts w:eastAsia="Calibri" w:cs="Arial"/>
                <w:sz w:val="16"/>
                <w:szCs w:val="16"/>
              </w:rPr>
              <w:t>Zakon o socialnem varstvu</w:t>
            </w:r>
          </w:p>
        </w:tc>
        <w:tc>
          <w:tcPr>
            <w:tcW w:w="119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75DC8F0" w14:textId="45CE6BB4" w:rsidR="000E7A5A" w:rsidRPr="00F425EA" w:rsidRDefault="00DD42C3" w:rsidP="00E247FF">
            <w:pPr>
              <w:spacing w:after="0" w:line="276" w:lineRule="auto"/>
              <w:rPr>
                <w:rFonts w:eastAsia="Calibri" w:cs="Arial"/>
                <w:sz w:val="16"/>
                <w:szCs w:val="16"/>
              </w:rPr>
            </w:pPr>
            <w:r>
              <w:rPr>
                <w:rFonts w:eastAsia="Calibri" w:cs="Arial"/>
                <w:sz w:val="16"/>
                <w:szCs w:val="16"/>
              </w:rPr>
              <w:t>V</w:t>
            </w:r>
            <w:r w:rsidRPr="00F425EA">
              <w:rPr>
                <w:rFonts w:eastAsia="Calibri" w:cs="Arial"/>
                <w:sz w:val="16"/>
                <w:szCs w:val="16"/>
              </w:rPr>
              <w:t>lada</w:t>
            </w:r>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3F297BF" w14:textId="77777777" w:rsidR="000E7A5A" w:rsidRPr="00F425EA" w:rsidRDefault="00306071" w:rsidP="00E247FF">
            <w:pPr>
              <w:spacing w:after="0" w:line="276" w:lineRule="auto"/>
              <w:rPr>
                <w:rFonts w:eastAsia="Calibri" w:cs="Arial"/>
                <w:sz w:val="16"/>
                <w:szCs w:val="16"/>
              </w:rPr>
            </w:pPr>
            <w:r w:rsidRPr="00F425EA">
              <w:rPr>
                <w:rFonts w:eastAsia="Calibri" w:cs="Arial"/>
                <w:sz w:val="16"/>
                <w:szCs w:val="16"/>
              </w:rPr>
              <w:t>Priloga IV Uredbe EU 2021/1060</w:t>
            </w:r>
          </w:p>
        </w:tc>
      </w:tr>
      <w:tr w:rsidR="000E7A5A" w:rsidRPr="00F425EA" w14:paraId="4D38ECB3" w14:textId="77777777">
        <w:trPr>
          <w:trHeight w:val="300"/>
        </w:trPr>
        <w:tc>
          <w:tcPr>
            <w:tcW w:w="287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E913569" w14:textId="77777777" w:rsidR="000E7A5A" w:rsidRPr="00F425EA" w:rsidRDefault="00306071" w:rsidP="00843DFA">
            <w:pPr>
              <w:spacing w:after="0" w:line="276" w:lineRule="auto"/>
              <w:jc w:val="both"/>
              <w:rPr>
                <w:rFonts w:eastAsia="Calibri" w:cs="Arial"/>
                <w:sz w:val="16"/>
                <w:szCs w:val="16"/>
              </w:rPr>
            </w:pPr>
            <w:r w:rsidRPr="00F425EA">
              <w:rPr>
                <w:rFonts w:eastAsia="Calibri" w:cs="Arial"/>
                <w:sz w:val="16"/>
                <w:szCs w:val="16"/>
              </w:rPr>
              <w:t>4.6 Strateški okvir politike za zdravstveno varstvo in dolgotrajno</w:t>
            </w:r>
          </w:p>
          <w:p w14:paraId="03BAEDC4" w14:textId="77777777" w:rsidR="000E7A5A" w:rsidRPr="00F425EA" w:rsidRDefault="00306071" w:rsidP="00843DFA">
            <w:pPr>
              <w:spacing w:after="0" w:line="276" w:lineRule="auto"/>
              <w:jc w:val="both"/>
              <w:rPr>
                <w:rFonts w:eastAsia="Calibri" w:cs="Arial"/>
                <w:sz w:val="16"/>
                <w:szCs w:val="16"/>
              </w:rPr>
            </w:pPr>
            <w:r w:rsidRPr="00F425EA">
              <w:rPr>
                <w:rFonts w:eastAsia="Calibri" w:cs="Arial"/>
                <w:sz w:val="16"/>
                <w:szCs w:val="16"/>
              </w:rPr>
              <w:t>oskrbo</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5402BE8" w14:textId="77777777" w:rsidR="000E7A5A" w:rsidRPr="00F425EA" w:rsidRDefault="00306071" w:rsidP="00E247FF">
            <w:pPr>
              <w:spacing w:after="0" w:line="276" w:lineRule="auto"/>
              <w:rPr>
                <w:rFonts w:eastAsia="Calibri" w:cs="Arial"/>
                <w:sz w:val="16"/>
                <w:szCs w:val="16"/>
              </w:rPr>
            </w:pPr>
            <w:r w:rsidRPr="00F425EA">
              <w:rPr>
                <w:rFonts w:eastAsia="Calibri" w:cs="Arial"/>
                <w:sz w:val="16"/>
                <w:szCs w:val="16"/>
              </w:rPr>
              <w:t>DA</w:t>
            </w:r>
          </w:p>
        </w:tc>
        <w:tc>
          <w:tcPr>
            <w:tcW w:w="295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D1B8C2A" w14:textId="3E210E4C" w:rsidR="000E7A5A" w:rsidRPr="00F425EA" w:rsidRDefault="00306071" w:rsidP="00DD42C3">
            <w:pPr>
              <w:spacing w:after="0" w:line="276" w:lineRule="auto"/>
              <w:jc w:val="both"/>
              <w:rPr>
                <w:rFonts w:eastAsia="Calibri" w:cs="Arial"/>
                <w:sz w:val="16"/>
                <w:szCs w:val="16"/>
              </w:rPr>
            </w:pPr>
            <w:proofErr w:type="spellStart"/>
            <w:r w:rsidRPr="00F425EA">
              <w:rPr>
                <w:rFonts w:eastAsia="Calibri" w:cs="Arial"/>
                <w:sz w:val="16"/>
                <w:szCs w:val="16"/>
              </w:rPr>
              <w:t>Mapiranje</w:t>
            </w:r>
            <w:proofErr w:type="spellEnd"/>
            <w:r w:rsidRPr="00F425EA">
              <w:rPr>
                <w:rFonts w:eastAsia="Calibri" w:cs="Arial"/>
                <w:sz w:val="16"/>
                <w:szCs w:val="16"/>
              </w:rPr>
              <w:t xml:space="preserve"> potreb po zdravstvenem varstvu in dolgotrajni oskrbi</w:t>
            </w:r>
            <w:r w:rsidR="00DD42C3">
              <w:rPr>
                <w:rFonts w:eastAsia="Calibri" w:cs="Arial"/>
                <w:sz w:val="16"/>
                <w:szCs w:val="16"/>
              </w:rPr>
              <w:t xml:space="preserve">, </w:t>
            </w:r>
            <w:r w:rsidRPr="00F425EA">
              <w:rPr>
                <w:rFonts w:eastAsia="Calibri" w:cs="Arial"/>
                <w:sz w:val="16"/>
                <w:szCs w:val="16"/>
              </w:rPr>
              <w:t>Resolucija o nacionalnem planu zdravstvenega varstva 2016–2025 »Skupaj za družbo zdravja« (ReNPZV16–25)</w:t>
            </w:r>
          </w:p>
        </w:tc>
        <w:tc>
          <w:tcPr>
            <w:tcW w:w="119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4DCF69C" w14:textId="77777777" w:rsidR="000E7A5A" w:rsidRPr="00F425EA" w:rsidRDefault="00306071" w:rsidP="00E247FF">
            <w:pPr>
              <w:spacing w:after="0" w:line="276" w:lineRule="auto"/>
              <w:rPr>
                <w:rFonts w:eastAsia="Calibri" w:cs="Arial"/>
                <w:sz w:val="16"/>
                <w:szCs w:val="16"/>
              </w:rPr>
            </w:pPr>
            <w:r w:rsidRPr="00F425EA">
              <w:rPr>
                <w:rFonts w:eastAsia="Calibri" w:cs="Arial"/>
                <w:sz w:val="16"/>
                <w:szCs w:val="16"/>
              </w:rPr>
              <w:t>MZ</w:t>
            </w:r>
          </w:p>
          <w:p w14:paraId="1BED7FDD" w14:textId="77777777" w:rsidR="000E7A5A" w:rsidRPr="00F425EA" w:rsidRDefault="00306071" w:rsidP="00E247FF">
            <w:pPr>
              <w:spacing w:after="0" w:line="276" w:lineRule="auto"/>
              <w:rPr>
                <w:rFonts w:eastAsia="Calibri" w:cs="Arial"/>
                <w:sz w:val="16"/>
                <w:szCs w:val="16"/>
              </w:rPr>
            </w:pPr>
            <w:r w:rsidRPr="00F425EA">
              <w:rPr>
                <w:rFonts w:eastAsia="Calibri" w:cs="Arial"/>
                <w:sz w:val="16"/>
                <w:szCs w:val="16"/>
              </w:rPr>
              <w:t xml:space="preserve"> </w:t>
            </w:r>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14EF5D0" w14:textId="77777777" w:rsidR="000E7A5A" w:rsidRPr="00F425EA" w:rsidRDefault="00306071" w:rsidP="00E247FF">
            <w:pPr>
              <w:spacing w:after="0" w:line="276" w:lineRule="auto"/>
              <w:rPr>
                <w:rFonts w:eastAsia="Calibri" w:cs="Arial"/>
                <w:sz w:val="16"/>
                <w:szCs w:val="16"/>
              </w:rPr>
            </w:pPr>
            <w:r w:rsidRPr="00F425EA">
              <w:rPr>
                <w:rFonts w:eastAsia="Calibri" w:cs="Arial"/>
                <w:sz w:val="16"/>
                <w:szCs w:val="16"/>
              </w:rPr>
              <w:t>Priloga IV Uredbe EU 2021/1060</w:t>
            </w:r>
          </w:p>
        </w:tc>
      </w:tr>
    </w:tbl>
    <w:p w14:paraId="6206BECC" w14:textId="77777777" w:rsidR="000E7A5A" w:rsidRPr="00F425EA" w:rsidRDefault="000E7A5A" w:rsidP="00B45272">
      <w:pPr>
        <w:spacing w:line="276" w:lineRule="auto"/>
        <w:jc w:val="both"/>
        <w:rPr>
          <w:rFonts w:cs="Arial"/>
        </w:rPr>
      </w:pPr>
    </w:p>
    <w:sectPr w:rsidR="000E7A5A" w:rsidRPr="00F425EA">
      <w:pgSz w:w="11906" w:h="16838"/>
      <w:pgMar w:top="1418" w:right="1418" w:bottom="851"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3AD6C" w14:textId="77777777" w:rsidR="00306071" w:rsidRDefault="00306071">
      <w:pPr>
        <w:spacing w:after="0" w:line="240" w:lineRule="auto"/>
      </w:pPr>
      <w:r>
        <w:separator/>
      </w:r>
    </w:p>
  </w:endnote>
  <w:endnote w:type="continuationSeparator" w:id="0">
    <w:p w14:paraId="517C23ED" w14:textId="77777777" w:rsidR="00306071" w:rsidRDefault="00306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HGGothicM">
    <w:charset w:val="00"/>
    <w:family w:val="modern"/>
    <w:pitch w:val="fixed"/>
  </w:font>
  <w:font w:name="HGSMinchoE">
    <w:charset w:val="80"/>
    <w:family w:val="roman"/>
    <w:pitch w:val="variable"/>
    <w:sig w:usb0="E00002FF" w:usb1="2AC7EDFE" w:usb2="00000012" w:usb3="00000000" w:csb0="00020001" w:csb1="00000000"/>
  </w:font>
  <w:font w:name="Garamond">
    <w:panose1 w:val="02020404030301010803"/>
    <w:charset w:val="EE"/>
    <w:family w:val="roman"/>
    <w:pitch w:val="variable"/>
    <w:sig w:usb0="00000287" w:usb1="00000000" w:usb2="00000000" w:usb3="00000000" w:csb0="0000009F" w:csb1="00000000"/>
  </w:font>
  <w:font w:name="Liberation Sans">
    <w:charset w:val="00"/>
    <w:family w:val="swiss"/>
    <w:pitch w:val="default"/>
  </w:font>
  <w:font w:name="CG Times">
    <w:charset w:val="00"/>
    <w:family w:val="roman"/>
    <w:pitch w:val="variable"/>
  </w:font>
  <w:font w:name="Franklin Gothic Medium">
    <w:panose1 w:val="020B0603020102020204"/>
    <w:charset w:val="EE"/>
    <w:family w:val="swiss"/>
    <w:pitch w:val="variable"/>
    <w:sig w:usb0="00000287" w:usb1="00000000" w:usb2="00000000" w:usb3="00000000" w:csb0="0000009F" w:csb1="00000000"/>
  </w:font>
  <w:font w:name="Republika">
    <w:panose1 w:val="02000506040000020004"/>
    <w:charset w:val="EE"/>
    <w:family w:val="auto"/>
    <w:pitch w:val="variable"/>
    <w:sig w:usb0="A00000FF" w:usb1="4000205B" w:usb2="00000000" w:usb3="00000000" w:csb0="00000093"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692E3" w14:textId="77777777" w:rsidR="00984D97" w:rsidRDefault="00984D9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F4CDF" w14:textId="4F594DD9" w:rsidR="00306071" w:rsidRDefault="00306071" w:rsidP="00623803">
    <w:pPr>
      <w:pStyle w:val="Noga"/>
      <w:jc w:val="right"/>
    </w:pPr>
    <w:r>
      <w:rPr>
        <w:color w:val="5B9BD5"/>
        <w:sz w:val="16"/>
        <w:szCs w:val="16"/>
      </w:rPr>
      <w:t xml:space="preserve">Stran </w:t>
    </w:r>
    <w:r>
      <w:rPr>
        <w:b/>
        <w:bCs/>
        <w:color w:val="5B9BD5"/>
        <w:sz w:val="16"/>
        <w:szCs w:val="16"/>
      </w:rPr>
      <w:fldChar w:fldCharType="begin"/>
    </w:r>
    <w:r>
      <w:rPr>
        <w:b/>
        <w:bCs/>
        <w:color w:val="5B9BD5"/>
        <w:sz w:val="16"/>
        <w:szCs w:val="16"/>
      </w:rPr>
      <w:instrText xml:space="preserve"> PAGE </w:instrText>
    </w:r>
    <w:r>
      <w:rPr>
        <w:b/>
        <w:bCs/>
        <w:color w:val="5B9BD5"/>
        <w:sz w:val="16"/>
        <w:szCs w:val="16"/>
      </w:rPr>
      <w:fldChar w:fldCharType="separate"/>
    </w:r>
    <w:r>
      <w:rPr>
        <w:b/>
        <w:bCs/>
        <w:color w:val="5B9BD5"/>
        <w:sz w:val="16"/>
        <w:szCs w:val="16"/>
      </w:rPr>
      <w:t>45</w:t>
    </w:r>
    <w:r>
      <w:rPr>
        <w:b/>
        <w:bCs/>
        <w:color w:val="5B9BD5"/>
        <w:sz w:val="16"/>
        <w:szCs w:val="16"/>
      </w:rPr>
      <w:fldChar w:fldCharType="end"/>
    </w:r>
    <w:r>
      <w:rPr>
        <w:color w:val="5B9BD5"/>
        <w:sz w:val="16"/>
        <w:szCs w:val="16"/>
      </w:rPr>
      <w:t xml:space="preserve"> od </w:t>
    </w:r>
    <w:r>
      <w:rPr>
        <w:b/>
        <w:bCs/>
        <w:color w:val="5B9BD5"/>
        <w:sz w:val="16"/>
        <w:szCs w:val="16"/>
      </w:rPr>
      <w:fldChar w:fldCharType="begin"/>
    </w:r>
    <w:r>
      <w:rPr>
        <w:b/>
        <w:bCs/>
        <w:color w:val="5B9BD5"/>
        <w:sz w:val="16"/>
        <w:szCs w:val="16"/>
      </w:rPr>
      <w:instrText xml:space="preserve"> NUMPAGES </w:instrText>
    </w:r>
    <w:r>
      <w:rPr>
        <w:b/>
        <w:bCs/>
        <w:color w:val="5B9BD5"/>
        <w:sz w:val="16"/>
        <w:szCs w:val="16"/>
      </w:rPr>
      <w:fldChar w:fldCharType="separate"/>
    </w:r>
    <w:r>
      <w:rPr>
        <w:b/>
        <w:bCs/>
        <w:color w:val="5B9BD5"/>
        <w:sz w:val="16"/>
        <w:szCs w:val="16"/>
      </w:rPr>
      <w:t>46</w:t>
    </w:r>
    <w:r>
      <w:rPr>
        <w:b/>
        <w:bCs/>
        <w:color w:val="5B9BD5"/>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D00CF" w14:textId="77777777" w:rsidR="00984D97" w:rsidRDefault="00984D97">
    <w:pPr>
      <w:pStyle w:val="Nog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B8FAE" w14:textId="301FCF1D" w:rsidR="00306071" w:rsidRDefault="00306071" w:rsidP="00623803">
    <w:pPr>
      <w:pStyle w:val="Noga"/>
      <w:jc w:val="right"/>
    </w:pPr>
    <w:r>
      <w:rPr>
        <w:color w:val="5B9BD5"/>
        <w:sz w:val="16"/>
        <w:szCs w:val="16"/>
      </w:rPr>
      <w:t xml:space="preserve">Stran </w:t>
    </w:r>
    <w:r>
      <w:rPr>
        <w:b/>
        <w:bCs/>
        <w:color w:val="5B9BD5"/>
        <w:sz w:val="16"/>
        <w:szCs w:val="16"/>
      </w:rPr>
      <w:fldChar w:fldCharType="begin"/>
    </w:r>
    <w:r>
      <w:rPr>
        <w:b/>
        <w:bCs/>
        <w:color w:val="5B9BD5"/>
        <w:sz w:val="16"/>
        <w:szCs w:val="16"/>
      </w:rPr>
      <w:instrText xml:space="preserve"> PAGE </w:instrText>
    </w:r>
    <w:r>
      <w:rPr>
        <w:b/>
        <w:bCs/>
        <w:color w:val="5B9BD5"/>
        <w:sz w:val="16"/>
        <w:szCs w:val="16"/>
      </w:rPr>
      <w:fldChar w:fldCharType="separate"/>
    </w:r>
    <w:r>
      <w:rPr>
        <w:b/>
        <w:bCs/>
        <w:color w:val="5B9BD5"/>
        <w:sz w:val="16"/>
        <w:szCs w:val="16"/>
      </w:rPr>
      <w:t>45</w:t>
    </w:r>
    <w:r>
      <w:rPr>
        <w:b/>
        <w:bCs/>
        <w:color w:val="5B9BD5"/>
        <w:sz w:val="16"/>
        <w:szCs w:val="16"/>
      </w:rPr>
      <w:fldChar w:fldCharType="end"/>
    </w:r>
    <w:r>
      <w:rPr>
        <w:color w:val="5B9BD5"/>
        <w:sz w:val="16"/>
        <w:szCs w:val="16"/>
      </w:rPr>
      <w:t xml:space="preserve"> od </w:t>
    </w:r>
    <w:r>
      <w:rPr>
        <w:b/>
        <w:bCs/>
        <w:color w:val="5B9BD5"/>
        <w:sz w:val="16"/>
        <w:szCs w:val="16"/>
      </w:rPr>
      <w:fldChar w:fldCharType="begin"/>
    </w:r>
    <w:r>
      <w:rPr>
        <w:b/>
        <w:bCs/>
        <w:color w:val="5B9BD5"/>
        <w:sz w:val="16"/>
        <w:szCs w:val="16"/>
      </w:rPr>
      <w:instrText xml:space="preserve"> NUMPAGES </w:instrText>
    </w:r>
    <w:r>
      <w:rPr>
        <w:b/>
        <w:bCs/>
        <w:color w:val="5B9BD5"/>
        <w:sz w:val="16"/>
        <w:szCs w:val="16"/>
      </w:rPr>
      <w:fldChar w:fldCharType="separate"/>
    </w:r>
    <w:r>
      <w:rPr>
        <w:b/>
        <w:bCs/>
        <w:color w:val="5B9BD5"/>
        <w:sz w:val="16"/>
        <w:szCs w:val="16"/>
      </w:rPr>
      <w:t>46</w:t>
    </w:r>
    <w:r>
      <w:rPr>
        <w:b/>
        <w:bCs/>
        <w:color w:val="5B9BD5"/>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A6EE5" w14:textId="77777777" w:rsidR="00306071" w:rsidRDefault="00306071">
    <w:pPr>
      <w:pStyle w:val="Noga"/>
      <w:jc w:val="right"/>
    </w:pPr>
    <w:r>
      <w:rPr>
        <w:color w:val="5B9BD5"/>
        <w:sz w:val="16"/>
        <w:szCs w:val="16"/>
      </w:rPr>
      <w:t xml:space="preserve">Stran </w:t>
    </w:r>
    <w:r>
      <w:rPr>
        <w:b/>
        <w:bCs/>
        <w:color w:val="5B9BD5"/>
        <w:sz w:val="16"/>
        <w:szCs w:val="16"/>
      </w:rPr>
      <w:fldChar w:fldCharType="begin"/>
    </w:r>
    <w:r>
      <w:rPr>
        <w:b/>
        <w:bCs/>
        <w:color w:val="5B9BD5"/>
        <w:sz w:val="16"/>
        <w:szCs w:val="16"/>
      </w:rPr>
      <w:instrText xml:space="preserve"> PAGE </w:instrText>
    </w:r>
    <w:r>
      <w:rPr>
        <w:b/>
        <w:bCs/>
        <w:color w:val="5B9BD5"/>
        <w:sz w:val="16"/>
        <w:szCs w:val="16"/>
      </w:rPr>
      <w:fldChar w:fldCharType="separate"/>
    </w:r>
    <w:r>
      <w:rPr>
        <w:b/>
        <w:bCs/>
        <w:color w:val="5B9BD5"/>
        <w:sz w:val="16"/>
        <w:szCs w:val="16"/>
      </w:rPr>
      <w:t>45</w:t>
    </w:r>
    <w:r>
      <w:rPr>
        <w:b/>
        <w:bCs/>
        <w:color w:val="5B9BD5"/>
        <w:sz w:val="16"/>
        <w:szCs w:val="16"/>
      </w:rPr>
      <w:fldChar w:fldCharType="end"/>
    </w:r>
    <w:r>
      <w:rPr>
        <w:color w:val="5B9BD5"/>
        <w:sz w:val="16"/>
        <w:szCs w:val="16"/>
      </w:rPr>
      <w:t xml:space="preserve"> od </w:t>
    </w:r>
    <w:r>
      <w:rPr>
        <w:b/>
        <w:bCs/>
        <w:color w:val="5B9BD5"/>
        <w:sz w:val="16"/>
        <w:szCs w:val="16"/>
      </w:rPr>
      <w:fldChar w:fldCharType="begin"/>
    </w:r>
    <w:r>
      <w:rPr>
        <w:b/>
        <w:bCs/>
        <w:color w:val="5B9BD5"/>
        <w:sz w:val="16"/>
        <w:szCs w:val="16"/>
      </w:rPr>
      <w:instrText xml:space="preserve"> NUMPAGES </w:instrText>
    </w:r>
    <w:r>
      <w:rPr>
        <w:b/>
        <w:bCs/>
        <w:color w:val="5B9BD5"/>
        <w:sz w:val="16"/>
        <w:szCs w:val="16"/>
      </w:rPr>
      <w:fldChar w:fldCharType="separate"/>
    </w:r>
    <w:r>
      <w:rPr>
        <w:b/>
        <w:bCs/>
        <w:color w:val="5B9BD5"/>
        <w:sz w:val="16"/>
        <w:szCs w:val="16"/>
      </w:rPr>
      <w:t>46</w:t>
    </w:r>
    <w:r>
      <w:rPr>
        <w:b/>
        <w:bCs/>
        <w:color w:val="5B9BD5"/>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D30C5" w14:textId="54E60622" w:rsidR="00306071" w:rsidRDefault="00306071" w:rsidP="00367FBF">
    <w:pPr>
      <w:pStyle w:val="Noga"/>
      <w:jc w:val="right"/>
    </w:pPr>
    <w:r>
      <w:rPr>
        <w:color w:val="5B9BD5"/>
        <w:sz w:val="16"/>
        <w:szCs w:val="16"/>
      </w:rPr>
      <w:t xml:space="preserve">Stran </w:t>
    </w:r>
    <w:r>
      <w:rPr>
        <w:b/>
        <w:bCs/>
        <w:color w:val="5B9BD5"/>
        <w:sz w:val="16"/>
        <w:szCs w:val="16"/>
      </w:rPr>
      <w:fldChar w:fldCharType="begin"/>
    </w:r>
    <w:r>
      <w:rPr>
        <w:b/>
        <w:bCs/>
        <w:color w:val="5B9BD5"/>
        <w:sz w:val="16"/>
        <w:szCs w:val="16"/>
      </w:rPr>
      <w:instrText xml:space="preserve"> PAGE </w:instrText>
    </w:r>
    <w:r>
      <w:rPr>
        <w:b/>
        <w:bCs/>
        <w:color w:val="5B9BD5"/>
        <w:sz w:val="16"/>
        <w:szCs w:val="16"/>
      </w:rPr>
      <w:fldChar w:fldCharType="separate"/>
    </w:r>
    <w:r>
      <w:rPr>
        <w:b/>
        <w:bCs/>
        <w:color w:val="5B9BD5"/>
        <w:sz w:val="16"/>
        <w:szCs w:val="16"/>
      </w:rPr>
      <w:t>45</w:t>
    </w:r>
    <w:r>
      <w:rPr>
        <w:b/>
        <w:bCs/>
        <w:color w:val="5B9BD5"/>
        <w:sz w:val="16"/>
        <w:szCs w:val="16"/>
      </w:rPr>
      <w:fldChar w:fldCharType="end"/>
    </w:r>
    <w:r>
      <w:rPr>
        <w:color w:val="5B9BD5"/>
        <w:sz w:val="16"/>
        <w:szCs w:val="16"/>
      </w:rPr>
      <w:t xml:space="preserve"> od </w:t>
    </w:r>
    <w:r>
      <w:rPr>
        <w:b/>
        <w:bCs/>
        <w:color w:val="5B9BD5"/>
        <w:sz w:val="16"/>
        <w:szCs w:val="16"/>
      </w:rPr>
      <w:fldChar w:fldCharType="begin"/>
    </w:r>
    <w:r>
      <w:rPr>
        <w:b/>
        <w:bCs/>
        <w:color w:val="5B9BD5"/>
        <w:sz w:val="16"/>
        <w:szCs w:val="16"/>
      </w:rPr>
      <w:instrText xml:space="preserve"> NUMPAGES </w:instrText>
    </w:r>
    <w:r>
      <w:rPr>
        <w:b/>
        <w:bCs/>
        <w:color w:val="5B9BD5"/>
        <w:sz w:val="16"/>
        <w:szCs w:val="16"/>
      </w:rPr>
      <w:fldChar w:fldCharType="separate"/>
    </w:r>
    <w:r>
      <w:rPr>
        <w:b/>
        <w:bCs/>
        <w:color w:val="5B9BD5"/>
        <w:sz w:val="16"/>
        <w:szCs w:val="16"/>
      </w:rPr>
      <w:t>46</w:t>
    </w:r>
    <w:r>
      <w:rPr>
        <w:b/>
        <w:bCs/>
        <w:color w:val="5B9BD5"/>
        <w:sz w:val="16"/>
        <w:szCs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F25DC" w14:textId="77777777" w:rsidR="00306071" w:rsidRDefault="00306071">
    <w:pPr>
      <w:pStyle w:val="Noga"/>
      <w:jc w:val="right"/>
    </w:pPr>
    <w:r>
      <w:rPr>
        <w:color w:val="5B9BD5"/>
        <w:sz w:val="16"/>
        <w:szCs w:val="16"/>
      </w:rPr>
      <w:t xml:space="preserve">Stran </w:t>
    </w:r>
    <w:r>
      <w:rPr>
        <w:b/>
        <w:bCs/>
        <w:color w:val="5B9BD5"/>
        <w:sz w:val="16"/>
        <w:szCs w:val="16"/>
      </w:rPr>
      <w:fldChar w:fldCharType="begin"/>
    </w:r>
    <w:r>
      <w:rPr>
        <w:b/>
        <w:bCs/>
        <w:color w:val="5B9BD5"/>
        <w:sz w:val="16"/>
        <w:szCs w:val="16"/>
      </w:rPr>
      <w:instrText xml:space="preserve"> PAGE </w:instrText>
    </w:r>
    <w:r>
      <w:rPr>
        <w:b/>
        <w:bCs/>
        <w:color w:val="5B9BD5"/>
        <w:sz w:val="16"/>
        <w:szCs w:val="16"/>
      </w:rPr>
      <w:fldChar w:fldCharType="separate"/>
    </w:r>
    <w:r>
      <w:rPr>
        <w:b/>
        <w:bCs/>
        <w:color w:val="5B9BD5"/>
        <w:sz w:val="16"/>
        <w:szCs w:val="16"/>
      </w:rPr>
      <w:t>45</w:t>
    </w:r>
    <w:r>
      <w:rPr>
        <w:b/>
        <w:bCs/>
        <w:color w:val="5B9BD5"/>
        <w:sz w:val="16"/>
        <w:szCs w:val="16"/>
      </w:rPr>
      <w:fldChar w:fldCharType="end"/>
    </w:r>
    <w:r>
      <w:rPr>
        <w:color w:val="5B9BD5"/>
        <w:sz w:val="16"/>
        <w:szCs w:val="16"/>
      </w:rPr>
      <w:t xml:space="preserve"> od </w:t>
    </w:r>
    <w:r>
      <w:rPr>
        <w:b/>
        <w:bCs/>
        <w:color w:val="5B9BD5"/>
        <w:sz w:val="16"/>
        <w:szCs w:val="16"/>
      </w:rPr>
      <w:fldChar w:fldCharType="begin"/>
    </w:r>
    <w:r>
      <w:rPr>
        <w:b/>
        <w:bCs/>
        <w:color w:val="5B9BD5"/>
        <w:sz w:val="16"/>
        <w:szCs w:val="16"/>
      </w:rPr>
      <w:instrText xml:space="preserve"> NUMPAGES </w:instrText>
    </w:r>
    <w:r>
      <w:rPr>
        <w:b/>
        <w:bCs/>
        <w:color w:val="5B9BD5"/>
        <w:sz w:val="16"/>
        <w:szCs w:val="16"/>
      </w:rPr>
      <w:fldChar w:fldCharType="separate"/>
    </w:r>
    <w:r>
      <w:rPr>
        <w:b/>
        <w:bCs/>
        <w:color w:val="5B9BD5"/>
        <w:sz w:val="16"/>
        <w:szCs w:val="16"/>
      </w:rPr>
      <w:t>46</w:t>
    </w:r>
    <w:r>
      <w:rPr>
        <w:b/>
        <w:bCs/>
        <w:color w:val="5B9BD5"/>
        <w:sz w:val="16"/>
        <w:szCs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665E7" w14:textId="21F69C06" w:rsidR="00306071" w:rsidRDefault="00306071" w:rsidP="00623803">
    <w:pPr>
      <w:pStyle w:val="Noga"/>
      <w:jc w:val="right"/>
    </w:pPr>
    <w:r>
      <w:rPr>
        <w:color w:val="5B9BD5"/>
        <w:sz w:val="16"/>
        <w:szCs w:val="16"/>
      </w:rPr>
      <w:t xml:space="preserve">Stran </w:t>
    </w:r>
    <w:r>
      <w:rPr>
        <w:b/>
        <w:bCs/>
        <w:color w:val="5B9BD5"/>
        <w:sz w:val="16"/>
        <w:szCs w:val="16"/>
      </w:rPr>
      <w:fldChar w:fldCharType="begin"/>
    </w:r>
    <w:r>
      <w:rPr>
        <w:b/>
        <w:bCs/>
        <w:color w:val="5B9BD5"/>
        <w:sz w:val="16"/>
        <w:szCs w:val="16"/>
      </w:rPr>
      <w:instrText xml:space="preserve"> PAGE </w:instrText>
    </w:r>
    <w:r>
      <w:rPr>
        <w:b/>
        <w:bCs/>
        <w:color w:val="5B9BD5"/>
        <w:sz w:val="16"/>
        <w:szCs w:val="16"/>
      </w:rPr>
      <w:fldChar w:fldCharType="separate"/>
    </w:r>
    <w:r>
      <w:rPr>
        <w:b/>
        <w:bCs/>
        <w:color w:val="5B9BD5"/>
        <w:sz w:val="16"/>
        <w:szCs w:val="16"/>
      </w:rPr>
      <w:t>45</w:t>
    </w:r>
    <w:r>
      <w:rPr>
        <w:b/>
        <w:bCs/>
        <w:color w:val="5B9BD5"/>
        <w:sz w:val="16"/>
        <w:szCs w:val="16"/>
      </w:rPr>
      <w:fldChar w:fldCharType="end"/>
    </w:r>
    <w:r>
      <w:rPr>
        <w:color w:val="5B9BD5"/>
        <w:sz w:val="16"/>
        <w:szCs w:val="16"/>
      </w:rPr>
      <w:t xml:space="preserve"> od </w:t>
    </w:r>
    <w:r>
      <w:rPr>
        <w:b/>
        <w:bCs/>
        <w:color w:val="5B9BD5"/>
        <w:sz w:val="16"/>
        <w:szCs w:val="16"/>
      </w:rPr>
      <w:fldChar w:fldCharType="begin"/>
    </w:r>
    <w:r>
      <w:rPr>
        <w:b/>
        <w:bCs/>
        <w:color w:val="5B9BD5"/>
        <w:sz w:val="16"/>
        <w:szCs w:val="16"/>
      </w:rPr>
      <w:instrText xml:space="preserve"> NUMPAGES </w:instrText>
    </w:r>
    <w:r>
      <w:rPr>
        <w:b/>
        <w:bCs/>
        <w:color w:val="5B9BD5"/>
        <w:sz w:val="16"/>
        <w:szCs w:val="16"/>
      </w:rPr>
      <w:fldChar w:fldCharType="separate"/>
    </w:r>
    <w:r>
      <w:rPr>
        <w:b/>
        <w:bCs/>
        <w:color w:val="5B9BD5"/>
        <w:sz w:val="16"/>
        <w:szCs w:val="16"/>
      </w:rPr>
      <w:t>46</w:t>
    </w:r>
    <w:r>
      <w:rPr>
        <w:b/>
        <w:bCs/>
        <w:color w:val="5B9BD5"/>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AF49A" w14:textId="77777777" w:rsidR="00306071" w:rsidRDefault="00306071">
      <w:pPr>
        <w:spacing w:after="0" w:line="240" w:lineRule="auto"/>
      </w:pPr>
      <w:r>
        <w:rPr>
          <w:color w:val="000000"/>
        </w:rPr>
        <w:separator/>
      </w:r>
    </w:p>
  </w:footnote>
  <w:footnote w:type="continuationSeparator" w:id="0">
    <w:p w14:paraId="0D97DC12" w14:textId="77777777" w:rsidR="00306071" w:rsidRDefault="00306071">
      <w:pPr>
        <w:spacing w:after="0" w:line="240" w:lineRule="auto"/>
      </w:pPr>
      <w:r>
        <w:continuationSeparator/>
      </w:r>
    </w:p>
  </w:footnote>
  <w:footnote w:id="1">
    <w:p w14:paraId="1876B42D" w14:textId="77777777" w:rsidR="00495A21" w:rsidRPr="00495A21" w:rsidRDefault="00495A21" w:rsidP="00495A21">
      <w:pPr>
        <w:pStyle w:val="Sprotnaopomba-besedilo"/>
        <w:jc w:val="both"/>
        <w:rPr>
          <w:rFonts w:ascii="Arial" w:hAnsi="Arial" w:cs="Arial"/>
        </w:rPr>
      </w:pPr>
      <w:r w:rsidRPr="00495A21">
        <w:rPr>
          <w:rStyle w:val="Sprotnaopomba-sklic"/>
          <w:rFonts w:ascii="Arial" w:hAnsi="Arial" w:cs="Arial"/>
        </w:rPr>
        <w:footnoteRef/>
      </w:r>
      <w:r w:rsidRPr="00495A21">
        <w:rPr>
          <w:rFonts w:ascii="Arial" w:hAnsi="Arial" w:cs="Arial"/>
        </w:rPr>
        <w:t xml:space="preserve"> Uredba o izvajanju uredb (EU) in (Euratom) na področju izvajanja evropske kohezijske politike v obdobju 2021-2027 za cilj naložbe za rast in delovna mesta</w:t>
      </w:r>
    </w:p>
  </w:footnote>
  <w:footnote w:id="2">
    <w:p w14:paraId="27131816" w14:textId="228630F8" w:rsidR="00580BA0" w:rsidRPr="00580BA0" w:rsidRDefault="00580BA0" w:rsidP="00ED4422">
      <w:pPr>
        <w:pStyle w:val="Sprotnaopomba-besedilo"/>
        <w:spacing w:after="0"/>
        <w:rPr>
          <w:rFonts w:ascii="Arial" w:hAnsi="Arial" w:cs="Arial"/>
          <w:sz w:val="18"/>
          <w:szCs w:val="18"/>
        </w:rPr>
      </w:pPr>
      <w:r w:rsidRPr="00580BA0">
        <w:rPr>
          <w:rStyle w:val="Sprotnaopomba-sklic"/>
          <w:rFonts w:ascii="Arial" w:hAnsi="Arial" w:cs="Arial"/>
          <w:sz w:val="18"/>
          <w:szCs w:val="18"/>
        </w:rPr>
        <w:footnoteRef/>
      </w:r>
      <w:r w:rsidRPr="00580BA0">
        <w:rPr>
          <w:rFonts w:ascii="Arial" w:hAnsi="Arial" w:cs="Arial"/>
          <w:sz w:val="18"/>
          <w:szCs w:val="18"/>
        </w:rPr>
        <w:t xml:space="preserve"> Dosežki evropske kohezijske politike 2014-2020, 2024.</w:t>
      </w:r>
    </w:p>
  </w:footnote>
  <w:footnote w:id="3">
    <w:p w14:paraId="169B19E7" w14:textId="6F7BD101" w:rsidR="00174FBD" w:rsidRPr="00D56551" w:rsidRDefault="00174FBD" w:rsidP="00ED4422">
      <w:pPr>
        <w:pStyle w:val="Sprotnaopomba-besedilo"/>
        <w:spacing w:after="0"/>
        <w:rPr>
          <w:rFonts w:ascii="Arial" w:hAnsi="Arial" w:cs="Arial"/>
        </w:rPr>
      </w:pPr>
      <w:r w:rsidRPr="00580BA0">
        <w:rPr>
          <w:rStyle w:val="Sprotnaopomba-sklic"/>
          <w:rFonts w:ascii="Arial" w:hAnsi="Arial" w:cs="Arial"/>
          <w:sz w:val="18"/>
          <w:szCs w:val="18"/>
        </w:rPr>
        <w:footnoteRef/>
      </w:r>
      <w:r w:rsidRPr="00580BA0">
        <w:rPr>
          <w:rFonts w:ascii="Arial" w:hAnsi="Arial" w:cs="Arial"/>
          <w:sz w:val="18"/>
          <w:szCs w:val="18"/>
        </w:rPr>
        <w:t xml:space="preserve"> </w:t>
      </w:r>
      <w:r w:rsidR="00D56551" w:rsidRPr="00580BA0">
        <w:rPr>
          <w:rFonts w:ascii="Arial" w:hAnsi="Arial" w:cs="Arial"/>
          <w:sz w:val="18"/>
          <w:szCs w:val="18"/>
        </w:rPr>
        <w:t>Dražumerič in Operčkal, (2024).</w:t>
      </w:r>
      <w:r w:rsidR="00D56551" w:rsidRPr="00D56551">
        <w:rPr>
          <w:rFonts w:ascii="Arial" w:hAnsi="Arial" w:cs="Arial"/>
          <w:sz w:val="18"/>
          <w:szCs w:val="20"/>
        </w:rPr>
        <w:t xml:space="preserve"> </w:t>
      </w:r>
    </w:p>
  </w:footnote>
  <w:footnote w:id="4">
    <w:p w14:paraId="72FDF06F" w14:textId="6AE5E210" w:rsidR="00ED4422" w:rsidRPr="00685C07" w:rsidRDefault="00ED4422" w:rsidP="001F5D8B">
      <w:pPr>
        <w:pStyle w:val="Sprotnaopomba-besedilo"/>
        <w:spacing w:after="0"/>
        <w:jc w:val="both"/>
        <w:rPr>
          <w:rFonts w:ascii="Arial" w:hAnsi="Arial" w:cs="Arial"/>
          <w:sz w:val="18"/>
          <w:szCs w:val="20"/>
        </w:rPr>
      </w:pPr>
      <w:r w:rsidRPr="00685C07">
        <w:rPr>
          <w:rStyle w:val="Sprotnaopomba-sklic"/>
          <w:rFonts w:ascii="Arial" w:hAnsi="Arial" w:cs="Arial"/>
          <w:sz w:val="18"/>
          <w:szCs w:val="20"/>
        </w:rPr>
        <w:footnoteRef/>
      </w:r>
      <w:r w:rsidRPr="00685C07">
        <w:rPr>
          <w:rFonts w:ascii="Arial" w:hAnsi="Arial" w:cs="Arial"/>
          <w:sz w:val="18"/>
          <w:szCs w:val="20"/>
        </w:rPr>
        <w:t xml:space="preserve"> EU projekt, moj projekt 2024, Ob 20. obletnici vstopa Slovenije v EU predstavljamo TOP 20 projektov za leto 2024, e-vir.</w:t>
      </w:r>
    </w:p>
  </w:footnote>
  <w:footnote w:id="5">
    <w:p w14:paraId="70A70928" w14:textId="0FEC696D" w:rsidR="001C178F" w:rsidRDefault="001C178F" w:rsidP="00685C07">
      <w:pPr>
        <w:pStyle w:val="Sprotnaopomba-besedilo"/>
        <w:spacing w:after="0"/>
      </w:pPr>
      <w:r w:rsidRPr="00685C07">
        <w:rPr>
          <w:rStyle w:val="Sprotnaopomba-sklic"/>
          <w:rFonts w:ascii="Arial" w:hAnsi="Arial" w:cs="Arial"/>
          <w:sz w:val="18"/>
          <w:szCs w:val="20"/>
        </w:rPr>
        <w:footnoteRef/>
      </w:r>
      <w:r w:rsidRPr="00685C07">
        <w:rPr>
          <w:rFonts w:ascii="Arial" w:hAnsi="Arial" w:cs="Arial"/>
          <w:sz w:val="18"/>
          <w:szCs w:val="20"/>
        </w:rPr>
        <w:t xml:space="preserve"> Šola kohezije, e-vir.</w:t>
      </w:r>
    </w:p>
  </w:footnote>
  <w:footnote w:id="6">
    <w:p w14:paraId="6A6A723E" w14:textId="27A952B6" w:rsidR="00685C07" w:rsidRPr="00685C07" w:rsidRDefault="00685C07" w:rsidP="00685C07">
      <w:pPr>
        <w:pStyle w:val="Sprotnaopomba-besedilo"/>
        <w:spacing w:after="0"/>
        <w:rPr>
          <w:rFonts w:ascii="Arial" w:hAnsi="Arial" w:cs="Arial"/>
        </w:rPr>
      </w:pPr>
      <w:r w:rsidRPr="00685C07">
        <w:rPr>
          <w:rStyle w:val="Sprotnaopomba-sklic"/>
          <w:rFonts w:ascii="Arial" w:hAnsi="Arial" w:cs="Arial"/>
          <w:sz w:val="18"/>
          <w:szCs w:val="20"/>
        </w:rPr>
        <w:footnoteRef/>
      </w:r>
      <w:r w:rsidRPr="00685C07">
        <w:rPr>
          <w:rFonts w:ascii="Arial" w:hAnsi="Arial" w:cs="Arial"/>
          <w:sz w:val="18"/>
          <w:szCs w:val="20"/>
        </w:rPr>
        <w:t xml:space="preserve"> E-novice Vizija kohezije,</w:t>
      </w:r>
      <w:r w:rsidR="00343FC1">
        <w:rPr>
          <w:rFonts w:ascii="Arial" w:hAnsi="Arial" w:cs="Arial"/>
          <w:sz w:val="18"/>
          <w:szCs w:val="20"/>
        </w:rPr>
        <w:t xml:space="preserve"> Ministrstvo za kohezijo in regionalni razvoj,</w:t>
      </w:r>
      <w:r w:rsidRPr="00685C07">
        <w:rPr>
          <w:rFonts w:ascii="Arial" w:hAnsi="Arial" w:cs="Arial"/>
          <w:sz w:val="18"/>
          <w:szCs w:val="20"/>
        </w:rPr>
        <w:t xml:space="preserve"> e-vir.</w:t>
      </w:r>
    </w:p>
  </w:footnote>
  <w:footnote w:id="7">
    <w:p w14:paraId="3F2FE846" w14:textId="020C4D65" w:rsidR="000E7A5A" w:rsidRDefault="00306071" w:rsidP="00234C38">
      <w:pPr>
        <w:pStyle w:val="Sprotnaopomba-besedilo"/>
        <w:jc w:val="both"/>
        <w:rPr>
          <w:rFonts w:ascii="Arial" w:hAnsi="Arial" w:cs="Arial"/>
          <w:sz w:val="16"/>
          <w:szCs w:val="16"/>
        </w:rPr>
      </w:pPr>
      <w:r>
        <w:rPr>
          <w:rStyle w:val="Sprotnaopomba-sklic"/>
        </w:rPr>
        <w:footnoteRef/>
      </w:r>
      <w:r>
        <w:t xml:space="preserve"> </w:t>
      </w:r>
      <w:r>
        <w:rPr>
          <w:rFonts w:ascii="Arial" w:hAnsi="Arial" w:cs="Arial"/>
          <w:sz w:val="16"/>
          <w:szCs w:val="16"/>
        </w:rPr>
        <w:t xml:space="preserve">Dokument je dostopen na: </w:t>
      </w:r>
      <w:hyperlink r:id="rId1" w:history="1">
        <w:r w:rsidR="00234C38" w:rsidRPr="00760535">
          <w:rPr>
            <w:rStyle w:val="Hiperpovezava"/>
            <w:rFonts w:ascii="Arial" w:hAnsi="Arial" w:cs="Arial"/>
            <w:sz w:val="16"/>
            <w:szCs w:val="16"/>
          </w:rPr>
          <w:t>https://www.gov.si/assets/organi-v-sestavi/URSZR/Datoteke/Oceneogrozenosti/ocena_ogrozenosti_poplave.pdf</w:t>
        </w:r>
      </w:hyperlink>
      <w:r w:rsidR="00234C38">
        <w:rPr>
          <w:rFonts w:ascii="Arial" w:hAnsi="Arial" w:cs="Arial"/>
          <w:sz w:val="16"/>
          <w:szCs w:val="16"/>
        </w:rPr>
        <w:t xml:space="preserve"> </w:t>
      </w:r>
    </w:p>
  </w:footnote>
  <w:footnote w:id="8">
    <w:p w14:paraId="7C04EFE0" w14:textId="0C29C9EA" w:rsidR="000E7A5A" w:rsidRPr="00E9789E" w:rsidRDefault="00306071" w:rsidP="00E9789E">
      <w:pPr>
        <w:pStyle w:val="Sprotnaopomba-besedilo"/>
        <w:spacing w:after="0"/>
        <w:jc w:val="both"/>
        <w:rPr>
          <w:rFonts w:ascii="Arial" w:hAnsi="Arial" w:cs="Arial"/>
          <w:sz w:val="18"/>
          <w:szCs w:val="18"/>
        </w:rPr>
      </w:pPr>
      <w:r w:rsidRPr="00E9789E">
        <w:rPr>
          <w:rStyle w:val="Sprotnaopomba-sklic"/>
          <w:rFonts w:ascii="Arial" w:hAnsi="Arial" w:cs="Arial"/>
          <w:sz w:val="18"/>
          <w:szCs w:val="18"/>
        </w:rPr>
        <w:footnoteRef/>
      </w:r>
      <w:r w:rsidRPr="00E9789E">
        <w:rPr>
          <w:rFonts w:ascii="Arial" w:hAnsi="Arial" w:cs="Arial"/>
          <w:sz w:val="18"/>
          <w:szCs w:val="18"/>
        </w:rPr>
        <w:t xml:space="preserve"> </w:t>
      </w:r>
      <w:bookmarkStart w:id="2452" w:name="_Hlk187822201"/>
      <w:r w:rsidR="00CA5E4D" w:rsidRPr="00E9789E">
        <w:rPr>
          <w:rFonts w:ascii="Arial" w:hAnsi="Arial" w:cs="Arial"/>
          <w:sz w:val="18"/>
          <w:szCs w:val="18"/>
        </w:rPr>
        <w:t xml:space="preserve">Načrt zmanjševanja poplavne ogroženosti 2017-2021 (NZPO SI), 2017. </w:t>
      </w:r>
      <w:bookmarkEnd w:id="2452"/>
    </w:p>
  </w:footnote>
  <w:footnote w:id="9">
    <w:p w14:paraId="2F410D18" w14:textId="51D673A5" w:rsidR="000E7A5A" w:rsidRPr="00E9789E" w:rsidRDefault="00306071" w:rsidP="00E9789E">
      <w:pPr>
        <w:pStyle w:val="Sprotnaopomba-besedilo"/>
        <w:spacing w:after="0"/>
        <w:jc w:val="both"/>
        <w:rPr>
          <w:rFonts w:ascii="Arial" w:hAnsi="Arial" w:cs="Arial"/>
          <w:sz w:val="18"/>
          <w:szCs w:val="18"/>
        </w:rPr>
      </w:pPr>
      <w:r w:rsidRPr="00E9789E">
        <w:rPr>
          <w:rStyle w:val="Sprotnaopomba-sklic"/>
          <w:rFonts w:ascii="Arial" w:hAnsi="Arial" w:cs="Arial"/>
          <w:sz w:val="18"/>
          <w:szCs w:val="18"/>
        </w:rPr>
        <w:footnoteRef/>
      </w:r>
      <w:r w:rsidRPr="00E9789E">
        <w:rPr>
          <w:rFonts w:ascii="Arial" w:hAnsi="Arial" w:cs="Arial"/>
          <w:sz w:val="18"/>
          <w:szCs w:val="18"/>
        </w:rPr>
        <w:t xml:space="preserve"> </w:t>
      </w:r>
      <w:r w:rsidR="00CA5E4D" w:rsidRPr="00E9789E">
        <w:rPr>
          <w:rFonts w:ascii="Arial" w:hAnsi="Arial" w:cs="Arial"/>
          <w:sz w:val="18"/>
          <w:szCs w:val="18"/>
        </w:rPr>
        <w:t>Predhodna ocena poplavne ogroženosti Republike Slovenije (2019), 2019.</w:t>
      </w:r>
    </w:p>
  </w:footnote>
  <w:footnote w:id="10">
    <w:p w14:paraId="6DA020C4" w14:textId="3AD7F7AF" w:rsidR="000E7A5A" w:rsidRDefault="00306071" w:rsidP="00E9789E">
      <w:pPr>
        <w:pStyle w:val="Sprotnaopomba-besedilo"/>
        <w:spacing w:after="0"/>
        <w:jc w:val="both"/>
      </w:pPr>
      <w:r w:rsidRPr="00E9789E">
        <w:rPr>
          <w:rStyle w:val="Sprotnaopomba-sklic"/>
          <w:rFonts w:ascii="Arial" w:hAnsi="Arial" w:cs="Arial"/>
          <w:sz w:val="18"/>
          <w:szCs w:val="18"/>
        </w:rPr>
        <w:footnoteRef/>
      </w:r>
      <w:r w:rsidRPr="00E9789E">
        <w:rPr>
          <w:rFonts w:ascii="Arial" w:hAnsi="Arial" w:cs="Arial"/>
          <w:sz w:val="18"/>
          <w:szCs w:val="18"/>
        </w:rPr>
        <w:t xml:space="preserve"> </w:t>
      </w:r>
      <w:bookmarkStart w:id="2453" w:name="_Hlk187822954"/>
      <w:r w:rsidR="00E9789E">
        <w:rPr>
          <w:rFonts w:ascii="Arial" w:hAnsi="Arial" w:cs="Arial"/>
          <w:sz w:val="18"/>
          <w:szCs w:val="18"/>
        </w:rPr>
        <w:t xml:space="preserve">Načrt zmanjševanja </w:t>
      </w:r>
      <w:r w:rsidR="00343FC1">
        <w:rPr>
          <w:rFonts w:ascii="Arial" w:hAnsi="Arial" w:cs="Arial"/>
          <w:sz w:val="18"/>
          <w:szCs w:val="18"/>
        </w:rPr>
        <w:t>poplavne</w:t>
      </w:r>
      <w:r w:rsidR="00E9789E">
        <w:rPr>
          <w:rFonts w:ascii="Arial" w:hAnsi="Arial" w:cs="Arial"/>
          <w:sz w:val="18"/>
          <w:szCs w:val="18"/>
        </w:rPr>
        <w:t xml:space="preserve"> ogroženosti 2023-2027 (NZPO SI II)</w:t>
      </w:r>
      <w:bookmarkEnd w:id="2453"/>
      <w:r w:rsidR="00E9789E">
        <w:rPr>
          <w:rFonts w:ascii="Arial" w:hAnsi="Arial" w:cs="Arial"/>
          <w:sz w:val="18"/>
          <w:szCs w:val="18"/>
        </w:rPr>
        <w:t>, 2023.</w:t>
      </w:r>
    </w:p>
  </w:footnote>
  <w:footnote w:id="11">
    <w:p w14:paraId="3315F13F" w14:textId="790496CD" w:rsidR="000E7A5A" w:rsidRPr="00DB00C3" w:rsidRDefault="00306071" w:rsidP="00DB00C3">
      <w:pPr>
        <w:pStyle w:val="Sprotnaopomba-besedilo"/>
        <w:spacing w:after="0"/>
        <w:jc w:val="both"/>
        <w:rPr>
          <w:rFonts w:ascii="Arial" w:hAnsi="Arial" w:cs="Arial"/>
          <w:sz w:val="18"/>
          <w:szCs w:val="18"/>
        </w:rPr>
      </w:pPr>
      <w:r w:rsidRPr="00DB00C3">
        <w:rPr>
          <w:rStyle w:val="Sprotnaopomba-sklic"/>
          <w:rFonts w:ascii="Arial" w:hAnsi="Arial" w:cs="Arial"/>
          <w:sz w:val="18"/>
          <w:szCs w:val="18"/>
        </w:rPr>
        <w:footnoteRef/>
      </w:r>
      <w:r w:rsidRPr="00DB00C3">
        <w:rPr>
          <w:rFonts w:ascii="Arial" w:hAnsi="Arial" w:cs="Arial"/>
          <w:sz w:val="18"/>
          <w:szCs w:val="18"/>
        </w:rPr>
        <w:t xml:space="preserve"> </w:t>
      </w:r>
      <w:r w:rsidR="00343FC1" w:rsidRPr="00DB00C3">
        <w:rPr>
          <w:rFonts w:ascii="Arial" w:hAnsi="Arial" w:cs="Arial"/>
          <w:sz w:val="18"/>
          <w:szCs w:val="18"/>
        </w:rPr>
        <w:t>Program upravljanja, Živi z naturo 2000, e-viri</w:t>
      </w:r>
      <w:r w:rsidR="007C3912">
        <w:rPr>
          <w:rFonts w:ascii="Arial" w:hAnsi="Arial" w:cs="Arial"/>
          <w:sz w:val="18"/>
          <w:szCs w:val="18"/>
        </w:rPr>
        <w:t>.</w:t>
      </w:r>
    </w:p>
  </w:footnote>
  <w:footnote w:id="12">
    <w:p w14:paraId="5C4B6FEF" w14:textId="0BDA58E4" w:rsidR="000E7A5A" w:rsidRPr="00DB00C3" w:rsidRDefault="00306071" w:rsidP="00DB00C3">
      <w:pPr>
        <w:pStyle w:val="Sprotnaopomba-besedilo"/>
        <w:spacing w:after="0"/>
        <w:jc w:val="both"/>
        <w:rPr>
          <w:rFonts w:ascii="Arial" w:hAnsi="Arial" w:cs="Arial"/>
          <w:sz w:val="18"/>
          <w:szCs w:val="18"/>
        </w:rPr>
      </w:pPr>
      <w:r w:rsidRPr="00DB00C3">
        <w:rPr>
          <w:rStyle w:val="Sprotnaopomba-sklic"/>
          <w:rFonts w:ascii="Arial" w:hAnsi="Arial" w:cs="Arial"/>
          <w:sz w:val="18"/>
          <w:szCs w:val="18"/>
        </w:rPr>
        <w:footnoteRef/>
      </w:r>
      <w:r w:rsidRPr="00DB00C3">
        <w:rPr>
          <w:rFonts w:ascii="Arial" w:hAnsi="Arial" w:cs="Arial"/>
          <w:sz w:val="18"/>
          <w:szCs w:val="18"/>
        </w:rPr>
        <w:t xml:space="preserve"> </w:t>
      </w:r>
      <w:bookmarkStart w:id="2454" w:name="_Hlk187823363"/>
      <w:r w:rsidRPr="00DB00C3">
        <w:rPr>
          <w:rFonts w:ascii="Arial" w:hAnsi="Arial" w:cs="Arial"/>
          <w:sz w:val="18"/>
          <w:szCs w:val="18"/>
        </w:rPr>
        <w:t>Do</w:t>
      </w:r>
      <w:r w:rsidR="00433EB6" w:rsidRPr="00DB00C3">
        <w:rPr>
          <w:rFonts w:ascii="Arial" w:hAnsi="Arial" w:cs="Arial"/>
          <w:sz w:val="18"/>
          <w:szCs w:val="18"/>
        </w:rPr>
        <w:t xml:space="preserve">datek za presojo sprejemljivosti vplivov na varovana območja- za načrt zmanjševanja poplavne ogroženosti, 2016. </w:t>
      </w:r>
      <w:bookmarkEnd w:id="2454"/>
    </w:p>
  </w:footnote>
  <w:footnote w:id="13">
    <w:p w14:paraId="31EC0A03" w14:textId="1B7522BD" w:rsidR="000E7A5A" w:rsidRPr="00DB00C3" w:rsidRDefault="00306071" w:rsidP="00DB00C3">
      <w:pPr>
        <w:pStyle w:val="Sprotnaopomba-besedilo"/>
        <w:spacing w:after="0"/>
        <w:jc w:val="both"/>
        <w:rPr>
          <w:rFonts w:ascii="Arial" w:hAnsi="Arial" w:cs="Arial"/>
          <w:sz w:val="18"/>
          <w:szCs w:val="18"/>
        </w:rPr>
      </w:pPr>
      <w:r w:rsidRPr="00DB00C3">
        <w:rPr>
          <w:rStyle w:val="Sprotnaopomba-sklic"/>
          <w:rFonts w:ascii="Arial" w:hAnsi="Arial" w:cs="Arial"/>
          <w:sz w:val="18"/>
          <w:szCs w:val="18"/>
        </w:rPr>
        <w:footnoteRef/>
      </w:r>
      <w:r w:rsidRPr="00DB00C3">
        <w:rPr>
          <w:rFonts w:ascii="Arial" w:hAnsi="Arial" w:cs="Arial"/>
          <w:sz w:val="18"/>
          <w:szCs w:val="18"/>
        </w:rPr>
        <w:t xml:space="preserve"> </w:t>
      </w:r>
      <w:bookmarkStart w:id="2455" w:name="_Hlk187823446"/>
      <w:r w:rsidR="00433EB6" w:rsidRPr="00DB00C3">
        <w:rPr>
          <w:rFonts w:ascii="Arial" w:hAnsi="Arial" w:cs="Arial"/>
          <w:sz w:val="18"/>
          <w:szCs w:val="18"/>
        </w:rPr>
        <w:t>Ocena tveganja za poplave</w:t>
      </w:r>
      <w:bookmarkEnd w:id="2455"/>
      <w:r w:rsidR="00433EB6" w:rsidRPr="00DB00C3">
        <w:rPr>
          <w:rFonts w:ascii="Arial" w:hAnsi="Arial" w:cs="Arial"/>
          <w:sz w:val="18"/>
          <w:szCs w:val="18"/>
        </w:rPr>
        <w:t xml:space="preserve">, 2023. </w:t>
      </w:r>
    </w:p>
  </w:footnote>
  <w:footnote w:id="14">
    <w:p w14:paraId="5298C26D" w14:textId="69849334" w:rsidR="000E7A5A" w:rsidRPr="00DB00C3" w:rsidRDefault="00306071" w:rsidP="00DB00C3">
      <w:pPr>
        <w:pStyle w:val="Sprotnaopomba-besedilo"/>
        <w:spacing w:after="0"/>
        <w:jc w:val="both"/>
        <w:rPr>
          <w:rFonts w:ascii="Arial" w:hAnsi="Arial" w:cs="Arial"/>
          <w:sz w:val="18"/>
          <w:szCs w:val="18"/>
        </w:rPr>
      </w:pPr>
      <w:r w:rsidRPr="00DB00C3">
        <w:rPr>
          <w:rStyle w:val="Sprotnaopomba-sklic"/>
          <w:rFonts w:ascii="Arial" w:hAnsi="Arial" w:cs="Arial"/>
          <w:sz w:val="18"/>
          <w:szCs w:val="18"/>
        </w:rPr>
        <w:footnoteRef/>
      </w:r>
      <w:r w:rsidRPr="00DB00C3">
        <w:rPr>
          <w:rFonts w:ascii="Arial" w:hAnsi="Arial" w:cs="Arial"/>
          <w:sz w:val="18"/>
          <w:szCs w:val="18"/>
        </w:rPr>
        <w:t xml:space="preserve"> </w:t>
      </w:r>
      <w:r w:rsidR="00433EB6" w:rsidRPr="00DB00C3">
        <w:rPr>
          <w:rFonts w:ascii="Arial" w:hAnsi="Arial" w:cs="Arial"/>
          <w:sz w:val="18"/>
          <w:szCs w:val="18"/>
        </w:rPr>
        <w:t xml:space="preserve">Predhodna ocena poplavne ogroženosti Republike Slovenije (2024), 2024. </w:t>
      </w:r>
    </w:p>
  </w:footnote>
  <w:footnote w:id="15">
    <w:p w14:paraId="2BDE5CB4" w14:textId="1A2DC31D" w:rsidR="000E7A5A" w:rsidRPr="00DB00C3" w:rsidRDefault="00306071" w:rsidP="00DB00C3">
      <w:pPr>
        <w:pStyle w:val="Sprotnaopomba-besedilo"/>
        <w:spacing w:after="0"/>
        <w:jc w:val="both"/>
        <w:rPr>
          <w:rFonts w:ascii="Arial" w:hAnsi="Arial" w:cs="Arial"/>
          <w:sz w:val="18"/>
          <w:szCs w:val="18"/>
        </w:rPr>
      </w:pPr>
      <w:r w:rsidRPr="00DB00C3">
        <w:rPr>
          <w:rStyle w:val="Sprotnaopomba-sklic"/>
          <w:rFonts w:ascii="Arial" w:hAnsi="Arial" w:cs="Arial"/>
          <w:sz w:val="18"/>
          <w:szCs w:val="18"/>
        </w:rPr>
        <w:footnoteRef/>
      </w:r>
      <w:r w:rsidRPr="00DB00C3">
        <w:rPr>
          <w:rFonts w:ascii="Arial" w:hAnsi="Arial" w:cs="Arial"/>
          <w:sz w:val="18"/>
          <w:szCs w:val="18"/>
        </w:rPr>
        <w:t xml:space="preserve"> </w:t>
      </w:r>
      <w:bookmarkStart w:id="2457" w:name="_Hlk187823856"/>
      <w:r w:rsidR="00433EB6" w:rsidRPr="00DB00C3">
        <w:rPr>
          <w:rFonts w:ascii="Arial" w:hAnsi="Arial" w:cs="Arial"/>
          <w:sz w:val="18"/>
          <w:szCs w:val="18"/>
        </w:rPr>
        <w:t xml:space="preserve">Državna ocena zmožnosti obvladovanja tveganj za nesreče, </w:t>
      </w:r>
      <w:r w:rsidR="002A1F43">
        <w:rPr>
          <w:rFonts w:ascii="Arial" w:hAnsi="Arial" w:cs="Arial"/>
          <w:sz w:val="18"/>
          <w:szCs w:val="18"/>
        </w:rPr>
        <w:t>verzija 3, 2023</w:t>
      </w:r>
      <w:r w:rsidR="00433EB6" w:rsidRPr="00DB00C3">
        <w:rPr>
          <w:rFonts w:ascii="Arial" w:hAnsi="Arial" w:cs="Arial"/>
          <w:sz w:val="18"/>
          <w:szCs w:val="18"/>
        </w:rPr>
        <w:t>.</w:t>
      </w:r>
      <w:bookmarkEnd w:id="2457"/>
    </w:p>
  </w:footnote>
  <w:footnote w:id="16">
    <w:p w14:paraId="1CC70122" w14:textId="32560A82" w:rsidR="000E7A5A" w:rsidRDefault="00306071" w:rsidP="00DB00C3">
      <w:pPr>
        <w:pStyle w:val="Sprotnaopomba-besedilo"/>
        <w:jc w:val="both"/>
      </w:pPr>
      <w:r w:rsidRPr="00DB00C3">
        <w:rPr>
          <w:rStyle w:val="Sprotnaopomba-sklic"/>
          <w:rFonts w:ascii="Arial" w:hAnsi="Arial" w:cs="Arial"/>
          <w:sz w:val="18"/>
          <w:szCs w:val="18"/>
        </w:rPr>
        <w:footnoteRef/>
      </w:r>
      <w:r w:rsidRPr="00DB00C3">
        <w:rPr>
          <w:rFonts w:ascii="Arial" w:hAnsi="Arial" w:cs="Arial"/>
          <w:sz w:val="18"/>
          <w:szCs w:val="18"/>
        </w:rPr>
        <w:t xml:space="preserve"> </w:t>
      </w:r>
      <w:r w:rsidR="00DB00C3" w:rsidRPr="00DB00C3">
        <w:rPr>
          <w:rFonts w:ascii="Arial" w:hAnsi="Arial" w:cs="Arial"/>
          <w:sz w:val="18"/>
          <w:szCs w:val="18"/>
        </w:rPr>
        <w:t>Resolucija o nacionalnem programu varstva pred naravnimi in drugimi nesrečami v letih od 2024 do 2030 (ReNPVNDN24-30)</w:t>
      </w:r>
      <w:r w:rsidR="007C3912">
        <w:rPr>
          <w:rFonts w:ascii="Arial" w:hAnsi="Arial" w:cs="Arial"/>
          <w:sz w:val="18"/>
          <w:szCs w:val="18"/>
        </w:rPr>
        <w:t>.</w:t>
      </w:r>
    </w:p>
  </w:footnote>
  <w:footnote w:id="17">
    <w:p w14:paraId="19832A07" w14:textId="1923D71A" w:rsidR="000E7A5A" w:rsidRPr="00DC725C" w:rsidRDefault="00306071" w:rsidP="00DC725C">
      <w:pPr>
        <w:pStyle w:val="Sprotnaopomba-besedilo"/>
        <w:spacing w:after="0"/>
        <w:jc w:val="both"/>
        <w:rPr>
          <w:rFonts w:ascii="Arial" w:hAnsi="Arial" w:cs="Arial"/>
          <w:sz w:val="18"/>
          <w:szCs w:val="18"/>
        </w:rPr>
      </w:pPr>
      <w:r w:rsidRPr="00DC725C">
        <w:rPr>
          <w:rStyle w:val="Sprotnaopomba-sklic"/>
          <w:rFonts w:ascii="Arial" w:hAnsi="Arial" w:cs="Arial"/>
          <w:sz w:val="18"/>
          <w:szCs w:val="18"/>
        </w:rPr>
        <w:footnoteRef/>
      </w:r>
      <w:r w:rsidRPr="00DC725C">
        <w:rPr>
          <w:rFonts w:ascii="Arial" w:hAnsi="Arial" w:cs="Arial"/>
          <w:sz w:val="18"/>
          <w:szCs w:val="18"/>
        </w:rPr>
        <w:t xml:space="preserve"> </w:t>
      </w:r>
      <w:r w:rsidR="00372777" w:rsidRPr="00DC725C">
        <w:rPr>
          <w:rFonts w:ascii="Arial" w:hAnsi="Arial" w:cs="Arial"/>
          <w:sz w:val="18"/>
          <w:szCs w:val="18"/>
        </w:rPr>
        <w:t xml:space="preserve">Petan in Mesec. (2021). </w:t>
      </w:r>
      <w:r w:rsidRPr="00DC725C">
        <w:rPr>
          <w:rFonts w:ascii="Arial" w:hAnsi="Arial" w:cs="Arial"/>
          <w:sz w:val="18"/>
          <w:szCs w:val="18"/>
        </w:rPr>
        <w:t>Skupne evropske smernice za prehod iz institucionalne v skupnostno oskrbo</w:t>
      </w:r>
      <w:r w:rsidR="00372777" w:rsidRPr="00DC725C">
        <w:rPr>
          <w:rFonts w:ascii="Arial" w:hAnsi="Arial" w:cs="Arial"/>
          <w:sz w:val="18"/>
          <w:szCs w:val="18"/>
        </w:rPr>
        <w:t>.</w:t>
      </w:r>
    </w:p>
  </w:footnote>
  <w:footnote w:id="18">
    <w:p w14:paraId="57F01C9E" w14:textId="77777777" w:rsidR="000E7A5A" w:rsidRPr="006D6687" w:rsidRDefault="00306071" w:rsidP="006D6687">
      <w:pPr>
        <w:pStyle w:val="Sprotnaopomba-besedilo"/>
        <w:spacing w:after="0"/>
        <w:jc w:val="both"/>
        <w:rPr>
          <w:rFonts w:ascii="Arial" w:hAnsi="Arial" w:cs="Arial"/>
          <w:sz w:val="18"/>
          <w:szCs w:val="18"/>
        </w:rPr>
      </w:pPr>
      <w:r w:rsidRPr="006D6687">
        <w:rPr>
          <w:rStyle w:val="Sprotnaopomba-sklic"/>
          <w:rFonts w:ascii="Arial" w:hAnsi="Arial" w:cs="Arial"/>
          <w:sz w:val="18"/>
          <w:szCs w:val="18"/>
        </w:rPr>
        <w:footnoteRef/>
      </w:r>
      <w:r w:rsidRPr="006D6687">
        <w:rPr>
          <w:rStyle w:val="Sprotnaopomba-sklic"/>
          <w:rFonts w:ascii="Arial" w:hAnsi="Arial" w:cs="Arial"/>
          <w:sz w:val="18"/>
          <w:szCs w:val="18"/>
        </w:rPr>
        <w:t xml:space="preserve"> </w:t>
      </w:r>
      <w:r w:rsidRPr="006D6687">
        <w:rPr>
          <w:rStyle w:val="Sprotnaopomba-sklic"/>
          <w:rFonts w:ascii="Arial" w:hAnsi="Arial" w:cs="Arial"/>
          <w:sz w:val="18"/>
          <w:szCs w:val="18"/>
        </w:rPr>
        <w:tab/>
      </w:r>
      <w:r w:rsidRPr="006D6687">
        <w:rPr>
          <w:rFonts w:ascii="Arial" w:hAnsi="Arial" w:cs="Arial"/>
          <w:sz w:val="18"/>
          <w:szCs w:val="18"/>
        </w:rPr>
        <w:t>Cilji na področjih emisij TGP ter rabe primarne in končne energije opisujejo največjo dovoljeno vrednost, ki leta 2021 ne sme biti presežena, ostali cilji pa najmanjšo vrednost, ki mora biti dosežena. Cilji za leto 2021 so indikativni: za rabo primarne in končne energije ter delež OVE v bruto rabi končne energije so določeni z NEPN-om, za emisije TGP pa so določeni z linearno interpolacijo glede na cilj za leto 2030. Cilj za prenovo 3 % površine stavb osrednje vlade je okviren, saj se zaradi posodobitev evidence stavb ožjega javnega sektorja in zmanjševanja površin, potrebnih energetske prenove, zaradi že izvedenih projektov, spreminja.</w:t>
      </w:r>
    </w:p>
  </w:footnote>
  <w:footnote w:id="19">
    <w:p w14:paraId="3186BD94" w14:textId="77777777" w:rsidR="000E7A5A" w:rsidRDefault="00306071" w:rsidP="006D6687">
      <w:pPr>
        <w:pStyle w:val="Sprotnaopomba-besedilo"/>
        <w:spacing w:after="0"/>
        <w:jc w:val="both"/>
      </w:pPr>
      <w:r w:rsidRPr="006D6687">
        <w:rPr>
          <w:rStyle w:val="Sprotnaopomba-sklic"/>
          <w:rFonts w:ascii="Arial" w:hAnsi="Arial" w:cs="Arial"/>
          <w:sz w:val="18"/>
          <w:szCs w:val="18"/>
        </w:rPr>
        <w:footnoteRef/>
      </w:r>
      <w:r w:rsidRPr="006D6687">
        <w:rPr>
          <w:rFonts w:ascii="Arial" w:hAnsi="Arial" w:cs="Arial"/>
          <w:sz w:val="18"/>
          <w:szCs w:val="18"/>
        </w:rPr>
        <w:t xml:space="preserve"> </w:t>
      </w:r>
      <w:r w:rsidRPr="006D6687">
        <w:rPr>
          <w:rFonts w:ascii="Arial" w:hAnsi="Arial" w:cs="Arial"/>
          <w:sz w:val="18"/>
          <w:szCs w:val="18"/>
        </w:rPr>
        <w:tab/>
        <w:t>Podatek za leto 2022.</w:t>
      </w:r>
    </w:p>
  </w:footnote>
  <w:footnote w:id="20">
    <w:p w14:paraId="20D95D79" w14:textId="2B87401D" w:rsidR="006D6687" w:rsidRPr="006D6687" w:rsidRDefault="006D6687" w:rsidP="006D6687">
      <w:pPr>
        <w:pStyle w:val="Sprotnaopomba-besedilo"/>
        <w:spacing w:after="0"/>
        <w:rPr>
          <w:rFonts w:ascii="Arial" w:hAnsi="Arial" w:cs="Arial"/>
          <w:sz w:val="18"/>
          <w:szCs w:val="18"/>
        </w:rPr>
      </w:pPr>
      <w:r w:rsidRPr="006D6687">
        <w:rPr>
          <w:rStyle w:val="Sprotnaopomba-sklic"/>
          <w:rFonts w:ascii="Arial" w:hAnsi="Arial" w:cs="Arial"/>
          <w:sz w:val="18"/>
          <w:szCs w:val="18"/>
        </w:rPr>
        <w:footnoteRef/>
      </w:r>
      <w:r w:rsidRPr="006D6687">
        <w:rPr>
          <w:rFonts w:ascii="Arial" w:hAnsi="Arial" w:cs="Arial"/>
          <w:sz w:val="18"/>
          <w:szCs w:val="18"/>
        </w:rPr>
        <w:t xml:space="preserve"> Slovenija dosegla ciljni delež energije iz obnovljivih virov, SURS, e-vir.</w:t>
      </w:r>
    </w:p>
  </w:footnote>
  <w:footnote w:id="21">
    <w:p w14:paraId="57855BBB" w14:textId="36385E52" w:rsidR="006D6687" w:rsidRPr="006D6687" w:rsidRDefault="006D6687" w:rsidP="006D6687">
      <w:pPr>
        <w:pStyle w:val="Sprotnaopomba-besedilo"/>
        <w:spacing w:after="0"/>
        <w:rPr>
          <w:rFonts w:ascii="Arial" w:hAnsi="Arial" w:cs="Arial"/>
          <w:sz w:val="18"/>
          <w:szCs w:val="18"/>
        </w:rPr>
      </w:pPr>
      <w:r w:rsidRPr="006D6687">
        <w:rPr>
          <w:rStyle w:val="Sprotnaopomba-sklic"/>
          <w:rFonts w:ascii="Arial" w:hAnsi="Arial" w:cs="Arial"/>
          <w:sz w:val="18"/>
          <w:szCs w:val="18"/>
        </w:rPr>
        <w:footnoteRef/>
      </w:r>
      <w:r w:rsidRPr="006D6687">
        <w:rPr>
          <w:rFonts w:ascii="Arial" w:hAnsi="Arial" w:cs="Arial"/>
          <w:sz w:val="18"/>
          <w:szCs w:val="18"/>
        </w:rPr>
        <w:t xml:space="preserve"> Energetski kazalniki, Slovenija, letno, SURS, e-vir.</w:t>
      </w:r>
    </w:p>
  </w:footnote>
  <w:footnote w:id="22">
    <w:p w14:paraId="3F935337" w14:textId="21F001AA" w:rsidR="006D6687" w:rsidRDefault="006D6687" w:rsidP="006D6687">
      <w:pPr>
        <w:pStyle w:val="Sprotnaopomba-besedilo"/>
        <w:spacing w:after="0"/>
      </w:pPr>
      <w:r w:rsidRPr="006D6687">
        <w:rPr>
          <w:rStyle w:val="Sprotnaopomba-sklic"/>
          <w:rFonts w:ascii="Arial" w:hAnsi="Arial" w:cs="Arial"/>
          <w:sz w:val="18"/>
          <w:szCs w:val="18"/>
        </w:rPr>
        <w:footnoteRef/>
      </w:r>
      <w:r w:rsidRPr="006D6687">
        <w:rPr>
          <w:rFonts w:ascii="Arial" w:hAnsi="Arial" w:cs="Arial"/>
          <w:sz w:val="18"/>
          <w:szCs w:val="18"/>
        </w:rPr>
        <w:t xml:space="preserve"> Prav tam.</w:t>
      </w:r>
    </w:p>
  </w:footnote>
  <w:footnote w:id="23">
    <w:p w14:paraId="4916FA1D" w14:textId="5AB99D3D" w:rsidR="006D6687" w:rsidRPr="006D6687" w:rsidRDefault="006D6687" w:rsidP="006D6687">
      <w:pPr>
        <w:pStyle w:val="Sprotnaopomba-besedilo"/>
        <w:spacing w:after="0"/>
        <w:rPr>
          <w:rFonts w:ascii="Arial" w:hAnsi="Arial" w:cs="Arial"/>
          <w:sz w:val="18"/>
          <w:szCs w:val="18"/>
        </w:rPr>
      </w:pPr>
      <w:r w:rsidRPr="006D6687">
        <w:rPr>
          <w:rStyle w:val="Sprotnaopomba-sklic"/>
          <w:rFonts w:ascii="Arial" w:hAnsi="Arial" w:cs="Arial"/>
          <w:sz w:val="18"/>
          <w:szCs w:val="18"/>
        </w:rPr>
        <w:footnoteRef/>
      </w:r>
      <w:r w:rsidRPr="006D6687">
        <w:rPr>
          <w:rFonts w:ascii="Arial" w:hAnsi="Arial" w:cs="Arial"/>
          <w:sz w:val="18"/>
          <w:szCs w:val="18"/>
        </w:rPr>
        <w:t xml:space="preserve"> Popravek – podatke o Energetski statistiki, 2023 ponovno objavljamo, SURS, e-vir.</w:t>
      </w:r>
    </w:p>
  </w:footnote>
  <w:footnote w:id="24">
    <w:p w14:paraId="1923AAFD" w14:textId="48BC9995" w:rsidR="000E7A5A" w:rsidRPr="00E12AE5" w:rsidRDefault="00306071" w:rsidP="006D6687">
      <w:pPr>
        <w:pStyle w:val="Footnotebesedilo"/>
        <w:ind w:left="142" w:hanging="142"/>
        <w:rPr>
          <w:rFonts w:ascii="Arial" w:hAnsi="Arial" w:cs="Arial"/>
          <w:sz w:val="18"/>
          <w:szCs w:val="18"/>
        </w:rPr>
      </w:pPr>
      <w:r w:rsidRPr="006D6687">
        <w:rPr>
          <w:rStyle w:val="Sprotnaopomba-sklic"/>
          <w:rFonts w:ascii="Arial" w:hAnsi="Arial" w:cs="Arial"/>
          <w:sz w:val="18"/>
          <w:szCs w:val="18"/>
        </w:rPr>
        <w:footnoteRef/>
      </w:r>
      <w:r w:rsidRPr="006D6687">
        <w:rPr>
          <w:rFonts w:ascii="Arial" w:hAnsi="Arial" w:cs="Arial"/>
          <w:sz w:val="18"/>
          <w:szCs w:val="18"/>
        </w:rPr>
        <w:t xml:space="preserve"> Z vidika NEPN je bolj kot ocena celotnih investicij pomembna ocena energetskega dela investicij, oz. dela</w:t>
      </w:r>
      <w:r w:rsidR="006D6687">
        <w:rPr>
          <w:rFonts w:ascii="Arial" w:hAnsi="Arial" w:cs="Arial"/>
          <w:sz w:val="18"/>
          <w:szCs w:val="18"/>
        </w:rPr>
        <w:t xml:space="preserve">  </w:t>
      </w:r>
      <w:r w:rsidRPr="006D6687">
        <w:rPr>
          <w:rFonts w:ascii="Arial" w:hAnsi="Arial" w:cs="Arial"/>
          <w:sz w:val="18"/>
          <w:szCs w:val="18"/>
        </w:rPr>
        <w:t>investicij, ki je povezan izključno z naložbami, ki bistveno vplivajo na rabo energije oz. ukrepe NEPN. To vključuje investicije, katerih namen je izboljšati energetsko učinkovitost, zmanjšati porabo energije ali spodbujati uporabo obnovljivih virov energije.</w:t>
      </w:r>
      <w:r w:rsidRPr="00E12AE5">
        <w:rPr>
          <w:rFonts w:ascii="Arial" w:hAnsi="Arial" w:cs="Arial"/>
          <w:sz w:val="18"/>
          <w:szCs w:val="18"/>
        </w:rPr>
        <w:t xml:space="preserve"> </w:t>
      </w:r>
    </w:p>
  </w:footnote>
  <w:footnote w:id="25">
    <w:p w14:paraId="086365AF" w14:textId="77777777" w:rsidR="000E7A5A" w:rsidRPr="00E12AE5" w:rsidRDefault="00306071" w:rsidP="00D60223">
      <w:pPr>
        <w:pStyle w:val="Footnotebesedilo"/>
        <w:spacing w:before="0"/>
        <w:rPr>
          <w:rFonts w:ascii="Arial" w:hAnsi="Arial" w:cs="Arial"/>
          <w:sz w:val="18"/>
          <w:szCs w:val="18"/>
        </w:rPr>
      </w:pPr>
      <w:r w:rsidRPr="00E12AE5">
        <w:rPr>
          <w:rStyle w:val="Sprotnaopomba-sklic"/>
          <w:rFonts w:ascii="Arial" w:hAnsi="Arial" w:cs="Arial"/>
          <w:sz w:val="18"/>
          <w:szCs w:val="18"/>
        </w:rPr>
        <w:footnoteRef/>
      </w:r>
      <w:r w:rsidRPr="00E12AE5">
        <w:rPr>
          <w:rFonts w:ascii="Arial" w:hAnsi="Arial" w:cs="Arial"/>
          <w:sz w:val="18"/>
          <w:szCs w:val="18"/>
        </w:rPr>
        <w:t xml:space="preserve"> </w:t>
      </w:r>
      <w:r w:rsidRPr="00E12AE5">
        <w:rPr>
          <w:rFonts w:ascii="Arial" w:hAnsi="Arial" w:cs="Arial"/>
          <w:sz w:val="18"/>
          <w:szCs w:val="18"/>
        </w:rPr>
        <w:tab/>
        <w:t>Investicije v gospodinjstvu in storitvah vsebujejo celotne investicije v novogradnje ter prenove stavb ter zamenjavo energetskih naprav v obdobju (samo energetski del investicij je ocenjen na 3,6 mrd EUR).</w:t>
      </w:r>
    </w:p>
  </w:footnote>
  <w:footnote w:id="26">
    <w:p w14:paraId="68409FC5" w14:textId="77777777" w:rsidR="000E7A5A" w:rsidRPr="00E12AE5" w:rsidRDefault="00306071" w:rsidP="00D60223">
      <w:pPr>
        <w:pStyle w:val="Footnotebesedilo"/>
        <w:spacing w:before="0"/>
        <w:rPr>
          <w:rFonts w:ascii="Arial" w:hAnsi="Arial" w:cs="Arial"/>
          <w:sz w:val="18"/>
          <w:szCs w:val="18"/>
        </w:rPr>
      </w:pPr>
      <w:r w:rsidRPr="00E12AE5">
        <w:rPr>
          <w:rStyle w:val="Sprotnaopomba-sklic"/>
          <w:rFonts w:ascii="Arial" w:hAnsi="Arial" w:cs="Arial"/>
          <w:sz w:val="18"/>
          <w:szCs w:val="18"/>
        </w:rPr>
        <w:footnoteRef/>
      </w:r>
      <w:r w:rsidRPr="00E12AE5">
        <w:rPr>
          <w:rFonts w:ascii="Arial" w:hAnsi="Arial" w:cs="Arial"/>
          <w:sz w:val="18"/>
          <w:szCs w:val="18"/>
        </w:rPr>
        <w:t xml:space="preserve"> </w:t>
      </w:r>
      <w:r w:rsidRPr="00E12AE5">
        <w:rPr>
          <w:rFonts w:ascii="Arial" w:hAnsi="Arial" w:cs="Arial"/>
          <w:sz w:val="18"/>
          <w:szCs w:val="18"/>
        </w:rPr>
        <w:tab/>
        <w:t>Investicije v sektorju industrija vključujejo ocenjena sredstva namenjena za nove tehnologije, nove oblike postopkov za zmanjševanje vplivov na okolje med proizvodnim procesom in na koncu proizvodnega procesa ter prehod v podnebno nevtralno in krožno gospodarstvo.</w:t>
      </w:r>
    </w:p>
  </w:footnote>
  <w:footnote w:id="27">
    <w:p w14:paraId="123E476C" w14:textId="77777777" w:rsidR="000E7A5A" w:rsidRPr="00E12AE5" w:rsidRDefault="00306071" w:rsidP="00D60223">
      <w:pPr>
        <w:pStyle w:val="Footnotebesedilo"/>
        <w:spacing w:before="0"/>
        <w:rPr>
          <w:rFonts w:ascii="Arial" w:hAnsi="Arial" w:cs="Arial"/>
          <w:sz w:val="18"/>
          <w:szCs w:val="18"/>
        </w:rPr>
      </w:pPr>
      <w:r w:rsidRPr="00E12AE5">
        <w:rPr>
          <w:rStyle w:val="Sprotnaopomba-sklic"/>
          <w:rFonts w:ascii="Arial" w:hAnsi="Arial" w:cs="Arial"/>
          <w:sz w:val="18"/>
          <w:szCs w:val="18"/>
        </w:rPr>
        <w:footnoteRef/>
      </w:r>
      <w:r w:rsidRPr="00E12AE5">
        <w:rPr>
          <w:rFonts w:ascii="Arial" w:hAnsi="Arial" w:cs="Arial"/>
          <w:sz w:val="18"/>
          <w:szCs w:val="18"/>
        </w:rPr>
        <w:t xml:space="preserve"> </w:t>
      </w:r>
      <w:r w:rsidRPr="00E12AE5">
        <w:rPr>
          <w:rFonts w:ascii="Arial" w:hAnsi="Arial" w:cs="Arial"/>
          <w:sz w:val="18"/>
          <w:szCs w:val="18"/>
        </w:rPr>
        <w:tab/>
        <w:t>Investicije v nove naprave razpršene proizvodnje električne energije (sončne, vetrne elektrarne idr.).</w:t>
      </w:r>
    </w:p>
  </w:footnote>
  <w:footnote w:id="28">
    <w:p w14:paraId="7A46C190" w14:textId="77777777" w:rsidR="000E7A5A" w:rsidRDefault="00306071" w:rsidP="00D60223">
      <w:pPr>
        <w:pStyle w:val="Footnotebesedilo"/>
        <w:spacing w:before="0"/>
      </w:pPr>
      <w:r w:rsidRPr="00E12AE5">
        <w:rPr>
          <w:rStyle w:val="Sprotnaopomba-sklic"/>
          <w:rFonts w:ascii="Arial" w:hAnsi="Arial" w:cs="Arial"/>
          <w:sz w:val="18"/>
          <w:szCs w:val="18"/>
        </w:rPr>
        <w:footnoteRef/>
      </w:r>
      <w:r w:rsidRPr="00E12AE5">
        <w:rPr>
          <w:rFonts w:ascii="Arial" w:hAnsi="Arial" w:cs="Arial"/>
          <w:sz w:val="18"/>
          <w:szCs w:val="18"/>
        </w:rPr>
        <w:t xml:space="preserve"> </w:t>
      </w:r>
      <w:r w:rsidRPr="00E12AE5">
        <w:rPr>
          <w:rFonts w:ascii="Arial" w:hAnsi="Arial" w:cs="Arial"/>
          <w:sz w:val="18"/>
          <w:szCs w:val="18"/>
        </w:rPr>
        <w:tab/>
        <w:t>Investicije v sektorju centralna oskrba so namenjene za izgradnjo novih proizvodnih objektov in hranilnikov na prenosnem omrežju.</w:t>
      </w:r>
    </w:p>
  </w:footnote>
  <w:footnote w:id="29">
    <w:p w14:paraId="077CAE85" w14:textId="77777777" w:rsidR="000E7A5A" w:rsidRPr="00E12AE5" w:rsidRDefault="00306071" w:rsidP="00D60223">
      <w:pPr>
        <w:pStyle w:val="Footnotebesedilo"/>
        <w:spacing w:before="0"/>
        <w:rPr>
          <w:rFonts w:ascii="Arial" w:hAnsi="Arial" w:cs="Arial"/>
          <w:sz w:val="18"/>
          <w:szCs w:val="18"/>
        </w:rPr>
      </w:pPr>
      <w:r w:rsidRPr="00E12AE5">
        <w:rPr>
          <w:rStyle w:val="Sprotnaopomba-sklic"/>
          <w:rFonts w:ascii="Arial" w:hAnsi="Arial" w:cs="Arial"/>
          <w:sz w:val="18"/>
          <w:szCs w:val="18"/>
        </w:rPr>
        <w:footnoteRef/>
      </w:r>
      <w:r w:rsidRPr="00E12AE5">
        <w:rPr>
          <w:rFonts w:ascii="Arial" w:hAnsi="Arial" w:cs="Arial"/>
          <w:sz w:val="18"/>
          <w:szCs w:val="18"/>
        </w:rPr>
        <w:t xml:space="preserve"> </w:t>
      </w:r>
      <w:r w:rsidRPr="00E12AE5">
        <w:rPr>
          <w:rFonts w:ascii="Arial" w:hAnsi="Arial" w:cs="Arial"/>
          <w:sz w:val="18"/>
          <w:szCs w:val="18"/>
        </w:rPr>
        <w:tab/>
        <w:t>Energetsko intenzivna industrija</w:t>
      </w:r>
    </w:p>
  </w:footnote>
  <w:footnote w:id="30">
    <w:p w14:paraId="553FEBDF" w14:textId="77777777" w:rsidR="000E7A5A" w:rsidRDefault="00306071" w:rsidP="00D60223">
      <w:pPr>
        <w:pStyle w:val="Footnotebesedilo"/>
        <w:spacing w:before="0"/>
      </w:pPr>
      <w:r w:rsidRPr="00E12AE5">
        <w:rPr>
          <w:rStyle w:val="Sprotnaopomba-sklic"/>
          <w:rFonts w:ascii="Arial" w:hAnsi="Arial" w:cs="Arial"/>
          <w:sz w:val="18"/>
          <w:szCs w:val="18"/>
        </w:rPr>
        <w:footnoteRef/>
      </w:r>
      <w:r w:rsidRPr="00E12AE5">
        <w:rPr>
          <w:rFonts w:ascii="Arial" w:hAnsi="Arial" w:cs="Arial"/>
          <w:sz w:val="18"/>
          <w:szCs w:val="18"/>
        </w:rPr>
        <w:t xml:space="preserve"> </w:t>
      </w:r>
      <w:r w:rsidRPr="00E12AE5">
        <w:rPr>
          <w:rFonts w:ascii="Arial" w:hAnsi="Arial" w:cs="Arial"/>
          <w:sz w:val="18"/>
          <w:szCs w:val="18"/>
        </w:rPr>
        <w:tab/>
        <w:t>Razpršena proizvodnja električne energije iz OVE.</w:t>
      </w:r>
    </w:p>
  </w:footnote>
  <w:footnote w:id="31">
    <w:p w14:paraId="7101A76B" w14:textId="77777777" w:rsidR="00027788" w:rsidRDefault="00027788"/>
    <w:p w14:paraId="165422CF" w14:textId="77777777" w:rsidR="003638C1" w:rsidRDefault="003638C1"/>
  </w:footnote>
  <w:footnote w:id="32">
    <w:p w14:paraId="24DCDDC1" w14:textId="1F771487" w:rsidR="00D60223" w:rsidRPr="00257B7F" w:rsidRDefault="00D60223" w:rsidP="00D60223">
      <w:pPr>
        <w:pStyle w:val="Sprotnaopomba-besedilo"/>
        <w:spacing w:after="0"/>
        <w:jc w:val="both"/>
        <w:rPr>
          <w:rFonts w:ascii="Arial" w:hAnsi="Arial" w:cs="Arial"/>
          <w:sz w:val="18"/>
          <w:szCs w:val="18"/>
        </w:rPr>
      </w:pPr>
      <w:r w:rsidRPr="00257B7F">
        <w:rPr>
          <w:rStyle w:val="Sprotnaopomba-sklic"/>
          <w:rFonts w:ascii="Arial" w:hAnsi="Arial" w:cs="Arial"/>
          <w:sz w:val="18"/>
          <w:szCs w:val="18"/>
        </w:rPr>
        <w:footnoteRef/>
      </w:r>
      <w:r w:rsidR="00F7FCEE" w:rsidRPr="00257B7F">
        <w:rPr>
          <w:rFonts w:ascii="Arial" w:hAnsi="Arial" w:cs="Arial"/>
          <w:sz w:val="18"/>
          <w:szCs w:val="18"/>
        </w:rPr>
        <w:t xml:space="preserve"> </w:t>
      </w:r>
      <w:r w:rsidR="00F7FCEE" w:rsidRPr="00F7FCEE">
        <w:rPr>
          <w:rFonts w:ascii="Arial" w:hAnsi="Arial" w:cs="Arial"/>
          <w:sz w:val="18"/>
          <w:szCs w:val="18"/>
        </w:rPr>
        <w:t>Posodobljeni Celoviti nacionalni energetski in podnebni načrt Republike Slovenije 2024, december 2024</w:t>
      </w:r>
    </w:p>
  </w:footnote>
  <w:footnote w:id="33">
    <w:p w14:paraId="2025C74E" w14:textId="428E514A" w:rsidR="005F58C4" w:rsidRPr="002C39F9" w:rsidRDefault="005F58C4" w:rsidP="005F58C4">
      <w:pPr>
        <w:pStyle w:val="Sprotnaopomba-besedilo"/>
        <w:rPr>
          <w:rFonts w:ascii="Arial" w:hAnsi="Arial" w:cs="Arial"/>
        </w:rPr>
      </w:pPr>
      <w:r w:rsidRPr="002C39F9">
        <w:rPr>
          <w:rStyle w:val="Sprotnaopomba-sklic"/>
          <w:rFonts w:ascii="Arial" w:hAnsi="Arial" w:cs="Arial"/>
          <w:sz w:val="18"/>
          <w:szCs w:val="20"/>
        </w:rPr>
        <w:footnoteRef/>
      </w:r>
      <w:r w:rsidRPr="002C39F9">
        <w:rPr>
          <w:rFonts w:ascii="Arial" w:hAnsi="Arial" w:cs="Arial"/>
          <w:sz w:val="18"/>
          <w:szCs w:val="20"/>
        </w:rPr>
        <w:t xml:space="preserve"> Dotično vrednotenje se nanaša na specifični cilj 8.1.2 PEKP 2014</w:t>
      </w:r>
      <w:r w:rsidR="002C39F9" w:rsidRPr="002C39F9">
        <w:rPr>
          <w:rFonts w:ascii="Arial" w:hAnsi="Arial" w:cs="Arial"/>
          <w:sz w:val="18"/>
          <w:szCs w:val="20"/>
        </w:rPr>
        <w:t>–</w:t>
      </w:r>
      <w:r w:rsidRPr="002C39F9">
        <w:rPr>
          <w:rFonts w:ascii="Arial" w:hAnsi="Arial" w:cs="Arial"/>
          <w:sz w:val="18"/>
          <w:szCs w:val="20"/>
        </w:rPr>
        <w:t>2020</w:t>
      </w:r>
    </w:p>
  </w:footnote>
  <w:footnote w:id="34">
    <w:p w14:paraId="1048B5C3" w14:textId="77777777" w:rsidR="000E7A5A" w:rsidRPr="00B45272" w:rsidRDefault="00306071" w:rsidP="00DD42C3">
      <w:pPr>
        <w:pStyle w:val="Sprotnaopomba-besedilo"/>
        <w:spacing w:after="0"/>
        <w:jc w:val="both"/>
        <w:rPr>
          <w:rFonts w:ascii="Arial" w:hAnsi="Arial" w:cs="Arial"/>
          <w:sz w:val="18"/>
          <w:szCs w:val="18"/>
        </w:rPr>
      </w:pPr>
      <w:r w:rsidRPr="00B45272">
        <w:rPr>
          <w:rStyle w:val="Sprotnaopomba-sklic"/>
          <w:rFonts w:ascii="Arial" w:hAnsi="Arial" w:cs="Arial"/>
          <w:sz w:val="18"/>
          <w:szCs w:val="18"/>
        </w:rPr>
        <w:footnoteRef/>
      </w:r>
      <w:r w:rsidRPr="00B45272">
        <w:rPr>
          <w:rFonts w:ascii="Arial" w:hAnsi="Arial" w:cs="Arial"/>
          <w:sz w:val="18"/>
          <w:szCs w:val="18"/>
        </w:rPr>
        <w:t xml:space="preserve"> Direktiva 2003/87/ES evropskega parlamenta in Sveta z dne 13. oktobra 2003 o vzpostavitvi sistema za trgovanje s pravicami do emisije toplogrednih plinov v Skupnosti in o spremembi Direktive Sveta 96/61/ESBesedilo velja za EGP</w:t>
      </w:r>
    </w:p>
  </w:footnote>
  <w:footnote w:id="35">
    <w:p w14:paraId="5071B4F5" w14:textId="77777777" w:rsidR="000E7A5A" w:rsidRPr="00B45272" w:rsidRDefault="00306071" w:rsidP="00DD42C3">
      <w:pPr>
        <w:pStyle w:val="Sprotnaopomba-besedilo"/>
        <w:spacing w:after="0"/>
        <w:jc w:val="both"/>
        <w:rPr>
          <w:rFonts w:ascii="Arial" w:hAnsi="Arial" w:cs="Arial"/>
          <w:sz w:val="18"/>
          <w:szCs w:val="18"/>
        </w:rPr>
      </w:pPr>
      <w:r w:rsidRPr="00B45272">
        <w:rPr>
          <w:rStyle w:val="Sprotnaopomba-sklic"/>
          <w:rFonts w:ascii="Arial" w:hAnsi="Arial" w:cs="Arial"/>
          <w:sz w:val="18"/>
          <w:szCs w:val="18"/>
        </w:rPr>
        <w:footnoteRef/>
      </w:r>
      <w:r w:rsidRPr="00B45272">
        <w:rPr>
          <w:rFonts w:ascii="Arial" w:hAnsi="Arial" w:cs="Arial"/>
          <w:sz w:val="18"/>
          <w:szCs w:val="18"/>
          <w:lang w:val="pl-PL"/>
        </w:rPr>
        <w:t xml:space="preserve"> Uredba (EU) 2021/1058 Evropskega parlamenta in Sveta z dne 24. junija 2021 o Evropskem skladu za regionalni razvoj in Kohezijskem skladu</w:t>
      </w:r>
    </w:p>
  </w:footnote>
  <w:footnote w:id="36">
    <w:p w14:paraId="353800E8" w14:textId="77777777" w:rsidR="000E7A5A" w:rsidRPr="00B45272" w:rsidRDefault="00306071" w:rsidP="00DD42C3">
      <w:pPr>
        <w:pStyle w:val="Sprotnaopomba-besedilo"/>
        <w:spacing w:after="0"/>
        <w:jc w:val="both"/>
        <w:rPr>
          <w:rFonts w:ascii="Arial" w:hAnsi="Arial" w:cs="Arial"/>
          <w:sz w:val="18"/>
          <w:szCs w:val="18"/>
        </w:rPr>
      </w:pPr>
      <w:r w:rsidRPr="00B45272">
        <w:rPr>
          <w:rStyle w:val="Sprotnaopomba-sklic"/>
          <w:rFonts w:ascii="Arial" w:hAnsi="Arial" w:cs="Arial"/>
          <w:sz w:val="18"/>
          <w:szCs w:val="18"/>
        </w:rPr>
        <w:footnoteRef/>
      </w:r>
      <w:r w:rsidRPr="00B45272">
        <w:rPr>
          <w:rFonts w:ascii="Arial" w:hAnsi="Arial" w:cs="Arial"/>
          <w:sz w:val="18"/>
          <w:szCs w:val="18"/>
          <w:lang w:val="pl-PL"/>
        </w:rPr>
        <w:t xml:space="preserve"> Uredba (EU) 2021/1056 Evropskega parlamenta in Sveta z dne 24. junija 2021 o vzpostavitvi Sklada za pravični prehod</w:t>
      </w:r>
    </w:p>
  </w:footnote>
  <w:footnote w:id="37">
    <w:p w14:paraId="40879F52" w14:textId="77777777" w:rsidR="000E7A5A" w:rsidRPr="00B45272" w:rsidRDefault="00306071" w:rsidP="00DD42C3">
      <w:pPr>
        <w:pStyle w:val="Sprotnaopomba-besedilo"/>
        <w:spacing w:after="0"/>
        <w:jc w:val="both"/>
        <w:rPr>
          <w:rFonts w:ascii="Arial" w:hAnsi="Arial" w:cs="Arial"/>
          <w:sz w:val="18"/>
          <w:szCs w:val="18"/>
        </w:rPr>
      </w:pPr>
      <w:r w:rsidRPr="00B45272">
        <w:rPr>
          <w:rStyle w:val="Sprotnaopomba-sklic"/>
          <w:rFonts w:ascii="Arial" w:hAnsi="Arial" w:cs="Arial"/>
          <w:sz w:val="18"/>
          <w:szCs w:val="18"/>
        </w:rPr>
        <w:footnoteRef/>
      </w:r>
      <w:r w:rsidRPr="002A1F43">
        <w:rPr>
          <w:rFonts w:ascii="Arial" w:hAnsi="Arial" w:cs="Arial"/>
          <w:sz w:val="18"/>
          <w:szCs w:val="18"/>
        </w:rPr>
        <w:t xml:space="preserve"> Uredba (EU) 2021/1057 Evropskega parlamenta in Sveta z dne 24. junija 2021 o vzpostavitvi Evropskega socialnega sklada plus (ESS+) in razveljavitvi Uredbe (EU) št. 1296/2013</w:t>
      </w:r>
    </w:p>
  </w:footnote>
  <w:footnote w:id="38">
    <w:p w14:paraId="2DF7DADE" w14:textId="77777777" w:rsidR="000E7A5A" w:rsidRPr="00B45272" w:rsidRDefault="00306071" w:rsidP="00DD42C3">
      <w:pPr>
        <w:pStyle w:val="Sprotnaopomba-besedilo"/>
        <w:spacing w:after="0"/>
        <w:jc w:val="both"/>
        <w:rPr>
          <w:rFonts w:ascii="Arial" w:hAnsi="Arial" w:cs="Arial"/>
          <w:sz w:val="18"/>
          <w:szCs w:val="18"/>
        </w:rPr>
      </w:pPr>
      <w:r w:rsidRPr="00B45272">
        <w:rPr>
          <w:rStyle w:val="Sprotnaopomba-sklic"/>
          <w:rFonts w:ascii="Arial" w:hAnsi="Arial" w:cs="Arial"/>
          <w:sz w:val="18"/>
          <w:szCs w:val="18"/>
        </w:rPr>
        <w:footnoteRef/>
      </w:r>
      <w:r w:rsidRPr="002A1F43">
        <w:rPr>
          <w:rFonts w:ascii="Arial" w:hAnsi="Arial" w:cs="Arial"/>
          <w:sz w:val="18"/>
          <w:szCs w:val="18"/>
        </w:rPr>
        <w:t xml:space="preserve"> Uredba (EU) št. 1303/2013 Evropskega parlamenta in Sveta z dne 17. decembra 2013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ter o razveljavitvi Uredbe Sveta (ES) št. 1083/2006</w:t>
      </w:r>
    </w:p>
  </w:footnote>
  <w:footnote w:id="39">
    <w:p w14:paraId="18943478" w14:textId="77777777" w:rsidR="000E7A5A" w:rsidRPr="00B45272" w:rsidRDefault="00306071" w:rsidP="00DD42C3">
      <w:pPr>
        <w:pStyle w:val="Sprotnaopomba-besedilo"/>
        <w:spacing w:after="0"/>
        <w:jc w:val="both"/>
        <w:rPr>
          <w:rFonts w:ascii="Arial" w:hAnsi="Arial" w:cs="Arial"/>
          <w:sz w:val="18"/>
          <w:szCs w:val="18"/>
        </w:rPr>
      </w:pPr>
      <w:r w:rsidRPr="00B45272">
        <w:rPr>
          <w:rStyle w:val="Sprotnaopomba-sklic"/>
          <w:rFonts w:ascii="Arial" w:hAnsi="Arial" w:cs="Arial"/>
          <w:sz w:val="18"/>
          <w:szCs w:val="18"/>
        </w:rPr>
        <w:footnoteRef/>
      </w:r>
      <w:r w:rsidRPr="00B45272">
        <w:rPr>
          <w:rFonts w:ascii="Arial" w:hAnsi="Arial" w:cs="Arial"/>
          <w:sz w:val="18"/>
          <w:szCs w:val="18"/>
          <w:lang w:val="pl-PL"/>
        </w:rPr>
        <w:t xml:space="preserve"> Uredba (EU) št. 223/2014 Evropskega parlamenta in Sveta z dne 11. marca 2014 o Skladu za evropsko pomoč najbolj ogroženim</w:t>
      </w:r>
    </w:p>
  </w:footnote>
  <w:footnote w:id="40">
    <w:p w14:paraId="08AD8D74" w14:textId="77777777" w:rsidR="000E7A5A" w:rsidRPr="00B45272" w:rsidRDefault="00306071" w:rsidP="00DD42C3">
      <w:pPr>
        <w:pStyle w:val="Sprotnaopomba-besedilo"/>
        <w:spacing w:after="0"/>
        <w:jc w:val="both"/>
        <w:rPr>
          <w:rFonts w:ascii="Arial" w:hAnsi="Arial" w:cs="Arial"/>
          <w:sz w:val="18"/>
          <w:szCs w:val="18"/>
        </w:rPr>
      </w:pPr>
      <w:r w:rsidRPr="00B45272">
        <w:rPr>
          <w:rStyle w:val="Sprotnaopomba-sklic"/>
          <w:rFonts w:ascii="Arial" w:hAnsi="Arial" w:cs="Arial"/>
          <w:sz w:val="18"/>
          <w:szCs w:val="18"/>
        </w:rPr>
        <w:footnoteRef/>
      </w:r>
      <w:r w:rsidRPr="002A1F43">
        <w:rPr>
          <w:rFonts w:ascii="Arial" w:hAnsi="Arial" w:cs="Arial"/>
          <w:sz w:val="18"/>
          <w:szCs w:val="18"/>
        </w:rPr>
        <w:t xml:space="preserve"> Uredba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w:t>
      </w:r>
    </w:p>
  </w:footnote>
  <w:footnote w:id="41">
    <w:p w14:paraId="051854EA" w14:textId="77777777" w:rsidR="000E7A5A" w:rsidRPr="00B45272" w:rsidRDefault="00306071" w:rsidP="00DD42C3">
      <w:pPr>
        <w:pStyle w:val="Sprotnaopomba-besedilo"/>
        <w:spacing w:after="0"/>
        <w:jc w:val="both"/>
        <w:rPr>
          <w:rFonts w:ascii="Arial" w:hAnsi="Arial" w:cs="Arial"/>
          <w:sz w:val="18"/>
          <w:szCs w:val="18"/>
        </w:rPr>
      </w:pPr>
      <w:r w:rsidRPr="00B45272">
        <w:rPr>
          <w:rStyle w:val="Sprotnaopomba-sklic"/>
          <w:rFonts w:ascii="Arial" w:hAnsi="Arial" w:cs="Arial"/>
          <w:sz w:val="18"/>
          <w:szCs w:val="18"/>
        </w:rPr>
        <w:footnoteRef/>
      </w:r>
      <w:r w:rsidRPr="00B45272">
        <w:rPr>
          <w:rFonts w:ascii="Arial" w:hAnsi="Arial" w:cs="Arial"/>
          <w:sz w:val="18"/>
          <w:szCs w:val="18"/>
          <w:lang w:val="pl-PL"/>
        </w:rPr>
        <w:t xml:space="preserve"> Uredba (EU) 2021/523 Evropskega parlamenta in Sveta z dne 24. marca 2021 o vzpostavitvi Programa InvestEU in spremembi Uredbe (EU) 2015/1017</w:t>
      </w:r>
    </w:p>
  </w:footnote>
  <w:footnote w:id="42">
    <w:p w14:paraId="117E4A36" w14:textId="77777777" w:rsidR="000E7A5A" w:rsidRPr="00B45272" w:rsidRDefault="00306071" w:rsidP="00DD42C3">
      <w:pPr>
        <w:pStyle w:val="Sprotnaopomba-besedilo"/>
        <w:spacing w:after="0"/>
        <w:jc w:val="both"/>
        <w:rPr>
          <w:rFonts w:ascii="Arial" w:hAnsi="Arial" w:cs="Arial"/>
          <w:sz w:val="18"/>
          <w:szCs w:val="18"/>
        </w:rPr>
      </w:pPr>
      <w:r w:rsidRPr="00B45272">
        <w:rPr>
          <w:rStyle w:val="Sprotnaopomba-sklic"/>
          <w:rFonts w:ascii="Arial" w:hAnsi="Arial" w:cs="Arial"/>
          <w:sz w:val="18"/>
          <w:szCs w:val="18"/>
        </w:rPr>
        <w:footnoteRef/>
      </w:r>
      <w:r w:rsidRPr="002A1F43">
        <w:rPr>
          <w:rFonts w:ascii="Arial" w:hAnsi="Arial" w:cs="Arial"/>
          <w:sz w:val="18"/>
          <w:szCs w:val="18"/>
        </w:rPr>
        <w:t xml:space="preserve"> Uredba (EU) 2021/695 Evropskega parlamenta in Sveta z dne 28. aprila 2021 o vzpostavitvi okvirnega programa za raziskave in inovacije Obzorje Evropa, določitvi pravil za sodelovanje in razširjanje rezultatov ter razveljavitvi uredb (EU) št. 1290/2013 in (EU) št. 1291/2013 (Besedilo velja za EGP)</w:t>
      </w:r>
    </w:p>
  </w:footnote>
  <w:footnote w:id="43">
    <w:p w14:paraId="34F1ABBF" w14:textId="77777777" w:rsidR="000E7A5A" w:rsidRPr="00B45272" w:rsidRDefault="00306071" w:rsidP="00DD42C3">
      <w:pPr>
        <w:pStyle w:val="Sprotnaopomba-besedilo"/>
        <w:spacing w:after="0"/>
        <w:jc w:val="both"/>
        <w:rPr>
          <w:rFonts w:ascii="Arial" w:hAnsi="Arial" w:cs="Arial"/>
          <w:sz w:val="18"/>
          <w:szCs w:val="18"/>
        </w:rPr>
      </w:pPr>
      <w:r w:rsidRPr="00B45272">
        <w:rPr>
          <w:rStyle w:val="Sprotnaopomba-sklic"/>
          <w:rFonts w:ascii="Arial" w:hAnsi="Arial" w:cs="Arial"/>
          <w:sz w:val="18"/>
          <w:szCs w:val="18"/>
        </w:rPr>
        <w:footnoteRef/>
      </w:r>
      <w:r w:rsidRPr="002A1F43">
        <w:rPr>
          <w:rFonts w:ascii="Arial" w:hAnsi="Arial" w:cs="Arial"/>
          <w:sz w:val="18"/>
          <w:szCs w:val="18"/>
        </w:rPr>
        <w:t xml:space="preserve"> Uredba (EU) 2021/697 Evropskega parlamenta in Sveta z dne 29. aprila 2021 o vzpostavitvi Evropskega obrambnega sklada ter razveljavitvi Uredbe (EU) 2018/1092 (Besedilo velja za EGP)</w:t>
      </w:r>
    </w:p>
  </w:footnote>
  <w:footnote w:id="44">
    <w:p w14:paraId="365685B8" w14:textId="77777777" w:rsidR="000E7A5A" w:rsidRDefault="00306071" w:rsidP="00DD42C3">
      <w:pPr>
        <w:pStyle w:val="Sprotnaopomba-besedilo"/>
        <w:spacing w:after="0"/>
        <w:jc w:val="both"/>
      </w:pPr>
      <w:r w:rsidRPr="00B45272">
        <w:rPr>
          <w:rStyle w:val="Sprotnaopomba-sklic"/>
          <w:rFonts w:ascii="Arial" w:hAnsi="Arial" w:cs="Arial"/>
          <w:sz w:val="18"/>
          <w:szCs w:val="18"/>
        </w:rPr>
        <w:footnoteRef/>
      </w:r>
      <w:r w:rsidRPr="00B45272">
        <w:rPr>
          <w:rFonts w:ascii="Arial" w:hAnsi="Arial" w:cs="Arial"/>
          <w:sz w:val="18"/>
          <w:szCs w:val="18"/>
          <w:lang w:val="pl-PL"/>
        </w:rPr>
        <w:t xml:space="preserve"> Uredba (EU) 2021/241 Evropskega parlamenta in Sveta z dne 12. februarja 2021 o vzpostavitvi Mehanizma za okrevanje in odpornost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C4542" w14:textId="38169101" w:rsidR="00984D97" w:rsidRDefault="008012A2">
    <w:pPr>
      <w:pStyle w:val="Glava"/>
    </w:pPr>
    <w:r>
      <w:rPr>
        <w:noProof/>
      </w:rPr>
      <w:pict w14:anchorId="2B09F5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6704" o:spid="_x0000_s30744" type="#_x0000_t136" style="position:absolute;margin-left:0;margin-top:0;width:511.5pt;height:127.85pt;rotation:315;z-index:-251672064;mso-position-horizontal:center;mso-position-horizontal-relative:margin;mso-position-vertical:center;mso-position-vertical-relative:margin" o:allowincell="f" fillcolor="silver" stroked="f">
          <v:fill opacity=".5"/>
          <v:textpath style="font-family:&quot;Arial&quot;;font-size:1pt" string="OSNUTEK"/>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062E6" w14:textId="63B5048E" w:rsidR="00415250" w:rsidRDefault="008012A2">
    <w:pPr>
      <w:pStyle w:val="Glava"/>
    </w:pPr>
    <w:r>
      <w:rPr>
        <w:noProof/>
      </w:rPr>
      <w:pict w14:anchorId="4D557D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6713" o:spid="_x0000_s30753" type="#_x0000_t136" style="position:absolute;margin-left:0;margin-top:0;width:511.5pt;height:127.85pt;rotation:315;z-index:-251659776;mso-position-horizontal:center;mso-position-horizontal-relative:margin;mso-position-vertical:center;mso-position-vertical-relative:margin" o:allowincell="f" fillcolor="silver" stroked="f">
          <v:fill opacity=".5"/>
          <v:textpath style="font-family:&quot;Arial&quot;;font-size:1pt" string="OSNUTEK"/>
          <w10:wrap anchorx="margin" anchory="margin"/>
        </v:shape>
      </w:pict>
    </w:r>
    <w:r>
      <w:rPr>
        <w:noProof/>
      </w:rPr>
      <w:pict w14:anchorId="28A34066">
        <v:shape id="_x0000_s30732" type="#_x0000_t136" style="position:absolute;margin-left:0;margin-top:0;width:511.5pt;height:127.85pt;z-index:251657728"/>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27B7A" w14:textId="5E6E8DB3" w:rsidR="00984D97" w:rsidRDefault="008012A2">
    <w:pPr>
      <w:pStyle w:val="Glava"/>
    </w:pPr>
    <w:r>
      <w:rPr>
        <w:noProof/>
      </w:rPr>
      <w:pict w14:anchorId="5B9782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6714" o:spid="_x0000_s30754" type="#_x0000_t136" style="position:absolute;margin-left:0;margin-top:0;width:511.5pt;height:127.85pt;rotation:315;z-index:-251657728;mso-position-horizontal:center;mso-position-horizontal-relative:margin;mso-position-vertical:center;mso-position-vertical-relative:margin" o:allowincell="f" fillcolor="silver" stroked="f">
          <v:fill opacity=".5"/>
          <v:textpath style="font-family:&quot;Arial&quot;;font-size:1pt" string="OSNUTEK"/>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B1EC6" w14:textId="69C578C9" w:rsidR="00415250" w:rsidRDefault="008012A2">
    <w:pPr>
      <w:pStyle w:val="Glava"/>
    </w:pPr>
    <w:r>
      <w:rPr>
        <w:noProof/>
      </w:rPr>
      <w:pict w14:anchorId="68A3AA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6712" o:spid="_x0000_s30752" type="#_x0000_t136" style="position:absolute;margin-left:0;margin-top:0;width:511.5pt;height:127.85pt;rotation:315;z-index:-251661824;mso-position-horizontal:center;mso-position-horizontal-relative:margin;mso-position-vertical:center;mso-position-vertical-relative:margin" o:allowincell="f" fillcolor="silver" stroked="f">
          <v:fill opacity=".5"/>
          <v:textpath style="font-family:&quot;Arial&quot;;font-size:1pt" string="OSNUTEK"/>
          <w10:wrap anchorx="margin" anchory="margin"/>
        </v:shape>
      </w:pict>
    </w:r>
    <w:r>
      <w:rPr>
        <w:noProof/>
      </w:rPr>
      <w:pict w14:anchorId="1D150F34">
        <v:shape id="_x0000_s30731" type="#_x0000_t136" style="position:absolute;margin-left:0;margin-top:0;width:511.5pt;height:127.85pt;z-index:251655680"/>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63A3F" w14:textId="63EB2BE9" w:rsidR="00415250" w:rsidRDefault="008012A2">
    <w:pPr>
      <w:pStyle w:val="Glava"/>
    </w:pPr>
    <w:r>
      <w:rPr>
        <w:noProof/>
      </w:rPr>
      <w:pict w14:anchorId="2B1BC8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6716" o:spid="_x0000_s30756" type="#_x0000_t136" style="position:absolute;margin-left:0;margin-top:0;width:511.5pt;height:127.85pt;rotation:315;z-index:-251654656;mso-position-horizontal:center;mso-position-horizontal-relative:margin;mso-position-vertical:center;mso-position-vertical-relative:margin" o:allowincell="f" fillcolor="silver" stroked="f">
          <v:fill opacity=".5"/>
          <v:textpath style="font-family:&quot;Arial&quot;;font-size:1pt" string="OSNUTEK"/>
          <w10:wrap anchorx="margin" anchory="margin"/>
        </v:shape>
      </w:pict>
    </w:r>
    <w:r>
      <w:rPr>
        <w:noProof/>
      </w:rPr>
      <w:pict w14:anchorId="1ABB3555">
        <v:shape id="_x0000_s30735" type="#_x0000_t136" style="position:absolute;margin-left:0;margin-top:0;width:511.5pt;height:127.85pt;z-index:251662848"/>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C8BC6" w14:textId="78AA0AF8" w:rsidR="00984D97" w:rsidRDefault="008012A2">
    <w:pPr>
      <w:pStyle w:val="Glava"/>
    </w:pPr>
    <w:r>
      <w:rPr>
        <w:noProof/>
      </w:rPr>
      <w:pict w14:anchorId="1D4B9B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6717" o:spid="_x0000_s30757" type="#_x0000_t136" style="position:absolute;margin-left:0;margin-top:0;width:511.5pt;height:127.85pt;rotation:315;z-index:-251652608;mso-position-horizontal:center;mso-position-horizontal-relative:margin;mso-position-vertical:center;mso-position-vertical-relative:margin" o:allowincell="f" fillcolor="silver" stroked="f">
          <v:fill opacity=".5"/>
          <v:textpath style="font-family:&quot;Arial&quot;;font-size:1pt" string="OSNUTEK"/>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2F27F" w14:textId="4E2C2906" w:rsidR="00415250" w:rsidRDefault="008012A2">
    <w:pPr>
      <w:pStyle w:val="Glava"/>
    </w:pPr>
    <w:r>
      <w:rPr>
        <w:noProof/>
      </w:rPr>
      <w:pict w14:anchorId="3E0E85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6715" o:spid="_x0000_s30755" type="#_x0000_t136" style="position:absolute;margin-left:0;margin-top:0;width:511.5pt;height:127.85pt;rotation:315;z-index:-251656704;mso-position-horizontal:center;mso-position-horizontal-relative:margin;mso-position-vertical:center;mso-position-vertical-relative:margin" o:allowincell="f" fillcolor="silver" stroked="f">
          <v:fill opacity=".5"/>
          <v:textpath style="font-family:&quot;Arial&quot;;font-size:1pt" string="OSNUTEK"/>
          <w10:wrap anchorx="margin" anchory="margin"/>
        </v:shape>
      </w:pict>
    </w:r>
    <w:r>
      <w:rPr>
        <w:noProof/>
      </w:rPr>
      <w:pict w14:anchorId="399D6C7A">
        <v:shape id="_x0000_s30734" type="#_x0000_t136" style="position:absolute;margin-left:0;margin-top:0;width:511.5pt;height:127.85pt;z-index:251660800"/>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E32DA" w14:textId="589D8379" w:rsidR="00984D97" w:rsidRDefault="008012A2">
    <w:pPr>
      <w:pStyle w:val="Glava"/>
    </w:pPr>
    <w:r>
      <w:rPr>
        <w:noProof/>
      </w:rPr>
      <w:pict w14:anchorId="4507D5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6719" o:spid="_x0000_s30759" type="#_x0000_t136" style="position:absolute;margin-left:0;margin-top:0;width:511.5pt;height:127.85pt;rotation:315;z-index:-251650560;mso-position-horizontal:center;mso-position-horizontal-relative:margin;mso-position-vertical:center;mso-position-vertical-relative:margin" o:allowincell="f" fillcolor="silver" stroked="f">
          <v:fill opacity=".5"/>
          <v:textpath style="font-family:&quot;Arial&quot;;font-size:1pt" string="OSNUTEK"/>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8E3EF" w14:textId="5E4D7BC5" w:rsidR="00415250" w:rsidRPr="00242E68" w:rsidRDefault="008012A2">
    <w:pPr>
      <w:pBdr>
        <w:left w:val="single" w:sz="12" w:space="11" w:color="5B9BD5"/>
      </w:pBdr>
      <w:tabs>
        <w:tab w:val="left" w:pos="3620"/>
        <w:tab w:val="left" w:pos="3964"/>
      </w:tabs>
      <w:spacing w:after="0"/>
      <w:rPr>
        <w:rFonts w:cs="Calibri"/>
        <w:color w:val="5B9BD5"/>
        <w:sz w:val="17"/>
        <w:szCs w:val="17"/>
      </w:rPr>
    </w:pPr>
    <w:r>
      <w:rPr>
        <w:noProof/>
      </w:rPr>
      <w:pict w14:anchorId="731A98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6720" o:spid="_x0000_s30760" type="#_x0000_t136" style="position:absolute;margin-left:0;margin-top:0;width:511.5pt;height:127.85pt;rotation:315;z-index:-251649536;mso-position-horizontal:center;mso-position-horizontal-relative:margin;mso-position-vertical:center;mso-position-vertical-relative:margin" o:allowincell="f" fillcolor="silver" stroked="f">
          <v:fill opacity=".5"/>
          <v:textpath style="font-family:&quot;Arial&quot;;font-size:1pt" string="OSNUTEK"/>
          <w10:wrap anchorx="margin" anchory="margin"/>
        </v:shape>
      </w:pict>
    </w:r>
    <w:r w:rsidR="00415250">
      <w:rPr>
        <w:rFonts w:cs="Calibri"/>
        <w:color w:val="5B9BD5"/>
        <w:sz w:val="17"/>
        <w:szCs w:val="17"/>
      </w:rPr>
      <w:t>VMESNO POROČILO O IZVAJANJU PROGRAMA EVROPSKE KOHEZIJSKE POLITIKE V OBDOBJU 2021</w:t>
    </w:r>
    <w:r w:rsidR="00415250" w:rsidRPr="003037F8">
      <w:rPr>
        <w:rFonts w:cs="Calibri"/>
        <w:color w:val="5B9BD5"/>
        <w:sz w:val="17"/>
        <w:szCs w:val="17"/>
      </w:rPr>
      <w:t>–</w:t>
    </w:r>
    <w:r w:rsidR="00415250">
      <w:rPr>
        <w:rFonts w:cs="Calibri"/>
        <w:color w:val="5B9BD5"/>
        <w:sz w:val="17"/>
        <w:szCs w:val="17"/>
      </w:rPr>
      <w:t>2027</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FF958" w14:textId="08652B8E" w:rsidR="00984D97" w:rsidRDefault="008012A2">
    <w:pPr>
      <w:pStyle w:val="Glava"/>
    </w:pPr>
    <w:r>
      <w:rPr>
        <w:noProof/>
      </w:rPr>
      <w:pict w14:anchorId="0E41AB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6718" o:spid="_x0000_s30758" type="#_x0000_t136" style="position:absolute;margin-left:0;margin-top:0;width:511.5pt;height:127.85pt;rotation:315;z-index:-251651584;mso-position-horizontal:center;mso-position-horizontal-relative:margin;mso-position-vertical:center;mso-position-vertical-relative:margin" o:allowincell="f" fillcolor="silver" stroked="f">
          <v:fill opacity=".5"/>
          <v:textpath style="font-family:&quot;Arial&quot;;font-size:1pt" string="OSNUTEK"/>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83D43" w14:textId="62EB6DA4" w:rsidR="00415250" w:rsidRDefault="008012A2">
    <w:pPr>
      <w:pStyle w:val="Glava"/>
    </w:pPr>
    <w:r>
      <w:rPr>
        <w:noProof/>
      </w:rPr>
      <w:pict w14:anchorId="5105B4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6722" o:spid="_x0000_s30762" type="#_x0000_t136" style="position:absolute;margin-left:0;margin-top:0;width:511.5pt;height:127.85pt;rotation:315;z-index:-251646464;mso-position-horizontal:center;mso-position-horizontal-relative:margin;mso-position-vertical:center;mso-position-vertical-relative:margin" o:allowincell="f" fillcolor="silver" stroked="f">
          <v:fill opacity=".5"/>
          <v:textpath style="font-family:&quot;Arial&quot;;font-size:1pt" string="OSNUTEK"/>
          <w10:wrap anchorx="margin" anchory="margin"/>
        </v:shape>
      </w:pict>
    </w:r>
    <w:r>
      <w:rPr>
        <w:noProof/>
      </w:rPr>
      <w:pict w14:anchorId="2CEC6460">
        <v:shape id="_x0000_s30741" type="#_x0000_t136" style="position:absolute;margin-left:0;margin-top:0;width:511.5pt;height:127.85pt;z-index:251671040"/>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CFFB6" w14:textId="2F2D0B5D" w:rsidR="00242E68" w:rsidRPr="00242E68" w:rsidRDefault="008012A2">
    <w:pPr>
      <w:pBdr>
        <w:left w:val="single" w:sz="12" w:space="11" w:color="5B9BD5"/>
      </w:pBdr>
      <w:tabs>
        <w:tab w:val="left" w:pos="3620"/>
        <w:tab w:val="left" w:pos="3964"/>
      </w:tabs>
      <w:spacing w:after="0"/>
      <w:rPr>
        <w:rFonts w:cs="Calibri"/>
        <w:color w:val="5B9BD5"/>
        <w:sz w:val="17"/>
        <w:szCs w:val="17"/>
      </w:rPr>
    </w:pPr>
    <w:r>
      <w:rPr>
        <w:noProof/>
      </w:rPr>
      <w:pict w14:anchorId="11E8E8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6705" o:spid="_x0000_s30745" type="#_x0000_t136" style="position:absolute;margin-left:0;margin-top:0;width:511.5pt;height:127.85pt;rotation:315;z-index:-251671040;mso-position-horizontal:center;mso-position-horizontal-relative:margin;mso-position-vertical:center;mso-position-vertical-relative:margin" o:allowincell="f" fillcolor="silver" stroked="f">
          <v:fill opacity=".5"/>
          <v:textpath style="font-family:&quot;Arial&quot;;font-size:1pt" string="OSNUTEK"/>
          <w10:wrap anchorx="margin" anchory="margin"/>
        </v:shape>
      </w:pict>
    </w:r>
    <w:r w:rsidR="00306071">
      <w:rPr>
        <w:rFonts w:cs="Calibri"/>
        <w:color w:val="5B9BD5"/>
        <w:sz w:val="17"/>
        <w:szCs w:val="17"/>
      </w:rPr>
      <w:t>VMESNO POROČILO O IZVAJANJU PROGRAMA EVROPSKE KOHEZIJSKE POLITIKE V OBDOBJU 2021</w:t>
    </w:r>
    <w:r w:rsidR="003037F8" w:rsidRPr="003037F8">
      <w:rPr>
        <w:rFonts w:cs="Calibri"/>
        <w:color w:val="5B9BD5"/>
        <w:sz w:val="17"/>
        <w:szCs w:val="17"/>
      </w:rPr>
      <w:t>–</w:t>
    </w:r>
    <w:r w:rsidR="00306071">
      <w:rPr>
        <w:rFonts w:cs="Calibri"/>
        <w:color w:val="5B9BD5"/>
        <w:sz w:val="17"/>
        <w:szCs w:val="17"/>
      </w:rPr>
      <w:t>2027</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44B8" w14:textId="27EF1CB4" w:rsidR="00984D97" w:rsidRDefault="008012A2">
    <w:pPr>
      <w:pStyle w:val="Glava"/>
    </w:pPr>
    <w:r>
      <w:rPr>
        <w:noProof/>
      </w:rPr>
      <w:pict w14:anchorId="12537D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6723" o:spid="_x0000_s30763" type="#_x0000_t136" style="position:absolute;margin-left:0;margin-top:0;width:511.5pt;height:127.85pt;rotation:315;z-index:-251644416;mso-position-horizontal:center;mso-position-horizontal-relative:margin;mso-position-vertical:center;mso-position-vertical-relative:margin" o:allowincell="f" fillcolor="silver" stroked="f">
          <v:fill opacity=".5"/>
          <v:textpath style="font-family:&quot;Arial&quot;;font-size:1pt" string="OSNUTEK"/>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F6F4C" w14:textId="76ABC34D" w:rsidR="00415250" w:rsidRDefault="008012A2">
    <w:pPr>
      <w:pStyle w:val="Glava"/>
    </w:pPr>
    <w:r>
      <w:rPr>
        <w:noProof/>
      </w:rPr>
      <w:pict w14:anchorId="6BA366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6721" o:spid="_x0000_s30761" type="#_x0000_t136" style="position:absolute;margin-left:0;margin-top:0;width:511.5pt;height:127.85pt;rotation:315;z-index:-251648512;mso-position-horizontal:center;mso-position-horizontal-relative:margin;mso-position-vertical:center;mso-position-vertical-relative:margin" o:allowincell="f" fillcolor="silver" stroked="f">
          <v:fill opacity=".5"/>
          <v:textpath style="font-family:&quot;Arial&quot;;font-size:1pt" string="OSNUTEK"/>
          <w10:wrap anchorx="margin" anchory="margin"/>
        </v:shape>
      </w:pict>
    </w:r>
    <w:r>
      <w:rPr>
        <w:noProof/>
      </w:rPr>
      <w:pict w14:anchorId="0FB5A32D">
        <v:shape id="_x0000_s30740" type="#_x0000_t136" style="position:absolute;margin-left:0;margin-top:0;width:511.5pt;height:127.85pt;z-index:251668992"/>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5C3DB" w14:textId="7BE8A785" w:rsidR="00984D97" w:rsidRDefault="008012A2">
    <w:pPr>
      <w:pStyle w:val="Glava"/>
    </w:pPr>
    <w:r>
      <w:rPr>
        <w:noProof/>
      </w:rPr>
      <w:pict w14:anchorId="297155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6703" o:spid="_x0000_s30743" type="#_x0000_t136" style="position:absolute;margin-left:0;margin-top:0;width:511.5pt;height:127.85pt;rotation:315;z-index:-251673088;mso-position-horizontal:center;mso-position-horizontal-relative:margin;mso-position-vertical:center;mso-position-vertical-relative:margin" o:allowincell="f" fillcolor="silver" stroked="f">
          <v:fill opacity=".5"/>
          <v:textpath style="font-family:&quot;Arial&quot;;font-size:1pt" string="OSNUTEK"/>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76D4E" w14:textId="7149F5B5" w:rsidR="00415250" w:rsidRDefault="008012A2">
    <w:pPr>
      <w:pStyle w:val="Glava"/>
    </w:pPr>
    <w:r>
      <w:rPr>
        <w:noProof/>
      </w:rPr>
      <w:pict w14:anchorId="50A8A8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6707" o:spid="_x0000_s30747" type="#_x0000_t136" style="position:absolute;margin-left:0;margin-top:0;width:511.5pt;height:127.85pt;rotation:315;z-index:-251668992;mso-position-horizontal:center;mso-position-horizontal-relative:margin;mso-position-vertical:center;mso-position-vertical-relative:margin" o:allowincell="f" fillcolor="silver" stroked="f">
          <v:fill opacity=".5"/>
          <v:textpath style="font-family:&quot;Arial&quot;;font-size:1pt" string="OSNUTEK"/>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F1C34" w14:textId="2B2BDE66" w:rsidR="00984D97" w:rsidRDefault="008012A2">
    <w:pPr>
      <w:pStyle w:val="Glava"/>
    </w:pPr>
    <w:r>
      <w:rPr>
        <w:noProof/>
      </w:rPr>
      <w:pict w14:anchorId="243548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6708" o:spid="_x0000_s30748" type="#_x0000_t136" style="position:absolute;margin-left:0;margin-top:0;width:511.5pt;height:127.85pt;rotation:315;z-index:-251667968;mso-position-horizontal:center;mso-position-horizontal-relative:margin;mso-position-vertical:center;mso-position-vertical-relative:margin" o:allowincell="f" fillcolor="silver" stroked="f">
          <v:fill opacity=".5"/>
          <v:textpath style="font-family:&quot;Arial&quot;;font-size:1pt" string="OSNUTEK"/>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B1AF1" w14:textId="37DCEA24" w:rsidR="00415250" w:rsidRDefault="008012A2">
    <w:pPr>
      <w:pStyle w:val="Glava"/>
    </w:pPr>
    <w:r>
      <w:rPr>
        <w:noProof/>
      </w:rPr>
      <w:pict w14:anchorId="345EE7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6706" o:spid="_x0000_s30746" type="#_x0000_t136" style="position:absolute;margin-left:0;margin-top:0;width:511.5pt;height:127.85pt;rotation:315;z-index:-251670016;mso-position-horizontal:center;mso-position-horizontal-relative:margin;mso-position-vertical:center;mso-position-vertical-relative:margin" o:allowincell="f" fillcolor="silver" stroked="f">
          <v:fill opacity=".5"/>
          <v:textpath style="font-family:&quot;Arial&quot;;font-size:1pt" string="OSNUTEK"/>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6A3B7" w14:textId="539E8A84" w:rsidR="00415250" w:rsidRDefault="008012A2">
    <w:pPr>
      <w:pStyle w:val="Glava"/>
    </w:pPr>
    <w:r>
      <w:rPr>
        <w:noProof/>
      </w:rPr>
      <w:pict w14:anchorId="180003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6710" o:spid="_x0000_s30750" type="#_x0000_t136" style="position:absolute;margin-left:0;margin-top:0;width:511.5pt;height:127.85pt;rotation:315;z-index:-251664896;mso-position-horizontal:center;mso-position-horizontal-relative:margin;mso-position-vertical:center;mso-position-vertical-relative:margin" o:allowincell="f" fillcolor="silver" stroked="f">
          <v:fill opacity=".5"/>
          <v:textpath style="font-family:&quot;Arial&quot;;font-size:1pt" string="OSNUTEK"/>
          <w10:wrap anchorx="margin" anchory="margin"/>
        </v:shape>
      </w:pict>
    </w:r>
    <w:r>
      <w:rPr>
        <w:noProof/>
      </w:rPr>
      <w:pict w14:anchorId="5AE96E2A">
        <v:shape id="_x0000_s30729" type="#_x0000_t136" style="position:absolute;margin-left:0;margin-top:0;width:511.5pt;height:127.85pt;z-index:251652608"/>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B8B9F" w14:textId="39715B98" w:rsidR="00984D97" w:rsidRDefault="008012A2">
    <w:pPr>
      <w:pStyle w:val="Glava"/>
    </w:pPr>
    <w:r>
      <w:rPr>
        <w:noProof/>
      </w:rPr>
      <w:pict w14:anchorId="4EF8CA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6711" o:spid="_x0000_s30751" type="#_x0000_t136" style="position:absolute;margin-left:0;margin-top:0;width:511.5pt;height:127.85pt;rotation:315;z-index:-251662848;mso-position-horizontal:center;mso-position-horizontal-relative:margin;mso-position-vertical:center;mso-position-vertical-relative:margin" o:allowincell="f" fillcolor="silver" stroked="f">
          <v:fill opacity=".5"/>
          <v:textpath style="font-family:&quot;Arial&quot;;font-size:1pt" string="OSNUTEK"/>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CEA17" w14:textId="7E660BAE" w:rsidR="00415250" w:rsidRDefault="008012A2">
    <w:pPr>
      <w:pStyle w:val="Glava"/>
    </w:pPr>
    <w:r>
      <w:rPr>
        <w:noProof/>
      </w:rPr>
      <w:pict w14:anchorId="6F35CF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6709" o:spid="_x0000_s30749" type="#_x0000_t136" style="position:absolute;margin-left:0;margin-top:0;width:511.5pt;height:127.85pt;rotation:315;z-index:-251666944;mso-position-horizontal:center;mso-position-horizontal-relative:margin;mso-position-vertical:center;mso-position-vertical-relative:margin" o:allowincell="f" fillcolor="silver" stroked="f">
          <v:fill opacity=".5"/>
          <v:textpath style="font-family:&quot;Arial&quot;;font-size:1pt" string="OSNUTEK"/>
          <w10:wrap anchorx="margin" anchory="margin"/>
        </v:shape>
      </w:pict>
    </w:r>
    <w:r>
      <w:rPr>
        <w:noProof/>
      </w:rPr>
      <w:pict w14:anchorId="7E41B137">
        <v:shape id="_x0000_s30728" type="#_x0000_t136" style="position:absolute;margin-left:0;margin-top:0;width:511.5pt;height:127.85pt;z-index:251650560"/>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53C0"/>
    <w:multiLevelType w:val="multilevel"/>
    <w:tmpl w:val="8D3E2A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80146B5"/>
    <w:multiLevelType w:val="multilevel"/>
    <w:tmpl w:val="7E26FA62"/>
    <w:lvl w:ilvl="0">
      <w:numFmt w:val="bullet"/>
      <w:lvlText w:val="-"/>
      <w:lvlJc w:val="left"/>
      <w:pPr>
        <w:ind w:left="720" w:hanging="360"/>
      </w:pPr>
      <w:rPr>
        <w:rFonts w:ascii="Calibri" w:eastAsia="SimSu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A0B03F4"/>
    <w:multiLevelType w:val="multilevel"/>
    <w:tmpl w:val="AC9E94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563AFC"/>
    <w:multiLevelType w:val="multilevel"/>
    <w:tmpl w:val="22C06B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E8C4AC0"/>
    <w:multiLevelType w:val="multilevel"/>
    <w:tmpl w:val="EE0A7AC8"/>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0EFD2C54"/>
    <w:multiLevelType w:val="multilevel"/>
    <w:tmpl w:val="816CB3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3B66B3C"/>
    <w:multiLevelType w:val="multilevel"/>
    <w:tmpl w:val="46ACAF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4484BFD"/>
    <w:multiLevelType w:val="hybridMultilevel"/>
    <w:tmpl w:val="EB22F9AE"/>
    <w:lvl w:ilvl="0" w:tplc="04240001">
      <w:start w:val="1"/>
      <w:numFmt w:val="bullet"/>
      <w:lvlText w:val=""/>
      <w:lvlJc w:val="left"/>
      <w:pPr>
        <w:ind w:left="828" w:hanging="360"/>
      </w:pPr>
      <w:rPr>
        <w:rFonts w:ascii="Symbol" w:hAnsi="Symbol" w:hint="default"/>
      </w:rPr>
    </w:lvl>
    <w:lvl w:ilvl="1" w:tplc="04240003" w:tentative="1">
      <w:start w:val="1"/>
      <w:numFmt w:val="bullet"/>
      <w:lvlText w:val="o"/>
      <w:lvlJc w:val="left"/>
      <w:pPr>
        <w:ind w:left="1548" w:hanging="360"/>
      </w:pPr>
      <w:rPr>
        <w:rFonts w:ascii="Courier New" w:hAnsi="Courier New" w:cs="Courier New" w:hint="default"/>
      </w:rPr>
    </w:lvl>
    <w:lvl w:ilvl="2" w:tplc="04240005" w:tentative="1">
      <w:start w:val="1"/>
      <w:numFmt w:val="bullet"/>
      <w:lvlText w:val=""/>
      <w:lvlJc w:val="left"/>
      <w:pPr>
        <w:ind w:left="2268" w:hanging="360"/>
      </w:pPr>
      <w:rPr>
        <w:rFonts w:ascii="Wingdings" w:hAnsi="Wingdings" w:hint="default"/>
      </w:rPr>
    </w:lvl>
    <w:lvl w:ilvl="3" w:tplc="04240001" w:tentative="1">
      <w:start w:val="1"/>
      <w:numFmt w:val="bullet"/>
      <w:lvlText w:val=""/>
      <w:lvlJc w:val="left"/>
      <w:pPr>
        <w:ind w:left="2988" w:hanging="360"/>
      </w:pPr>
      <w:rPr>
        <w:rFonts w:ascii="Symbol" w:hAnsi="Symbol" w:hint="default"/>
      </w:rPr>
    </w:lvl>
    <w:lvl w:ilvl="4" w:tplc="04240003" w:tentative="1">
      <w:start w:val="1"/>
      <w:numFmt w:val="bullet"/>
      <w:lvlText w:val="o"/>
      <w:lvlJc w:val="left"/>
      <w:pPr>
        <w:ind w:left="3708" w:hanging="360"/>
      </w:pPr>
      <w:rPr>
        <w:rFonts w:ascii="Courier New" w:hAnsi="Courier New" w:cs="Courier New" w:hint="default"/>
      </w:rPr>
    </w:lvl>
    <w:lvl w:ilvl="5" w:tplc="04240005" w:tentative="1">
      <w:start w:val="1"/>
      <w:numFmt w:val="bullet"/>
      <w:lvlText w:val=""/>
      <w:lvlJc w:val="left"/>
      <w:pPr>
        <w:ind w:left="4428" w:hanging="360"/>
      </w:pPr>
      <w:rPr>
        <w:rFonts w:ascii="Wingdings" w:hAnsi="Wingdings" w:hint="default"/>
      </w:rPr>
    </w:lvl>
    <w:lvl w:ilvl="6" w:tplc="04240001" w:tentative="1">
      <w:start w:val="1"/>
      <w:numFmt w:val="bullet"/>
      <w:lvlText w:val=""/>
      <w:lvlJc w:val="left"/>
      <w:pPr>
        <w:ind w:left="5148" w:hanging="360"/>
      </w:pPr>
      <w:rPr>
        <w:rFonts w:ascii="Symbol" w:hAnsi="Symbol" w:hint="default"/>
      </w:rPr>
    </w:lvl>
    <w:lvl w:ilvl="7" w:tplc="04240003" w:tentative="1">
      <w:start w:val="1"/>
      <w:numFmt w:val="bullet"/>
      <w:lvlText w:val="o"/>
      <w:lvlJc w:val="left"/>
      <w:pPr>
        <w:ind w:left="5868" w:hanging="360"/>
      </w:pPr>
      <w:rPr>
        <w:rFonts w:ascii="Courier New" w:hAnsi="Courier New" w:cs="Courier New" w:hint="default"/>
      </w:rPr>
    </w:lvl>
    <w:lvl w:ilvl="8" w:tplc="04240005" w:tentative="1">
      <w:start w:val="1"/>
      <w:numFmt w:val="bullet"/>
      <w:lvlText w:val=""/>
      <w:lvlJc w:val="left"/>
      <w:pPr>
        <w:ind w:left="6588" w:hanging="360"/>
      </w:pPr>
      <w:rPr>
        <w:rFonts w:ascii="Wingdings" w:hAnsi="Wingdings" w:hint="default"/>
      </w:rPr>
    </w:lvl>
  </w:abstractNum>
  <w:abstractNum w:abstractNumId="8" w15:restartNumberingAfterBreak="0">
    <w:nsid w:val="149B1F9B"/>
    <w:multiLevelType w:val="multilevel"/>
    <w:tmpl w:val="47B428DA"/>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16656234"/>
    <w:multiLevelType w:val="multilevel"/>
    <w:tmpl w:val="7B84F488"/>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17B69025"/>
    <w:multiLevelType w:val="hybridMultilevel"/>
    <w:tmpl w:val="667646F0"/>
    <w:lvl w:ilvl="0" w:tplc="F5101752">
      <w:start w:val="1"/>
      <w:numFmt w:val="bullet"/>
      <w:lvlText w:val="-"/>
      <w:lvlJc w:val="left"/>
      <w:pPr>
        <w:ind w:left="720" w:hanging="360"/>
      </w:pPr>
      <w:rPr>
        <w:rFonts w:ascii="Aptos" w:hAnsi="Aptos" w:hint="default"/>
      </w:rPr>
    </w:lvl>
    <w:lvl w:ilvl="1" w:tplc="2D22D6E4">
      <w:start w:val="1"/>
      <w:numFmt w:val="bullet"/>
      <w:lvlText w:val="o"/>
      <w:lvlJc w:val="left"/>
      <w:pPr>
        <w:ind w:left="1440" w:hanging="360"/>
      </w:pPr>
      <w:rPr>
        <w:rFonts w:ascii="Courier New" w:hAnsi="Courier New" w:hint="default"/>
      </w:rPr>
    </w:lvl>
    <w:lvl w:ilvl="2" w:tplc="7E481A96">
      <w:start w:val="1"/>
      <w:numFmt w:val="bullet"/>
      <w:lvlText w:val=""/>
      <w:lvlJc w:val="left"/>
      <w:pPr>
        <w:ind w:left="2160" w:hanging="360"/>
      </w:pPr>
      <w:rPr>
        <w:rFonts w:ascii="Wingdings" w:hAnsi="Wingdings" w:hint="default"/>
      </w:rPr>
    </w:lvl>
    <w:lvl w:ilvl="3" w:tplc="6AF49C7C">
      <w:start w:val="1"/>
      <w:numFmt w:val="bullet"/>
      <w:lvlText w:val=""/>
      <w:lvlJc w:val="left"/>
      <w:pPr>
        <w:ind w:left="2880" w:hanging="360"/>
      </w:pPr>
      <w:rPr>
        <w:rFonts w:ascii="Symbol" w:hAnsi="Symbol" w:hint="default"/>
      </w:rPr>
    </w:lvl>
    <w:lvl w:ilvl="4" w:tplc="ABBA6D26">
      <w:start w:val="1"/>
      <w:numFmt w:val="bullet"/>
      <w:lvlText w:val="o"/>
      <w:lvlJc w:val="left"/>
      <w:pPr>
        <w:ind w:left="3600" w:hanging="360"/>
      </w:pPr>
      <w:rPr>
        <w:rFonts w:ascii="Courier New" w:hAnsi="Courier New" w:hint="default"/>
      </w:rPr>
    </w:lvl>
    <w:lvl w:ilvl="5" w:tplc="E23EF6EA">
      <w:start w:val="1"/>
      <w:numFmt w:val="bullet"/>
      <w:lvlText w:val=""/>
      <w:lvlJc w:val="left"/>
      <w:pPr>
        <w:ind w:left="4320" w:hanging="360"/>
      </w:pPr>
      <w:rPr>
        <w:rFonts w:ascii="Wingdings" w:hAnsi="Wingdings" w:hint="default"/>
      </w:rPr>
    </w:lvl>
    <w:lvl w:ilvl="6" w:tplc="F0C09D4C">
      <w:start w:val="1"/>
      <w:numFmt w:val="bullet"/>
      <w:lvlText w:val=""/>
      <w:lvlJc w:val="left"/>
      <w:pPr>
        <w:ind w:left="5040" w:hanging="360"/>
      </w:pPr>
      <w:rPr>
        <w:rFonts w:ascii="Symbol" w:hAnsi="Symbol" w:hint="default"/>
      </w:rPr>
    </w:lvl>
    <w:lvl w:ilvl="7" w:tplc="00A61BEE">
      <w:start w:val="1"/>
      <w:numFmt w:val="bullet"/>
      <w:lvlText w:val="o"/>
      <w:lvlJc w:val="left"/>
      <w:pPr>
        <w:ind w:left="5760" w:hanging="360"/>
      </w:pPr>
      <w:rPr>
        <w:rFonts w:ascii="Courier New" w:hAnsi="Courier New" w:hint="default"/>
      </w:rPr>
    </w:lvl>
    <w:lvl w:ilvl="8" w:tplc="CC021736">
      <w:start w:val="1"/>
      <w:numFmt w:val="bullet"/>
      <w:lvlText w:val=""/>
      <w:lvlJc w:val="left"/>
      <w:pPr>
        <w:ind w:left="6480" w:hanging="360"/>
      </w:pPr>
      <w:rPr>
        <w:rFonts w:ascii="Wingdings" w:hAnsi="Wingdings" w:hint="default"/>
      </w:rPr>
    </w:lvl>
  </w:abstractNum>
  <w:abstractNum w:abstractNumId="11" w15:restartNumberingAfterBreak="0">
    <w:nsid w:val="1B246B2F"/>
    <w:multiLevelType w:val="multilevel"/>
    <w:tmpl w:val="5A807CF4"/>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1B4263B1"/>
    <w:multiLevelType w:val="multilevel"/>
    <w:tmpl w:val="B7549198"/>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15:restartNumberingAfterBreak="0">
    <w:nsid w:val="1CB62128"/>
    <w:multiLevelType w:val="multilevel"/>
    <w:tmpl w:val="800A7570"/>
    <w:lvl w:ilvl="0">
      <w:numFmt w:val="bullet"/>
      <w:lvlText w:val="-"/>
      <w:lvlJc w:val="left"/>
      <w:pPr>
        <w:ind w:left="360" w:hanging="360"/>
      </w:pPr>
      <w:rPr>
        <w:rFonts w:ascii="Calibri" w:eastAsia="Calibri" w:hAnsi="Calibri" w:cs="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203F5601"/>
    <w:multiLevelType w:val="multilevel"/>
    <w:tmpl w:val="7A0805A2"/>
    <w:lvl w:ilvl="0">
      <w:numFmt w:val="bullet"/>
      <w:lvlText w:val="-"/>
      <w:lvlJc w:val="left"/>
      <w:pPr>
        <w:ind w:left="720" w:hanging="360"/>
      </w:pPr>
      <w:rPr>
        <w:rFonts w:ascii="Aptos" w:hAnsi="Aptos"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20CF4BBC"/>
    <w:multiLevelType w:val="multilevel"/>
    <w:tmpl w:val="64101D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 w15:restartNumberingAfterBreak="0">
    <w:nsid w:val="23024C0A"/>
    <w:multiLevelType w:val="multilevel"/>
    <w:tmpl w:val="AB988DE0"/>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15:restartNumberingAfterBreak="0">
    <w:nsid w:val="243827AB"/>
    <w:multiLevelType w:val="multilevel"/>
    <w:tmpl w:val="19AE77D0"/>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 w15:restartNumberingAfterBreak="0">
    <w:nsid w:val="25C4D46B"/>
    <w:multiLevelType w:val="hybridMultilevel"/>
    <w:tmpl w:val="FB323B44"/>
    <w:lvl w:ilvl="0" w:tplc="2446ECDC">
      <w:start w:val="1"/>
      <w:numFmt w:val="bullet"/>
      <w:lvlText w:val="-"/>
      <w:lvlJc w:val="left"/>
      <w:pPr>
        <w:ind w:left="720" w:hanging="360"/>
      </w:pPr>
      <w:rPr>
        <w:rFonts w:ascii="Aptos" w:hAnsi="Aptos" w:hint="default"/>
      </w:rPr>
    </w:lvl>
    <w:lvl w:ilvl="1" w:tplc="66C40CDE">
      <w:start w:val="1"/>
      <w:numFmt w:val="bullet"/>
      <w:lvlText w:val="o"/>
      <w:lvlJc w:val="left"/>
      <w:pPr>
        <w:ind w:left="1440" w:hanging="360"/>
      </w:pPr>
      <w:rPr>
        <w:rFonts w:ascii="Courier New" w:hAnsi="Courier New" w:hint="default"/>
      </w:rPr>
    </w:lvl>
    <w:lvl w:ilvl="2" w:tplc="11EAA4AE">
      <w:start w:val="1"/>
      <w:numFmt w:val="bullet"/>
      <w:lvlText w:val=""/>
      <w:lvlJc w:val="left"/>
      <w:pPr>
        <w:ind w:left="2160" w:hanging="360"/>
      </w:pPr>
      <w:rPr>
        <w:rFonts w:ascii="Wingdings" w:hAnsi="Wingdings" w:hint="default"/>
      </w:rPr>
    </w:lvl>
    <w:lvl w:ilvl="3" w:tplc="380A4BCC">
      <w:start w:val="1"/>
      <w:numFmt w:val="bullet"/>
      <w:lvlText w:val=""/>
      <w:lvlJc w:val="left"/>
      <w:pPr>
        <w:ind w:left="2880" w:hanging="360"/>
      </w:pPr>
      <w:rPr>
        <w:rFonts w:ascii="Symbol" w:hAnsi="Symbol" w:hint="default"/>
      </w:rPr>
    </w:lvl>
    <w:lvl w:ilvl="4" w:tplc="35DCA910">
      <w:start w:val="1"/>
      <w:numFmt w:val="bullet"/>
      <w:lvlText w:val="o"/>
      <w:lvlJc w:val="left"/>
      <w:pPr>
        <w:ind w:left="3600" w:hanging="360"/>
      </w:pPr>
      <w:rPr>
        <w:rFonts w:ascii="Courier New" w:hAnsi="Courier New" w:hint="default"/>
      </w:rPr>
    </w:lvl>
    <w:lvl w:ilvl="5" w:tplc="7512A95C">
      <w:start w:val="1"/>
      <w:numFmt w:val="bullet"/>
      <w:lvlText w:val=""/>
      <w:lvlJc w:val="left"/>
      <w:pPr>
        <w:ind w:left="4320" w:hanging="360"/>
      </w:pPr>
      <w:rPr>
        <w:rFonts w:ascii="Wingdings" w:hAnsi="Wingdings" w:hint="default"/>
      </w:rPr>
    </w:lvl>
    <w:lvl w:ilvl="6" w:tplc="ADDE8CE8">
      <w:start w:val="1"/>
      <w:numFmt w:val="bullet"/>
      <w:lvlText w:val=""/>
      <w:lvlJc w:val="left"/>
      <w:pPr>
        <w:ind w:left="5040" w:hanging="360"/>
      </w:pPr>
      <w:rPr>
        <w:rFonts w:ascii="Symbol" w:hAnsi="Symbol" w:hint="default"/>
      </w:rPr>
    </w:lvl>
    <w:lvl w:ilvl="7" w:tplc="3ABA5F32">
      <w:start w:val="1"/>
      <w:numFmt w:val="bullet"/>
      <w:lvlText w:val="o"/>
      <w:lvlJc w:val="left"/>
      <w:pPr>
        <w:ind w:left="5760" w:hanging="360"/>
      </w:pPr>
      <w:rPr>
        <w:rFonts w:ascii="Courier New" w:hAnsi="Courier New" w:hint="default"/>
      </w:rPr>
    </w:lvl>
    <w:lvl w:ilvl="8" w:tplc="88324DA2">
      <w:start w:val="1"/>
      <w:numFmt w:val="bullet"/>
      <w:lvlText w:val=""/>
      <w:lvlJc w:val="left"/>
      <w:pPr>
        <w:ind w:left="6480" w:hanging="360"/>
      </w:pPr>
      <w:rPr>
        <w:rFonts w:ascii="Wingdings" w:hAnsi="Wingdings" w:hint="default"/>
      </w:rPr>
    </w:lvl>
  </w:abstractNum>
  <w:abstractNum w:abstractNumId="19" w15:restartNumberingAfterBreak="0">
    <w:nsid w:val="25EB55C0"/>
    <w:multiLevelType w:val="multilevel"/>
    <w:tmpl w:val="E6C813F6"/>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0" w15:restartNumberingAfterBreak="0">
    <w:nsid w:val="27DF631B"/>
    <w:multiLevelType w:val="multilevel"/>
    <w:tmpl w:val="BC9A082A"/>
    <w:styleLink w:val="LFO37"/>
    <w:lvl w:ilvl="0">
      <w:numFmt w:val="bullet"/>
      <w:pStyle w:val="Oddelek"/>
      <w:lvlText w:val="–"/>
      <w:lvlJc w:val="left"/>
      <w:pPr>
        <w:ind w:left="1428" w:hanging="360"/>
      </w:pPr>
      <w:rPr>
        <w:rFonts w:ascii="Arial" w:eastAsia="Times New Roman" w:hAnsi="Arial" w:cs="Aria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21" w15:restartNumberingAfterBreak="0">
    <w:nsid w:val="29B305BC"/>
    <w:multiLevelType w:val="multilevel"/>
    <w:tmpl w:val="6FFA680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9CB1AC6"/>
    <w:multiLevelType w:val="multilevel"/>
    <w:tmpl w:val="913C2150"/>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A07782F"/>
    <w:multiLevelType w:val="multilevel"/>
    <w:tmpl w:val="E0B89CCC"/>
    <w:lvl w:ilvl="0">
      <w:numFmt w:val="bullet"/>
      <w:lvlText w:val="-"/>
      <w:lvlJc w:val="left"/>
      <w:pPr>
        <w:ind w:left="1004" w:hanging="360"/>
      </w:pPr>
      <w:rPr>
        <w:rFonts w:ascii="Arial" w:eastAsia="Times New Roman" w:hAnsi="Arial" w:cs="Arial"/>
      </w:rPr>
    </w:lvl>
    <w:lvl w:ilvl="1">
      <w:numFmt w:val="bullet"/>
      <w:lvlText w:val=""/>
      <w:lvlJc w:val="left"/>
      <w:pPr>
        <w:ind w:left="720" w:hanging="360"/>
      </w:pPr>
      <w:rPr>
        <w:rFonts w:ascii="Symbol" w:hAnsi="Symbol"/>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24" w15:restartNumberingAfterBreak="0">
    <w:nsid w:val="2D8A3F59"/>
    <w:multiLevelType w:val="multilevel"/>
    <w:tmpl w:val="F774CB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DAB2E62"/>
    <w:multiLevelType w:val="multilevel"/>
    <w:tmpl w:val="5AB44888"/>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6" w15:restartNumberingAfterBreak="0">
    <w:nsid w:val="2E4723FE"/>
    <w:multiLevelType w:val="multilevel"/>
    <w:tmpl w:val="4BF44A06"/>
    <w:lvl w:ilvl="0">
      <w:start w:val="1"/>
      <w:numFmt w:val="decimal"/>
      <w:lvlText w:val="%1."/>
      <w:lvlJc w:val="left"/>
      <w:pPr>
        <w:ind w:left="720" w:hanging="360"/>
      </w:pPr>
      <w:rPr>
        <w:rFonts w:ascii="Arial" w:eastAsia="Times New Roman" w:hAnsi="Arial" w:cs="Aria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3434BBD"/>
    <w:multiLevelType w:val="multilevel"/>
    <w:tmpl w:val="A7C478EC"/>
    <w:styleLink w:val="LFO42"/>
    <w:lvl w:ilvl="0">
      <w:start w:val="1"/>
      <w:numFmt w:val="decimal"/>
      <w:pStyle w:val="Naslov1"/>
      <w:lvlText w:val="%1."/>
      <w:lvlJc w:val="left"/>
      <w:pPr>
        <w:ind w:left="720" w:hanging="360"/>
      </w:pPr>
    </w:lvl>
    <w:lvl w:ilvl="1">
      <w:start w:val="3"/>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8" w15:restartNumberingAfterBreak="0">
    <w:nsid w:val="33784D49"/>
    <w:multiLevelType w:val="multilevel"/>
    <w:tmpl w:val="429A5D76"/>
    <w:lvl w:ilvl="0">
      <w:numFmt w:val="bullet"/>
      <w:lvlText w:val=""/>
      <w:lvlJc w:val="left"/>
      <w:pPr>
        <w:ind w:left="720" w:hanging="360"/>
      </w:pPr>
      <w:rPr>
        <w:rFonts w:ascii="Symbol" w:hAnsi="Symbol"/>
      </w:rPr>
    </w:lvl>
    <w:lvl w:ilvl="1">
      <w:numFmt w:val="bullet"/>
      <w:lvlText w:val="•"/>
      <w:lvlJc w:val="left"/>
      <w:pPr>
        <w:ind w:left="1512" w:hanging="432"/>
      </w:pPr>
      <w:rPr>
        <w:rFonts w:ascii="Arial" w:eastAsia="Times New Roman" w:hAnsi="Arial" w:cs="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366B5B80"/>
    <w:multiLevelType w:val="multilevel"/>
    <w:tmpl w:val="EE2A64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36F34D53"/>
    <w:multiLevelType w:val="multilevel"/>
    <w:tmpl w:val="46D02886"/>
    <w:lvl w:ilvl="0">
      <w:numFmt w:val="bullet"/>
      <w:lvlText w:val=""/>
      <w:lvlJc w:val="left"/>
      <w:pPr>
        <w:ind w:left="720" w:hanging="360"/>
      </w:pPr>
      <w:rPr>
        <w:rFonts w:ascii="Symbol" w:hAnsi="Symbol"/>
      </w:rPr>
    </w:lvl>
    <w:lvl w:ilvl="1">
      <w:numFmt w:val="bullet"/>
      <w:lvlText w:val=""/>
      <w:lvlJc w:val="left"/>
      <w:pPr>
        <w:ind w:left="108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377C57AB"/>
    <w:multiLevelType w:val="multilevel"/>
    <w:tmpl w:val="0EE6D9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382B1A57"/>
    <w:multiLevelType w:val="hybridMultilevel"/>
    <w:tmpl w:val="4F061E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39C569BC"/>
    <w:multiLevelType w:val="multilevel"/>
    <w:tmpl w:val="496C16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3B2B2696"/>
    <w:multiLevelType w:val="multilevel"/>
    <w:tmpl w:val="2A7C1D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3C0B2D63"/>
    <w:multiLevelType w:val="hybridMultilevel"/>
    <w:tmpl w:val="E6D4F17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3D58191E"/>
    <w:multiLevelType w:val="multilevel"/>
    <w:tmpl w:val="7A860B5A"/>
    <w:lvl w:ilvl="0">
      <w:numFmt w:val="bullet"/>
      <w:lvlText w:val=""/>
      <w:lvlJc w:val="left"/>
      <w:pPr>
        <w:ind w:left="720" w:hanging="360"/>
      </w:pPr>
      <w:rPr>
        <w:rFonts w:ascii="Symbol" w:hAnsi="Symbol"/>
      </w:rPr>
    </w:lvl>
    <w:lvl w:ilvl="1">
      <w:numFmt w:val="bullet"/>
      <w:lvlText w:val=""/>
      <w:lvlJc w:val="left"/>
      <w:pPr>
        <w:ind w:left="108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438A4056"/>
    <w:multiLevelType w:val="multilevel"/>
    <w:tmpl w:val="EF4A924A"/>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8" w15:restartNumberingAfterBreak="0">
    <w:nsid w:val="45D41E5F"/>
    <w:multiLevelType w:val="multilevel"/>
    <w:tmpl w:val="9392BE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89F46DA"/>
    <w:multiLevelType w:val="hybridMultilevel"/>
    <w:tmpl w:val="0C0C9FF2"/>
    <w:lvl w:ilvl="0" w:tplc="0424000F">
      <w:start w:val="10"/>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0" w15:restartNumberingAfterBreak="0">
    <w:nsid w:val="48E5420F"/>
    <w:multiLevelType w:val="multilevel"/>
    <w:tmpl w:val="D5AE3324"/>
    <w:lvl w:ilvl="0">
      <w:numFmt w:val="bullet"/>
      <w:lvlText w:val="-"/>
      <w:lvlJc w:val="left"/>
      <w:pPr>
        <w:ind w:left="1004" w:hanging="360"/>
      </w:pPr>
      <w:rPr>
        <w:rFonts w:ascii="Arial" w:eastAsia="Times New Roman" w:hAnsi="Arial" w:cs="Aria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41" w15:restartNumberingAfterBreak="0">
    <w:nsid w:val="48E5AD9E"/>
    <w:multiLevelType w:val="multilevel"/>
    <w:tmpl w:val="64661324"/>
    <w:lvl w:ilvl="0">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AD76D6A"/>
    <w:multiLevelType w:val="multilevel"/>
    <w:tmpl w:val="A1C811B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3" w15:restartNumberingAfterBreak="0">
    <w:nsid w:val="4BE27226"/>
    <w:multiLevelType w:val="multilevel"/>
    <w:tmpl w:val="C630C08E"/>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4" w15:restartNumberingAfterBreak="0">
    <w:nsid w:val="4C176285"/>
    <w:multiLevelType w:val="hybridMultilevel"/>
    <w:tmpl w:val="C5B2DBA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5" w15:restartNumberingAfterBreak="0">
    <w:nsid w:val="50EB1008"/>
    <w:multiLevelType w:val="multilevel"/>
    <w:tmpl w:val="7DA4658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6" w15:restartNumberingAfterBreak="0">
    <w:nsid w:val="510738DE"/>
    <w:multiLevelType w:val="hybridMultilevel"/>
    <w:tmpl w:val="55AC07A2"/>
    <w:lvl w:ilvl="0" w:tplc="E94480BC">
      <w:start w:val="1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51A14BB5"/>
    <w:multiLevelType w:val="multilevel"/>
    <w:tmpl w:val="211814FE"/>
    <w:lvl w:ilvl="0">
      <w:numFmt w:val="bullet"/>
      <w:lvlText w:val=""/>
      <w:lvlJc w:val="left"/>
      <w:pPr>
        <w:ind w:left="1080" w:hanging="360"/>
      </w:pPr>
      <w:rPr>
        <w:rFonts w:ascii="Symbol" w:hAnsi="Symbol"/>
      </w:rPr>
    </w:lvl>
    <w:lvl w:ilvl="1">
      <w:numFmt w:val="bullet"/>
      <w:lvlText w:val="•"/>
      <w:lvlJc w:val="left"/>
      <w:pPr>
        <w:ind w:left="2160" w:hanging="720"/>
      </w:pPr>
      <w:rPr>
        <w:rFonts w:ascii="Arial" w:eastAsia="Times New Roman" w:hAnsi="Arial" w:cs="Arial"/>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8" w15:restartNumberingAfterBreak="0">
    <w:nsid w:val="55C706DA"/>
    <w:multiLevelType w:val="multilevel"/>
    <w:tmpl w:val="03202D18"/>
    <w:styleLink w:val="LFO39"/>
    <w:lvl w:ilvl="0">
      <w:numFmt w:val="bullet"/>
      <w:pStyle w:val="Alineazaodstavkom"/>
      <w:lvlText w:val="–"/>
      <w:lvlJc w:val="left"/>
      <w:pPr>
        <w:ind w:left="1428" w:hanging="360"/>
      </w:pPr>
      <w:rPr>
        <w:rFonts w:ascii="Arial" w:eastAsia="Times New Roman" w:hAnsi="Arial" w:cs="Aria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49" w15:restartNumberingAfterBreak="0">
    <w:nsid w:val="55EE53D3"/>
    <w:multiLevelType w:val="multilevel"/>
    <w:tmpl w:val="2C88EC48"/>
    <w:lvl w:ilvl="0">
      <w:start w:val="1"/>
      <w:numFmt w:val="decimal"/>
      <w:lvlText w:val="%1."/>
      <w:lvlJc w:val="left"/>
      <w:pPr>
        <w:ind w:left="480" w:hanging="360"/>
      </w:pPr>
    </w:lvl>
    <w:lvl w:ilvl="1">
      <w:start w:val="1"/>
      <w:numFmt w:val="lowerLetter"/>
      <w:lvlText w:val="%2."/>
      <w:lvlJc w:val="left"/>
      <w:pPr>
        <w:ind w:left="1200" w:hanging="360"/>
      </w:pPr>
    </w:lvl>
    <w:lvl w:ilvl="2">
      <w:start w:val="1"/>
      <w:numFmt w:val="lowerRoman"/>
      <w:lvlText w:val="%3."/>
      <w:lvlJc w:val="right"/>
      <w:pPr>
        <w:ind w:left="1920" w:hanging="180"/>
      </w:pPr>
    </w:lvl>
    <w:lvl w:ilvl="3">
      <w:start w:val="1"/>
      <w:numFmt w:val="decimal"/>
      <w:lvlText w:val="%4."/>
      <w:lvlJc w:val="left"/>
      <w:pPr>
        <w:ind w:left="2640" w:hanging="360"/>
      </w:pPr>
    </w:lvl>
    <w:lvl w:ilvl="4">
      <w:start w:val="1"/>
      <w:numFmt w:val="lowerLetter"/>
      <w:lvlText w:val="%5."/>
      <w:lvlJc w:val="left"/>
      <w:pPr>
        <w:ind w:left="3360" w:hanging="360"/>
      </w:pPr>
    </w:lvl>
    <w:lvl w:ilvl="5">
      <w:start w:val="1"/>
      <w:numFmt w:val="lowerRoman"/>
      <w:lvlText w:val="%6."/>
      <w:lvlJc w:val="right"/>
      <w:pPr>
        <w:ind w:left="4080" w:hanging="180"/>
      </w:pPr>
    </w:lvl>
    <w:lvl w:ilvl="6">
      <w:start w:val="1"/>
      <w:numFmt w:val="decimal"/>
      <w:lvlText w:val="%7."/>
      <w:lvlJc w:val="left"/>
      <w:pPr>
        <w:ind w:left="4800" w:hanging="360"/>
      </w:pPr>
    </w:lvl>
    <w:lvl w:ilvl="7">
      <w:start w:val="1"/>
      <w:numFmt w:val="lowerLetter"/>
      <w:lvlText w:val="%8."/>
      <w:lvlJc w:val="left"/>
      <w:pPr>
        <w:ind w:left="5520" w:hanging="360"/>
      </w:pPr>
    </w:lvl>
    <w:lvl w:ilvl="8">
      <w:start w:val="1"/>
      <w:numFmt w:val="lowerRoman"/>
      <w:lvlText w:val="%9."/>
      <w:lvlJc w:val="right"/>
      <w:pPr>
        <w:ind w:left="6240" w:hanging="180"/>
      </w:pPr>
    </w:lvl>
  </w:abstractNum>
  <w:abstractNum w:abstractNumId="50" w15:restartNumberingAfterBreak="0">
    <w:nsid w:val="56C165EF"/>
    <w:multiLevelType w:val="multilevel"/>
    <w:tmpl w:val="C3087B74"/>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1" w15:restartNumberingAfterBreak="0">
    <w:nsid w:val="5812647D"/>
    <w:multiLevelType w:val="multilevel"/>
    <w:tmpl w:val="C51077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 w15:restartNumberingAfterBreak="0">
    <w:nsid w:val="59B1150D"/>
    <w:multiLevelType w:val="multilevel"/>
    <w:tmpl w:val="9E62A662"/>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5ABD40A8"/>
    <w:multiLevelType w:val="multilevel"/>
    <w:tmpl w:val="46ACAF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B994DD7"/>
    <w:multiLevelType w:val="multilevel"/>
    <w:tmpl w:val="EB6E7916"/>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5" w15:restartNumberingAfterBreak="0">
    <w:nsid w:val="5BAB0774"/>
    <w:multiLevelType w:val="multilevel"/>
    <w:tmpl w:val="5F3027F4"/>
    <w:lvl w:ilvl="0">
      <w:numFmt w:val="bullet"/>
      <w:lvlText w:val="-"/>
      <w:lvlJc w:val="left"/>
      <w:pPr>
        <w:ind w:left="1004" w:hanging="360"/>
      </w:pPr>
      <w:rPr>
        <w:rFonts w:ascii="Arial" w:eastAsia="Times New Roman" w:hAnsi="Arial" w:cs="Aria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56" w15:restartNumberingAfterBreak="0">
    <w:nsid w:val="5F3A6FEA"/>
    <w:multiLevelType w:val="multilevel"/>
    <w:tmpl w:val="8120519E"/>
    <w:styleLink w:val="LFO40"/>
    <w:lvl w:ilvl="0">
      <w:start w:val="1"/>
      <w:numFmt w:val="decimal"/>
      <w:pStyle w:val="Druginivo"/>
      <w:lvlText w:val="%1."/>
      <w:lvlJc w:val="left"/>
      <w:pPr>
        <w:ind w:left="720" w:hanging="360"/>
      </w:pPr>
    </w:lvl>
    <w:lvl w:ilvl="1">
      <w:start w:val="1"/>
      <w:numFmt w:val="decimal"/>
      <w:lvlText w:val="%1.%2."/>
      <w:lvlJc w:val="left"/>
      <w:pPr>
        <w:ind w:left="72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57" w15:restartNumberingAfterBreak="0">
    <w:nsid w:val="63BD270B"/>
    <w:multiLevelType w:val="multilevel"/>
    <w:tmpl w:val="2F00850A"/>
    <w:styleLink w:val="LFO123"/>
    <w:lvl w:ilvl="0">
      <w:numFmt w:val="bullet"/>
      <w:pStyle w:val="Alinejapika"/>
      <w:lvlText w:val=""/>
      <w:lvlJc w:val="left"/>
      <w:pPr>
        <w:ind w:left="851" w:hanging="284"/>
      </w:pPr>
      <w:rPr>
        <w:rFonts w:ascii="Symbol" w:hAnsi="Symbol"/>
        <w:b w:val="0"/>
        <w:i w:val="0"/>
        <w:sz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8" w15:restartNumberingAfterBreak="0">
    <w:nsid w:val="65640226"/>
    <w:multiLevelType w:val="multilevel"/>
    <w:tmpl w:val="108ADEC4"/>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9" w15:restartNumberingAfterBreak="0">
    <w:nsid w:val="683222B6"/>
    <w:multiLevelType w:val="multilevel"/>
    <w:tmpl w:val="BE7E98B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60" w15:restartNumberingAfterBreak="0">
    <w:nsid w:val="6876183C"/>
    <w:multiLevelType w:val="hybridMultilevel"/>
    <w:tmpl w:val="46EAF944"/>
    <w:lvl w:ilvl="0" w:tplc="4E66315A">
      <w:start w:val="1"/>
      <w:numFmt w:val="bullet"/>
      <w:lvlText w:val="-"/>
      <w:lvlJc w:val="left"/>
      <w:pPr>
        <w:ind w:left="720" w:hanging="360"/>
      </w:pPr>
      <w:rPr>
        <w:rFonts w:ascii="Aptos" w:hAnsi="Aptos" w:hint="default"/>
      </w:rPr>
    </w:lvl>
    <w:lvl w:ilvl="1" w:tplc="CDA0ED98">
      <w:start w:val="1"/>
      <w:numFmt w:val="bullet"/>
      <w:lvlText w:val="o"/>
      <w:lvlJc w:val="left"/>
      <w:pPr>
        <w:ind w:left="1440" w:hanging="360"/>
      </w:pPr>
      <w:rPr>
        <w:rFonts w:ascii="Courier New" w:hAnsi="Courier New" w:hint="default"/>
      </w:rPr>
    </w:lvl>
    <w:lvl w:ilvl="2" w:tplc="A30CAD74">
      <w:start w:val="1"/>
      <w:numFmt w:val="bullet"/>
      <w:lvlText w:val=""/>
      <w:lvlJc w:val="left"/>
      <w:pPr>
        <w:ind w:left="2160" w:hanging="360"/>
      </w:pPr>
      <w:rPr>
        <w:rFonts w:ascii="Wingdings" w:hAnsi="Wingdings" w:hint="default"/>
      </w:rPr>
    </w:lvl>
    <w:lvl w:ilvl="3" w:tplc="E6387F0C">
      <w:start w:val="1"/>
      <w:numFmt w:val="bullet"/>
      <w:lvlText w:val=""/>
      <w:lvlJc w:val="left"/>
      <w:pPr>
        <w:ind w:left="2880" w:hanging="360"/>
      </w:pPr>
      <w:rPr>
        <w:rFonts w:ascii="Symbol" w:hAnsi="Symbol" w:hint="default"/>
      </w:rPr>
    </w:lvl>
    <w:lvl w:ilvl="4" w:tplc="6F3E23D0">
      <w:start w:val="1"/>
      <w:numFmt w:val="bullet"/>
      <w:lvlText w:val="o"/>
      <w:lvlJc w:val="left"/>
      <w:pPr>
        <w:ind w:left="3600" w:hanging="360"/>
      </w:pPr>
      <w:rPr>
        <w:rFonts w:ascii="Courier New" w:hAnsi="Courier New" w:hint="default"/>
      </w:rPr>
    </w:lvl>
    <w:lvl w:ilvl="5" w:tplc="52E8EF78">
      <w:start w:val="1"/>
      <w:numFmt w:val="bullet"/>
      <w:lvlText w:val=""/>
      <w:lvlJc w:val="left"/>
      <w:pPr>
        <w:ind w:left="4320" w:hanging="360"/>
      </w:pPr>
      <w:rPr>
        <w:rFonts w:ascii="Wingdings" w:hAnsi="Wingdings" w:hint="default"/>
      </w:rPr>
    </w:lvl>
    <w:lvl w:ilvl="6" w:tplc="6C242778">
      <w:start w:val="1"/>
      <w:numFmt w:val="bullet"/>
      <w:lvlText w:val=""/>
      <w:lvlJc w:val="left"/>
      <w:pPr>
        <w:ind w:left="5040" w:hanging="360"/>
      </w:pPr>
      <w:rPr>
        <w:rFonts w:ascii="Symbol" w:hAnsi="Symbol" w:hint="default"/>
      </w:rPr>
    </w:lvl>
    <w:lvl w:ilvl="7" w:tplc="8ECA45CE">
      <w:start w:val="1"/>
      <w:numFmt w:val="bullet"/>
      <w:lvlText w:val="o"/>
      <w:lvlJc w:val="left"/>
      <w:pPr>
        <w:ind w:left="5760" w:hanging="360"/>
      </w:pPr>
      <w:rPr>
        <w:rFonts w:ascii="Courier New" w:hAnsi="Courier New" w:hint="default"/>
      </w:rPr>
    </w:lvl>
    <w:lvl w:ilvl="8" w:tplc="84346830">
      <w:start w:val="1"/>
      <w:numFmt w:val="bullet"/>
      <w:lvlText w:val=""/>
      <w:lvlJc w:val="left"/>
      <w:pPr>
        <w:ind w:left="6480" w:hanging="360"/>
      </w:pPr>
      <w:rPr>
        <w:rFonts w:ascii="Wingdings" w:hAnsi="Wingdings" w:hint="default"/>
      </w:rPr>
    </w:lvl>
  </w:abstractNum>
  <w:abstractNum w:abstractNumId="61" w15:restartNumberingAfterBreak="0">
    <w:nsid w:val="691A45AC"/>
    <w:multiLevelType w:val="multilevel"/>
    <w:tmpl w:val="55A292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9D323BC"/>
    <w:multiLevelType w:val="multilevel"/>
    <w:tmpl w:val="21DE89F6"/>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3" w15:restartNumberingAfterBreak="0">
    <w:nsid w:val="6B0A299B"/>
    <w:multiLevelType w:val="multilevel"/>
    <w:tmpl w:val="BE0EB8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4" w15:restartNumberingAfterBreak="0">
    <w:nsid w:val="6F6F3FC4"/>
    <w:multiLevelType w:val="multilevel"/>
    <w:tmpl w:val="140C5F4C"/>
    <w:lvl w:ilvl="0">
      <w:numFmt w:val="bullet"/>
      <w:lvlText w:val=""/>
      <w:lvlJc w:val="left"/>
      <w:pPr>
        <w:ind w:left="720" w:hanging="360"/>
      </w:pPr>
      <w:rPr>
        <w:rFonts w:ascii="Symbol" w:hAnsi="Symbol"/>
      </w:rPr>
    </w:lvl>
    <w:lvl w:ilvl="1">
      <w:numFmt w:val="bullet"/>
      <w:lvlText w:val="-"/>
      <w:lvlJc w:val="left"/>
      <w:pPr>
        <w:ind w:left="1800" w:hanging="720"/>
      </w:pPr>
      <w:rPr>
        <w:rFonts w:ascii="Calibri" w:eastAsia="SimSun" w:hAnsi="Calibri" w:cs="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5" w15:restartNumberingAfterBreak="0">
    <w:nsid w:val="712C7C5C"/>
    <w:multiLevelType w:val="multilevel"/>
    <w:tmpl w:val="6D328016"/>
    <w:lvl w:ilvl="0">
      <w:numFmt w:val="bullet"/>
      <w:lvlText w:val="o"/>
      <w:lvlJc w:val="left"/>
      <w:pPr>
        <w:ind w:left="1440" w:hanging="360"/>
      </w:pPr>
      <w:rPr>
        <w:rFonts w:ascii="Courier New" w:hAnsi="Courier New" w:cs="Courier New"/>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66" w15:restartNumberingAfterBreak="0">
    <w:nsid w:val="76032353"/>
    <w:multiLevelType w:val="multilevel"/>
    <w:tmpl w:val="AEB27AA6"/>
    <w:lvl w:ilvl="0">
      <w:numFmt w:val="bullet"/>
      <w:lvlText w:val="−"/>
      <w:lvlJc w:val="left"/>
      <w:pPr>
        <w:ind w:left="644" w:hanging="360"/>
      </w:pPr>
      <w:rPr>
        <w:rFonts w:ascii="Arial" w:eastAsia="Times New Roman" w:hAnsi="Arial" w:cs="Arial"/>
      </w:rPr>
    </w:lvl>
    <w:lvl w:ilvl="1">
      <w:numFmt w:val="bullet"/>
      <w:lvlText w:val="o"/>
      <w:lvlJc w:val="left"/>
      <w:pPr>
        <w:ind w:left="1364" w:hanging="360"/>
      </w:pPr>
      <w:rPr>
        <w:rFonts w:ascii="Courier New" w:hAnsi="Courier New" w:cs="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cs="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cs="Courier New"/>
      </w:rPr>
    </w:lvl>
    <w:lvl w:ilvl="8">
      <w:numFmt w:val="bullet"/>
      <w:lvlText w:val=""/>
      <w:lvlJc w:val="left"/>
      <w:pPr>
        <w:ind w:left="6404" w:hanging="360"/>
      </w:pPr>
      <w:rPr>
        <w:rFonts w:ascii="Wingdings" w:hAnsi="Wingdings"/>
      </w:rPr>
    </w:lvl>
  </w:abstractNum>
  <w:abstractNum w:abstractNumId="67" w15:restartNumberingAfterBreak="0">
    <w:nsid w:val="793C3E15"/>
    <w:multiLevelType w:val="multilevel"/>
    <w:tmpl w:val="CF6298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8" w15:restartNumberingAfterBreak="0">
    <w:nsid w:val="7A1079D6"/>
    <w:multiLevelType w:val="multilevel"/>
    <w:tmpl w:val="D0FC112C"/>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9" w15:restartNumberingAfterBreak="0">
    <w:nsid w:val="7AE16619"/>
    <w:multiLevelType w:val="multilevel"/>
    <w:tmpl w:val="35320C68"/>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0" w15:restartNumberingAfterBreak="0">
    <w:nsid w:val="7ED45B03"/>
    <w:multiLevelType w:val="multilevel"/>
    <w:tmpl w:val="9DE2688A"/>
    <w:lvl w:ilvl="0">
      <w:numFmt w:val="bullet"/>
      <w:lvlText w:val=""/>
      <w:lvlJc w:val="left"/>
      <w:pPr>
        <w:ind w:left="1146" w:hanging="360"/>
      </w:pPr>
      <w:rPr>
        <w:rFonts w:ascii="Symbol" w:hAnsi="Symbol"/>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num w:numId="1" w16cid:durableId="1739940610">
    <w:abstractNumId w:val="41"/>
  </w:num>
  <w:num w:numId="2" w16cid:durableId="281615134">
    <w:abstractNumId w:val="10"/>
  </w:num>
  <w:num w:numId="3" w16cid:durableId="1762944080">
    <w:abstractNumId w:val="60"/>
  </w:num>
  <w:num w:numId="4" w16cid:durableId="1273705045">
    <w:abstractNumId w:val="18"/>
  </w:num>
  <w:num w:numId="5" w16cid:durableId="1157922709">
    <w:abstractNumId w:val="20"/>
  </w:num>
  <w:num w:numId="6" w16cid:durableId="566765192">
    <w:abstractNumId w:val="48"/>
  </w:num>
  <w:num w:numId="7" w16cid:durableId="1439645107">
    <w:abstractNumId w:val="56"/>
  </w:num>
  <w:num w:numId="8" w16cid:durableId="807359148">
    <w:abstractNumId w:val="27"/>
  </w:num>
  <w:num w:numId="9" w16cid:durableId="807862385">
    <w:abstractNumId w:val="57"/>
  </w:num>
  <w:num w:numId="10" w16cid:durableId="957183765">
    <w:abstractNumId w:val="42"/>
  </w:num>
  <w:num w:numId="11" w16cid:durableId="954873503">
    <w:abstractNumId w:val="29"/>
  </w:num>
  <w:num w:numId="12" w16cid:durableId="560824099">
    <w:abstractNumId w:val="34"/>
  </w:num>
  <w:num w:numId="13" w16cid:durableId="252280664">
    <w:abstractNumId w:val="26"/>
  </w:num>
  <w:num w:numId="14" w16cid:durableId="97338595">
    <w:abstractNumId w:val="28"/>
  </w:num>
  <w:num w:numId="15" w16cid:durableId="512302775">
    <w:abstractNumId w:val="64"/>
  </w:num>
  <w:num w:numId="16" w16cid:durableId="701326195">
    <w:abstractNumId w:val="67"/>
  </w:num>
  <w:num w:numId="17" w16cid:durableId="1145314428">
    <w:abstractNumId w:val="9"/>
  </w:num>
  <w:num w:numId="18" w16cid:durableId="178323965">
    <w:abstractNumId w:val="62"/>
  </w:num>
  <w:num w:numId="19" w16cid:durableId="296768200">
    <w:abstractNumId w:val="68"/>
  </w:num>
  <w:num w:numId="20" w16cid:durableId="2054495064">
    <w:abstractNumId w:val="12"/>
  </w:num>
  <w:num w:numId="21" w16cid:durableId="651177458">
    <w:abstractNumId w:val="16"/>
  </w:num>
  <w:num w:numId="22" w16cid:durableId="1198816267">
    <w:abstractNumId w:val="43"/>
  </w:num>
  <w:num w:numId="23" w16cid:durableId="1629815031">
    <w:abstractNumId w:val="4"/>
  </w:num>
  <w:num w:numId="24" w16cid:durableId="1795051406">
    <w:abstractNumId w:val="25"/>
  </w:num>
  <w:num w:numId="25" w16cid:durableId="1520047115">
    <w:abstractNumId w:val="37"/>
  </w:num>
  <w:num w:numId="26" w16cid:durableId="1900748660">
    <w:abstractNumId w:val="17"/>
  </w:num>
  <w:num w:numId="27" w16cid:durableId="1135492292">
    <w:abstractNumId w:val="50"/>
  </w:num>
  <w:num w:numId="28" w16cid:durableId="951520510">
    <w:abstractNumId w:val="69"/>
  </w:num>
  <w:num w:numId="29" w16cid:durableId="205022498">
    <w:abstractNumId w:val="19"/>
  </w:num>
  <w:num w:numId="30" w16cid:durableId="1006639837">
    <w:abstractNumId w:val="8"/>
  </w:num>
  <w:num w:numId="31" w16cid:durableId="1262450325">
    <w:abstractNumId w:val="52"/>
  </w:num>
  <w:num w:numId="32" w16cid:durableId="437141149">
    <w:abstractNumId w:val="65"/>
  </w:num>
  <w:num w:numId="33" w16cid:durableId="1602644497">
    <w:abstractNumId w:val="45"/>
  </w:num>
  <w:num w:numId="34" w16cid:durableId="2098088077">
    <w:abstractNumId w:val="51"/>
  </w:num>
  <w:num w:numId="35" w16cid:durableId="1368942890">
    <w:abstractNumId w:val="3"/>
  </w:num>
  <w:num w:numId="36" w16cid:durableId="1725330701">
    <w:abstractNumId w:val="33"/>
  </w:num>
  <w:num w:numId="37" w16cid:durableId="1405378623">
    <w:abstractNumId w:val="31"/>
  </w:num>
  <w:num w:numId="38" w16cid:durableId="1066151495">
    <w:abstractNumId w:val="2"/>
  </w:num>
  <w:num w:numId="39" w16cid:durableId="2002805543">
    <w:abstractNumId w:val="13"/>
  </w:num>
  <w:num w:numId="40" w16cid:durableId="515274147">
    <w:abstractNumId w:val="1"/>
  </w:num>
  <w:num w:numId="41" w16cid:durableId="1384065599">
    <w:abstractNumId w:val="47"/>
  </w:num>
  <w:num w:numId="42" w16cid:durableId="1736851065">
    <w:abstractNumId w:val="70"/>
  </w:num>
  <w:num w:numId="43" w16cid:durableId="1548369205">
    <w:abstractNumId w:val="59"/>
  </w:num>
  <w:num w:numId="44" w16cid:durableId="1402168808">
    <w:abstractNumId w:val="61"/>
  </w:num>
  <w:num w:numId="45" w16cid:durableId="335619542">
    <w:abstractNumId w:val="38"/>
  </w:num>
  <w:num w:numId="46" w16cid:durableId="15356117">
    <w:abstractNumId w:val="30"/>
  </w:num>
  <w:num w:numId="47" w16cid:durableId="2105110788">
    <w:abstractNumId w:val="36"/>
  </w:num>
  <w:num w:numId="48" w16cid:durableId="1421678891">
    <w:abstractNumId w:val="66"/>
  </w:num>
  <w:num w:numId="49" w16cid:durableId="973753321">
    <w:abstractNumId w:val="40"/>
  </w:num>
  <w:num w:numId="50" w16cid:durableId="277180755">
    <w:abstractNumId w:val="55"/>
  </w:num>
  <w:num w:numId="51" w16cid:durableId="649946709">
    <w:abstractNumId w:val="49"/>
  </w:num>
  <w:num w:numId="52" w16cid:durableId="648287400">
    <w:abstractNumId w:val="22"/>
  </w:num>
  <w:num w:numId="53" w16cid:durableId="1827435798">
    <w:abstractNumId w:val="24"/>
  </w:num>
  <w:num w:numId="54" w16cid:durableId="383219042">
    <w:abstractNumId w:val="6"/>
  </w:num>
  <w:num w:numId="55" w16cid:durableId="92215541">
    <w:abstractNumId w:val="5"/>
  </w:num>
  <w:num w:numId="56" w16cid:durableId="1671061007">
    <w:abstractNumId w:val="23"/>
  </w:num>
  <w:num w:numId="57" w16cid:durableId="12387073">
    <w:abstractNumId w:val="15"/>
  </w:num>
  <w:num w:numId="58" w16cid:durableId="439373382">
    <w:abstractNumId w:val="63"/>
  </w:num>
  <w:num w:numId="59" w16cid:durableId="30154063">
    <w:abstractNumId w:val="11"/>
  </w:num>
  <w:num w:numId="60" w16cid:durableId="967902193">
    <w:abstractNumId w:val="14"/>
  </w:num>
  <w:num w:numId="61" w16cid:durableId="1283071281">
    <w:abstractNumId w:val="58"/>
  </w:num>
  <w:num w:numId="62" w16cid:durableId="1403599683">
    <w:abstractNumId w:val="35"/>
  </w:num>
  <w:num w:numId="63" w16cid:durableId="223755303">
    <w:abstractNumId w:val="21"/>
  </w:num>
  <w:num w:numId="64" w16cid:durableId="906379469">
    <w:abstractNumId w:val="44"/>
  </w:num>
  <w:num w:numId="65" w16cid:durableId="1443837755">
    <w:abstractNumId w:val="39"/>
  </w:num>
  <w:num w:numId="66" w16cid:durableId="268200909">
    <w:abstractNumId w:val="0"/>
  </w:num>
  <w:num w:numId="67" w16cid:durableId="1825008961">
    <w:abstractNumId w:val="54"/>
  </w:num>
  <w:num w:numId="68" w16cid:durableId="1066958009">
    <w:abstractNumId w:val="53"/>
  </w:num>
  <w:num w:numId="69" w16cid:durableId="504514100">
    <w:abstractNumId w:val="46"/>
  </w:num>
  <w:num w:numId="70" w16cid:durableId="1819222131">
    <w:abstractNumId w:val="7"/>
  </w:num>
  <w:num w:numId="71" w16cid:durableId="1773476266">
    <w:abstractNumId w:val="3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hdrShapeDefaults>
    <o:shapedefaults v:ext="edit" spidmax="30764"/>
    <o:shapelayout v:ext="edit">
      <o:idmap v:ext="edit" data="3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A5A"/>
    <w:rsid w:val="000058B2"/>
    <w:rsid w:val="0001164D"/>
    <w:rsid w:val="00027788"/>
    <w:rsid w:val="00051070"/>
    <w:rsid w:val="00053575"/>
    <w:rsid w:val="00057C98"/>
    <w:rsid w:val="00061314"/>
    <w:rsid w:val="00064CDB"/>
    <w:rsid w:val="00064E01"/>
    <w:rsid w:val="00067C75"/>
    <w:rsid w:val="0008326A"/>
    <w:rsid w:val="000871FB"/>
    <w:rsid w:val="00097955"/>
    <w:rsid w:val="000A39E5"/>
    <w:rsid w:val="000B2A02"/>
    <w:rsid w:val="000B2C28"/>
    <w:rsid w:val="000C1654"/>
    <w:rsid w:val="000C3E6A"/>
    <w:rsid w:val="000E7A5A"/>
    <w:rsid w:val="000F0E4D"/>
    <w:rsid w:val="000F6776"/>
    <w:rsid w:val="00105179"/>
    <w:rsid w:val="001126C1"/>
    <w:rsid w:val="001144B5"/>
    <w:rsid w:val="001233CF"/>
    <w:rsid w:val="00131BC6"/>
    <w:rsid w:val="00134FCE"/>
    <w:rsid w:val="001451CD"/>
    <w:rsid w:val="00160F2A"/>
    <w:rsid w:val="00164CAA"/>
    <w:rsid w:val="00174FBD"/>
    <w:rsid w:val="00175399"/>
    <w:rsid w:val="001771D5"/>
    <w:rsid w:val="001853A2"/>
    <w:rsid w:val="00190494"/>
    <w:rsid w:val="001977FB"/>
    <w:rsid w:val="001A35F6"/>
    <w:rsid w:val="001B04D7"/>
    <w:rsid w:val="001C178F"/>
    <w:rsid w:val="001C5C72"/>
    <w:rsid w:val="001E5E72"/>
    <w:rsid w:val="001E5EE2"/>
    <w:rsid w:val="001F5D8B"/>
    <w:rsid w:val="002068B9"/>
    <w:rsid w:val="002146CD"/>
    <w:rsid w:val="00222815"/>
    <w:rsid w:val="002329E4"/>
    <w:rsid w:val="0023397C"/>
    <w:rsid w:val="00234C38"/>
    <w:rsid w:val="00235613"/>
    <w:rsid w:val="002375F4"/>
    <w:rsid w:val="00242E68"/>
    <w:rsid w:val="00251068"/>
    <w:rsid w:val="002529CC"/>
    <w:rsid w:val="00257B7F"/>
    <w:rsid w:val="0026422D"/>
    <w:rsid w:val="00286789"/>
    <w:rsid w:val="002937DA"/>
    <w:rsid w:val="0029464D"/>
    <w:rsid w:val="002A1D8C"/>
    <w:rsid w:val="002A1F43"/>
    <w:rsid w:val="002A20D0"/>
    <w:rsid w:val="002A56AD"/>
    <w:rsid w:val="002B2290"/>
    <w:rsid w:val="002C39F9"/>
    <w:rsid w:val="002C6270"/>
    <w:rsid w:val="002D135D"/>
    <w:rsid w:val="002E0407"/>
    <w:rsid w:val="002E72B3"/>
    <w:rsid w:val="002F1263"/>
    <w:rsid w:val="002F2790"/>
    <w:rsid w:val="0030337A"/>
    <w:rsid w:val="003037F8"/>
    <w:rsid w:val="00304115"/>
    <w:rsid w:val="00306071"/>
    <w:rsid w:val="00315512"/>
    <w:rsid w:val="003210F6"/>
    <w:rsid w:val="00325316"/>
    <w:rsid w:val="00331137"/>
    <w:rsid w:val="00332FE8"/>
    <w:rsid w:val="00336333"/>
    <w:rsid w:val="00343FC1"/>
    <w:rsid w:val="00353074"/>
    <w:rsid w:val="003638C1"/>
    <w:rsid w:val="00365DC9"/>
    <w:rsid w:val="00367191"/>
    <w:rsid w:val="00367FBF"/>
    <w:rsid w:val="00372777"/>
    <w:rsid w:val="00386AA7"/>
    <w:rsid w:val="00393C53"/>
    <w:rsid w:val="0039483E"/>
    <w:rsid w:val="003975A0"/>
    <w:rsid w:val="003C0C42"/>
    <w:rsid w:val="003C7E86"/>
    <w:rsid w:val="003C7E99"/>
    <w:rsid w:val="003D2E6F"/>
    <w:rsid w:val="003E51B4"/>
    <w:rsid w:val="003E6133"/>
    <w:rsid w:val="003F61F8"/>
    <w:rsid w:val="00415250"/>
    <w:rsid w:val="0043302D"/>
    <w:rsid w:val="00433EB6"/>
    <w:rsid w:val="0047107C"/>
    <w:rsid w:val="00477072"/>
    <w:rsid w:val="004820CB"/>
    <w:rsid w:val="00484F1F"/>
    <w:rsid w:val="00495A21"/>
    <w:rsid w:val="004A6ED4"/>
    <w:rsid w:val="004C110C"/>
    <w:rsid w:val="004C451E"/>
    <w:rsid w:val="004C52FF"/>
    <w:rsid w:val="004C6F15"/>
    <w:rsid w:val="004D56F1"/>
    <w:rsid w:val="004E12E2"/>
    <w:rsid w:val="004E6158"/>
    <w:rsid w:val="0050269E"/>
    <w:rsid w:val="0051733E"/>
    <w:rsid w:val="00520EA5"/>
    <w:rsid w:val="005239F3"/>
    <w:rsid w:val="0052582A"/>
    <w:rsid w:val="00526AC5"/>
    <w:rsid w:val="00536400"/>
    <w:rsid w:val="00544DA8"/>
    <w:rsid w:val="005475A4"/>
    <w:rsid w:val="00551FA9"/>
    <w:rsid w:val="00553646"/>
    <w:rsid w:val="00556FE1"/>
    <w:rsid w:val="00560684"/>
    <w:rsid w:val="005779A0"/>
    <w:rsid w:val="00580BA0"/>
    <w:rsid w:val="00583216"/>
    <w:rsid w:val="00583CBF"/>
    <w:rsid w:val="005861A5"/>
    <w:rsid w:val="0059022B"/>
    <w:rsid w:val="005A12CC"/>
    <w:rsid w:val="005A3DAC"/>
    <w:rsid w:val="005A4E52"/>
    <w:rsid w:val="005C646F"/>
    <w:rsid w:val="005F58C4"/>
    <w:rsid w:val="005F5C8C"/>
    <w:rsid w:val="005F66E4"/>
    <w:rsid w:val="005F780E"/>
    <w:rsid w:val="0060305C"/>
    <w:rsid w:val="00605EAD"/>
    <w:rsid w:val="00611787"/>
    <w:rsid w:val="00623803"/>
    <w:rsid w:val="00636F47"/>
    <w:rsid w:val="006477ED"/>
    <w:rsid w:val="006609C8"/>
    <w:rsid w:val="006620B6"/>
    <w:rsid w:val="006759FE"/>
    <w:rsid w:val="0068582C"/>
    <w:rsid w:val="00685C07"/>
    <w:rsid w:val="006A20E7"/>
    <w:rsid w:val="006A227B"/>
    <w:rsid w:val="006A2AF1"/>
    <w:rsid w:val="006A74F4"/>
    <w:rsid w:val="006C3644"/>
    <w:rsid w:val="006C73E1"/>
    <w:rsid w:val="006D3EA7"/>
    <w:rsid w:val="006D561D"/>
    <w:rsid w:val="006D6687"/>
    <w:rsid w:val="006E7385"/>
    <w:rsid w:val="006F0DAC"/>
    <w:rsid w:val="006F7141"/>
    <w:rsid w:val="007161DF"/>
    <w:rsid w:val="0071687F"/>
    <w:rsid w:val="007302F7"/>
    <w:rsid w:val="00744524"/>
    <w:rsid w:val="007664ED"/>
    <w:rsid w:val="00776359"/>
    <w:rsid w:val="00784E0A"/>
    <w:rsid w:val="007852F0"/>
    <w:rsid w:val="0079073E"/>
    <w:rsid w:val="007A2FDF"/>
    <w:rsid w:val="007A6EA3"/>
    <w:rsid w:val="007B17F6"/>
    <w:rsid w:val="007B7844"/>
    <w:rsid w:val="007C1098"/>
    <w:rsid w:val="007C3912"/>
    <w:rsid w:val="007D26FA"/>
    <w:rsid w:val="007E18A1"/>
    <w:rsid w:val="007E37D9"/>
    <w:rsid w:val="007F28E7"/>
    <w:rsid w:val="008012A2"/>
    <w:rsid w:val="00822577"/>
    <w:rsid w:val="00827304"/>
    <w:rsid w:val="008274DF"/>
    <w:rsid w:val="0083343B"/>
    <w:rsid w:val="00843DFA"/>
    <w:rsid w:val="008456AF"/>
    <w:rsid w:val="00860E7D"/>
    <w:rsid w:val="00865E3C"/>
    <w:rsid w:val="0087166F"/>
    <w:rsid w:val="00871A3E"/>
    <w:rsid w:val="00873D36"/>
    <w:rsid w:val="0089450C"/>
    <w:rsid w:val="008A1908"/>
    <w:rsid w:val="008A580F"/>
    <w:rsid w:val="008B4927"/>
    <w:rsid w:val="008C4B1D"/>
    <w:rsid w:val="008D7A5D"/>
    <w:rsid w:val="008E04DE"/>
    <w:rsid w:val="008E751E"/>
    <w:rsid w:val="00910F06"/>
    <w:rsid w:val="00912709"/>
    <w:rsid w:val="009371A8"/>
    <w:rsid w:val="00954873"/>
    <w:rsid w:val="00954A56"/>
    <w:rsid w:val="0095622F"/>
    <w:rsid w:val="00956F2E"/>
    <w:rsid w:val="00956FCD"/>
    <w:rsid w:val="0097193E"/>
    <w:rsid w:val="00980BB2"/>
    <w:rsid w:val="00981A5B"/>
    <w:rsid w:val="00984D97"/>
    <w:rsid w:val="00984DF5"/>
    <w:rsid w:val="009A5A0A"/>
    <w:rsid w:val="009A6057"/>
    <w:rsid w:val="009A69C5"/>
    <w:rsid w:val="009B5E26"/>
    <w:rsid w:val="009C15F2"/>
    <w:rsid w:val="009D6F21"/>
    <w:rsid w:val="00A052DB"/>
    <w:rsid w:val="00A11EF1"/>
    <w:rsid w:val="00A135C5"/>
    <w:rsid w:val="00A15156"/>
    <w:rsid w:val="00A30523"/>
    <w:rsid w:val="00A3074A"/>
    <w:rsid w:val="00A3557C"/>
    <w:rsid w:val="00A7284C"/>
    <w:rsid w:val="00A747B6"/>
    <w:rsid w:val="00A83363"/>
    <w:rsid w:val="00A92A24"/>
    <w:rsid w:val="00A945C9"/>
    <w:rsid w:val="00A96196"/>
    <w:rsid w:val="00AA512A"/>
    <w:rsid w:val="00AB0BF9"/>
    <w:rsid w:val="00AB3FDE"/>
    <w:rsid w:val="00AB429E"/>
    <w:rsid w:val="00AC4317"/>
    <w:rsid w:val="00AC51AC"/>
    <w:rsid w:val="00AC77C3"/>
    <w:rsid w:val="00AD5DDC"/>
    <w:rsid w:val="00AE50C5"/>
    <w:rsid w:val="00AF1654"/>
    <w:rsid w:val="00AF2995"/>
    <w:rsid w:val="00AF3047"/>
    <w:rsid w:val="00AF5B26"/>
    <w:rsid w:val="00AF5D74"/>
    <w:rsid w:val="00B15D8A"/>
    <w:rsid w:val="00B3332C"/>
    <w:rsid w:val="00B405B7"/>
    <w:rsid w:val="00B4270A"/>
    <w:rsid w:val="00B45272"/>
    <w:rsid w:val="00B46006"/>
    <w:rsid w:val="00B53156"/>
    <w:rsid w:val="00B53785"/>
    <w:rsid w:val="00B56768"/>
    <w:rsid w:val="00B6179D"/>
    <w:rsid w:val="00B66CBE"/>
    <w:rsid w:val="00B70959"/>
    <w:rsid w:val="00B70EA1"/>
    <w:rsid w:val="00B76FC3"/>
    <w:rsid w:val="00B770DA"/>
    <w:rsid w:val="00B82906"/>
    <w:rsid w:val="00B90C67"/>
    <w:rsid w:val="00B90D60"/>
    <w:rsid w:val="00B9113E"/>
    <w:rsid w:val="00BA2083"/>
    <w:rsid w:val="00BA573F"/>
    <w:rsid w:val="00BB0D86"/>
    <w:rsid w:val="00BB49D8"/>
    <w:rsid w:val="00BE73DC"/>
    <w:rsid w:val="00C0405F"/>
    <w:rsid w:val="00C0483E"/>
    <w:rsid w:val="00C04FB8"/>
    <w:rsid w:val="00C1620A"/>
    <w:rsid w:val="00C455C4"/>
    <w:rsid w:val="00C471CD"/>
    <w:rsid w:val="00C57B56"/>
    <w:rsid w:val="00C846F4"/>
    <w:rsid w:val="00CA5E4D"/>
    <w:rsid w:val="00CA6C0E"/>
    <w:rsid w:val="00CD255C"/>
    <w:rsid w:val="00CD42D9"/>
    <w:rsid w:val="00D07111"/>
    <w:rsid w:val="00D16242"/>
    <w:rsid w:val="00D21D77"/>
    <w:rsid w:val="00D25113"/>
    <w:rsid w:val="00D254F6"/>
    <w:rsid w:val="00D300A3"/>
    <w:rsid w:val="00D32980"/>
    <w:rsid w:val="00D56551"/>
    <w:rsid w:val="00D60223"/>
    <w:rsid w:val="00D65262"/>
    <w:rsid w:val="00D67EDB"/>
    <w:rsid w:val="00D7117F"/>
    <w:rsid w:val="00D72BCB"/>
    <w:rsid w:val="00D74C24"/>
    <w:rsid w:val="00D85401"/>
    <w:rsid w:val="00D862E1"/>
    <w:rsid w:val="00D9695D"/>
    <w:rsid w:val="00D97301"/>
    <w:rsid w:val="00DB00C3"/>
    <w:rsid w:val="00DB58DA"/>
    <w:rsid w:val="00DC25D9"/>
    <w:rsid w:val="00DC4E13"/>
    <w:rsid w:val="00DC725C"/>
    <w:rsid w:val="00DD42C3"/>
    <w:rsid w:val="00DD69E9"/>
    <w:rsid w:val="00DE1306"/>
    <w:rsid w:val="00DF1BF5"/>
    <w:rsid w:val="00DF2A6F"/>
    <w:rsid w:val="00E03293"/>
    <w:rsid w:val="00E12AE5"/>
    <w:rsid w:val="00E22C11"/>
    <w:rsid w:val="00E2326B"/>
    <w:rsid w:val="00E23C93"/>
    <w:rsid w:val="00E247FF"/>
    <w:rsid w:val="00E25BC3"/>
    <w:rsid w:val="00E2741F"/>
    <w:rsid w:val="00E41104"/>
    <w:rsid w:val="00E438D1"/>
    <w:rsid w:val="00E44440"/>
    <w:rsid w:val="00E543D7"/>
    <w:rsid w:val="00E67DE3"/>
    <w:rsid w:val="00E71B35"/>
    <w:rsid w:val="00E76A87"/>
    <w:rsid w:val="00E836DB"/>
    <w:rsid w:val="00E9688F"/>
    <w:rsid w:val="00E97264"/>
    <w:rsid w:val="00E9789E"/>
    <w:rsid w:val="00EA4F70"/>
    <w:rsid w:val="00EB6B43"/>
    <w:rsid w:val="00ED3F1F"/>
    <w:rsid w:val="00ED4422"/>
    <w:rsid w:val="00EE04C9"/>
    <w:rsid w:val="00EE5788"/>
    <w:rsid w:val="00EF33CF"/>
    <w:rsid w:val="00F233B3"/>
    <w:rsid w:val="00F23C77"/>
    <w:rsid w:val="00F26C41"/>
    <w:rsid w:val="00F425EA"/>
    <w:rsid w:val="00F45B82"/>
    <w:rsid w:val="00F601AA"/>
    <w:rsid w:val="00F656D2"/>
    <w:rsid w:val="00F74DEF"/>
    <w:rsid w:val="00F75E25"/>
    <w:rsid w:val="00F7FCEE"/>
    <w:rsid w:val="00F8679C"/>
    <w:rsid w:val="00FB0F81"/>
    <w:rsid w:val="00FB40DC"/>
    <w:rsid w:val="00FB7275"/>
    <w:rsid w:val="00FF2D1A"/>
    <w:rsid w:val="00FF43D4"/>
    <w:rsid w:val="0105EE60"/>
    <w:rsid w:val="013DD3A4"/>
    <w:rsid w:val="0173791C"/>
    <w:rsid w:val="0187AA39"/>
    <w:rsid w:val="01930414"/>
    <w:rsid w:val="01FB87FB"/>
    <w:rsid w:val="0272BAE8"/>
    <w:rsid w:val="028EB998"/>
    <w:rsid w:val="02986C6E"/>
    <w:rsid w:val="02A79DD6"/>
    <w:rsid w:val="02F7D3DD"/>
    <w:rsid w:val="02F95F16"/>
    <w:rsid w:val="033448F1"/>
    <w:rsid w:val="0348AC75"/>
    <w:rsid w:val="0357DFB5"/>
    <w:rsid w:val="039AE079"/>
    <w:rsid w:val="03E46EED"/>
    <w:rsid w:val="03ED5918"/>
    <w:rsid w:val="0435A75A"/>
    <w:rsid w:val="046F2689"/>
    <w:rsid w:val="04815C5C"/>
    <w:rsid w:val="04B42D21"/>
    <w:rsid w:val="04C61615"/>
    <w:rsid w:val="04C97FF8"/>
    <w:rsid w:val="04DCEC86"/>
    <w:rsid w:val="052225E0"/>
    <w:rsid w:val="054187A2"/>
    <w:rsid w:val="05EA3AD0"/>
    <w:rsid w:val="06815881"/>
    <w:rsid w:val="0688DF7F"/>
    <w:rsid w:val="0695C9AB"/>
    <w:rsid w:val="0703E123"/>
    <w:rsid w:val="070D7D53"/>
    <w:rsid w:val="07A947DB"/>
    <w:rsid w:val="07B771DA"/>
    <w:rsid w:val="07E4AEB5"/>
    <w:rsid w:val="0815C772"/>
    <w:rsid w:val="085B0F22"/>
    <w:rsid w:val="08634A3E"/>
    <w:rsid w:val="08AB5C72"/>
    <w:rsid w:val="090A9E15"/>
    <w:rsid w:val="0954E49D"/>
    <w:rsid w:val="095AB933"/>
    <w:rsid w:val="09D91F4B"/>
    <w:rsid w:val="0A3BB417"/>
    <w:rsid w:val="0A3C700D"/>
    <w:rsid w:val="0A551C16"/>
    <w:rsid w:val="0A5801CB"/>
    <w:rsid w:val="0A9F99D7"/>
    <w:rsid w:val="0AD4BE29"/>
    <w:rsid w:val="0B060B98"/>
    <w:rsid w:val="0B5ED327"/>
    <w:rsid w:val="0BC2E777"/>
    <w:rsid w:val="0BE5B75B"/>
    <w:rsid w:val="0C43467E"/>
    <w:rsid w:val="0C45F9B4"/>
    <w:rsid w:val="0C69CA39"/>
    <w:rsid w:val="0C836601"/>
    <w:rsid w:val="0CA03981"/>
    <w:rsid w:val="0CF01DC0"/>
    <w:rsid w:val="0D413CA7"/>
    <w:rsid w:val="0D7C2C2B"/>
    <w:rsid w:val="0D986E42"/>
    <w:rsid w:val="0DB5A440"/>
    <w:rsid w:val="0DE39479"/>
    <w:rsid w:val="0DF6BFC9"/>
    <w:rsid w:val="0E3D34FF"/>
    <w:rsid w:val="0E5DE3E0"/>
    <w:rsid w:val="0E8C483C"/>
    <w:rsid w:val="0EDFD798"/>
    <w:rsid w:val="0EE8A7D1"/>
    <w:rsid w:val="0EE92F69"/>
    <w:rsid w:val="0F197E5C"/>
    <w:rsid w:val="0F401F56"/>
    <w:rsid w:val="0F528D91"/>
    <w:rsid w:val="0F840750"/>
    <w:rsid w:val="10308966"/>
    <w:rsid w:val="1031D849"/>
    <w:rsid w:val="103444A0"/>
    <w:rsid w:val="10441AE8"/>
    <w:rsid w:val="10E381AC"/>
    <w:rsid w:val="11035E96"/>
    <w:rsid w:val="115BEB7D"/>
    <w:rsid w:val="117D2CDF"/>
    <w:rsid w:val="11D075A0"/>
    <w:rsid w:val="1237192A"/>
    <w:rsid w:val="1264AABC"/>
    <w:rsid w:val="12678CB2"/>
    <w:rsid w:val="12A85C65"/>
    <w:rsid w:val="131BC7AF"/>
    <w:rsid w:val="132CC452"/>
    <w:rsid w:val="134A59A4"/>
    <w:rsid w:val="13635CC9"/>
    <w:rsid w:val="1397E241"/>
    <w:rsid w:val="13A07EED"/>
    <w:rsid w:val="13F6EBF4"/>
    <w:rsid w:val="144654F3"/>
    <w:rsid w:val="144DB454"/>
    <w:rsid w:val="1454F646"/>
    <w:rsid w:val="1472710B"/>
    <w:rsid w:val="15009263"/>
    <w:rsid w:val="15932A9D"/>
    <w:rsid w:val="15EDEE9F"/>
    <w:rsid w:val="15EFEBF3"/>
    <w:rsid w:val="160D1833"/>
    <w:rsid w:val="163ECAC0"/>
    <w:rsid w:val="16C541DD"/>
    <w:rsid w:val="16D025B0"/>
    <w:rsid w:val="1734DE01"/>
    <w:rsid w:val="17376BB0"/>
    <w:rsid w:val="17A41B14"/>
    <w:rsid w:val="17FE250C"/>
    <w:rsid w:val="1857A4DC"/>
    <w:rsid w:val="18D9B441"/>
    <w:rsid w:val="18E9BB7D"/>
    <w:rsid w:val="18FC6047"/>
    <w:rsid w:val="191ED166"/>
    <w:rsid w:val="19407507"/>
    <w:rsid w:val="19514DD8"/>
    <w:rsid w:val="1976D975"/>
    <w:rsid w:val="19AE6D68"/>
    <w:rsid w:val="19BAB423"/>
    <w:rsid w:val="19CC8E13"/>
    <w:rsid w:val="19F59187"/>
    <w:rsid w:val="1A327854"/>
    <w:rsid w:val="1A50D0E1"/>
    <w:rsid w:val="1A651054"/>
    <w:rsid w:val="1A89AEAC"/>
    <w:rsid w:val="1AD311C9"/>
    <w:rsid w:val="1AF4B2DE"/>
    <w:rsid w:val="1B386800"/>
    <w:rsid w:val="1B844629"/>
    <w:rsid w:val="1B94C4A3"/>
    <w:rsid w:val="1BC66B4B"/>
    <w:rsid w:val="1C480F6F"/>
    <w:rsid w:val="1C495FC7"/>
    <w:rsid w:val="1C590E3C"/>
    <w:rsid w:val="1C697411"/>
    <w:rsid w:val="1C980860"/>
    <w:rsid w:val="1CACB6D2"/>
    <w:rsid w:val="1D3ED125"/>
    <w:rsid w:val="1D6AA768"/>
    <w:rsid w:val="1D6CB2F5"/>
    <w:rsid w:val="1D794DB2"/>
    <w:rsid w:val="1D970296"/>
    <w:rsid w:val="1DCE7AE2"/>
    <w:rsid w:val="1DEC5135"/>
    <w:rsid w:val="1E343BD8"/>
    <w:rsid w:val="1E84A55F"/>
    <w:rsid w:val="1EAD31EB"/>
    <w:rsid w:val="1ECD1B8B"/>
    <w:rsid w:val="1EE41794"/>
    <w:rsid w:val="1F2E846F"/>
    <w:rsid w:val="1F3DC095"/>
    <w:rsid w:val="1F842CEF"/>
    <w:rsid w:val="1F955FBC"/>
    <w:rsid w:val="20509BF8"/>
    <w:rsid w:val="206944C6"/>
    <w:rsid w:val="20696C87"/>
    <w:rsid w:val="20EB194C"/>
    <w:rsid w:val="2134F1DD"/>
    <w:rsid w:val="2135DBC7"/>
    <w:rsid w:val="218D859D"/>
    <w:rsid w:val="219BB24E"/>
    <w:rsid w:val="21AA16CD"/>
    <w:rsid w:val="21B65AD9"/>
    <w:rsid w:val="21C832B6"/>
    <w:rsid w:val="21C9D991"/>
    <w:rsid w:val="21DDF697"/>
    <w:rsid w:val="2213A931"/>
    <w:rsid w:val="22216213"/>
    <w:rsid w:val="22451047"/>
    <w:rsid w:val="2283E34F"/>
    <w:rsid w:val="22B615E1"/>
    <w:rsid w:val="230B24EF"/>
    <w:rsid w:val="2310D129"/>
    <w:rsid w:val="233638CF"/>
    <w:rsid w:val="235F5EEE"/>
    <w:rsid w:val="2398C118"/>
    <w:rsid w:val="23BB8DDC"/>
    <w:rsid w:val="23BD04B4"/>
    <w:rsid w:val="23E2309E"/>
    <w:rsid w:val="244E0EF1"/>
    <w:rsid w:val="2478EDB5"/>
    <w:rsid w:val="24AA4ED1"/>
    <w:rsid w:val="24FF1CE0"/>
    <w:rsid w:val="257ED1FC"/>
    <w:rsid w:val="258582C5"/>
    <w:rsid w:val="2588F0D0"/>
    <w:rsid w:val="25E18404"/>
    <w:rsid w:val="261B5321"/>
    <w:rsid w:val="265A62DA"/>
    <w:rsid w:val="26EEFC37"/>
    <w:rsid w:val="273D6D95"/>
    <w:rsid w:val="2770FC19"/>
    <w:rsid w:val="282263E1"/>
    <w:rsid w:val="2829BF8B"/>
    <w:rsid w:val="28338FC4"/>
    <w:rsid w:val="284263D3"/>
    <w:rsid w:val="2899E706"/>
    <w:rsid w:val="289C2486"/>
    <w:rsid w:val="28DF8822"/>
    <w:rsid w:val="2A33CA39"/>
    <w:rsid w:val="2A781B6E"/>
    <w:rsid w:val="2ACC8015"/>
    <w:rsid w:val="2ACC9F65"/>
    <w:rsid w:val="2C27443E"/>
    <w:rsid w:val="2C48FFE9"/>
    <w:rsid w:val="2C91295E"/>
    <w:rsid w:val="2CA37FEA"/>
    <w:rsid w:val="2CA61C04"/>
    <w:rsid w:val="2CE764B2"/>
    <w:rsid w:val="2D19509D"/>
    <w:rsid w:val="2D30C344"/>
    <w:rsid w:val="2D39EE17"/>
    <w:rsid w:val="2D9B4B23"/>
    <w:rsid w:val="2DB75137"/>
    <w:rsid w:val="2E0F3F25"/>
    <w:rsid w:val="2E601485"/>
    <w:rsid w:val="2E8FA4C4"/>
    <w:rsid w:val="2E917D08"/>
    <w:rsid w:val="2E95B0CE"/>
    <w:rsid w:val="2EA23F19"/>
    <w:rsid w:val="2EAD505C"/>
    <w:rsid w:val="2EDA0C82"/>
    <w:rsid w:val="2F8A771D"/>
    <w:rsid w:val="2FB0A22F"/>
    <w:rsid w:val="2FD96EDE"/>
    <w:rsid w:val="2FE9115B"/>
    <w:rsid w:val="307AB956"/>
    <w:rsid w:val="307C66EB"/>
    <w:rsid w:val="30A7E513"/>
    <w:rsid w:val="30AAA943"/>
    <w:rsid w:val="30D60F4B"/>
    <w:rsid w:val="30E59915"/>
    <w:rsid w:val="30E95560"/>
    <w:rsid w:val="30EFF24E"/>
    <w:rsid w:val="310B1B36"/>
    <w:rsid w:val="3125177C"/>
    <w:rsid w:val="31F42EF3"/>
    <w:rsid w:val="32318A3B"/>
    <w:rsid w:val="325EADA5"/>
    <w:rsid w:val="3262DC4E"/>
    <w:rsid w:val="32DDF78A"/>
    <w:rsid w:val="32F817F9"/>
    <w:rsid w:val="3312CE41"/>
    <w:rsid w:val="33223C31"/>
    <w:rsid w:val="335B8FD4"/>
    <w:rsid w:val="339DA6FB"/>
    <w:rsid w:val="33EA286A"/>
    <w:rsid w:val="341121A8"/>
    <w:rsid w:val="3495EC43"/>
    <w:rsid w:val="34A6F94D"/>
    <w:rsid w:val="34AA80AA"/>
    <w:rsid w:val="34C418D3"/>
    <w:rsid w:val="34E1A471"/>
    <w:rsid w:val="355116D7"/>
    <w:rsid w:val="35AACC3C"/>
    <w:rsid w:val="35AD8314"/>
    <w:rsid w:val="35E45BC9"/>
    <w:rsid w:val="3619F1D6"/>
    <w:rsid w:val="366DD973"/>
    <w:rsid w:val="36E2C0F0"/>
    <w:rsid w:val="36E543DF"/>
    <w:rsid w:val="3718228A"/>
    <w:rsid w:val="373D31F1"/>
    <w:rsid w:val="374DCA85"/>
    <w:rsid w:val="375CDA57"/>
    <w:rsid w:val="375E5E96"/>
    <w:rsid w:val="37E2E4B7"/>
    <w:rsid w:val="37E80542"/>
    <w:rsid w:val="37FE4D40"/>
    <w:rsid w:val="38742E14"/>
    <w:rsid w:val="389E9433"/>
    <w:rsid w:val="38C7E245"/>
    <w:rsid w:val="38DC48B7"/>
    <w:rsid w:val="39415FD6"/>
    <w:rsid w:val="398894F7"/>
    <w:rsid w:val="3994E1AC"/>
    <w:rsid w:val="39FE42F8"/>
    <w:rsid w:val="3A614243"/>
    <w:rsid w:val="3AB28DE4"/>
    <w:rsid w:val="3ABE568E"/>
    <w:rsid w:val="3AD632AD"/>
    <w:rsid w:val="3AE26400"/>
    <w:rsid w:val="3B583338"/>
    <w:rsid w:val="3B8C96E9"/>
    <w:rsid w:val="3BB1E605"/>
    <w:rsid w:val="3C170DA6"/>
    <w:rsid w:val="3C37293D"/>
    <w:rsid w:val="3C4D9394"/>
    <w:rsid w:val="3C705EE1"/>
    <w:rsid w:val="3C8DE4F3"/>
    <w:rsid w:val="3CBC9BA3"/>
    <w:rsid w:val="3D040367"/>
    <w:rsid w:val="3D1BE687"/>
    <w:rsid w:val="3D66807F"/>
    <w:rsid w:val="3DFDB1D5"/>
    <w:rsid w:val="3E0CDE4B"/>
    <w:rsid w:val="3E4829F3"/>
    <w:rsid w:val="3E837D0C"/>
    <w:rsid w:val="3E95A0DB"/>
    <w:rsid w:val="3EB2EBA3"/>
    <w:rsid w:val="3F4B5672"/>
    <w:rsid w:val="3F6C35C6"/>
    <w:rsid w:val="3F7A8561"/>
    <w:rsid w:val="3FD37525"/>
    <w:rsid w:val="3FD5D5B3"/>
    <w:rsid w:val="40135CD4"/>
    <w:rsid w:val="40290757"/>
    <w:rsid w:val="4029CD35"/>
    <w:rsid w:val="40356C16"/>
    <w:rsid w:val="407E9D35"/>
    <w:rsid w:val="40B98F19"/>
    <w:rsid w:val="40C2DD89"/>
    <w:rsid w:val="40D877EE"/>
    <w:rsid w:val="40DAF788"/>
    <w:rsid w:val="40E2A0E7"/>
    <w:rsid w:val="40F08D74"/>
    <w:rsid w:val="4128DFEB"/>
    <w:rsid w:val="4174D249"/>
    <w:rsid w:val="41824999"/>
    <w:rsid w:val="41BA68E5"/>
    <w:rsid w:val="421081AA"/>
    <w:rsid w:val="42520C8A"/>
    <w:rsid w:val="426C6966"/>
    <w:rsid w:val="426D616C"/>
    <w:rsid w:val="42C8FE22"/>
    <w:rsid w:val="42CD08F7"/>
    <w:rsid w:val="42CF8AE1"/>
    <w:rsid w:val="431E93DE"/>
    <w:rsid w:val="43C16F15"/>
    <w:rsid w:val="43D913F6"/>
    <w:rsid w:val="440BB86B"/>
    <w:rsid w:val="44331A53"/>
    <w:rsid w:val="444FE48B"/>
    <w:rsid w:val="4451CCCC"/>
    <w:rsid w:val="4469BA5D"/>
    <w:rsid w:val="44A7D1A0"/>
    <w:rsid w:val="45056F3E"/>
    <w:rsid w:val="454A2F0C"/>
    <w:rsid w:val="457162D5"/>
    <w:rsid w:val="45DA5092"/>
    <w:rsid w:val="461044D8"/>
    <w:rsid w:val="462ECAE0"/>
    <w:rsid w:val="46322CE5"/>
    <w:rsid w:val="46B5F41A"/>
    <w:rsid w:val="46D1C7AD"/>
    <w:rsid w:val="46E54881"/>
    <w:rsid w:val="46F1F1AB"/>
    <w:rsid w:val="46F507CC"/>
    <w:rsid w:val="473E32AA"/>
    <w:rsid w:val="4755220E"/>
    <w:rsid w:val="475E171E"/>
    <w:rsid w:val="476D6E21"/>
    <w:rsid w:val="4773B5E0"/>
    <w:rsid w:val="477401BA"/>
    <w:rsid w:val="478C58D8"/>
    <w:rsid w:val="47B52134"/>
    <w:rsid w:val="47F7E1B0"/>
    <w:rsid w:val="480BC33C"/>
    <w:rsid w:val="4829D5D3"/>
    <w:rsid w:val="48595D74"/>
    <w:rsid w:val="487F8EC0"/>
    <w:rsid w:val="48D64456"/>
    <w:rsid w:val="4947D534"/>
    <w:rsid w:val="4986CB3F"/>
    <w:rsid w:val="49BC54A2"/>
    <w:rsid w:val="49C91509"/>
    <w:rsid w:val="49EF8B65"/>
    <w:rsid w:val="4A120435"/>
    <w:rsid w:val="4A4A1F00"/>
    <w:rsid w:val="4A8828CC"/>
    <w:rsid w:val="4AAEEDBD"/>
    <w:rsid w:val="4ADA4FF1"/>
    <w:rsid w:val="4AE1DD1E"/>
    <w:rsid w:val="4B08F988"/>
    <w:rsid w:val="4B49B3FA"/>
    <w:rsid w:val="4B9DF422"/>
    <w:rsid w:val="4BEDDF48"/>
    <w:rsid w:val="4C16BE28"/>
    <w:rsid w:val="4C7EC600"/>
    <w:rsid w:val="4CC24BBC"/>
    <w:rsid w:val="4D24B1C8"/>
    <w:rsid w:val="4D3A134C"/>
    <w:rsid w:val="4D416E8F"/>
    <w:rsid w:val="4D8FC5B4"/>
    <w:rsid w:val="4D9C0304"/>
    <w:rsid w:val="4DB3CDEF"/>
    <w:rsid w:val="4DC7848F"/>
    <w:rsid w:val="4DD0A654"/>
    <w:rsid w:val="4DE738B6"/>
    <w:rsid w:val="4DFD1397"/>
    <w:rsid w:val="4E196A31"/>
    <w:rsid w:val="4E33480A"/>
    <w:rsid w:val="4E375C2D"/>
    <w:rsid w:val="4E76D255"/>
    <w:rsid w:val="4EE128E9"/>
    <w:rsid w:val="4F78A60B"/>
    <w:rsid w:val="4FA19C6B"/>
    <w:rsid w:val="4FDE0DF8"/>
    <w:rsid w:val="4FE7A040"/>
    <w:rsid w:val="4FF540EF"/>
    <w:rsid w:val="5005D561"/>
    <w:rsid w:val="5024721C"/>
    <w:rsid w:val="50348F31"/>
    <w:rsid w:val="5066094E"/>
    <w:rsid w:val="50A5310B"/>
    <w:rsid w:val="50A78B6D"/>
    <w:rsid w:val="50EF07B8"/>
    <w:rsid w:val="52504160"/>
    <w:rsid w:val="525AA46A"/>
    <w:rsid w:val="525B8746"/>
    <w:rsid w:val="52676DDF"/>
    <w:rsid w:val="52720A33"/>
    <w:rsid w:val="527BCFBA"/>
    <w:rsid w:val="52CB3C81"/>
    <w:rsid w:val="537592E5"/>
    <w:rsid w:val="5382BB8E"/>
    <w:rsid w:val="53A173B7"/>
    <w:rsid w:val="53A58921"/>
    <w:rsid w:val="53AD15A7"/>
    <w:rsid w:val="53F1934D"/>
    <w:rsid w:val="543DC499"/>
    <w:rsid w:val="548E0E93"/>
    <w:rsid w:val="54B20733"/>
    <w:rsid w:val="54BC7EF0"/>
    <w:rsid w:val="54FE099F"/>
    <w:rsid w:val="551C4D87"/>
    <w:rsid w:val="55C44D95"/>
    <w:rsid w:val="5634D78E"/>
    <w:rsid w:val="56818451"/>
    <w:rsid w:val="5690B4A5"/>
    <w:rsid w:val="56A79B40"/>
    <w:rsid w:val="570B80B7"/>
    <w:rsid w:val="5714071D"/>
    <w:rsid w:val="57210EFE"/>
    <w:rsid w:val="5723846A"/>
    <w:rsid w:val="573ACA9C"/>
    <w:rsid w:val="579C4B39"/>
    <w:rsid w:val="583E1ABF"/>
    <w:rsid w:val="58E9CC9D"/>
    <w:rsid w:val="5933094A"/>
    <w:rsid w:val="5979DE17"/>
    <w:rsid w:val="5993BDF0"/>
    <w:rsid w:val="59D49791"/>
    <w:rsid w:val="59E0683E"/>
    <w:rsid w:val="59F27C8B"/>
    <w:rsid w:val="5A444889"/>
    <w:rsid w:val="5A74BC5E"/>
    <w:rsid w:val="5A8B6B7C"/>
    <w:rsid w:val="5A96130B"/>
    <w:rsid w:val="5B1A033E"/>
    <w:rsid w:val="5B57A652"/>
    <w:rsid w:val="5B83A89B"/>
    <w:rsid w:val="5BAC86AE"/>
    <w:rsid w:val="5BAFFC80"/>
    <w:rsid w:val="5BB930E5"/>
    <w:rsid w:val="5C0B2E8E"/>
    <w:rsid w:val="5C37C66F"/>
    <w:rsid w:val="5C45FC1D"/>
    <w:rsid w:val="5C65A05D"/>
    <w:rsid w:val="5C8FEFA8"/>
    <w:rsid w:val="5CCDCE5A"/>
    <w:rsid w:val="5CEB096F"/>
    <w:rsid w:val="5D04E4CF"/>
    <w:rsid w:val="5D3C914E"/>
    <w:rsid w:val="5D5FAFE5"/>
    <w:rsid w:val="5DF4D79F"/>
    <w:rsid w:val="5E0AEC10"/>
    <w:rsid w:val="5E300E07"/>
    <w:rsid w:val="5E431EE9"/>
    <w:rsid w:val="5E73CDF5"/>
    <w:rsid w:val="5E948B36"/>
    <w:rsid w:val="5EC95F76"/>
    <w:rsid w:val="5F337EAB"/>
    <w:rsid w:val="5FC923FE"/>
    <w:rsid w:val="600C360F"/>
    <w:rsid w:val="6040D5BC"/>
    <w:rsid w:val="60D8658F"/>
    <w:rsid w:val="620513F2"/>
    <w:rsid w:val="623DDC96"/>
    <w:rsid w:val="62684C1C"/>
    <w:rsid w:val="626C0F00"/>
    <w:rsid w:val="62C4356B"/>
    <w:rsid w:val="62F292B6"/>
    <w:rsid w:val="633A7D4F"/>
    <w:rsid w:val="63A48557"/>
    <w:rsid w:val="63D1AFDA"/>
    <w:rsid w:val="640DB15D"/>
    <w:rsid w:val="6417EC55"/>
    <w:rsid w:val="65D79547"/>
    <w:rsid w:val="65F63769"/>
    <w:rsid w:val="66242C2A"/>
    <w:rsid w:val="66464490"/>
    <w:rsid w:val="668D6408"/>
    <w:rsid w:val="669F71F0"/>
    <w:rsid w:val="66B8F75B"/>
    <w:rsid w:val="66CB50FD"/>
    <w:rsid w:val="66CC0537"/>
    <w:rsid w:val="66F4D40C"/>
    <w:rsid w:val="66F62078"/>
    <w:rsid w:val="6724FCEF"/>
    <w:rsid w:val="67307C85"/>
    <w:rsid w:val="673F1C3F"/>
    <w:rsid w:val="67672C59"/>
    <w:rsid w:val="678443CE"/>
    <w:rsid w:val="678AB574"/>
    <w:rsid w:val="679FEA73"/>
    <w:rsid w:val="68624943"/>
    <w:rsid w:val="68648FAD"/>
    <w:rsid w:val="68E6CD0F"/>
    <w:rsid w:val="68F1330F"/>
    <w:rsid w:val="68FD234A"/>
    <w:rsid w:val="6924A8E2"/>
    <w:rsid w:val="69330000"/>
    <w:rsid w:val="6981C22C"/>
    <w:rsid w:val="69D9C079"/>
    <w:rsid w:val="6A2D7588"/>
    <w:rsid w:val="6A34EB60"/>
    <w:rsid w:val="6ABED2BA"/>
    <w:rsid w:val="6B267ECE"/>
    <w:rsid w:val="6B38B65D"/>
    <w:rsid w:val="6B3B04B6"/>
    <w:rsid w:val="6B8D7861"/>
    <w:rsid w:val="6BA1C829"/>
    <w:rsid w:val="6BB13394"/>
    <w:rsid w:val="6C23271A"/>
    <w:rsid w:val="6CBAC385"/>
    <w:rsid w:val="6CF52912"/>
    <w:rsid w:val="6D026C39"/>
    <w:rsid w:val="6D042347"/>
    <w:rsid w:val="6D0449E8"/>
    <w:rsid w:val="6D365004"/>
    <w:rsid w:val="6D9BD79D"/>
    <w:rsid w:val="6DE5D47B"/>
    <w:rsid w:val="6DE9D0E6"/>
    <w:rsid w:val="6DFF83AA"/>
    <w:rsid w:val="6E2B78C9"/>
    <w:rsid w:val="6EC90A9F"/>
    <w:rsid w:val="6F690E5D"/>
    <w:rsid w:val="6F9D5E6B"/>
    <w:rsid w:val="6FC692AD"/>
    <w:rsid w:val="6FD33C57"/>
    <w:rsid w:val="6FDE897D"/>
    <w:rsid w:val="6FEED4E8"/>
    <w:rsid w:val="70271349"/>
    <w:rsid w:val="702AAB90"/>
    <w:rsid w:val="706008C3"/>
    <w:rsid w:val="7083E72D"/>
    <w:rsid w:val="70F5DA1E"/>
    <w:rsid w:val="711A8CAF"/>
    <w:rsid w:val="71A67789"/>
    <w:rsid w:val="71C6953D"/>
    <w:rsid w:val="72013031"/>
    <w:rsid w:val="72344C62"/>
    <w:rsid w:val="724FB683"/>
    <w:rsid w:val="7250FEEC"/>
    <w:rsid w:val="72667313"/>
    <w:rsid w:val="729919A4"/>
    <w:rsid w:val="72B54C27"/>
    <w:rsid w:val="72B84E30"/>
    <w:rsid w:val="734DCDC2"/>
    <w:rsid w:val="734F3E88"/>
    <w:rsid w:val="735711A9"/>
    <w:rsid w:val="73647BB8"/>
    <w:rsid w:val="73AB6EB1"/>
    <w:rsid w:val="73B16392"/>
    <w:rsid w:val="73E091D1"/>
    <w:rsid w:val="73F2C3F8"/>
    <w:rsid w:val="743B8DF9"/>
    <w:rsid w:val="743C9BD5"/>
    <w:rsid w:val="74617862"/>
    <w:rsid w:val="7470A99A"/>
    <w:rsid w:val="7477F8E3"/>
    <w:rsid w:val="74C79C8A"/>
    <w:rsid w:val="75925AD7"/>
    <w:rsid w:val="75D41989"/>
    <w:rsid w:val="75DD0372"/>
    <w:rsid w:val="76007400"/>
    <w:rsid w:val="76620678"/>
    <w:rsid w:val="769B4DD1"/>
    <w:rsid w:val="76AAA02C"/>
    <w:rsid w:val="76AFB244"/>
    <w:rsid w:val="76CD2A07"/>
    <w:rsid w:val="77446C90"/>
    <w:rsid w:val="774A3116"/>
    <w:rsid w:val="77D03625"/>
    <w:rsid w:val="7804C8CB"/>
    <w:rsid w:val="7819BE64"/>
    <w:rsid w:val="78324B3F"/>
    <w:rsid w:val="7839CB67"/>
    <w:rsid w:val="783CD9B1"/>
    <w:rsid w:val="7843E3C8"/>
    <w:rsid w:val="784710A6"/>
    <w:rsid w:val="7863DC77"/>
    <w:rsid w:val="78CE2AA2"/>
    <w:rsid w:val="78D02D90"/>
    <w:rsid w:val="78E1F01E"/>
    <w:rsid w:val="795E4004"/>
    <w:rsid w:val="7971977B"/>
    <w:rsid w:val="79B3D9CF"/>
    <w:rsid w:val="79E04649"/>
    <w:rsid w:val="79F4D7A9"/>
    <w:rsid w:val="79F683D0"/>
    <w:rsid w:val="7A0F0A2E"/>
    <w:rsid w:val="7A1B1D4B"/>
    <w:rsid w:val="7A4A0AB8"/>
    <w:rsid w:val="7A98FB50"/>
    <w:rsid w:val="7AC64DBD"/>
    <w:rsid w:val="7B0E4049"/>
    <w:rsid w:val="7B14D8AE"/>
    <w:rsid w:val="7B2B100D"/>
    <w:rsid w:val="7BA1E945"/>
    <w:rsid w:val="7BABD2F4"/>
    <w:rsid w:val="7BC4314A"/>
    <w:rsid w:val="7BF3AA92"/>
    <w:rsid w:val="7C2384DE"/>
    <w:rsid w:val="7C5ABAE7"/>
    <w:rsid w:val="7C76858B"/>
    <w:rsid w:val="7C9B9F62"/>
    <w:rsid w:val="7CD81714"/>
    <w:rsid w:val="7CEC1D41"/>
    <w:rsid w:val="7CF78FDF"/>
    <w:rsid w:val="7CF9CA94"/>
    <w:rsid w:val="7D00AE70"/>
    <w:rsid w:val="7D0222AA"/>
    <w:rsid w:val="7D2096F9"/>
    <w:rsid w:val="7D2EDF15"/>
    <w:rsid w:val="7DB68258"/>
    <w:rsid w:val="7DDAB9F3"/>
    <w:rsid w:val="7DDDC96F"/>
    <w:rsid w:val="7DF74AB7"/>
    <w:rsid w:val="7E04655F"/>
    <w:rsid w:val="7E21968B"/>
    <w:rsid w:val="7E5FA73B"/>
    <w:rsid w:val="7E8720AE"/>
    <w:rsid w:val="7E8F85A6"/>
    <w:rsid w:val="7ECA35AB"/>
    <w:rsid w:val="7EE1B794"/>
    <w:rsid w:val="7EF9E5A7"/>
    <w:rsid w:val="7F4D9B59"/>
    <w:rsid w:val="7FDC4A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64"/>
    <o:shapelayout v:ext="edit">
      <o:idmap v:ext="edit" data="1"/>
    </o:shapelayout>
  </w:shapeDefaults>
  <w:decimalSymbol w:val=","/>
  <w:listSeparator w:val=";"/>
  <w14:docId w14:val="1B79B8D7"/>
  <w15:docId w15:val="{96F605F9-2CE4-4AC6-B23D-DD6CE1B15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sl-SI" w:eastAsia="ja-JP"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46006"/>
    <w:pPr>
      <w:suppressAutoHyphens/>
      <w:spacing w:after="120" w:line="264" w:lineRule="auto"/>
    </w:pPr>
    <w:rPr>
      <w:rFonts w:ascii="Arial" w:hAnsi="Arial"/>
      <w:szCs w:val="21"/>
      <w:lang w:eastAsia="sl-SI"/>
    </w:rPr>
  </w:style>
  <w:style w:type="paragraph" w:styleId="Naslov10">
    <w:name w:val="heading 1"/>
    <w:basedOn w:val="Navaden"/>
    <w:next w:val="Navaden"/>
    <w:uiPriority w:val="9"/>
    <w:qFormat/>
    <w:rsid w:val="001233CF"/>
    <w:pPr>
      <w:keepNext/>
      <w:keepLines/>
      <w:pBdr>
        <w:bottom w:val="single" w:sz="4" w:space="1" w:color="5B9BD5"/>
      </w:pBdr>
      <w:spacing w:before="400" w:after="40"/>
      <w:jc w:val="both"/>
      <w:outlineLvl w:val="0"/>
    </w:pPr>
    <w:rPr>
      <w:rFonts w:eastAsia="SimSun"/>
      <w:b/>
      <w:caps/>
      <w:color w:val="0070C0"/>
      <w:sz w:val="24"/>
      <w:szCs w:val="36"/>
    </w:rPr>
  </w:style>
  <w:style w:type="paragraph" w:styleId="Naslov2">
    <w:name w:val="heading 2"/>
    <w:basedOn w:val="Navaden"/>
    <w:next w:val="Navaden"/>
    <w:autoRedefine/>
    <w:uiPriority w:val="9"/>
    <w:unhideWhenUsed/>
    <w:qFormat/>
    <w:rsid w:val="000B2C28"/>
    <w:pPr>
      <w:keepNext/>
      <w:keepLines/>
      <w:spacing w:after="0"/>
      <w:jc w:val="both"/>
      <w:outlineLvl w:val="1"/>
    </w:pPr>
    <w:rPr>
      <w:rFonts w:eastAsia="SimSun"/>
      <w:b/>
      <w:color w:val="4472C4" w:themeColor="accent1"/>
      <w:sz w:val="24"/>
      <w:szCs w:val="28"/>
    </w:rPr>
  </w:style>
  <w:style w:type="paragraph" w:styleId="Naslov3">
    <w:name w:val="heading 3"/>
    <w:basedOn w:val="Navaden"/>
    <w:next w:val="Navaden"/>
    <w:autoRedefine/>
    <w:uiPriority w:val="9"/>
    <w:unhideWhenUsed/>
    <w:qFormat/>
    <w:rsid w:val="00E76A87"/>
    <w:pPr>
      <w:keepNext/>
      <w:keepLines/>
      <w:spacing w:after="0" w:line="276" w:lineRule="auto"/>
      <w:ind w:left="709" w:hanging="709"/>
      <w:jc w:val="both"/>
      <w:outlineLvl w:val="2"/>
    </w:pPr>
    <w:rPr>
      <w:rFonts w:eastAsia="SimSun"/>
      <w:color w:val="4472C4" w:themeColor="accent1"/>
      <w:sz w:val="24"/>
      <w:szCs w:val="26"/>
    </w:rPr>
  </w:style>
  <w:style w:type="paragraph" w:styleId="Naslov4">
    <w:name w:val="heading 4"/>
    <w:basedOn w:val="Navaden"/>
    <w:next w:val="Navaden"/>
    <w:autoRedefine/>
    <w:uiPriority w:val="9"/>
    <w:unhideWhenUsed/>
    <w:qFormat/>
    <w:rsid w:val="00AB3FDE"/>
    <w:pPr>
      <w:keepNext/>
      <w:keepLines/>
      <w:spacing w:before="80" w:after="0"/>
      <w:jc w:val="both"/>
      <w:outlineLvl w:val="3"/>
    </w:pPr>
    <w:rPr>
      <w:rFonts w:eastAsia="SimSun"/>
      <w:i/>
      <w:color w:val="4472C4" w:themeColor="accent1"/>
      <w:sz w:val="22"/>
      <w:szCs w:val="24"/>
    </w:rPr>
  </w:style>
  <w:style w:type="paragraph" w:styleId="Naslov5">
    <w:name w:val="heading 5"/>
    <w:basedOn w:val="Navaden"/>
    <w:next w:val="Navaden"/>
    <w:uiPriority w:val="9"/>
    <w:semiHidden/>
    <w:unhideWhenUsed/>
    <w:qFormat/>
    <w:pPr>
      <w:keepNext/>
      <w:keepLines/>
      <w:spacing w:before="80" w:after="0"/>
      <w:outlineLvl w:val="4"/>
    </w:pPr>
    <w:rPr>
      <w:rFonts w:ascii="Calibri Light" w:eastAsia="SimSun" w:hAnsi="Calibri Light"/>
      <w:i/>
      <w:iCs/>
      <w:sz w:val="22"/>
      <w:szCs w:val="22"/>
    </w:rPr>
  </w:style>
  <w:style w:type="paragraph" w:styleId="Naslov6">
    <w:name w:val="heading 6"/>
    <w:basedOn w:val="Navaden"/>
    <w:next w:val="Navaden"/>
    <w:uiPriority w:val="9"/>
    <w:semiHidden/>
    <w:unhideWhenUsed/>
    <w:qFormat/>
    <w:pPr>
      <w:keepNext/>
      <w:keepLines/>
      <w:spacing w:before="80" w:after="0"/>
      <w:outlineLvl w:val="5"/>
    </w:pPr>
    <w:rPr>
      <w:rFonts w:ascii="Calibri Light" w:eastAsia="SimSun" w:hAnsi="Calibri Light"/>
      <w:color w:val="595959"/>
      <w:szCs w:val="20"/>
    </w:rPr>
  </w:style>
  <w:style w:type="paragraph" w:styleId="Naslov7">
    <w:name w:val="heading 7"/>
    <w:basedOn w:val="Navaden"/>
    <w:next w:val="Navaden"/>
    <w:pPr>
      <w:keepNext/>
      <w:keepLines/>
      <w:spacing w:before="80" w:after="0"/>
      <w:outlineLvl w:val="6"/>
    </w:pPr>
    <w:rPr>
      <w:rFonts w:ascii="Calibri Light" w:eastAsia="SimSun" w:hAnsi="Calibri Light"/>
      <w:i/>
      <w:iCs/>
      <w:color w:val="595959"/>
      <w:szCs w:val="20"/>
    </w:rPr>
  </w:style>
  <w:style w:type="paragraph" w:styleId="Naslov8">
    <w:name w:val="heading 8"/>
    <w:basedOn w:val="Navaden"/>
    <w:next w:val="Navaden"/>
    <w:pPr>
      <w:keepNext/>
      <w:keepLines/>
      <w:spacing w:before="80" w:after="0"/>
      <w:outlineLvl w:val="7"/>
    </w:pPr>
    <w:rPr>
      <w:rFonts w:ascii="Calibri Light" w:eastAsia="SimSun" w:hAnsi="Calibri Light"/>
      <w:smallCaps/>
      <w:color w:val="595959"/>
      <w:szCs w:val="20"/>
    </w:rPr>
  </w:style>
  <w:style w:type="paragraph" w:styleId="Naslov9">
    <w:name w:val="heading 9"/>
    <w:basedOn w:val="Navaden"/>
    <w:next w:val="Navaden"/>
    <w:pPr>
      <w:keepNext/>
      <w:keepLines/>
      <w:spacing w:before="80" w:after="0"/>
      <w:outlineLvl w:val="8"/>
    </w:pPr>
    <w:rPr>
      <w:rFonts w:ascii="Calibri Light" w:eastAsia="SimSun" w:hAnsi="Calibri Light"/>
      <w:i/>
      <w:iCs/>
      <w:smallCaps/>
      <w:color w:val="595959"/>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Odsek">
    <w:name w:val="Odsek"/>
    <w:basedOn w:val="Navaden"/>
    <w:pPr>
      <w:keepNext/>
      <w:tabs>
        <w:tab w:val="left" w:pos="567"/>
      </w:tabs>
      <w:spacing w:before="240" w:after="60"/>
      <w:jc w:val="both"/>
      <w:outlineLvl w:val="1"/>
    </w:pPr>
    <w:rPr>
      <w:rFonts w:eastAsia="SimSun"/>
      <w:sz w:val="22"/>
      <w:szCs w:val="22"/>
      <w:lang w:eastAsia="zh-CN"/>
    </w:rPr>
  </w:style>
  <w:style w:type="paragraph" w:customStyle="1" w:styleId="Poglavje">
    <w:name w:val="Poglavje"/>
    <w:basedOn w:val="Navaden"/>
    <w:pPr>
      <w:spacing w:before="360" w:after="60" w:line="200" w:lineRule="exact"/>
      <w:jc w:val="center"/>
      <w:outlineLvl w:val="3"/>
    </w:pPr>
    <w:rPr>
      <w:rFonts w:cs="Arial"/>
      <w:b/>
      <w:bCs/>
      <w:sz w:val="22"/>
      <w:szCs w:val="22"/>
    </w:rPr>
  </w:style>
  <w:style w:type="paragraph" w:styleId="Glava">
    <w:name w:val="header"/>
    <w:basedOn w:val="Navaden"/>
    <w:pPr>
      <w:tabs>
        <w:tab w:val="center" w:pos="4320"/>
        <w:tab w:val="right" w:pos="8640"/>
      </w:tabs>
    </w:pPr>
    <w:rPr>
      <w:szCs w:val="20"/>
      <w:lang w:val="en-US" w:eastAsia="en-US"/>
    </w:rPr>
  </w:style>
  <w:style w:type="paragraph" w:styleId="Noga">
    <w:name w:val="footer"/>
    <w:basedOn w:val="Navaden"/>
    <w:pPr>
      <w:tabs>
        <w:tab w:val="center" w:pos="4320"/>
        <w:tab w:val="right" w:pos="8640"/>
      </w:tabs>
    </w:pPr>
    <w:rPr>
      <w:szCs w:val="20"/>
      <w:lang w:eastAsia="en-US"/>
    </w:rPr>
  </w:style>
  <w:style w:type="paragraph" w:styleId="Zgradbadokumenta">
    <w:name w:val="Document Map"/>
    <w:basedOn w:val="Navaden"/>
    <w:rPr>
      <w:rFonts w:ascii="Tahoma" w:hAnsi="Tahoma"/>
      <w:sz w:val="16"/>
      <w:szCs w:val="16"/>
      <w:lang w:val="en-US" w:eastAsia="en-US"/>
    </w:rPr>
  </w:style>
  <w:style w:type="character" w:customStyle="1" w:styleId="ZgradbadokumentaZnak">
    <w:name w:val="Zgradba dokumenta Znak"/>
    <w:rPr>
      <w:rFonts w:ascii="Tahoma" w:hAnsi="Tahoma" w:cs="Tahoma"/>
      <w:sz w:val="16"/>
      <w:szCs w:val="16"/>
      <w:lang w:val="en-US" w:eastAsia="en-US"/>
    </w:rPr>
  </w:style>
  <w:style w:type="paragraph" w:customStyle="1" w:styleId="datumtevilka">
    <w:name w:val="datum številka"/>
    <w:basedOn w:val="Navaden"/>
    <w:pPr>
      <w:tabs>
        <w:tab w:val="left" w:pos="1701"/>
      </w:tabs>
    </w:pPr>
    <w:rPr>
      <w:lang w:eastAsia="ja-JP"/>
    </w:rPr>
  </w:style>
  <w:style w:type="paragraph" w:customStyle="1" w:styleId="ZADEVA">
    <w:name w:val="ZADEVA"/>
    <w:basedOn w:val="Navaden"/>
    <w:pPr>
      <w:tabs>
        <w:tab w:val="left" w:pos="1701"/>
      </w:tabs>
      <w:ind w:left="1701" w:hanging="1701"/>
    </w:pPr>
    <w:rPr>
      <w:b/>
      <w:bCs/>
      <w:lang w:val="it-IT"/>
    </w:rPr>
  </w:style>
  <w:style w:type="character" w:styleId="Hiperpovezava">
    <w:name w:val="Hyperlink"/>
    <w:uiPriority w:val="99"/>
    <w:rPr>
      <w:color w:val="0000FF"/>
      <w:u w:val="single"/>
    </w:rPr>
  </w:style>
  <w:style w:type="paragraph" w:customStyle="1" w:styleId="podpisi">
    <w:name w:val="podpisi"/>
    <w:basedOn w:val="Navaden"/>
    <w:pPr>
      <w:tabs>
        <w:tab w:val="left" w:pos="3402"/>
      </w:tabs>
    </w:pPr>
    <w:rPr>
      <w:lang w:val="it-IT"/>
    </w:rPr>
  </w:style>
  <w:style w:type="paragraph" w:customStyle="1" w:styleId="Vrstapredpisa">
    <w:name w:val="Vrsta predpisa"/>
    <w:basedOn w:val="Navaden"/>
    <w:pPr>
      <w:spacing w:before="360" w:line="220" w:lineRule="exact"/>
      <w:jc w:val="center"/>
    </w:pPr>
    <w:rPr>
      <w:rFonts w:cs="Arial"/>
      <w:b/>
      <w:bCs/>
      <w:color w:val="000000"/>
      <w:sz w:val="22"/>
      <w:szCs w:val="22"/>
    </w:rPr>
  </w:style>
  <w:style w:type="character" w:customStyle="1" w:styleId="VrstapredpisaZnak">
    <w:name w:val="Vrsta predpisa Znak"/>
    <w:rPr>
      <w:rFonts w:ascii="Arial" w:hAnsi="Arial" w:cs="Arial"/>
      <w:b/>
      <w:bCs/>
      <w:color w:val="000000"/>
      <w:spacing w:val="40"/>
      <w:sz w:val="22"/>
      <w:szCs w:val="22"/>
      <w:lang w:val="sl-SI" w:eastAsia="sl-SI" w:bidi="ar-SA"/>
    </w:rPr>
  </w:style>
  <w:style w:type="paragraph" w:customStyle="1" w:styleId="Naslovpredpisa">
    <w:name w:val="Naslov_predpisa"/>
    <w:basedOn w:val="Navaden"/>
    <w:pPr>
      <w:spacing w:before="120" w:after="160" w:line="200" w:lineRule="exact"/>
      <w:jc w:val="center"/>
    </w:pPr>
    <w:rPr>
      <w:rFonts w:cs="Arial"/>
      <w:b/>
      <w:bCs/>
      <w:sz w:val="22"/>
      <w:szCs w:val="22"/>
    </w:rPr>
  </w:style>
  <w:style w:type="character" w:customStyle="1" w:styleId="NaslovpredpisaZnak">
    <w:name w:val="Naslov_predpisa Znak"/>
    <w:rPr>
      <w:rFonts w:ascii="Arial" w:hAnsi="Arial" w:cs="Arial"/>
      <w:b/>
      <w:sz w:val="22"/>
      <w:szCs w:val="22"/>
      <w:lang w:val="sl-SI" w:eastAsia="sl-SI" w:bidi="ar-SA"/>
    </w:rPr>
  </w:style>
  <w:style w:type="paragraph" w:customStyle="1" w:styleId="Neotevilenodstavek">
    <w:name w:val="Neoštevilčen odstavek"/>
    <w:basedOn w:val="Navaden"/>
    <w:pPr>
      <w:spacing w:before="60" w:after="60" w:line="200" w:lineRule="exact"/>
      <w:jc w:val="both"/>
    </w:pPr>
    <w:rPr>
      <w:rFonts w:cs="Arial"/>
      <w:sz w:val="22"/>
      <w:szCs w:val="22"/>
    </w:rPr>
  </w:style>
  <w:style w:type="character" w:customStyle="1" w:styleId="NeotevilenodstavekZnak">
    <w:name w:val="Neoštevilčen odstavek Znak"/>
    <w:rPr>
      <w:rFonts w:ascii="Arial" w:hAnsi="Arial" w:cs="Arial"/>
      <w:sz w:val="22"/>
      <w:szCs w:val="22"/>
      <w:lang w:val="sl-SI" w:eastAsia="sl-SI" w:bidi="ar-SA"/>
    </w:rPr>
  </w:style>
  <w:style w:type="paragraph" w:customStyle="1" w:styleId="Oddelek">
    <w:name w:val="Oddelek"/>
    <w:basedOn w:val="Navaden"/>
    <w:pPr>
      <w:numPr>
        <w:numId w:val="5"/>
      </w:numPr>
      <w:spacing w:before="280" w:after="60" w:line="200" w:lineRule="exact"/>
      <w:jc w:val="center"/>
      <w:outlineLvl w:val="3"/>
    </w:pPr>
    <w:rPr>
      <w:b/>
      <w:bCs/>
      <w:sz w:val="22"/>
      <w:szCs w:val="22"/>
    </w:rPr>
  </w:style>
  <w:style w:type="character" w:customStyle="1" w:styleId="OddelekZnak1">
    <w:name w:val="Oddelek Znak1"/>
    <w:rPr>
      <w:b/>
      <w:sz w:val="22"/>
      <w:szCs w:val="22"/>
    </w:rPr>
  </w:style>
  <w:style w:type="paragraph" w:customStyle="1" w:styleId="Alineazaodstavkom">
    <w:name w:val="Alinea za odstavkom"/>
    <w:basedOn w:val="Navaden"/>
    <w:pPr>
      <w:numPr>
        <w:numId w:val="6"/>
      </w:numPr>
      <w:spacing w:line="200" w:lineRule="exact"/>
      <w:jc w:val="both"/>
    </w:pPr>
    <w:rPr>
      <w:sz w:val="22"/>
      <w:szCs w:val="22"/>
    </w:rPr>
  </w:style>
  <w:style w:type="character" w:customStyle="1" w:styleId="AlineazaodstavkomZnak">
    <w:name w:val="Alinea za odstavkom Znak"/>
    <w:rPr>
      <w:sz w:val="22"/>
      <w:szCs w:val="22"/>
    </w:rPr>
  </w:style>
  <w:style w:type="paragraph" w:customStyle="1" w:styleId="Odstavekseznama1">
    <w:name w:val="Odstavek seznama1"/>
    <w:basedOn w:val="Navaden"/>
    <w:pPr>
      <w:ind w:left="720"/>
      <w:contextualSpacing/>
    </w:pPr>
    <w:rPr>
      <w:rFonts w:ascii="Times New Roman" w:hAnsi="Times New Roman"/>
      <w:sz w:val="24"/>
      <w:szCs w:val="24"/>
    </w:rPr>
  </w:style>
  <w:style w:type="paragraph" w:customStyle="1" w:styleId="Alineazatoko">
    <w:name w:val="Alinea za točko"/>
    <w:basedOn w:val="Navaden"/>
    <w:pPr>
      <w:spacing w:line="200" w:lineRule="exact"/>
      <w:ind w:left="1428" w:hanging="360"/>
      <w:jc w:val="both"/>
    </w:pPr>
    <w:rPr>
      <w:sz w:val="22"/>
      <w:szCs w:val="22"/>
    </w:rPr>
  </w:style>
  <w:style w:type="character" w:customStyle="1" w:styleId="AlineazatokoZnak">
    <w:name w:val="Alinea za točko Znak"/>
    <w:rPr>
      <w:rFonts w:ascii="Arial" w:hAnsi="Arial" w:cs="Arial"/>
      <w:sz w:val="22"/>
      <w:szCs w:val="22"/>
    </w:rPr>
  </w:style>
  <w:style w:type="character" w:customStyle="1" w:styleId="rkovnatokazaodstavkomZnak">
    <w:name w:val="Črkovna točka_za odstavkom Znak"/>
    <w:rPr>
      <w:sz w:val="21"/>
      <w:lang w:val="sl-SI"/>
    </w:rPr>
  </w:style>
  <w:style w:type="paragraph" w:customStyle="1" w:styleId="rkovnatokazaodstavkom">
    <w:name w:val="Črkovna točka_za odstavkom"/>
    <w:basedOn w:val="Navaden"/>
    <w:pPr>
      <w:spacing w:line="200" w:lineRule="exact"/>
      <w:jc w:val="both"/>
    </w:pPr>
  </w:style>
  <w:style w:type="character" w:customStyle="1" w:styleId="OdsekZnak">
    <w:name w:val="Odsek Znak"/>
    <w:rPr>
      <w:rFonts w:ascii="Calibri" w:eastAsia="SimSun" w:hAnsi="Calibri" w:cs="Arial"/>
      <w:b w:val="0"/>
      <w:sz w:val="22"/>
      <w:szCs w:val="22"/>
      <w:lang w:eastAsia="zh-CN"/>
    </w:rPr>
  </w:style>
  <w:style w:type="character" w:customStyle="1" w:styleId="GlavaZnak">
    <w:name w:val="Glava Znak"/>
    <w:rPr>
      <w:rFonts w:ascii="Arial" w:hAnsi="Arial"/>
      <w:szCs w:val="24"/>
      <w:lang w:val="en-US" w:eastAsia="en-US"/>
    </w:rPr>
  </w:style>
  <w:style w:type="character" w:customStyle="1" w:styleId="Naslov1Znak">
    <w:name w:val="Naslov 1 Znak"/>
    <w:rPr>
      <w:rFonts w:ascii="Calibri Light" w:eastAsia="SimSun" w:hAnsi="Calibri Light" w:cs="Times New Roman"/>
      <w:color w:val="2E74B5"/>
      <w:sz w:val="36"/>
      <w:szCs w:val="36"/>
    </w:rPr>
  </w:style>
  <w:style w:type="character" w:styleId="Pripombasklic">
    <w:name w:val="annotation reference"/>
    <w:uiPriority w:val="99"/>
    <w:rPr>
      <w:sz w:val="16"/>
      <w:szCs w:val="16"/>
    </w:rPr>
  </w:style>
  <w:style w:type="paragraph" w:styleId="Pripombabesedilo">
    <w:name w:val="annotation text"/>
    <w:basedOn w:val="Navaden"/>
    <w:pPr>
      <w:jc w:val="both"/>
    </w:pPr>
    <w:rPr>
      <w:szCs w:val="20"/>
      <w:lang w:eastAsia="en-US"/>
    </w:rPr>
  </w:style>
  <w:style w:type="character" w:customStyle="1" w:styleId="PripombabesediloZnak">
    <w:name w:val="Pripomba – besedilo Znak"/>
    <w:rPr>
      <w:lang w:eastAsia="en-US"/>
    </w:rPr>
  </w:style>
  <w:style w:type="paragraph" w:styleId="Besedilooblaka">
    <w:name w:val="Balloon Text"/>
    <w:basedOn w:val="Navaden"/>
    <w:rPr>
      <w:rFonts w:ascii="Tahoma" w:hAnsi="Tahoma"/>
      <w:sz w:val="16"/>
      <w:szCs w:val="16"/>
      <w:lang w:eastAsia="en-US"/>
    </w:rPr>
  </w:style>
  <w:style w:type="character" w:customStyle="1" w:styleId="BesedilooblakaZnak">
    <w:name w:val="Besedilo oblačka Znak"/>
    <w:rPr>
      <w:rFonts w:ascii="Tahoma" w:hAnsi="Tahoma" w:cs="Tahoma"/>
      <w:sz w:val="16"/>
      <w:szCs w:val="16"/>
      <w:lang w:eastAsia="en-US"/>
    </w:rPr>
  </w:style>
  <w:style w:type="paragraph" w:styleId="Zadevapripombe">
    <w:name w:val="annotation subject"/>
    <w:basedOn w:val="Pripombabesedilo"/>
    <w:next w:val="Pripombabesedilo"/>
    <w:pPr>
      <w:spacing w:line="260" w:lineRule="exact"/>
      <w:jc w:val="left"/>
    </w:pPr>
    <w:rPr>
      <w:b/>
      <w:bCs/>
    </w:rPr>
  </w:style>
  <w:style w:type="character" w:customStyle="1" w:styleId="ZadevapripombeZnak">
    <w:name w:val="Zadeva pripombe Znak"/>
    <w:rPr>
      <w:rFonts w:ascii="Arial" w:hAnsi="Arial"/>
      <w:b/>
      <w:bCs/>
      <w:lang w:eastAsia="en-US"/>
    </w:rPr>
  </w:style>
  <w:style w:type="character" w:customStyle="1" w:styleId="Naslov2Znak">
    <w:name w:val="Naslov 2 Znak"/>
    <w:rPr>
      <w:rFonts w:ascii="Calibri Light" w:eastAsia="SimSun" w:hAnsi="Calibri Light"/>
      <w:color w:val="2E74B5"/>
      <w:sz w:val="28"/>
      <w:szCs w:val="28"/>
    </w:rPr>
  </w:style>
  <w:style w:type="character" w:customStyle="1" w:styleId="Naslov3Znak2">
    <w:name w:val="Naslov 3 Znak2"/>
    <w:rPr>
      <w:rFonts w:ascii="Cambria" w:eastAsia="Times New Roman" w:hAnsi="Cambria" w:cs="Times New Roman"/>
      <w:b/>
      <w:bCs/>
      <w:sz w:val="26"/>
      <w:szCs w:val="26"/>
      <w:lang w:eastAsia="en-US"/>
    </w:rPr>
  </w:style>
  <w:style w:type="character" w:customStyle="1" w:styleId="Naslov4Znak">
    <w:name w:val="Naslov 4 Znak"/>
    <w:rPr>
      <w:rFonts w:ascii="Calibri Light" w:eastAsia="SimSun" w:hAnsi="Calibri Light" w:cs="Times New Roman"/>
      <w:sz w:val="24"/>
      <w:szCs w:val="24"/>
    </w:rPr>
  </w:style>
  <w:style w:type="character" w:customStyle="1" w:styleId="Naslov5Znak">
    <w:name w:val="Naslov 5 Znak"/>
    <w:rPr>
      <w:rFonts w:ascii="Calibri Light" w:eastAsia="SimSun" w:hAnsi="Calibri Light" w:cs="Times New Roman"/>
      <w:i/>
      <w:iCs/>
      <w:sz w:val="22"/>
      <w:szCs w:val="22"/>
    </w:rPr>
  </w:style>
  <w:style w:type="character" w:customStyle="1" w:styleId="Naslov6Znak">
    <w:name w:val="Naslov 6 Znak"/>
    <w:rPr>
      <w:rFonts w:ascii="Calibri Light" w:eastAsia="SimSun" w:hAnsi="Calibri Light" w:cs="Times New Roman"/>
      <w:color w:val="595959"/>
    </w:rPr>
  </w:style>
  <w:style w:type="character" w:customStyle="1" w:styleId="Naslov7Znak">
    <w:name w:val="Naslov 7 Znak"/>
    <w:rPr>
      <w:rFonts w:ascii="Calibri Light" w:eastAsia="SimSun" w:hAnsi="Calibri Light" w:cs="Times New Roman"/>
      <w:i/>
      <w:iCs/>
      <w:color w:val="595959"/>
    </w:rPr>
  </w:style>
  <w:style w:type="character" w:customStyle="1" w:styleId="Naslov8Znak">
    <w:name w:val="Naslov 8 Znak"/>
    <w:rPr>
      <w:rFonts w:ascii="Calibri Light" w:eastAsia="SimSun" w:hAnsi="Calibri Light" w:cs="Times New Roman"/>
      <w:smallCaps/>
      <w:color w:val="595959"/>
    </w:rPr>
  </w:style>
  <w:style w:type="character" w:customStyle="1" w:styleId="Naslov9Znak">
    <w:name w:val="Naslov 9 Znak"/>
    <w:rPr>
      <w:rFonts w:ascii="Calibri Light" w:eastAsia="SimSun" w:hAnsi="Calibri Light" w:cs="Times New Roman"/>
      <w:i/>
      <w:iCs/>
      <w:smallCaps/>
      <w:color w:val="595959"/>
    </w:rPr>
  </w:style>
  <w:style w:type="paragraph" w:customStyle="1" w:styleId="ListParagraph1">
    <w:name w:val="List Paragraph1"/>
    <w:basedOn w:val="Navaden"/>
    <w:pPr>
      <w:ind w:left="720"/>
    </w:pPr>
    <w:rPr>
      <w:rFonts w:eastAsia="Calibri"/>
      <w:szCs w:val="20"/>
      <w:lang w:eastAsia="en-US"/>
    </w:rPr>
  </w:style>
  <w:style w:type="character" w:customStyle="1" w:styleId="ListParagraphChar">
    <w:name w:val="List Paragraph Char"/>
    <w:rPr>
      <w:rFonts w:ascii="Calibri" w:eastAsia="Calibri" w:hAnsi="Calibri"/>
      <w:lang w:eastAsia="en-US"/>
    </w:rPr>
  </w:style>
  <w:style w:type="character" w:customStyle="1" w:styleId="OdstavekseznamaZnak">
    <w:name w:val="Odstavek seznama Znak"/>
  </w:style>
  <w:style w:type="paragraph" w:styleId="Odstavekseznama">
    <w:name w:val="List Paragraph"/>
    <w:basedOn w:val="Navaden"/>
    <w:pPr>
      <w:ind w:left="720"/>
      <w:contextualSpacing/>
    </w:pPr>
  </w:style>
  <w:style w:type="paragraph" w:customStyle="1" w:styleId="align-justify">
    <w:name w:val="align-justify"/>
    <w:basedOn w:val="Navaden"/>
    <w:rPr>
      <w:rFonts w:ascii="Times New Roman" w:hAnsi="Times New Roman"/>
      <w:sz w:val="24"/>
      <w:szCs w:val="24"/>
    </w:rPr>
  </w:style>
  <w:style w:type="character" w:styleId="Krepko">
    <w:name w:val="Strong"/>
    <w:uiPriority w:val="22"/>
    <w:qFormat/>
    <w:rPr>
      <w:b/>
      <w:bCs/>
    </w:rPr>
  </w:style>
  <w:style w:type="paragraph" w:styleId="Navadensplet">
    <w:name w:val="Normal (Web)"/>
    <w:basedOn w:val="Navaden"/>
    <w:rPr>
      <w:rFonts w:ascii="Times New Roman" w:hAnsi="Times New Roman"/>
      <w:sz w:val="24"/>
      <w:szCs w:val="24"/>
    </w:rPr>
  </w:style>
  <w:style w:type="paragraph" w:styleId="Sprotnaopomba-besedilo">
    <w:name w:val="footnote text"/>
    <w:basedOn w:val="Navaden"/>
    <w:rPr>
      <w:rFonts w:ascii="Times New Roman" w:hAnsi="Times New Roman"/>
    </w:rPr>
  </w:style>
  <w:style w:type="character" w:customStyle="1" w:styleId="Sprotnaopomba-besediloZnak">
    <w:name w:val="Sprotna opomba - besedilo Znak"/>
    <w:basedOn w:val="Privzetapisavaodstavka"/>
  </w:style>
  <w:style w:type="character" w:styleId="Sprotnaopomba-sklic">
    <w:name w:val="footnote reference"/>
    <w:rPr>
      <w:position w:val="0"/>
      <w:vertAlign w:val="superscript"/>
    </w:rPr>
  </w:style>
  <w:style w:type="paragraph" w:styleId="Telobesedila2">
    <w:name w:val="Body Text 2"/>
    <w:basedOn w:val="Navaden"/>
    <w:rPr>
      <w:sz w:val="24"/>
      <w:szCs w:val="24"/>
    </w:rPr>
  </w:style>
  <w:style w:type="character" w:customStyle="1" w:styleId="Telobesedila2Znak">
    <w:name w:val="Telo besedila 2 Znak"/>
    <w:rPr>
      <w:sz w:val="24"/>
      <w:szCs w:val="24"/>
    </w:rPr>
  </w:style>
  <w:style w:type="paragraph" w:customStyle="1" w:styleId="ZnakZnak4ZnakZnak">
    <w:name w:val="Znak Znak4 Znak Znak"/>
    <w:basedOn w:val="Navaden"/>
    <w:pPr>
      <w:spacing w:after="160" w:line="240" w:lineRule="exact"/>
    </w:pPr>
    <w:rPr>
      <w:rFonts w:ascii="Tahoma" w:eastAsia="SimSun" w:hAnsi="Tahoma" w:cs="Tahoma"/>
      <w:lang w:val="en-US"/>
    </w:rPr>
  </w:style>
  <w:style w:type="paragraph" w:customStyle="1" w:styleId="Text3">
    <w:name w:val="Text 3"/>
    <w:basedOn w:val="Navaden"/>
    <w:pPr>
      <w:tabs>
        <w:tab w:val="left" w:pos="2302"/>
      </w:tabs>
      <w:spacing w:after="240"/>
      <w:ind w:left="1202"/>
      <w:jc w:val="both"/>
    </w:pPr>
    <w:rPr>
      <w:rFonts w:ascii="Times New Roman" w:eastAsia="Arial" w:hAnsi="Times New Roman"/>
      <w:sz w:val="24"/>
      <w:szCs w:val="24"/>
      <w:lang w:val="en-GB"/>
    </w:rPr>
  </w:style>
  <w:style w:type="paragraph" w:styleId="Telobesedila">
    <w:name w:val="Body Text"/>
    <w:basedOn w:val="Navaden"/>
    <w:rPr>
      <w:sz w:val="24"/>
      <w:szCs w:val="24"/>
    </w:rPr>
  </w:style>
  <w:style w:type="character" w:customStyle="1" w:styleId="TelobesedilaZnak">
    <w:name w:val="Telo besedila Znak"/>
    <w:rPr>
      <w:sz w:val="24"/>
      <w:szCs w:val="24"/>
    </w:rPr>
  </w:style>
  <w:style w:type="character" w:styleId="Poudarek">
    <w:name w:val="Emphasis"/>
    <w:uiPriority w:val="20"/>
    <w:qFormat/>
    <w:rPr>
      <w:i/>
      <w:iCs/>
    </w:rPr>
  </w:style>
  <w:style w:type="paragraph" w:customStyle="1" w:styleId="documentdescription">
    <w:name w:val="documentdescription"/>
    <w:basedOn w:val="Navaden"/>
    <w:pPr>
      <w:spacing w:after="360" w:line="270" w:lineRule="atLeast"/>
    </w:pPr>
    <w:rPr>
      <w:rFonts w:ascii="Times New Roman" w:hAnsi="Times New Roman"/>
      <w:b/>
      <w:bCs/>
      <w:color w:val="004C83"/>
      <w:sz w:val="24"/>
      <w:szCs w:val="24"/>
    </w:rPr>
  </w:style>
  <w:style w:type="character" w:customStyle="1" w:styleId="apple-style-span">
    <w:name w:val="apple-style-span"/>
  </w:style>
  <w:style w:type="paragraph" w:customStyle="1" w:styleId="CharCharChar1">
    <w:name w:val="Char Char Char1"/>
    <w:basedOn w:val="Navaden"/>
    <w:pPr>
      <w:spacing w:after="160" w:line="240" w:lineRule="exact"/>
    </w:pPr>
    <w:rPr>
      <w:rFonts w:ascii="Times New Roman" w:hAnsi="Times New Roman"/>
      <w:color w:val="000000"/>
    </w:rPr>
  </w:style>
  <w:style w:type="paragraph" w:customStyle="1" w:styleId="Default">
    <w:name w:val="Default"/>
    <w:pPr>
      <w:suppressAutoHyphens/>
      <w:autoSpaceDE w:val="0"/>
      <w:spacing w:after="120" w:line="264" w:lineRule="auto"/>
    </w:pPr>
    <w:rPr>
      <w:rFonts w:ascii="Trebuchet MS" w:hAnsi="Trebuchet MS" w:cs="Trebuchet MS"/>
      <w:color w:val="000000"/>
      <w:sz w:val="24"/>
      <w:szCs w:val="24"/>
      <w:lang w:eastAsia="sl-SI"/>
    </w:rPr>
  </w:style>
  <w:style w:type="paragraph" w:customStyle="1" w:styleId="BodyText21">
    <w:name w:val="Body Text 21"/>
    <w:basedOn w:val="Navaden"/>
    <w:pPr>
      <w:spacing w:line="313" w:lineRule="atLeast"/>
      <w:jc w:val="both"/>
    </w:pPr>
    <w:rPr>
      <w:rFonts w:ascii="Times New Roman" w:hAnsi="Times New Roman"/>
      <w:sz w:val="24"/>
      <w:szCs w:val="24"/>
    </w:rPr>
  </w:style>
  <w:style w:type="paragraph" w:customStyle="1" w:styleId="ZnakZnak4ZnakZnak0">
    <w:name w:val="Znak Znak4 Znak Znak0"/>
    <w:basedOn w:val="Navaden"/>
    <w:pPr>
      <w:spacing w:after="160" w:line="240" w:lineRule="exact"/>
    </w:pPr>
    <w:rPr>
      <w:rFonts w:ascii="Tahoma" w:eastAsia="SimSun" w:hAnsi="Tahoma" w:cs="Tahoma"/>
      <w:lang w:val="en-US"/>
    </w:rPr>
  </w:style>
  <w:style w:type="character" w:styleId="tevilkastrani">
    <w:name w:val="page number"/>
  </w:style>
  <w:style w:type="paragraph" w:styleId="Telobesedila-zamik">
    <w:name w:val="Body Text Indent"/>
    <w:basedOn w:val="Navaden"/>
    <w:pPr>
      <w:ind w:left="283"/>
    </w:pPr>
    <w:rPr>
      <w:rFonts w:eastAsia="SimSun"/>
      <w:sz w:val="24"/>
      <w:szCs w:val="24"/>
      <w:lang w:eastAsia="zh-CN"/>
    </w:rPr>
  </w:style>
  <w:style w:type="character" w:customStyle="1" w:styleId="Telobesedila-zamikZnak">
    <w:name w:val="Telo besedila - zamik Znak"/>
    <w:rPr>
      <w:rFonts w:ascii="Calibri" w:eastAsia="SimSun" w:hAnsi="Calibri"/>
      <w:sz w:val="24"/>
      <w:szCs w:val="24"/>
      <w:lang w:eastAsia="zh-CN"/>
    </w:rPr>
  </w:style>
  <w:style w:type="paragraph" w:customStyle="1" w:styleId="bodytext">
    <w:name w:val="bodytext"/>
    <w:basedOn w:val="Navaden"/>
    <w:pPr>
      <w:spacing w:line="337" w:lineRule="atLeast"/>
    </w:pPr>
    <w:rPr>
      <w:rFonts w:ascii="Verdana" w:eastAsia="SimSun" w:hAnsi="Verdana"/>
      <w:color w:val="000000"/>
      <w:sz w:val="22"/>
      <w:szCs w:val="22"/>
      <w:lang w:eastAsia="zh-CN"/>
    </w:rPr>
  </w:style>
  <w:style w:type="paragraph" w:styleId="HTML-oblikovano">
    <w:name w:val="HTML Preformatted"/>
    <w:basedOn w:val="Nava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18"/>
      <w:szCs w:val="18"/>
      <w:lang w:eastAsia="zh-CN"/>
    </w:rPr>
  </w:style>
  <w:style w:type="character" w:customStyle="1" w:styleId="HTML-oblikovanoZnak">
    <w:name w:val="HTML-oblikovano Znak"/>
    <w:rPr>
      <w:rFonts w:ascii="Courier New" w:eastAsia="Calibri" w:hAnsi="Courier New" w:cs="Courier New"/>
      <w:color w:val="000000"/>
      <w:sz w:val="18"/>
      <w:szCs w:val="18"/>
      <w:lang w:eastAsia="zh-CN"/>
    </w:rPr>
  </w:style>
  <w:style w:type="paragraph" w:styleId="Napis">
    <w:name w:val="caption"/>
    <w:basedOn w:val="Navaden"/>
    <w:next w:val="Navaden"/>
    <w:rPr>
      <w:b/>
      <w:bCs/>
      <w:color w:val="404040"/>
      <w:szCs w:val="20"/>
    </w:rPr>
  </w:style>
  <w:style w:type="paragraph" w:styleId="Naslov">
    <w:name w:val="Title"/>
    <w:basedOn w:val="Navaden"/>
    <w:next w:val="Navaden"/>
    <w:uiPriority w:val="10"/>
    <w:qFormat/>
    <w:pPr>
      <w:spacing w:after="0"/>
      <w:contextualSpacing/>
    </w:pPr>
    <w:rPr>
      <w:rFonts w:ascii="Calibri Light" w:eastAsia="SimSun" w:hAnsi="Calibri Light"/>
      <w:color w:val="2E74B5"/>
      <w:sz w:val="80"/>
      <w:szCs w:val="80"/>
    </w:rPr>
  </w:style>
  <w:style w:type="character" w:customStyle="1" w:styleId="NaslovZnak">
    <w:name w:val="Naslov Znak"/>
    <w:rPr>
      <w:rFonts w:ascii="Calibri Light" w:eastAsia="SimSun" w:hAnsi="Calibri Light" w:cs="Times New Roman"/>
      <w:color w:val="2E74B5"/>
      <w:spacing w:val="-7"/>
      <w:sz w:val="80"/>
      <w:szCs w:val="80"/>
    </w:rPr>
  </w:style>
  <w:style w:type="paragraph" w:styleId="Podnaslov">
    <w:name w:val="Subtitle"/>
    <w:basedOn w:val="Navaden"/>
    <w:next w:val="Navaden"/>
    <w:uiPriority w:val="11"/>
    <w:qFormat/>
    <w:pPr>
      <w:spacing w:after="240"/>
    </w:pPr>
    <w:rPr>
      <w:rFonts w:ascii="Calibri Light" w:eastAsia="SimSun" w:hAnsi="Calibri Light"/>
      <w:color w:val="404040"/>
      <w:sz w:val="30"/>
      <w:szCs w:val="30"/>
    </w:rPr>
  </w:style>
  <w:style w:type="character" w:customStyle="1" w:styleId="PodnaslovZnak">
    <w:name w:val="Podnaslov Znak"/>
    <w:rPr>
      <w:rFonts w:ascii="Calibri Light" w:eastAsia="SimSun" w:hAnsi="Calibri Light" w:cs="Times New Roman"/>
      <w:color w:val="404040"/>
      <w:sz w:val="30"/>
      <w:szCs w:val="30"/>
    </w:rPr>
  </w:style>
  <w:style w:type="paragraph" w:customStyle="1" w:styleId="NoSpacing1">
    <w:name w:val="No Spacing1"/>
    <w:basedOn w:val="Navaden"/>
    <w:rPr>
      <w:rFonts w:eastAsia="SimSun"/>
      <w:sz w:val="24"/>
      <w:szCs w:val="24"/>
      <w:lang w:eastAsia="zh-CN"/>
    </w:rPr>
  </w:style>
  <w:style w:type="paragraph" w:customStyle="1" w:styleId="Quote1">
    <w:name w:val="Quote1"/>
    <w:basedOn w:val="Navaden"/>
    <w:next w:val="Navaden"/>
    <w:rPr>
      <w:rFonts w:eastAsia="SimSun"/>
      <w:i/>
      <w:iCs/>
      <w:sz w:val="24"/>
      <w:szCs w:val="24"/>
      <w:lang w:eastAsia="zh-CN"/>
    </w:rPr>
  </w:style>
  <w:style w:type="character" w:customStyle="1" w:styleId="QuoteChar">
    <w:name w:val="Quote Char"/>
    <w:rPr>
      <w:rFonts w:ascii="Calibri" w:eastAsia="SimSun" w:hAnsi="Calibri"/>
      <w:i/>
      <w:sz w:val="24"/>
      <w:szCs w:val="24"/>
      <w:lang w:eastAsia="zh-CN"/>
    </w:rPr>
  </w:style>
  <w:style w:type="paragraph" w:customStyle="1" w:styleId="IntenseQuote1">
    <w:name w:val="Intense Quote1"/>
    <w:basedOn w:val="Navaden"/>
    <w:next w:val="Navaden"/>
    <w:pPr>
      <w:ind w:left="720" w:right="720"/>
    </w:pPr>
    <w:rPr>
      <w:rFonts w:eastAsia="SimSun"/>
      <w:b/>
      <w:bCs/>
      <w:i/>
      <w:iCs/>
      <w:sz w:val="24"/>
      <w:szCs w:val="24"/>
      <w:lang w:eastAsia="zh-CN"/>
    </w:rPr>
  </w:style>
  <w:style w:type="character" w:customStyle="1" w:styleId="IntenseQuoteChar">
    <w:name w:val="Intense Quote Char"/>
    <w:rPr>
      <w:rFonts w:ascii="Calibri" w:eastAsia="SimSun" w:hAnsi="Calibri"/>
      <w:b/>
      <w:i/>
      <w:sz w:val="24"/>
      <w:szCs w:val="22"/>
      <w:lang w:eastAsia="zh-CN"/>
    </w:rPr>
  </w:style>
  <w:style w:type="character" w:customStyle="1" w:styleId="SubtleEmphasis1">
    <w:name w:val="Subtle Emphasis1"/>
    <w:rPr>
      <w:i/>
      <w:color w:val="5A5A5A"/>
    </w:rPr>
  </w:style>
  <w:style w:type="character" w:customStyle="1" w:styleId="IntenseEmphasis1">
    <w:name w:val="Intense Emphasis1"/>
    <w:rPr>
      <w:b/>
      <w:i/>
      <w:sz w:val="24"/>
      <w:szCs w:val="24"/>
      <w:u w:val="single"/>
    </w:rPr>
  </w:style>
  <w:style w:type="character" w:customStyle="1" w:styleId="SubtleReference1">
    <w:name w:val="Subtle Reference1"/>
    <w:rPr>
      <w:sz w:val="24"/>
      <w:szCs w:val="24"/>
      <w:u w:val="single"/>
    </w:rPr>
  </w:style>
  <w:style w:type="character" w:customStyle="1" w:styleId="IntenseReference1">
    <w:name w:val="Intense Reference1"/>
    <w:rPr>
      <w:b/>
      <w:sz w:val="24"/>
      <w:u w:val="single"/>
    </w:rPr>
  </w:style>
  <w:style w:type="character" w:customStyle="1" w:styleId="BookTitle1">
    <w:name w:val="Book Title1"/>
    <w:rPr>
      <w:rFonts w:ascii="Cambria" w:eastAsia="SimSun" w:hAnsi="Cambria"/>
      <w:b/>
      <w:i/>
      <w:sz w:val="24"/>
      <w:szCs w:val="24"/>
    </w:rPr>
  </w:style>
  <w:style w:type="paragraph" w:customStyle="1" w:styleId="TOCHeading1">
    <w:name w:val="TOC Heading1"/>
    <w:basedOn w:val="Naslov10"/>
    <w:next w:val="Navaden"/>
    <w:pPr>
      <w:tabs>
        <w:tab w:val="left" w:pos="567"/>
      </w:tabs>
      <w:ind w:left="432" w:hanging="432"/>
    </w:pPr>
    <w:rPr>
      <w:rFonts w:ascii="Cambria" w:hAnsi="Cambria"/>
      <w:bCs/>
      <w:sz w:val="32"/>
      <w:lang w:eastAsia="zh-CN"/>
    </w:rPr>
  </w:style>
  <w:style w:type="paragraph" w:styleId="Kazalovsebine1">
    <w:name w:val="toc 1"/>
    <w:basedOn w:val="Navaden"/>
    <w:next w:val="Navaden"/>
    <w:uiPriority w:val="39"/>
    <w:pPr>
      <w:spacing w:before="120"/>
    </w:pPr>
    <w:rPr>
      <w:rFonts w:asciiTheme="minorHAnsi" w:hAnsiTheme="minorHAnsi" w:cstheme="minorHAnsi"/>
      <w:b/>
      <w:bCs/>
      <w:caps/>
      <w:szCs w:val="20"/>
    </w:rPr>
  </w:style>
  <w:style w:type="paragraph" w:styleId="Kazalovsebine2">
    <w:name w:val="toc 2"/>
    <w:basedOn w:val="Navaden"/>
    <w:next w:val="Navaden"/>
    <w:uiPriority w:val="39"/>
    <w:pPr>
      <w:spacing w:after="0"/>
      <w:ind w:left="200"/>
    </w:pPr>
    <w:rPr>
      <w:rFonts w:asciiTheme="minorHAnsi" w:hAnsiTheme="minorHAnsi" w:cstheme="minorHAnsi"/>
      <w:smallCaps/>
      <w:szCs w:val="20"/>
    </w:rPr>
  </w:style>
  <w:style w:type="paragraph" w:styleId="Kazalovsebine3">
    <w:name w:val="toc 3"/>
    <w:basedOn w:val="Navaden"/>
    <w:next w:val="Navaden"/>
    <w:uiPriority w:val="39"/>
    <w:pPr>
      <w:spacing w:after="0"/>
      <w:ind w:left="400"/>
    </w:pPr>
    <w:rPr>
      <w:rFonts w:asciiTheme="minorHAnsi" w:hAnsiTheme="minorHAnsi" w:cstheme="minorHAnsi"/>
      <w:i/>
      <w:iCs/>
      <w:szCs w:val="20"/>
    </w:rPr>
  </w:style>
  <w:style w:type="paragraph" w:customStyle="1" w:styleId="ZnakZnak1Znak">
    <w:name w:val="Znak Znak1 Znak"/>
    <w:basedOn w:val="Navaden"/>
    <w:pPr>
      <w:spacing w:after="160" w:line="240" w:lineRule="exact"/>
    </w:pPr>
    <w:rPr>
      <w:rFonts w:ascii="Tahoma" w:hAnsi="Tahoma" w:cs="Tahoma"/>
      <w:lang w:val="en-US"/>
    </w:rPr>
  </w:style>
  <w:style w:type="paragraph" w:customStyle="1" w:styleId="ZnakZnak4Znak">
    <w:name w:val="Znak Znak4 Znak"/>
    <w:basedOn w:val="Navaden"/>
    <w:pPr>
      <w:spacing w:after="160" w:line="240" w:lineRule="exact"/>
    </w:pPr>
    <w:rPr>
      <w:rFonts w:ascii="Tahoma" w:eastAsia="SimSun" w:hAnsi="Tahoma" w:cs="Tahoma"/>
      <w:lang w:val="en-US"/>
    </w:rPr>
  </w:style>
  <w:style w:type="character" w:customStyle="1" w:styleId="NogaZnak">
    <w:name w:val="Noga Znak"/>
    <w:rPr>
      <w:rFonts w:ascii="Arial" w:hAnsi="Arial"/>
      <w:szCs w:val="24"/>
      <w:lang w:eastAsia="en-US"/>
    </w:rPr>
  </w:style>
  <w:style w:type="paragraph" w:customStyle="1" w:styleId="Naslov1">
    <w:name w:val="Naslov1"/>
    <w:basedOn w:val="Navaden"/>
    <w:next w:val="Navaden"/>
    <w:pPr>
      <w:numPr>
        <w:numId w:val="8"/>
      </w:numPr>
      <w:tabs>
        <w:tab w:val="left" w:pos="-153"/>
      </w:tabs>
      <w:spacing w:after="300"/>
      <w:contextualSpacing/>
    </w:pPr>
    <w:rPr>
      <w:rFonts w:eastAsia="HGGothicM"/>
      <w:b/>
      <w:bCs/>
      <w:color w:val="000000"/>
      <w:sz w:val="28"/>
      <w:szCs w:val="28"/>
      <w:lang w:val="en-US"/>
    </w:rPr>
  </w:style>
  <w:style w:type="character" w:customStyle="1" w:styleId="Naslov1Znak0">
    <w:name w:val="Naslov1 Znak"/>
    <w:rPr>
      <w:rFonts w:eastAsia="HGGothicM"/>
      <w:b/>
      <w:color w:val="000000"/>
      <w:spacing w:val="5"/>
      <w:kern w:val="3"/>
      <w:sz w:val="28"/>
      <w:szCs w:val="56"/>
      <w:lang w:val="en-US"/>
    </w:rPr>
  </w:style>
  <w:style w:type="paragraph" w:styleId="Brezrazmikov">
    <w:name w:val="No Spacing"/>
    <w:pPr>
      <w:suppressAutoHyphens/>
    </w:pPr>
    <w:rPr>
      <w:sz w:val="21"/>
      <w:szCs w:val="21"/>
      <w:lang w:eastAsia="sl-SI"/>
    </w:rPr>
  </w:style>
  <w:style w:type="character" w:customStyle="1" w:styleId="BrezrazmikovZnak">
    <w:name w:val="Brez razmikov Znak"/>
    <w:rPr>
      <w:sz w:val="21"/>
      <w:szCs w:val="21"/>
      <w:lang w:val="sl-SI" w:eastAsia="sl-SI" w:bidi="ar-SA"/>
    </w:rPr>
  </w:style>
  <w:style w:type="paragraph" w:styleId="Citat">
    <w:name w:val="Quote"/>
    <w:basedOn w:val="Navaden"/>
    <w:next w:val="Navaden"/>
    <w:pPr>
      <w:spacing w:before="240" w:after="240"/>
      <w:ind w:left="864" w:right="864"/>
      <w:jc w:val="center"/>
    </w:pPr>
    <w:rPr>
      <w:i/>
      <w:iCs/>
      <w:szCs w:val="20"/>
    </w:rPr>
  </w:style>
  <w:style w:type="character" w:customStyle="1" w:styleId="CitatZnak">
    <w:name w:val="Citat Znak"/>
    <w:rPr>
      <w:i/>
      <w:iCs/>
    </w:rPr>
  </w:style>
  <w:style w:type="paragraph" w:styleId="Intenzivencitat">
    <w:name w:val="Intense Quote"/>
    <w:basedOn w:val="Navaden"/>
    <w:next w:val="Navaden"/>
    <w:pPr>
      <w:spacing w:after="240"/>
      <w:ind w:left="864" w:right="864"/>
      <w:jc w:val="center"/>
    </w:pPr>
    <w:rPr>
      <w:rFonts w:ascii="Calibri Light" w:eastAsia="SimSun" w:hAnsi="Calibri Light"/>
      <w:color w:val="5B9BD5"/>
      <w:sz w:val="28"/>
      <w:szCs w:val="28"/>
    </w:rPr>
  </w:style>
  <w:style w:type="character" w:customStyle="1" w:styleId="IntenzivencitatZnak">
    <w:name w:val="Intenziven citat Znak"/>
    <w:rPr>
      <w:rFonts w:ascii="Calibri Light" w:eastAsia="SimSun" w:hAnsi="Calibri Light" w:cs="Times New Roman"/>
      <w:color w:val="5B9BD5"/>
      <w:sz w:val="28"/>
      <w:szCs w:val="28"/>
    </w:rPr>
  </w:style>
  <w:style w:type="character" w:styleId="Neenpoudarek">
    <w:name w:val="Subtle Emphasis"/>
    <w:rPr>
      <w:i/>
      <w:iCs/>
      <w:color w:val="595959"/>
    </w:rPr>
  </w:style>
  <w:style w:type="character" w:styleId="Intenzivenpoudarek">
    <w:name w:val="Intense Emphasis"/>
    <w:rPr>
      <w:b/>
      <w:bCs/>
      <w:i/>
      <w:iCs/>
    </w:rPr>
  </w:style>
  <w:style w:type="character" w:styleId="Neensklic">
    <w:name w:val="Subtle Reference"/>
    <w:rPr>
      <w:smallCaps/>
      <w:color w:val="404040"/>
    </w:rPr>
  </w:style>
  <w:style w:type="character" w:styleId="Intenzivensklic">
    <w:name w:val="Intense Reference"/>
    <w:rPr>
      <w:b/>
      <w:bCs/>
      <w:smallCaps/>
      <w:u w:val="single"/>
    </w:rPr>
  </w:style>
  <w:style w:type="character" w:styleId="Naslovknjige">
    <w:name w:val="Book Title"/>
    <w:rPr>
      <w:b/>
      <w:bCs/>
      <w:smallCaps/>
    </w:rPr>
  </w:style>
  <w:style w:type="paragraph" w:styleId="NaslovTOC">
    <w:name w:val="TOC Heading"/>
    <w:basedOn w:val="Naslov10"/>
    <w:next w:val="Navaden"/>
    <w:uiPriority w:val="39"/>
    <w:qFormat/>
  </w:style>
  <w:style w:type="character" w:styleId="Besedilooznabemesta">
    <w:name w:val="Placeholder Text"/>
    <w:rPr>
      <w:color w:val="808080"/>
    </w:rPr>
  </w:style>
  <w:style w:type="paragraph" w:styleId="Kazaloslik">
    <w:name w:val="table of figures"/>
    <w:basedOn w:val="Navaden"/>
    <w:next w:val="Navaden"/>
    <w:uiPriority w:val="99"/>
    <w:rPr>
      <w:rFonts w:eastAsia="HGSMinchoE"/>
      <w:sz w:val="22"/>
      <w:szCs w:val="22"/>
      <w:lang w:val="en-US" w:eastAsia="en-US"/>
    </w:rPr>
  </w:style>
  <w:style w:type="paragraph" w:customStyle="1" w:styleId="Znak1ZnakZnak">
    <w:name w:val="Znak1 Znak Znak"/>
    <w:basedOn w:val="Navaden"/>
    <w:pPr>
      <w:spacing w:after="160" w:line="240" w:lineRule="exact"/>
    </w:pPr>
    <w:rPr>
      <w:rFonts w:ascii="Tahoma" w:hAnsi="Tahoma" w:cs="Tahoma"/>
      <w:lang w:val="en-US"/>
    </w:rPr>
  </w:style>
  <w:style w:type="character" w:customStyle="1" w:styleId="NaslovpredpisaZnakZnak">
    <w:name w:val="Naslov_predpisa Znak Znak"/>
    <w:rPr>
      <w:rFonts w:ascii="Arial" w:eastAsia="Times New Roman" w:hAnsi="Arial" w:cs="Arial"/>
      <w:b/>
      <w:sz w:val="24"/>
      <w:szCs w:val="24"/>
      <w:lang w:eastAsia="sl-SI"/>
    </w:rPr>
  </w:style>
  <w:style w:type="paragraph" w:customStyle="1" w:styleId="Prvinivo">
    <w:name w:val="Prvi nivo"/>
    <w:basedOn w:val="Navaden"/>
    <w:pPr>
      <w:tabs>
        <w:tab w:val="left" w:pos="981"/>
      </w:tabs>
    </w:pPr>
    <w:rPr>
      <w:b/>
      <w:bCs/>
      <w:sz w:val="22"/>
      <w:szCs w:val="22"/>
    </w:rPr>
  </w:style>
  <w:style w:type="paragraph" w:customStyle="1" w:styleId="Druginivo">
    <w:name w:val="Drugi nivo"/>
    <w:basedOn w:val="Navaden"/>
    <w:pPr>
      <w:numPr>
        <w:numId w:val="7"/>
      </w:numPr>
      <w:tabs>
        <w:tab w:val="left" w:pos="981"/>
      </w:tabs>
    </w:pPr>
    <w:rPr>
      <w:rFonts w:cs="Arial"/>
      <w:sz w:val="22"/>
      <w:szCs w:val="22"/>
    </w:rPr>
  </w:style>
  <w:style w:type="character" w:customStyle="1" w:styleId="PrvinivoZnak">
    <w:name w:val="Prvi nivo Znak"/>
    <w:rPr>
      <w:b/>
      <w:bCs/>
      <w:sz w:val="22"/>
      <w:szCs w:val="22"/>
    </w:rPr>
  </w:style>
  <w:style w:type="paragraph" w:customStyle="1" w:styleId="3372873BB58A4DED866D2BE34882C06C">
    <w:name w:val="3372873BB58A4DED866D2BE34882C06C"/>
    <w:pPr>
      <w:suppressAutoHyphens/>
      <w:spacing w:after="200" w:line="276" w:lineRule="auto"/>
    </w:pPr>
    <w:rPr>
      <w:sz w:val="22"/>
      <w:szCs w:val="22"/>
      <w:lang w:eastAsia="sl-SI"/>
    </w:rPr>
  </w:style>
  <w:style w:type="paragraph" w:customStyle="1" w:styleId="ZnakZnakZnakZnakZnakZnakZnak">
    <w:name w:val="Znak Znak Znak Znak Znak Znak Znak"/>
    <w:basedOn w:val="Navaden"/>
    <w:pPr>
      <w:spacing w:after="160" w:line="240" w:lineRule="exact"/>
    </w:pPr>
    <w:rPr>
      <w:rFonts w:ascii="Tahoma" w:hAnsi="Tahoma"/>
      <w:lang w:val="en-US"/>
    </w:rPr>
  </w:style>
  <w:style w:type="paragraph" w:customStyle="1" w:styleId="Kazalotabel1">
    <w:name w:val="Kazalo tabel 1"/>
    <w:basedOn w:val="Navaden"/>
    <w:pPr>
      <w:tabs>
        <w:tab w:val="left" w:pos="567"/>
      </w:tabs>
      <w:ind w:left="567" w:hanging="567"/>
    </w:pPr>
    <w:rPr>
      <w:rFonts w:eastAsia="SimSun" w:cs="Arial"/>
      <w:b/>
      <w:bCs/>
      <w:sz w:val="22"/>
      <w:szCs w:val="22"/>
      <w:lang w:eastAsia="zh-CN"/>
    </w:rPr>
  </w:style>
  <w:style w:type="paragraph" w:customStyle="1" w:styleId="KazalotabelTANJA">
    <w:name w:val="Kazalo tabel TANJA"/>
    <w:basedOn w:val="Kazaloslik"/>
    <w:pPr>
      <w:tabs>
        <w:tab w:val="right" w:leader="dot" w:pos="9396"/>
      </w:tabs>
    </w:pPr>
    <w:rPr>
      <w:rFonts w:eastAsia="SimSun"/>
      <w:bCs/>
      <w:lang w:eastAsia="zh-CN"/>
    </w:rPr>
  </w:style>
  <w:style w:type="character" w:customStyle="1" w:styleId="lexitem">
    <w:name w:val="lexitem"/>
  </w:style>
  <w:style w:type="character" w:customStyle="1" w:styleId="KazaloslikZnak">
    <w:name w:val="Kazalo slik Znak"/>
    <w:rPr>
      <w:rFonts w:ascii="Arial" w:eastAsia="HGSMinchoE" w:hAnsi="Arial"/>
      <w:sz w:val="22"/>
      <w:szCs w:val="22"/>
      <w:lang w:val="en-US" w:eastAsia="en-US"/>
    </w:rPr>
  </w:style>
  <w:style w:type="character" w:customStyle="1" w:styleId="KazalotabelTANJAZnak">
    <w:name w:val="Kazalo tabel TANJA Znak"/>
    <w:rPr>
      <w:rFonts w:ascii="Arial" w:eastAsia="SimSun" w:hAnsi="Arial" w:cs="Arial"/>
      <w:bCs/>
      <w:sz w:val="22"/>
      <w:szCs w:val="22"/>
      <w:lang w:eastAsia="zh-CN"/>
    </w:rPr>
  </w:style>
  <w:style w:type="character" w:customStyle="1" w:styleId="apple-converted-space">
    <w:name w:val="apple-converted-space"/>
  </w:style>
  <w:style w:type="paragraph" w:customStyle="1" w:styleId="NaslovTOC1">
    <w:name w:val="Naslov TOC1"/>
    <w:basedOn w:val="Naslov10"/>
    <w:next w:val="Navaden"/>
    <w:pPr>
      <w:tabs>
        <w:tab w:val="left" w:pos="567"/>
      </w:tabs>
      <w:spacing w:before="480" w:after="0" w:line="276" w:lineRule="auto"/>
    </w:pPr>
    <w:rPr>
      <w:rFonts w:ascii="Cambria" w:hAnsi="Cambria"/>
      <w:bCs/>
      <w:color w:val="365F91"/>
      <w:szCs w:val="28"/>
      <w:lang w:eastAsia="en-US"/>
    </w:rPr>
  </w:style>
  <w:style w:type="character" w:customStyle="1" w:styleId="Naslov3Znak1">
    <w:name w:val="Naslov 3 Znak1"/>
    <w:rPr>
      <w:rFonts w:ascii="Arial" w:hAnsi="Arial" w:cs="Arial"/>
      <w:bCs/>
      <w:i/>
      <w:sz w:val="24"/>
      <w:szCs w:val="24"/>
      <w:u w:val="single"/>
    </w:rPr>
  </w:style>
  <w:style w:type="paragraph" w:customStyle="1" w:styleId="LPnavaden">
    <w:name w:val="LP_navaden"/>
    <w:basedOn w:val="Navaden"/>
    <w:next w:val="Brezrazmikov"/>
    <w:pPr>
      <w:shd w:val="clear" w:color="auto" w:fill="FFFFFF"/>
      <w:spacing w:after="200"/>
    </w:pPr>
    <w:rPr>
      <w:rFonts w:eastAsia="Calibri"/>
      <w:color w:val="000000"/>
      <w:szCs w:val="20"/>
      <w:lang w:eastAsia="en-US"/>
    </w:rPr>
  </w:style>
  <w:style w:type="character" w:customStyle="1" w:styleId="LPnavadenZnak">
    <w:name w:val="LP_navaden Znak"/>
    <w:rPr>
      <w:rFonts w:ascii="Arial" w:eastAsia="Calibri" w:hAnsi="Arial" w:cs="Arial"/>
      <w:bCs/>
      <w:color w:val="000000"/>
      <w:shd w:val="clear" w:color="auto" w:fill="FFFFFF"/>
      <w:lang w:eastAsia="en-US"/>
    </w:rPr>
  </w:style>
  <w:style w:type="paragraph" w:customStyle="1" w:styleId="Tabelabesedilo">
    <w:name w:val="Tabela_besedilo"/>
    <w:basedOn w:val="LPnavaden"/>
    <w:pPr>
      <w:shd w:val="clear" w:color="auto" w:fill="auto"/>
      <w:ind w:firstLine="125"/>
    </w:pPr>
    <w:rPr>
      <w:rFonts w:eastAsia="Times New Roman"/>
      <w:b/>
      <w:sz w:val="18"/>
    </w:rPr>
  </w:style>
  <w:style w:type="character" w:customStyle="1" w:styleId="TabelabesediloZnak">
    <w:name w:val="Tabela_besedilo Znak"/>
    <w:rPr>
      <w:rFonts w:ascii="Arial" w:hAnsi="Arial" w:cs="Arial"/>
      <w:b/>
      <w:bCs/>
      <w:color w:val="000000"/>
      <w:sz w:val="18"/>
      <w:lang w:eastAsia="en-US"/>
    </w:rPr>
  </w:style>
  <w:style w:type="paragraph" w:customStyle="1" w:styleId="Pravnapodlaga">
    <w:name w:val="Pravna podlaga"/>
    <w:basedOn w:val="Navaden"/>
    <w:pPr>
      <w:spacing w:before="480"/>
      <w:ind w:firstLine="1021"/>
      <w:jc w:val="both"/>
    </w:pPr>
    <w:rPr>
      <w:sz w:val="22"/>
      <w:szCs w:val="22"/>
    </w:rPr>
  </w:style>
  <w:style w:type="character" w:customStyle="1" w:styleId="PravnapodlagaZnak">
    <w:name w:val="Pravna podlaga Znak"/>
    <w:rPr>
      <w:rFonts w:ascii="Arial" w:hAnsi="Arial" w:cs="Arial"/>
      <w:sz w:val="22"/>
      <w:szCs w:val="22"/>
    </w:rPr>
  </w:style>
  <w:style w:type="paragraph" w:customStyle="1" w:styleId="pravnapodlaga1">
    <w:name w:val="pravnapodlaga1"/>
    <w:basedOn w:val="Navaden"/>
    <w:pPr>
      <w:spacing w:before="480"/>
      <w:ind w:firstLine="1021"/>
      <w:jc w:val="both"/>
    </w:pPr>
    <w:rPr>
      <w:rFonts w:cs="Arial"/>
      <w:sz w:val="22"/>
      <w:szCs w:val="22"/>
    </w:rPr>
  </w:style>
  <w:style w:type="paragraph" w:customStyle="1" w:styleId="alineazaodstavkom1">
    <w:name w:val="alineazaodstavkom1"/>
    <w:basedOn w:val="Navaden"/>
    <w:pPr>
      <w:ind w:left="425" w:hanging="425"/>
      <w:jc w:val="both"/>
    </w:pPr>
    <w:rPr>
      <w:rFonts w:cs="Arial"/>
      <w:sz w:val="22"/>
      <w:szCs w:val="22"/>
    </w:rPr>
  </w:style>
  <w:style w:type="character" w:styleId="SledenaHiperpovezava">
    <w:name w:val="FollowedHyperlink"/>
    <w:rPr>
      <w:color w:val="800080"/>
      <w:u w:val="single"/>
    </w:rPr>
  </w:style>
  <w:style w:type="character" w:customStyle="1" w:styleId="Bodytext2">
    <w:name w:val="Body text (2)"/>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vertAlign w:val="baseline"/>
      <w:lang w:val="sl-SI" w:eastAsia="sl-SI" w:bidi="sl-SI"/>
    </w:rPr>
  </w:style>
  <w:style w:type="character" w:customStyle="1" w:styleId="Bodytext7">
    <w:name w:val="Body text (7)_"/>
    <w:rPr>
      <w:sz w:val="19"/>
      <w:szCs w:val="19"/>
      <w:shd w:val="clear" w:color="auto" w:fill="FFFFFF"/>
    </w:rPr>
  </w:style>
  <w:style w:type="paragraph" w:customStyle="1" w:styleId="Bodytext70">
    <w:name w:val="Body text (7)"/>
    <w:basedOn w:val="Navaden"/>
    <w:pPr>
      <w:shd w:val="clear" w:color="auto" w:fill="FFFFFF"/>
      <w:spacing w:line="235" w:lineRule="exact"/>
      <w:jc w:val="both"/>
    </w:pPr>
    <w:rPr>
      <w:sz w:val="19"/>
      <w:szCs w:val="19"/>
    </w:rPr>
  </w:style>
  <w:style w:type="paragraph" w:customStyle="1" w:styleId="Text1">
    <w:name w:val="Text 1"/>
    <w:basedOn w:val="Navaden"/>
    <w:pPr>
      <w:spacing w:after="240"/>
      <w:ind w:left="482"/>
      <w:jc w:val="both"/>
    </w:pPr>
    <w:rPr>
      <w:sz w:val="24"/>
      <w:szCs w:val="24"/>
      <w:lang w:val="en-GB" w:eastAsia="en-US"/>
    </w:rPr>
  </w:style>
  <w:style w:type="character" w:customStyle="1" w:styleId="Text1Char">
    <w:name w:val="Text 1 Char"/>
    <w:rPr>
      <w:sz w:val="24"/>
      <w:lang w:val="en-GB" w:eastAsia="en-US"/>
    </w:rPr>
  </w:style>
  <w:style w:type="paragraph" w:customStyle="1" w:styleId="Odstavekseznama11">
    <w:name w:val="Odstavek seznama11"/>
    <w:basedOn w:val="Navaden"/>
    <w:pPr>
      <w:ind w:left="720"/>
      <w:contextualSpacing/>
    </w:pPr>
    <w:rPr>
      <w:rFonts w:ascii="Times New Roman" w:hAnsi="Times New Roman"/>
      <w:lang w:eastAsia="ar-SA"/>
    </w:rPr>
  </w:style>
  <w:style w:type="paragraph" w:customStyle="1" w:styleId="RStekst">
    <w:name w:val="RS tekst"/>
    <w:pPr>
      <w:widowControl w:val="0"/>
      <w:suppressAutoHyphens/>
      <w:spacing w:before="80" w:after="80" w:line="280" w:lineRule="atLeast"/>
      <w:jc w:val="both"/>
    </w:pPr>
    <w:rPr>
      <w:rFonts w:ascii="Garamond" w:eastAsia="Courier New" w:hAnsi="Garamond"/>
      <w:bCs/>
      <w:sz w:val="22"/>
      <w:lang w:eastAsia="en-US"/>
    </w:rPr>
  </w:style>
  <w:style w:type="character" w:customStyle="1" w:styleId="RStekstZnak">
    <w:name w:val="RS tekst Znak"/>
    <w:rPr>
      <w:rFonts w:ascii="Garamond" w:eastAsia="Courier New" w:hAnsi="Garamond"/>
      <w:bCs/>
      <w:sz w:val="22"/>
      <w:lang w:eastAsia="en-US" w:bidi="ar-SA"/>
    </w:rPr>
  </w:style>
  <w:style w:type="paragraph" w:styleId="Telobesedila3">
    <w:name w:val="Body Text 3"/>
    <w:basedOn w:val="Navaden"/>
    <w:pPr>
      <w:spacing w:line="260" w:lineRule="atLeast"/>
      <w:jc w:val="both"/>
    </w:pPr>
    <w:rPr>
      <w:szCs w:val="20"/>
    </w:rPr>
  </w:style>
  <w:style w:type="character" w:customStyle="1" w:styleId="Telobesedila3Znak">
    <w:name w:val="Telo besedila 3 Znak"/>
    <w:rPr>
      <w:rFonts w:ascii="Arial" w:hAnsi="Arial" w:cs="Arial"/>
    </w:rPr>
  </w:style>
  <w:style w:type="character" w:customStyle="1" w:styleId="Naslov3Znak">
    <w:name w:val="Naslov 3 Znak"/>
    <w:rPr>
      <w:rFonts w:ascii="Calibri Light" w:eastAsia="SimSun" w:hAnsi="Calibri Light" w:cs="Times New Roman"/>
      <w:color w:val="404040"/>
      <w:sz w:val="26"/>
      <w:szCs w:val="26"/>
    </w:rPr>
  </w:style>
  <w:style w:type="paragraph" w:styleId="Revizija">
    <w:name w:val="Revision"/>
    <w:pPr>
      <w:suppressAutoHyphens/>
      <w:spacing w:after="120" w:line="264" w:lineRule="auto"/>
    </w:pPr>
    <w:rPr>
      <w:rFonts w:ascii="Arial" w:hAnsi="Arial"/>
      <w:sz w:val="21"/>
      <w:szCs w:val="24"/>
      <w:lang w:eastAsia="en-US"/>
    </w:rPr>
  </w:style>
  <w:style w:type="paragraph" w:customStyle="1" w:styleId="COVERPAGE">
    <w:name w:val="COVERPAGE"/>
    <w:basedOn w:val="Navaden"/>
    <w:rPr>
      <w:rFonts w:ascii="Liberation Sans" w:hAnsi="Liberation Sans" w:cs="CG Times"/>
      <w:sz w:val="22"/>
      <w:szCs w:val="22"/>
      <w:lang w:eastAsia="zh-CN"/>
    </w:rPr>
  </w:style>
  <w:style w:type="character" w:customStyle="1" w:styleId="FontStyle42">
    <w:name w:val="Font Style42"/>
    <w:rPr>
      <w:rFonts w:ascii="Arial" w:hAnsi="Arial" w:cs="Arial"/>
      <w:sz w:val="20"/>
      <w:szCs w:val="20"/>
    </w:rPr>
  </w:style>
  <w:style w:type="paragraph" w:customStyle="1" w:styleId="Style11">
    <w:name w:val="Style11"/>
    <w:basedOn w:val="Navaden"/>
    <w:pPr>
      <w:widowControl w:val="0"/>
    </w:pPr>
    <w:rPr>
      <w:rFonts w:ascii="Franklin Gothic Medium" w:hAnsi="Franklin Gothic Medium"/>
      <w:sz w:val="24"/>
      <w:szCs w:val="24"/>
    </w:rPr>
  </w:style>
  <w:style w:type="paragraph" w:customStyle="1" w:styleId="text-justify">
    <w:name w:val="text-justify"/>
    <w:basedOn w:val="Navaden"/>
    <w:rPr>
      <w:rFonts w:ascii="Times New Roman" w:hAnsi="Times New Roman"/>
      <w:sz w:val="24"/>
      <w:szCs w:val="24"/>
    </w:rPr>
  </w:style>
  <w:style w:type="character" w:customStyle="1" w:styleId="A4">
    <w:name w:val="A4"/>
    <w:rPr>
      <w:rFonts w:cs="Republika"/>
      <w:color w:val="000000"/>
      <w:sz w:val="22"/>
      <w:szCs w:val="22"/>
    </w:rPr>
  </w:style>
  <w:style w:type="character" w:styleId="Nerazreenaomemba">
    <w:name w:val="Unresolved Mention"/>
    <w:uiPriority w:val="99"/>
    <w:rPr>
      <w:color w:val="605E5C"/>
      <w:shd w:val="clear" w:color="auto" w:fill="E1DFDD"/>
    </w:rPr>
  </w:style>
  <w:style w:type="paragraph" w:customStyle="1" w:styleId="Pa3">
    <w:name w:val="Pa3"/>
    <w:basedOn w:val="Navaden"/>
    <w:next w:val="Navaden"/>
    <w:pPr>
      <w:spacing w:line="171" w:lineRule="atLeast"/>
    </w:pPr>
    <w:rPr>
      <w:rFonts w:eastAsia="Calibri" w:cs="Arial"/>
      <w:sz w:val="24"/>
      <w:szCs w:val="24"/>
    </w:rPr>
  </w:style>
  <w:style w:type="paragraph" w:customStyle="1" w:styleId="align-justify1">
    <w:name w:val="align-justify1"/>
    <w:basedOn w:val="Navaden"/>
    <w:pPr>
      <w:spacing w:after="0"/>
      <w:jc w:val="both"/>
    </w:pPr>
    <w:rPr>
      <w:rFonts w:ascii="Times New Roman" w:hAnsi="Times New Roman"/>
      <w:sz w:val="24"/>
      <w:szCs w:val="24"/>
    </w:rPr>
  </w:style>
  <w:style w:type="paragraph" w:customStyle="1" w:styleId="ZnakZnak4ZnakZnak1">
    <w:name w:val="Znak Znak4 Znak Znak1"/>
    <w:basedOn w:val="Navaden"/>
    <w:pPr>
      <w:spacing w:after="160" w:line="240" w:lineRule="exact"/>
    </w:pPr>
    <w:rPr>
      <w:rFonts w:ascii="Tahoma" w:eastAsia="SimSun" w:hAnsi="Tahoma" w:cs="Tahoma"/>
      <w:szCs w:val="20"/>
      <w:lang w:val="en-US" w:eastAsia="en-US"/>
    </w:rPr>
  </w:style>
  <w:style w:type="paragraph" w:customStyle="1" w:styleId="ZnakZnak1Znak0">
    <w:name w:val="Znak Znak1 Znak0"/>
    <w:basedOn w:val="Navaden"/>
    <w:pPr>
      <w:spacing w:after="160" w:line="240" w:lineRule="exact"/>
    </w:pPr>
    <w:rPr>
      <w:rFonts w:ascii="Tahoma" w:hAnsi="Tahoma" w:cs="Tahoma"/>
      <w:szCs w:val="20"/>
      <w:lang w:val="en-US" w:eastAsia="en-US"/>
    </w:rPr>
  </w:style>
  <w:style w:type="paragraph" w:customStyle="1" w:styleId="ZnakZnak4Znak0">
    <w:name w:val="Znak Znak4 Znak0"/>
    <w:basedOn w:val="Navaden"/>
    <w:pPr>
      <w:spacing w:after="160" w:line="240" w:lineRule="exact"/>
    </w:pPr>
    <w:rPr>
      <w:rFonts w:ascii="Tahoma" w:eastAsia="SimSun" w:hAnsi="Tahoma" w:cs="Tahoma"/>
      <w:szCs w:val="20"/>
      <w:lang w:val="en-US" w:eastAsia="en-US"/>
    </w:rPr>
  </w:style>
  <w:style w:type="paragraph" w:customStyle="1" w:styleId="Znak1ZnakZnak0">
    <w:name w:val="Znak1 Znak Znak0"/>
    <w:basedOn w:val="Navaden"/>
    <w:pPr>
      <w:spacing w:after="160" w:line="240" w:lineRule="exact"/>
    </w:pPr>
    <w:rPr>
      <w:rFonts w:ascii="Tahoma" w:hAnsi="Tahoma" w:cs="Tahoma"/>
      <w:szCs w:val="20"/>
      <w:lang w:val="en-US" w:eastAsia="en-US"/>
    </w:rPr>
  </w:style>
  <w:style w:type="paragraph" w:customStyle="1" w:styleId="ZnakZnakZnakZnakZnakZnakZnak0">
    <w:name w:val="Znak Znak Znak Znak Znak Znak Znak0"/>
    <w:basedOn w:val="Navaden"/>
    <w:pPr>
      <w:spacing w:after="160" w:line="240" w:lineRule="exact"/>
    </w:pPr>
    <w:rPr>
      <w:rFonts w:ascii="Tahoma" w:hAnsi="Tahoma"/>
      <w:szCs w:val="20"/>
      <w:lang w:val="en-US" w:eastAsia="en-US"/>
    </w:rPr>
  </w:style>
  <w:style w:type="paragraph" w:customStyle="1" w:styleId="align-center">
    <w:name w:val="align-center"/>
    <w:basedOn w:val="Navaden"/>
    <w:rPr>
      <w:rFonts w:ascii="Times New Roman" w:hAnsi="Times New Roman"/>
      <w:sz w:val="24"/>
      <w:szCs w:val="24"/>
    </w:rPr>
  </w:style>
  <w:style w:type="paragraph" w:customStyle="1" w:styleId="Text2">
    <w:name w:val="Text 2"/>
    <w:basedOn w:val="Navaden"/>
    <w:pPr>
      <w:spacing w:before="60" w:after="60"/>
      <w:ind w:left="1417"/>
    </w:pPr>
    <w:rPr>
      <w:rFonts w:ascii="Times New Roman" w:hAnsi="Times New Roman"/>
      <w:sz w:val="24"/>
      <w:szCs w:val="24"/>
      <w:lang w:val="en-GB" w:eastAsia="en-US"/>
    </w:rPr>
  </w:style>
  <w:style w:type="paragraph" w:customStyle="1" w:styleId="Style6">
    <w:name w:val="Style6"/>
    <w:basedOn w:val="Navaden"/>
    <w:pPr>
      <w:widowControl w:val="0"/>
      <w:spacing w:after="0" w:line="276" w:lineRule="exact"/>
      <w:ind w:hanging="283"/>
    </w:pPr>
    <w:rPr>
      <w:rFonts w:cs="Arial"/>
      <w:sz w:val="24"/>
      <w:szCs w:val="24"/>
    </w:rPr>
  </w:style>
  <w:style w:type="paragraph" w:customStyle="1" w:styleId="Style4">
    <w:name w:val="Style4"/>
    <w:basedOn w:val="Navaden"/>
    <w:pPr>
      <w:widowControl w:val="0"/>
      <w:spacing w:after="0" w:line="278" w:lineRule="exact"/>
      <w:jc w:val="both"/>
    </w:pPr>
    <w:rPr>
      <w:rFonts w:cs="Arial"/>
      <w:sz w:val="24"/>
      <w:szCs w:val="24"/>
    </w:rPr>
  </w:style>
  <w:style w:type="character" w:customStyle="1" w:styleId="colorlightdark1">
    <w:name w:val="color_lightdark1"/>
  </w:style>
  <w:style w:type="character" w:customStyle="1" w:styleId="fontxlarge2">
    <w:name w:val="font_xlarge2"/>
  </w:style>
  <w:style w:type="character" w:customStyle="1" w:styleId="colordark2">
    <w:name w:val="color_dark2"/>
  </w:style>
  <w:style w:type="character" w:customStyle="1" w:styleId="im">
    <w:name w:val="im"/>
  </w:style>
  <w:style w:type="paragraph" w:styleId="Kazalovsebine4">
    <w:name w:val="toc 4"/>
    <w:basedOn w:val="Navaden"/>
    <w:next w:val="Navaden"/>
    <w:uiPriority w:val="39"/>
    <w:pPr>
      <w:spacing w:after="0"/>
      <w:ind w:left="600"/>
    </w:pPr>
    <w:rPr>
      <w:rFonts w:asciiTheme="minorHAnsi" w:hAnsiTheme="minorHAnsi" w:cstheme="minorHAnsi"/>
      <w:sz w:val="18"/>
      <w:szCs w:val="18"/>
    </w:rPr>
  </w:style>
  <w:style w:type="paragraph" w:styleId="Kazalovsebine5">
    <w:name w:val="toc 5"/>
    <w:basedOn w:val="Navaden"/>
    <w:next w:val="Navaden"/>
    <w:uiPriority w:val="39"/>
    <w:pPr>
      <w:spacing w:after="0"/>
      <w:ind w:left="800"/>
    </w:pPr>
    <w:rPr>
      <w:rFonts w:asciiTheme="minorHAnsi" w:hAnsiTheme="minorHAnsi" w:cstheme="minorHAnsi"/>
      <w:sz w:val="18"/>
      <w:szCs w:val="18"/>
    </w:rPr>
  </w:style>
  <w:style w:type="paragraph" w:styleId="Kazalovsebine6">
    <w:name w:val="toc 6"/>
    <w:basedOn w:val="Navaden"/>
    <w:next w:val="Navaden"/>
    <w:uiPriority w:val="39"/>
    <w:pPr>
      <w:spacing w:after="0"/>
      <w:ind w:left="1000"/>
    </w:pPr>
    <w:rPr>
      <w:rFonts w:asciiTheme="minorHAnsi" w:hAnsiTheme="minorHAnsi" w:cstheme="minorHAnsi"/>
      <w:sz w:val="18"/>
      <w:szCs w:val="18"/>
    </w:rPr>
  </w:style>
  <w:style w:type="paragraph" w:styleId="Kazalovsebine7">
    <w:name w:val="toc 7"/>
    <w:basedOn w:val="Navaden"/>
    <w:next w:val="Navaden"/>
    <w:uiPriority w:val="39"/>
    <w:pPr>
      <w:spacing w:after="0"/>
      <w:ind w:left="1200"/>
    </w:pPr>
    <w:rPr>
      <w:rFonts w:asciiTheme="minorHAnsi" w:hAnsiTheme="minorHAnsi" w:cstheme="minorHAnsi"/>
      <w:sz w:val="18"/>
      <w:szCs w:val="18"/>
    </w:rPr>
  </w:style>
  <w:style w:type="paragraph" w:styleId="Kazalovsebine8">
    <w:name w:val="toc 8"/>
    <w:basedOn w:val="Navaden"/>
    <w:next w:val="Navaden"/>
    <w:uiPriority w:val="39"/>
    <w:pPr>
      <w:spacing w:after="0"/>
      <w:ind w:left="1400"/>
    </w:pPr>
    <w:rPr>
      <w:rFonts w:asciiTheme="minorHAnsi" w:hAnsiTheme="minorHAnsi" w:cstheme="minorHAnsi"/>
      <w:sz w:val="18"/>
      <w:szCs w:val="18"/>
    </w:rPr>
  </w:style>
  <w:style w:type="paragraph" w:styleId="Kazalovsebine9">
    <w:name w:val="toc 9"/>
    <w:basedOn w:val="Navaden"/>
    <w:next w:val="Navaden"/>
    <w:uiPriority w:val="39"/>
    <w:pPr>
      <w:spacing w:after="0"/>
      <w:ind w:left="1600"/>
    </w:pPr>
    <w:rPr>
      <w:rFonts w:asciiTheme="minorHAnsi" w:hAnsiTheme="minorHAnsi" w:cstheme="minorHAnsi"/>
      <w:sz w:val="18"/>
      <w:szCs w:val="18"/>
    </w:rPr>
  </w:style>
  <w:style w:type="paragraph" w:customStyle="1" w:styleId="FootnotesymbolCarZchn">
    <w:name w:val="Footnote symbol Car Zchn"/>
    <w:basedOn w:val="Navaden"/>
    <w:pPr>
      <w:spacing w:before="60" w:after="160" w:line="240" w:lineRule="exact"/>
      <w:ind w:left="357" w:hanging="357"/>
      <w:jc w:val="both"/>
    </w:pPr>
    <w:rPr>
      <w:szCs w:val="20"/>
      <w:vertAlign w:val="superscript"/>
    </w:rPr>
  </w:style>
  <w:style w:type="character" w:customStyle="1" w:styleId="cf01">
    <w:name w:val="cf01"/>
    <w:rPr>
      <w:rFonts w:ascii="Segoe UI" w:hAnsi="Segoe UI" w:cs="Segoe UI"/>
      <w:sz w:val="18"/>
      <w:szCs w:val="18"/>
    </w:rPr>
  </w:style>
  <w:style w:type="paragraph" w:customStyle="1" w:styleId="P68B1DB1-Navaden6">
    <w:name w:val="P68B1DB1-Navaden6"/>
    <w:basedOn w:val="Navaden"/>
    <w:pPr>
      <w:spacing w:after="160"/>
    </w:pPr>
    <w:rPr>
      <w:rFonts w:ascii="Times New Roman" w:hAnsi="Times New Roman"/>
      <w:color w:val="000000"/>
      <w:sz w:val="24"/>
      <w:szCs w:val="24"/>
    </w:rPr>
  </w:style>
  <w:style w:type="character" w:customStyle="1" w:styleId="NapisZnak">
    <w:name w:val="Napis Znak"/>
    <w:rPr>
      <w:b/>
      <w:bCs/>
      <w:color w:val="404040"/>
    </w:rPr>
  </w:style>
  <w:style w:type="paragraph" w:customStyle="1" w:styleId="CaptionSlike">
    <w:name w:val="Caption_Slike"/>
    <w:basedOn w:val="Napis"/>
    <w:next w:val="Telobesedila"/>
    <w:pPr>
      <w:keepNext/>
      <w:tabs>
        <w:tab w:val="left" w:pos="992"/>
        <w:tab w:val="left" w:pos="1701"/>
      </w:tabs>
      <w:spacing w:before="240"/>
      <w:ind w:left="992" w:hanging="992"/>
    </w:pPr>
    <w:rPr>
      <w:rFonts w:ascii="Tahoma" w:hAnsi="Tahoma"/>
      <w:i/>
      <w:color w:val="2F5496"/>
      <w:lang w:eastAsia="en-US"/>
    </w:rPr>
  </w:style>
  <w:style w:type="paragraph" w:customStyle="1" w:styleId="Alinejapika">
    <w:name w:val="Alineja_pika"/>
    <w:next w:val="Telobesedila"/>
    <w:pPr>
      <w:numPr>
        <w:numId w:val="9"/>
      </w:numPr>
      <w:suppressAutoHyphens/>
      <w:spacing w:line="276" w:lineRule="auto"/>
      <w:jc w:val="both"/>
    </w:pPr>
    <w:rPr>
      <w:rFonts w:ascii="Tahoma" w:eastAsia="Palatino Linotype" w:hAnsi="Tahoma" w:cs="Palatino Linotype"/>
      <w:sz w:val="22"/>
      <w:szCs w:val="22"/>
      <w:lang w:eastAsia="en-US"/>
    </w:rPr>
  </w:style>
  <w:style w:type="paragraph" w:customStyle="1" w:styleId="Footnotebesedilo">
    <w:name w:val="Footnote besedilo"/>
    <w:basedOn w:val="Navaden"/>
    <w:pPr>
      <w:spacing w:before="60" w:after="0"/>
      <w:ind w:left="284" w:hanging="284"/>
      <w:jc w:val="both"/>
    </w:pPr>
    <w:rPr>
      <w:rFonts w:ascii="Tahoma" w:eastAsia="Calibri" w:hAnsi="Tahoma"/>
      <w:sz w:val="16"/>
      <w:szCs w:val="16"/>
      <w:lang w:eastAsia="en-US"/>
    </w:rPr>
  </w:style>
  <w:style w:type="paragraph" w:customStyle="1" w:styleId="NEPNtabglava">
    <w:name w:val="NEPN_tab_glava"/>
    <w:basedOn w:val="Navaden"/>
    <w:pPr>
      <w:spacing w:before="40" w:after="40"/>
      <w:jc w:val="center"/>
    </w:pPr>
    <w:rPr>
      <w:rFonts w:ascii="Tahoma" w:eastAsia="Calibri" w:hAnsi="Tahoma" w:cs="Tahoma"/>
      <w:b/>
      <w:bCs/>
      <w:color w:val="FFFFFF"/>
      <w:sz w:val="16"/>
      <w:szCs w:val="16"/>
      <w:lang w:val="en-GB" w:eastAsia="en-US"/>
    </w:rPr>
  </w:style>
  <w:style w:type="paragraph" w:customStyle="1" w:styleId="NEPNtabstolpec1">
    <w:name w:val="NEPN_tab_stolpec1"/>
    <w:basedOn w:val="NEPNtabglava"/>
    <w:pPr>
      <w:jc w:val="left"/>
    </w:pPr>
    <w:rPr>
      <w:bCs w:val="0"/>
    </w:rPr>
  </w:style>
  <w:style w:type="paragraph" w:customStyle="1" w:styleId="NEPNtabbody">
    <w:name w:val="NEPN_tab_body"/>
    <w:basedOn w:val="NEPNtabstolpec1"/>
    <w:pPr>
      <w:jc w:val="center"/>
    </w:pPr>
    <w:rPr>
      <w:b w:val="0"/>
      <w:color w:val="auto"/>
    </w:rPr>
  </w:style>
  <w:style w:type="paragraph" w:styleId="Konnaopomba-besedilo">
    <w:name w:val="endnote text"/>
    <w:basedOn w:val="Navaden"/>
    <w:pPr>
      <w:spacing w:after="0"/>
    </w:pPr>
    <w:rPr>
      <w:szCs w:val="20"/>
    </w:rPr>
  </w:style>
  <w:style w:type="numbering" w:customStyle="1" w:styleId="LFO37">
    <w:name w:val="LFO37"/>
    <w:basedOn w:val="Brezseznama"/>
    <w:pPr>
      <w:numPr>
        <w:numId w:val="5"/>
      </w:numPr>
    </w:pPr>
  </w:style>
  <w:style w:type="numbering" w:customStyle="1" w:styleId="LFO39">
    <w:name w:val="LFO39"/>
    <w:basedOn w:val="Brezseznama"/>
    <w:pPr>
      <w:numPr>
        <w:numId w:val="6"/>
      </w:numPr>
    </w:pPr>
  </w:style>
  <w:style w:type="numbering" w:customStyle="1" w:styleId="LFO40">
    <w:name w:val="LFO40"/>
    <w:basedOn w:val="Brezseznama"/>
    <w:pPr>
      <w:numPr>
        <w:numId w:val="7"/>
      </w:numPr>
    </w:pPr>
  </w:style>
  <w:style w:type="numbering" w:customStyle="1" w:styleId="LFO42">
    <w:name w:val="LFO42"/>
    <w:basedOn w:val="Brezseznama"/>
    <w:pPr>
      <w:numPr>
        <w:numId w:val="8"/>
      </w:numPr>
    </w:pPr>
  </w:style>
  <w:style w:type="numbering" w:customStyle="1" w:styleId="LFO123">
    <w:name w:val="LFO123"/>
    <w:basedOn w:val="Brezseznama"/>
    <w:pPr>
      <w:numPr>
        <w:numId w:val="9"/>
      </w:numPr>
    </w:pPr>
  </w:style>
  <w:style w:type="table" w:styleId="Tabelamrea">
    <w:name w:val="Table Grid"/>
    <w:basedOn w:val="Navadnatabela"/>
    <w:uiPriority w:val="39"/>
    <w:rsid w:val="00CD4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84042">
      <w:bodyDiv w:val="1"/>
      <w:marLeft w:val="0"/>
      <w:marRight w:val="0"/>
      <w:marTop w:val="0"/>
      <w:marBottom w:val="0"/>
      <w:divBdr>
        <w:top w:val="none" w:sz="0" w:space="0" w:color="auto"/>
        <w:left w:val="none" w:sz="0" w:space="0" w:color="auto"/>
        <w:bottom w:val="none" w:sz="0" w:space="0" w:color="auto"/>
        <w:right w:val="none" w:sz="0" w:space="0" w:color="auto"/>
      </w:divBdr>
    </w:div>
    <w:div w:id="167990359">
      <w:bodyDiv w:val="1"/>
      <w:marLeft w:val="0"/>
      <w:marRight w:val="0"/>
      <w:marTop w:val="0"/>
      <w:marBottom w:val="0"/>
      <w:divBdr>
        <w:top w:val="none" w:sz="0" w:space="0" w:color="auto"/>
        <w:left w:val="none" w:sz="0" w:space="0" w:color="auto"/>
        <w:bottom w:val="none" w:sz="0" w:space="0" w:color="auto"/>
        <w:right w:val="none" w:sz="0" w:space="0" w:color="auto"/>
      </w:divBdr>
    </w:div>
    <w:div w:id="187378127">
      <w:bodyDiv w:val="1"/>
      <w:marLeft w:val="0"/>
      <w:marRight w:val="0"/>
      <w:marTop w:val="0"/>
      <w:marBottom w:val="0"/>
      <w:divBdr>
        <w:top w:val="none" w:sz="0" w:space="0" w:color="auto"/>
        <w:left w:val="none" w:sz="0" w:space="0" w:color="auto"/>
        <w:bottom w:val="none" w:sz="0" w:space="0" w:color="auto"/>
        <w:right w:val="none" w:sz="0" w:space="0" w:color="auto"/>
      </w:divBdr>
      <w:divsChild>
        <w:div w:id="2076466596">
          <w:marLeft w:val="0"/>
          <w:marRight w:val="0"/>
          <w:marTop w:val="0"/>
          <w:marBottom w:val="0"/>
          <w:divBdr>
            <w:top w:val="none" w:sz="0" w:space="0" w:color="auto"/>
            <w:left w:val="none" w:sz="0" w:space="0" w:color="auto"/>
            <w:bottom w:val="none" w:sz="0" w:space="0" w:color="auto"/>
            <w:right w:val="none" w:sz="0" w:space="0" w:color="auto"/>
          </w:divBdr>
        </w:div>
      </w:divsChild>
    </w:div>
    <w:div w:id="782656942">
      <w:bodyDiv w:val="1"/>
      <w:marLeft w:val="0"/>
      <w:marRight w:val="0"/>
      <w:marTop w:val="0"/>
      <w:marBottom w:val="0"/>
      <w:divBdr>
        <w:top w:val="none" w:sz="0" w:space="0" w:color="auto"/>
        <w:left w:val="none" w:sz="0" w:space="0" w:color="auto"/>
        <w:bottom w:val="none" w:sz="0" w:space="0" w:color="auto"/>
        <w:right w:val="none" w:sz="0" w:space="0" w:color="auto"/>
      </w:divBdr>
      <w:divsChild>
        <w:div w:id="1544100697">
          <w:marLeft w:val="0"/>
          <w:marRight w:val="0"/>
          <w:marTop w:val="0"/>
          <w:marBottom w:val="0"/>
          <w:divBdr>
            <w:top w:val="none" w:sz="0" w:space="0" w:color="auto"/>
            <w:left w:val="none" w:sz="0" w:space="0" w:color="auto"/>
            <w:bottom w:val="none" w:sz="0" w:space="0" w:color="auto"/>
            <w:right w:val="none" w:sz="0" w:space="0" w:color="auto"/>
          </w:divBdr>
        </w:div>
      </w:divsChild>
    </w:div>
    <w:div w:id="1041898310">
      <w:bodyDiv w:val="1"/>
      <w:marLeft w:val="0"/>
      <w:marRight w:val="0"/>
      <w:marTop w:val="0"/>
      <w:marBottom w:val="0"/>
      <w:divBdr>
        <w:top w:val="none" w:sz="0" w:space="0" w:color="auto"/>
        <w:left w:val="none" w:sz="0" w:space="0" w:color="auto"/>
        <w:bottom w:val="none" w:sz="0" w:space="0" w:color="auto"/>
        <w:right w:val="none" w:sz="0" w:space="0" w:color="auto"/>
      </w:divBdr>
      <w:divsChild>
        <w:div w:id="229538759">
          <w:marLeft w:val="0"/>
          <w:marRight w:val="0"/>
          <w:marTop w:val="0"/>
          <w:marBottom w:val="0"/>
          <w:divBdr>
            <w:top w:val="none" w:sz="0" w:space="0" w:color="auto"/>
            <w:left w:val="none" w:sz="0" w:space="0" w:color="auto"/>
            <w:bottom w:val="none" w:sz="0" w:space="0" w:color="auto"/>
            <w:right w:val="none" w:sz="0" w:space="0" w:color="auto"/>
          </w:divBdr>
        </w:div>
      </w:divsChild>
    </w:div>
    <w:div w:id="1087269277">
      <w:bodyDiv w:val="1"/>
      <w:marLeft w:val="0"/>
      <w:marRight w:val="0"/>
      <w:marTop w:val="0"/>
      <w:marBottom w:val="0"/>
      <w:divBdr>
        <w:top w:val="none" w:sz="0" w:space="0" w:color="auto"/>
        <w:left w:val="none" w:sz="0" w:space="0" w:color="auto"/>
        <w:bottom w:val="none" w:sz="0" w:space="0" w:color="auto"/>
        <w:right w:val="none" w:sz="0" w:space="0" w:color="auto"/>
      </w:divBdr>
      <w:divsChild>
        <w:div w:id="801533344">
          <w:marLeft w:val="0"/>
          <w:marRight w:val="0"/>
          <w:marTop w:val="0"/>
          <w:marBottom w:val="0"/>
          <w:divBdr>
            <w:top w:val="none" w:sz="0" w:space="0" w:color="auto"/>
            <w:left w:val="none" w:sz="0" w:space="0" w:color="auto"/>
            <w:bottom w:val="none" w:sz="0" w:space="0" w:color="auto"/>
            <w:right w:val="none" w:sz="0" w:space="0" w:color="auto"/>
          </w:divBdr>
        </w:div>
      </w:divsChild>
    </w:div>
    <w:div w:id="1449930043">
      <w:bodyDiv w:val="1"/>
      <w:marLeft w:val="0"/>
      <w:marRight w:val="0"/>
      <w:marTop w:val="0"/>
      <w:marBottom w:val="0"/>
      <w:divBdr>
        <w:top w:val="none" w:sz="0" w:space="0" w:color="auto"/>
        <w:left w:val="none" w:sz="0" w:space="0" w:color="auto"/>
        <w:bottom w:val="none" w:sz="0" w:space="0" w:color="auto"/>
        <w:right w:val="none" w:sz="0" w:space="0" w:color="auto"/>
      </w:divBdr>
    </w:div>
    <w:div w:id="1463160352">
      <w:bodyDiv w:val="1"/>
      <w:marLeft w:val="0"/>
      <w:marRight w:val="0"/>
      <w:marTop w:val="0"/>
      <w:marBottom w:val="0"/>
      <w:divBdr>
        <w:top w:val="none" w:sz="0" w:space="0" w:color="auto"/>
        <w:left w:val="none" w:sz="0" w:space="0" w:color="auto"/>
        <w:bottom w:val="none" w:sz="0" w:space="0" w:color="auto"/>
        <w:right w:val="none" w:sz="0" w:space="0" w:color="auto"/>
      </w:divBdr>
      <w:divsChild>
        <w:div w:id="303968612">
          <w:marLeft w:val="0"/>
          <w:marRight w:val="0"/>
          <w:marTop w:val="0"/>
          <w:marBottom w:val="0"/>
          <w:divBdr>
            <w:top w:val="none" w:sz="0" w:space="0" w:color="auto"/>
            <w:left w:val="none" w:sz="0" w:space="0" w:color="auto"/>
            <w:bottom w:val="none" w:sz="0" w:space="0" w:color="auto"/>
            <w:right w:val="none" w:sz="0" w:space="0" w:color="auto"/>
          </w:divBdr>
        </w:div>
      </w:divsChild>
    </w:div>
    <w:div w:id="2129229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eader" Target="header7.xml"/><Relationship Id="rId21" Type="http://schemas.openxmlformats.org/officeDocument/2006/relationships/footer" Target="footer3.xml"/><Relationship Id="rId42" Type="http://schemas.openxmlformats.org/officeDocument/2006/relationships/header" Target="header16.xml"/><Relationship Id="rId47" Type="http://schemas.openxmlformats.org/officeDocument/2006/relationships/image" Target="media/image11.png"/><Relationship Id="rId63" Type="http://schemas.openxmlformats.org/officeDocument/2006/relationships/hyperlink" Target="https://evropskasredstva.si/asoc/" TargetMode="External"/><Relationship Id="rId68" Type="http://schemas.openxmlformats.org/officeDocument/2006/relationships/hyperlink" Target="https://www.youtube.com/watch?v=dF4O6dwC1G4"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9" Type="http://schemas.openxmlformats.org/officeDocument/2006/relationships/header" Target="header9.xml"/><Relationship Id="rId11" Type="http://schemas.openxmlformats.org/officeDocument/2006/relationships/image" Target="media/image4.png"/><Relationship Id="rId24" Type="http://schemas.openxmlformats.org/officeDocument/2006/relationships/footer" Target="footer4.xml"/><Relationship Id="rId32" Type="http://schemas.openxmlformats.org/officeDocument/2006/relationships/footer" Target="footer6.xml"/><Relationship Id="rId37" Type="http://schemas.openxmlformats.org/officeDocument/2006/relationships/header" Target="header13.xml"/><Relationship Id="rId40" Type="http://schemas.openxmlformats.org/officeDocument/2006/relationships/header" Target="header15.xml"/><Relationship Id="rId45" Type="http://schemas.openxmlformats.org/officeDocument/2006/relationships/image" Target="media/image9.png"/><Relationship Id="rId53" Type="http://schemas.openxmlformats.org/officeDocument/2006/relationships/hyperlink" Target="https://nijz.si/wp-content/uploads/2022/11/drzavna_ocena_zmoznosti.pdf" TargetMode="External"/><Relationship Id="rId58" Type="http://schemas.openxmlformats.org/officeDocument/2006/relationships/hyperlink" Target="https://www.gov.si/assets/ministrstva/MNVP/Dokumenti/Voda/NZPO/ocena_tveganj_poplave_2023.pdf" TargetMode="External"/><Relationship Id="rId66" Type="http://schemas.openxmlformats.org/officeDocument/2006/relationships/footer" Target="footer8.xml"/><Relationship Id="rId5" Type="http://schemas.openxmlformats.org/officeDocument/2006/relationships/webSettings" Target="webSettings.xml"/><Relationship Id="rId61" Type="http://schemas.openxmlformats.org/officeDocument/2006/relationships/hyperlink" Target="https://www.gov.si/assets/ministrstva/MNVP/Dokumenti/Voda/NZPO/Predhodna_ocena_2024/Predhodna_ocena_poplavne_ogrozenosti_2024.pdf" TargetMode="External"/><Relationship Id="rId19" Type="http://schemas.openxmlformats.org/officeDocument/2006/relationships/footer" Target="footer2.xml"/><Relationship Id="rId14" Type="http://schemas.openxmlformats.org/officeDocument/2006/relationships/image" Target="media/image7.png"/><Relationship Id="rId22" Type="http://schemas.openxmlformats.org/officeDocument/2006/relationships/header" Target="header4.xml"/><Relationship Id="rId27" Type="http://schemas.openxmlformats.org/officeDocument/2006/relationships/header" Target="header8.xml"/><Relationship Id="rId30" Type="http://schemas.openxmlformats.org/officeDocument/2006/relationships/header" Target="header10.xml"/><Relationship Id="rId35" Type="http://schemas.openxmlformats.org/officeDocument/2006/relationships/hyperlink" Target="https://evropskasredstva.si/asoc/" TargetMode="External"/><Relationship Id="rId43" Type="http://schemas.openxmlformats.org/officeDocument/2006/relationships/header" Target="header17.xml"/><Relationship Id="rId48" Type="http://schemas.openxmlformats.org/officeDocument/2006/relationships/image" Target="media/image12.png"/><Relationship Id="rId56" Type="http://schemas.openxmlformats.org/officeDocument/2006/relationships/hyperlink" Target="https://www.gov.si/assets/ministrstva/MOP/Dokumenti/Voda/NZPO/606504549e/nzpo_2017_2021.pdf" TargetMode="External"/><Relationship Id="rId64" Type="http://schemas.openxmlformats.org/officeDocument/2006/relationships/header" Target="header19.xml"/><Relationship Id="rId69" Type="http://schemas.openxmlformats.org/officeDocument/2006/relationships/hyperlink" Target="http://www.uradni-list.si/1/objava.jsp?sop=2015-01-3570" TargetMode="External"/><Relationship Id="rId8" Type="http://schemas.openxmlformats.org/officeDocument/2006/relationships/image" Target="media/image1.png"/><Relationship Id="rId51" Type="http://schemas.openxmlformats.org/officeDocument/2006/relationships/image" Target="media/image15.png"/><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eader" Target="header2.xml"/><Relationship Id="rId25" Type="http://schemas.openxmlformats.org/officeDocument/2006/relationships/header" Target="header6.xml"/><Relationship Id="rId33" Type="http://schemas.openxmlformats.org/officeDocument/2006/relationships/header" Target="header12.xml"/><Relationship Id="rId38" Type="http://schemas.openxmlformats.org/officeDocument/2006/relationships/header" Target="header14.xml"/><Relationship Id="rId46" Type="http://schemas.openxmlformats.org/officeDocument/2006/relationships/image" Target="media/image10.png"/><Relationship Id="rId59" Type="http://schemas.openxmlformats.org/officeDocument/2006/relationships/hyperlink" Target="https://www.stat.si/StatWeb/News/Index/13209" TargetMode="External"/><Relationship Id="rId67" Type="http://schemas.openxmlformats.org/officeDocument/2006/relationships/header" Target="header21.xml"/><Relationship Id="rId20" Type="http://schemas.openxmlformats.org/officeDocument/2006/relationships/header" Target="header3.xml"/><Relationship Id="rId41" Type="http://schemas.openxmlformats.org/officeDocument/2006/relationships/hyperlink" Target="https://www.energetika-portal.si/fileadmin/dokumenti/publikacije/nepn/dokumenti/nepn2024_final_dec2024.pdf" TargetMode="External"/><Relationship Id="rId54" Type="http://schemas.openxmlformats.org/officeDocument/2006/relationships/hyperlink" Target="https://evropskasredstva.si/e-novice-vizija-kohezija/" TargetMode="External"/><Relationship Id="rId62" Type="http://schemas.openxmlformats.org/officeDocument/2006/relationships/hyperlink" Target="https://natura2000.gov.si/natura-2000/natura-2000-v-sloveniji/program-upravljanja/" TargetMode="External"/><Relationship Id="rId70" Type="http://schemas.openxmlformats.org/officeDocument/2006/relationships/hyperlink" Target="http://www.uradni-list.si/1/objava.jsp?sop=2018-01-058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eader" Target="header5.xml"/><Relationship Id="rId28" Type="http://schemas.openxmlformats.org/officeDocument/2006/relationships/footer" Target="footer5.xml"/><Relationship Id="rId36" Type="http://schemas.openxmlformats.org/officeDocument/2006/relationships/hyperlink" Target="https://evropskasredstva.si/e-novice-vizija-kohezija/" TargetMode="External"/><Relationship Id="rId49" Type="http://schemas.openxmlformats.org/officeDocument/2006/relationships/image" Target="media/image13.png"/><Relationship Id="rId57" Type="http://schemas.openxmlformats.org/officeDocument/2006/relationships/hyperlink" Target="https://www.gov.si/assets/ministrstva/MNVP/Dokumenti/Voda/NZPO/NZPO_II_2023.docx" TargetMode="External"/><Relationship Id="rId10" Type="http://schemas.openxmlformats.org/officeDocument/2006/relationships/image" Target="media/image3.png"/><Relationship Id="rId31" Type="http://schemas.openxmlformats.org/officeDocument/2006/relationships/header" Target="header11.xml"/><Relationship Id="rId44" Type="http://schemas.openxmlformats.org/officeDocument/2006/relationships/header" Target="header18.xml"/><Relationship Id="rId52" Type="http://schemas.openxmlformats.org/officeDocument/2006/relationships/hyperlink" Target="https://www.gov.si/assets/ministrstva/MOP/Dokumenti/Voda/NZPO/OP_-dodatek_za_varovana_obmocja-_za_NZPO_1_39.pdf" TargetMode="External"/><Relationship Id="rId60" Type="http://schemas.openxmlformats.org/officeDocument/2006/relationships/hyperlink" Target="https://www.gov.si/assets/ministrstva/MOP/Dokumenti/Voda/NZPO/e56d7a6180/predhodna_ocena_poplavne_ogrozenosti_2019.pdf" TargetMode="External"/><Relationship Id="rId65" Type="http://schemas.openxmlformats.org/officeDocument/2006/relationships/header" Target="header20.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footer" Target="footer1.xml"/><Relationship Id="rId39" Type="http://schemas.openxmlformats.org/officeDocument/2006/relationships/footer" Target="footer7.xml"/><Relationship Id="rId34" Type="http://schemas.openxmlformats.org/officeDocument/2006/relationships/hyperlink" Target="http://www.evropskasredstva.si" TargetMode="External"/><Relationship Id="rId50" Type="http://schemas.openxmlformats.org/officeDocument/2006/relationships/image" Target="media/image14.png"/><Relationship Id="rId55" Type="http://schemas.openxmlformats.org/officeDocument/2006/relationships/hyperlink" Target="https://evropskasredstva.si/eu-projekt-moj-projekt-202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si/assets/organi-v-sestavi/URSZR/Datoteke/Oceneogrozenosti/ocena_ogrozenosti_poplave.pdf"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E7C6A72-D332-4BF2-AA3B-BFC734606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101</Pages>
  <Words>41705</Words>
  <Characters>237719</Characters>
  <Application>Microsoft Office Word</Application>
  <DocSecurity>0</DocSecurity>
  <Lines>1980</Lines>
  <Paragraphs>557</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278867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Mezang Nkodo</dc:creator>
  <dc:description/>
  <cp:lastModifiedBy>Gabriel Mezang Nkodo</cp:lastModifiedBy>
  <cp:revision>104</cp:revision>
  <cp:lastPrinted>2025-02-25T10:21:00Z</cp:lastPrinted>
  <dcterms:created xsi:type="dcterms:W3CDTF">2025-01-30T12:49:00Z</dcterms:created>
  <dcterms:modified xsi:type="dcterms:W3CDTF">2025-03-12T13:26:00Z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0x0101004809996505DE48418139ECB4A4E22B6D</vt:lpwstr>
  </property>
</Properties>
</file>